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آئین کیفری اسلام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586_3244359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8588_3244359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8590_3244359995">
            <w:r>
              <w:rPr>
                <w:webHidden/>
                <w:rStyle w:val="IndexLink"/>
                <w:rtl w:val="true"/>
              </w:rPr>
              <w:t>مقدمه کتاب به قلم</w:t>
            </w:r>
            <w:r>
              <w:rPr>
                <w:rStyle w:val="IndexLink"/>
                <w:rtl w:val="true"/>
              </w:rPr>
              <w:tab/>
            </w:r>
            <w:r>
              <w:rPr>
                <w:rStyle w:val="IndexLink"/>
              </w:rPr>
              <w:t>13</w:t>
            </w:r>
          </w:hyperlink>
        </w:p>
        <w:p>
          <w:pPr>
            <w:pStyle w:val="Contents3"/>
            <w:tabs>
              <w:tab w:val="clear" w:pos="8459"/>
              <w:tab w:val="right" w:pos="9026" w:leader="dot"/>
            </w:tabs>
            <w:rPr/>
          </w:pPr>
          <w:hyperlink w:anchor="__RefHeading___Toc78592_324435999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8594_3244359995">
            <w:r>
              <w:rPr>
                <w:webHidden/>
                <w:rStyle w:val="IndexLink"/>
                <w:rtl w:val="true"/>
              </w:rPr>
              <w:t>مشروعیّت و لزوم اجرای حدود اسلامی در زمان غیبت</w:t>
            </w:r>
            <w:r>
              <w:rPr>
                <w:rStyle w:val="IndexLink"/>
                <w:rtl w:val="true"/>
              </w:rPr>
              <w:tab/>
            </w:r>
            <w:r>
              <w:rPr>
                <w:rStyle w:val="IndexLink"/>
              </w:rPr>
              <w:t>13</w:t>
            </w:r>
          </w:hyperlink>
        </w:p>
        <w:p>
          <w:pPr>
            <w:pStyle w:val="Contents4"/>
            <w:tabs>
              <w:tab w:val="clear" w:pos="8176"/>
              <w:tab w:val="right" w:pos="9026" w:leader="dot"/>
            </w:tabs>
            <w:rPr/>
          </w:pPr>
          <w:hyperlink w:anchor="__RefHeading___Toc78596_3244359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8598_3244359995">
            <w:r>
              <w:rPr>
                <w:webHidden/>
                <w:rStyle w:val="IndexLink"/>
                <w:rtl w:val="true"/>
              </w:rPr>
              <w:t>ملازمه مشروعیّت قضا و مشروعیّت اجرا</w:t>
            </w:r>
            <w:r>
              <w:rPr>
                <w:rStyle w:val="IndexLink"/>
                <w:rtl w:val="true"/>
              </w:rPr>
              <w:tab/>
            </w:r>
            <w:r>
              <w:rPr>
                <w:rStyle w:val="IndexLink"/>
              </w:rPr>
              <w:t>16</w:t>
            </w:r>
          </w:hyperlink>
        </w:p>
        <w:p>
          <w:pPr>
            <w:pStyle w:val="Contents4"/>
            <w:tabs>
              <w:tab w:val="clear" w:pos="8176"/>
              <w:tab w:val="right" w:pos="9026" w:leader="dot"/>
            </w:tabs>
            <w:rPr/>
          </w:pPr>
          <w:hyperlink w:anchor="__RefHeading___Toc78600_3244359995">
            <w:r>
              <w:rPr>
                <w:webHidden/>
                <w:rStyle w:val="IndexLink"/>
                <w:rtl w:val="true"/>
              </w:rPr>
              <w:t>ملازمه نظریه ولایت فقیه و مشروعیّت اجرای حدود</w:t>
            </w:r>
            <w:r>
              <w:rPr>
                <w:rStyle w:val="IndexLink"/>
                <w:rtl w:val="true"/>
              </w:rPr>
              <w:tab/>
            </w:r>
            <w:r>
              <w:rPr>
                <w:rStyle w:val="IndexLink"/>
              </w:rPr>
              <w:t>17</w:t>
            </w:r>
          </w:hyperlink>
        </w:p>
        <w:p>
          <w:pPr>
            <w:pStyle w:val="Contents4"/>
            <w:tabs>
              <w:tab w:val="clear" w:pos="8176"/>
              <w:tab w:val="right" w:pos="9026" w:leader="dot"/>
            </w:tabs>
            <w:rPr/>
          </w:pPr>
          <w:hyperlink w:anchor="__RefHeading___Toc78602_3244359995">
            <w:r>
              <w:rPr>
                <w:webHidden/>
                <w:rStyle w:val="IndexLink"/>
                <w:rtl w:val="true"/>
              </w:rPr>
              <w:t>آرا و اقوال موجود در مسأله</w:t>
            </w:r>
            <w:r>
              <w:rPr>
                <w:rStyle w:val="IndexLink"/>
                <w:rtl w:val="true"/>
              </w:rPr>
              <w:tab/>
            </w:r>
            <w:r>
              <w:rPr>
                <w:rStyle w:val="IndexLink"/>
              </w:rPr>
              <w:t>18</w:t>
            </w:r>
          </w:hyperlink>
        </w:p>
        <w:p>
          <w:pPr>
            <w:pStyle w:val="Contents4"/>
            <w:tabs>
              <w:tab w:val="clear" w:pos="8176"/>
              <w:tab w:val="right" w:pos="9026" w:leader="dot"/>
            </w:tabs>
            <w:rPr/>
          </w:pPr>
          <w:hyperlink w:anchor="__RefHeading___Toc78604_3244359995">
            <w:r>
              <w:rPr>
                <w:webHidden/>
                <w:rStyle w:val="IndexLink"/>
                <w:rtl w:val="true"/>
              </w:rPr>
              <w:t>عبارات فقها در مسئله جواز اجرای حدود در زمان غیبت</w:t>
            </w:r>
            <w:r>
              <w:rPr>
                <w:rStyle w:val="IndexLink"/>
                <w:rtl w:val="true"/>
              </w:rPr>
              <w:tab/>
            </w:r>
            <w:r>
              <w:rPr>
                <w:rStyle w:val="IndexLink"/>
              </w:rPr>
              <w:t>19</w:t>
            </w:r>
          </w:hyperlink>
        </w:p>
        <w:p>
          <w:pPr>
            <w:pStyle w:val="Contents4"/>
            <w:tabs>
              <w:tab w:val="clear" w:pos="8176"/>
              <w:tab w:val="right" w:pos="9026" w:leader="dot"/>
            </w:tabs>
            <w:rPr/>
          </w:pPr>
          <w:hyperlink w:anchor="__RefHeading___Toc78606_3244359995">
            <w:r>
              <w:rPr>
                <w:webHidden/>
                <w:rStyle w:val="IndexLink"/>
                <w:rtl w:val="true"/>
              </w:rPr>
              <w:t>بررسی ادلّۀ قائلین به عدم جواز اجرای حدود در زمان غیبت</w:t>
            </w:r>
            <w:r>
              <w:rPr>
                <w:rStyle w:val="IndexLink"/>
                <w:rtl w:val="true"/>
              </w:rPr>
              <w:tab/>
            </w:r>
            <w:r>
              <w:rPr>
                <w:rStyle w:val="IndexLink"/>
              </w:rPr>
              <w:t>33</w:t>
            </w:r>
          </w:hyperlink>
        </w:p>
        <w:p>
          <w:pPr>
            <w:pStyle w:val="Contents4"/>
            <w:tabs>
              <w:tab w:val="clear" w:pos="8176"/>
              <w:tab w:val="right" w:pos="9026" w:leader="dot"/>
            </w:tabs>
            <w:rPr/>
          </w:pPr>
          <w:hyperlink w:anchor="__RefHeading___Toc78608_3244359995">
            <w:r>
              <w:rPr>
                <w:webHidden/>
                <w:rStyle w:val="IndexLink"/>
                <w:rtl w:val="true"/>
              </w:rPr>
              <w:t>بررسی ادلّه قائلین به جواز</w:t>
            </w:r>
            <w:r>
              <w:rPr>
                <w:rStyle w:val="IndexLink"/>
                <w:rtl w:val="true"/>
              </w:rPr>
              <w:tab/>
            </w:r>
            <w:r>
              <w:rPr>
                <w:rStyle w:val="IndexLink"/>
              </w:rPr>
              <w:t>37</w:t>
            </w:r>
          </w:hyperlink>
        </w:p>
        <w:p>
          <w:pPr>
            <w:pStyle w:val="Contents5"/>
            <w:tabs>
              <w:tab w:val="clear" w:pos="7892"/>
              <w:tab w:val="right" w:pos="9026" w:leader="dot"/>
            </w:tabs>
            <w:rPr/>
          </w:pPr>
          <w:hyperlink w:anchor="__RefHeading___Toc78610_324435999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78612_3244359995">
            <w:r>
              <w:rPr>
                <w:webHidden/>
                <w:rStyle w:val="IndexLink"/>
                <w:rtl w:val="true"/>
              </w:rPr>
              <w:t>دلیل اوّل</w:t>
            </w:r>
            <w:r>
              <w:rPr>
                <w:rStyle w:val="IndexLink"/>
                <w:rtl w:val="true"/>
              </w:rPr>
              <w:t xml:space="preserve">: </w:t>
            </w:r>
            <w:r>
              <w:rPr>
                <w:rStyle w:val="IndexLink"/>
                <w:rtl w:val="true"/>
              </w:rPr>
              <w:t>اجماع</w:t>
            </w:r>
            <w:r>
              <w:rPr>
                <w:rStyle w:val="IndexLink"/>
                <w:rtl w:val="true"/>
              </w:rPr>
              <w:tab/>
            </w:r>
            <w:r>
              <w:rPr>
                <w:rStyle w:val="IndexLink"/>
              </w:rPr>
              <w:t>37</w:t>
            </w:r>
          </w:hyperlink>
        </w:p>
        <w:p>
          <w:pPr>
            <w:pStyle w:val="Contents5"/>
            <w:tabs>
              <w:tab w:val="clear" w:pos="7892"/>
              <w:tab w:val="right" w:pos="9026" w:leader="dot"/>
            </w:tabs>
            <w:rPr/>
          </w:pPr>
          <w:hyperlink w:anchor="__RefHeading___Toc78614_3244359995">
            <w:r>
              <w:rPr>
                <w:webHidden/>
                <w:rStyle w:val="IndexLink"/>
                <w:rtl w:val="true"/>
              </w:rPr>
              <w:t>دلیل دوم</w:t>
            </w:r>
            <w:r>
              <w:rPr>
                <w:rStyle w:val="IndexLink"/>
                <w:rtl w:val="true"/>
              </w:rPr>
              <w:t xml:space="preserve">: </w:t>
            </w:r>
            <w:r>
              <w:rPr>
                <w:rStyle w:val="IndexLink"/>
                <w:rtl w:val="true"/>
              </w:rPr>
              <w:t>مقبولۀ عمر بن حنظله</w:t>
            </w:r>
            <w:r>
              <w:rPr>
                <w:rStyle w:val="IndexLink"/>
                <w:rtl w:val="true"/>
              </w:rPr>
              <w:tab/>
            </w:r>
            <w:r>
              <w:rPr>
                <w:rStyle w:val="IndexLink"/>
              </w:rPr>
              <w:t>38</w:t>
            </w:r>
          </w:hyperlink>
        </w:p>
        <w:p>
          <w:pPr>
            <w:pStyle w:val="Contents6"/>
            <w:tabs>
              <w:tab w:val="clear" w:pos="7609"/>
              <w:tab w:val="right" w:pos="9026" w:leader="dot"/>
            </w:tabs>
            <w:rPr/>
          </w:pPr>
          <w:hyperlink w:anchor="__RefHeading___Toc78616_3244359995">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78618_3244359995">
            <w:r>
              <w:rPr>
                <w:webHidden/>
                <w:rStyle w:val="IndexLink"/>
                <w:rtl w:val="true"/>
              </w:rPr>
              <w:t>بررسی سند حدیث</w:t>
            </w:r>
            <w:r>
              <w:rPr>
                <w:rStyle w:val="IndexLink"/>
                <w:rtl w:val="true"/>
              </w:rPr>
              <w:tab/>
            </w:r>
            <w:r>
              <w:rPr>
                <w:rStyle w:val="IndexLink"/>
              </w:rPr>
              <w:t>40</w:t>
            </w:r>
          </w:hyperlink>
        </w:p>
        <w:p>
          <w:pPr>
            <w:pStyle w:val="Contents6"/>
            <w:tabs>
              <w:tab w:val="clear" w:pos="7609"/>
              <w:tab w:val="right" w:pos="9026" w:leader="dot"/>
            </w:tabs>
            <w:rPr/>
          </w:pPr>
          <w:hyperlink w:anchor="__RefHeading___Toc78620_3244359995">
            <w:r>
              <w:rPr>
                <w:webHidden/>
                <w:rStyle w:val="IndexLink"/>
                <w:rtl w:val="true"/>
              </w:rPr>
              <w:t>بیان استدلال به روایت</w:t>
            </w:r>
            <w:r>
              <w:rPr>
                <w:rStyle w:val="IndexLink"/>
                <w:rtl w:val="true"/>
              </w:rPr>
              <w:tab/>
            </w:r>
            <w:r>
              <w:rPr>
                <w:rStyle w:val="IndexLink"/>
              </w:rPr>
              <w:t>43</w:t>
            </w:r>
          </w:hyperlink>
        </w:p>
        <w:p>
          <w:pPr>
            <w:pStyle w:val="Contents6"/>
            <w:tabs>
              <w:tab w:val="clear" w:pos="7609"/>
              <w:tab w:val="right" w:pos="9026" w:leader="dot"/>
            </w:tabs>
            <w:rPr/>
          </w:pPr>
          <w:hyperlink w:anchor="__RefHeading___Toc78622_3244359995">
            <w:r>
              <w:rPr>
                <w:webHidden/>
                <w:rStyle w:val="IndexLink"/>
                <w:rtl w:val="true"/>
              </w:rPr>
              <w:t>تنبیه</w:t>
            </w:r>
            <w:r>
              <w:rPr>
                <w:rStyle w:val="IndexLink"/>
                <w:rtl w:val="true"/>
              </w:rPr>
              <w:tab/>
            </w:r>
            <w:r>
              <w:rPr>
                <w:rStyle w:val="IndexLink"/>
              </w:rPr>
              <w:t>49</w:t>
            </w:r>
          </w:hyperlink>
        </w:p>
        <w:p>
          <w:pPr>
            <w:pStyle w:val="Contents6"/>
            <w:tabs>
              <w:tab w:val="clear" w:pos="7609"/>
              <w:tab w:val="right" w:pos="9026" w:leader="dot"/>
            </w:tabs>
            <w:rPr/>
          </w:pPr>
          <w:hyperlink w:anchor="__RefHeading___Toc78624_3244359995">
            <w:r>
              <w:rPr>
                <w:webHidden/>
                <w:rStyle w:val="IndexLink"/>
                <w:rtl w:val="true"/>
              </w:rPr>
              <w:t>اشکال</w:t>
            </w:r>
            <w:r>
              <w:rPr>
                <w:rStyle w:val="IndexLink"/>
                <w:rtl w:val="true"/>
              </w:rPr>
              <w:tab/>
            </w:r>
            <w:r>
              <w:rPr>
                <w:rStyle w:val="IndexLink"/>
              </w:rPr>
              <w:t>50</w:t>
            </w:r>
          </w:hyperlink>
        </w:p>
        <w:p>
          <w:pPr>
            <w:pStyle w:val="Contents6"/>
            <w:tabs>
              <w:tab w:val="clear" w:pos="7609"/>
              <w:tab w:val="right" w:pos="9026" w:leader="dot"/>
            </w:tabs>
            <w:rPr/>
          </w:pPr>
          <w:hyperlink w:anchor="__RefHeading___Toc78626_3244359995">
            <w:r>
              <w:rPr>
                <w:webHidden/>
                <w:rStyle w:val="IndexLink"/>
                <w:rtl w:val="true"/>
              </w:rPr>
              <w:t>جواب</w:t>
            </w:r>
            <w:r>
              <w:rPr>
                <w:rStyle w:val="IndexLink"/>
                <w:rtl w:val="true"/>
              </w:rPr>
              <w:tab/>
            </w:r>
            <w:r>
              <w:rPr>
                <w:rStyle w:val="IndexLink"/>
              </w:rPr>
              <w:t>50</w:t>
            </w:r>
          </w:hyperlink>
        </w:p>
        <w:p>
          <w:pPr>
            <w:pStyle w:val="Contents5"/>
            <w:tabs>
              <w:tab w:val="clear" w:pos="7892"/>
              <w:tab w:val="right" w:pos="9026" w:leader="dot"/>
            </w:tabs>
            <w:rPr/>
          </w:pPr>
          <w:hyperlink w:anchor="__RefHeading___Toc78628_3244359995">
            <w:r>
              <w:rPr>
                <w:webHidden/>
                <w:rStyle w:val="IndexLink"/>
                <w:rtl w:val="true"/>
              </w:rPr>
              <w:t>دلیل سوم</w:t>
            </w:r>
            <w:r>
              <w:rPr>
                <w:rStyle w:val="IndexLink"/>
                <w:rtl w:val="true"/>
              </w:rPr>
              <w:t xml:space="preserve">: </w:t>
            </w:r>
            <w:r>
              <w:rPr>
                <w:rStyle w:val="IndexLink"/>
                <w:rtl w:val="true"/>
              </w:rPr>
              <w:t>مقبولۀ ابی خدیجه</w:t>
            </w:r>
            <w:r>
              <w:rPr>
                <w:rStyle w:val="IndexLink"/>
                <w:rtl w:val="true"/>
              </w:rPr>
              <w:tab/>
            </w:r>
            <w:r>
              <w:rPr>
                <w:rStyle w:val="IndexLink"/>
              </w:rPr>
              <w:t>51</w:t>
            </w:r>
          </w:hyperlink>
        </w:p>
        <w:p>
          <w:pPr>
            <w:pStyle w:val="Contents5"/>
            <w:tabs>
              <w:tab w:val="clear" w:pos="7892"/>
              <w:tab w:val="right" w:pos="9026" w:leader="dot"/>
            </w:tabs>
            <w:rPr/>
          </w:pPr>
          <w:hyperlink w:anchor="__RefHeading___Toc78630_3244359995">
            <w:r>
              <w:rPr>
                <w:webHidden/>
                <w:rStyle w:val="IndexLink"/>
                <w:rtl w:val="true"/>
              </w:rPr>
              <w:t>دلیل چهارم</w:t>
            </w:r>
            <w:r>
              <w:rPr>
                <w:rStyle w:val="IndexLink"/>
                <w:rtl w:val="true"/>
              </w:rPr>
              <w:t xml:space="preserve">: </w:t>
            </w:r>
            <w:r>
              <w:rPr>
                <w:rStyle w:val="IndexLink"/>
                <w:rtl w:val="true"/>
              </w:rPr>
              <w:t>توقیع شریف</w:t>
            </w:r>
            <w:r>
              <w:rPr>
                <w:rStyle w:val="IndexLink"/>
                <w:rtl w:val="true"/>
              </w:rPr>
              <w:tab/>
            </w:r>
            <w:r>
              <w:rPr>
                <w:rStyle w:val="IndexLink"/>
              </w:rPr>
              <w:t>52</w:t>
            </w:r>
          </w:hyperlink>
        </w:p>
        <w:p>
          <w:pPr>
            <w:pStyle w:val="Contents5"/>
            <w:tabs>
              <w:tab w:val="clear" w:pos="7892"/>
              <w:tab w:val="right" w:pos="9026" w:leader="dot"/>
            </w:tabs>
            <w:rPr/>
          </w:pPr>
          <w:hyperlink w:anchor="__RefHeading___Toc78632_3244359995">
            <w:r>
              <w:rPr>
                <w:webHidden/>
                <w:rStyle w:val="IndexLink"/>
                <w:rtl w:val="true"/>
              </w:rPr>
              <w:t>دلیل پنجم</w:t>
            </w:r>
            <w:r>
              <w:rPr>
                <w:rStyle w:val="IndexLink"/>
                <w:rtl w:val="true"/>
              </w:rPr>
              <w:t xml:space="preserve">: </w:t>
            </w:r>
            <w:r>
              <w:rPr>
                <w:rStyle w:val="IndexLink"/>
                <w:rtl w:val="true"/>
              </w:rPr>
              <w:t>روایت سلیمان</w:t>
            </w:r>
            <w:r>
              <w:rPr>
                <w:rStyle w:val="IndexLink"/>
                <w:rtl w:val="true"/>
              </w:rPr>
              <w:tab/>
            </w:r>
            <w:r>
              <w:rPr>
                <w:rStyle w:val="IndexLink"/>
              </w:rPr>
              <w:t>52</w:t>
            </w:r>
          </w:hyperlink>
        </w:p>
        <w:p>
          <w:pPr>
            <w:pStyle w:val="Contents5"/>
            <w:tabs>
              <w:tab w:val="clear" w:pos="7892"/>
              <w:tab w:val="right" w:pos="9026" w:leader="dot"/>
            </w:tabs>
            <w:rPr/>
          </w:pPr>
          <w:hyperlink w:anchor="__RefHeading___Toc78634_3244359995">
            <w:r>
              <w:rPr>
                <w:webHidden/>
                <w:rStyle w:val="IndexLink"/>
                <w:rtl w:val="true"/>
              </w:rPr>
              <w:t>دلیل ششم</w:t>
            </w:r>
            <w:r>
              <w:rPr>
                <w:rStyle w:val="IndexLink"/>
                <w:rtl w:val="true"/>
              </w:rPr>
              <w:t xml:space="preserve">: </w:t>
            </w:r>
            <w:r>
              <w:rPr>
                <w:rStyle w:val="IndexLink"/>
                <w:rtl w:val="true"/>
              </w:rPr>
              <w:t>عدم جواز تعطیلی حدود</w:t>
            </w:r>
            <w:r>
              <w:rPr>
                <w:rStyle w:val="IndexLink"/>
                <w:rtl w:val="true"/>
              </w:rPr>
              <w:tab/>
            </w:r>
            <w:r>
              <w:rPr>
                <w:rStyle w:val="IndexLink"/>
              </w:rPr>
              <w:t>55</w:t>
            </w:r>
          </w:hyperlink>
        </w:p>
        <w:p>
          <w:pPr>
            <w:pStyle w:val="Contents5"/>
            <w:tabs>
              <w:tab w:val="clear" w:pos="7892"/>
              <w:tab w:val="right" w:pos="9026" w:leader="dot"/>
            </w:tabs>
            <w:rPr/>
          </w:pPr>
          <w:hyperlink w:anchor="__RefHeading___Toc78636_3244359995">
            <w:r>
              <w:rPr>
                <w:webHidden/>
                <w:rStyle w:val="IndexLink"/>
                <w:rtl w:val="true"/>
              </w:rPr>
              <w:t>دلیل هفتم</w:t>
            </w:r>
            <w:r>
              <w:rPr>
                <w:rStyle w:val="IndexLink"/>
                <w:rtl w:val="true"/>
              </w:rPr>
              <w:t xml:space="preserve">: </w:t>
            </w:r>
            <w:r>
              <w:rPr>
                <w:rStyle w:val="IndexLink"/>
                <w:rtl w:val="true"/>
              </w:rPr>
              <w:t>حکمت اجرای حدود</w:t>
            </w:r>
            <w:r>
              <w:rPr>
                <w:rStyle w:val="IndexLink"/>
                <w:rtl w:val="true"/>
              </w:rPr>
              <w:tab/>
            </w:r>
            <w:r>
              <w:rPr>
                <w:rStyle w:val="IndexLink"/>
              </w:rPr>
              <w:t>59</w:t>
            </w:r>
          </w:hyperlink>
        </w:p>
        <w:p>
          <w:pPr>
            <w:pStyle w:val="Contents5"/>
            <w:tabs>
              <w:tab w:val="clear" w:pos="7892"/>
              <w:tab w:val="right" w:pos="9026" w:leader="dot"/>
            </w:tabs>
            <w:rPr/>
          </w:pPr>
          <w:hyperlink w:anchor="__RefHeading___Toc78638_3244359995">
            <w:r>
              <w:rPr>
                <w:webHidden/>
                <w:rStyle w:val="IndexLink"/>
                <w:rtl w:val="true"/>
              </w:rPr>
              <w:t>دلیل هشتم</w:t>
            </w:r>
            <w:r>
              <w:rPr>
                <w:rStyle w:val="IndexLink"/>
                <w:rtl w:val="true"/>
              </w:rPr>
              <w:t xml:space="preserve">: </w:t>
            </w:r>
            <w:r>
              <w:rPr>
                <w:rStyle w:val="IndexLink"/>
                <w:rtl w:val="true"/>
              </w:rPr>
              <w:t>گسترش مفاسد در صورت تعطیلی حدود</w:t>
            </w:r>
            <w:r>
              <w:rPr>
                <w:rStyle w:val="IndexLink"/>
                <w:rtl w:val="true"/>
              </w:rPr>
              <w:tab/>
            </w:r>
            <w:r>
              <w:rPr>
                <w:rStyle w:val="IndexLink"/>
              </w:rPr>
              <w:t>61</w:t>
            </w:r>
          </w:hyperlink>
        </w:p>
        <w:p>
          <w:pPr>
            <w:pStyle w:val="Contents5"/>
            <w:tabs>
              <w:tab w:val="clear" w:pos="7892"/>
              <w:tab w:val="right" w:pos="9026" w:leader="dot"/>
            </w:tabs>
            <w:rPr/>
          </w:pPr>
          <w:hyperlink w:anchor="__RefHeading___Toc78640_3244359995">
            <w:r>
              <w:rPr>
                <w:webHidden/>
                <w:rStyle w:val="IndexLink"/>
                <w:rtl w:val="true"/>
              </w:rPr>
              <w:t>دلیل نهم</w:t>
            </w:r>
            <w:r>
              <w:rPr>
                <w:rStyle w:val="IndexLink"/>
                <w:rtl w:val="true"/>
              </w:rPr>
              <w:t xml:space="preserve">: </w:t>
            </w:r>
            <w:r>
              <w:rPr>
                <w:rStyle w:val="IndexLink"/>
                <w:rtl w:val="true"/>
              </w:rPr>
              <w:t>روایات دالّ بر ترغیب اجرای حدود</w:t>
            </w:r>
            <w:r>
              <w:rPr>
                <w:rStyle w:val="IndexLink"/>
                <w:rtl w:val="true"/>
              </w:rPr>
              <w:tab/>
            </w:r>
            <w:r>
              <w:rPr>
                <w:rStyle w:val="IndexLink"/>
              </w:rPr>
              <w:t>61</w:t>
            </w:r>
          </w:hyperlink>
        </w:p>
        <w:p>
          <w:pPr>
            <w:pStyle w:val="Contents4"/>
            <w:tabs>
              <w:tab w:val="clear" w:pos="8176"/>
              <w:tab w:val="right" w:pos="9026" w:leader="dot"/>
            </w:tabs>
            <w:rPr/>
          </w:pPr>
          <w:hyperlink w:anchor="__RefHeading___Toc78642_3244359995">
            <w:r>
              <w:rPr>
                <w:webHidden/>
                <w:rStyle w:val="IndexLink"/>
                <w:rtl w:val="true"/>
              </w:rPr>
              <w:t xml:space="preserve">نقد مقالۀ </w:t>
            </w:r>
            <w:r>
              <w:rPr>
                <w:rStyle w:val="IndexLink"/>
                <w:rtl w:val="true"/>
              </w:rPr>
              <w:t>«</w:t>
            </w:r>
            <w:r>
              <w:rPr>
                <w:rStyle w:val="IndexLink"/>
                <w:rtl w:val="true"/>
              </w:rPr>
              <w:t>نظریۀ اقامۀ حدود</w:t>
            </w:r>
            <w:r>
              <w:rPr>
                <w:rStyle w:val="IndexLink"/>
                <w:rtl w:val="true"/>
              </w:rPr>
              <w:t>»</w:t>
              <w:tab/>
            </w:r>
            <w:r>
              <w:rPr>
                <w:rStyle w:val="IndexLink"/>
              </w:rPr>
              <w:t>63</w:t>
            </w:r>
          </w:hyperlink>
        </w:p>
        <w:p>
          <w:pPr>
            <w:pStyle w:val="Contents4"/>
            <w:tabs>
              <w:tab w:val="clear" w:pos="8176"/>
              <w:tab w:val="right" w:pos="9026" w:leader="dot"/>
            </w:tabs>
            <w:rPr/>
          </w:pPr>
          <w:hyperlink w:anchor="__RefHeading___Toc78644_3244359995">
            <w:r>
              <w:rPr>
                <w:webHidden/>
                <w:rStyle w:val="IndexLink"/>
                <w:rtl w:val="true"/>
              </w:rPr>
              <w:t>مناقشات</w:t>
            </w:r>
            <w:r>
              <w:rPr>
                <w:rStyle w:val="IndexLink"/>
                <w:rtl w:val="true"/>
              </w:rPr>
              <w:tab/>
            </w:r>
            <w:r>
              <w:rPr>
                <w:rStyle w:val="IndexLink"/>
              </w:rPr>
              <w:t>64</w:t>
            </w:r>
          </w:hyperlink>
        </w:p>
        <w:p>
          <w:pPr>
            <w:pStyle w:val="Contents3"/>
            <w:tabs>
              <w:tab w:val="clear" w:pos="8459"/>
              <w:tab w:val="right" w:pos="9026" w:leader="dot"/>
            </w:tabs>
            <w:rPr/>
          </w:pPr>
          <w:hyperlink w:anchor="__RefHeading___Toc78646_3244359995">
            <w:r>
              <w:rPr>
                <w:webHidden/>
                <w:rStyle w:val="IndexLink"/>
                <w:rtl w:val="true"/>
              </w:rPr>
              <w:t>کتاب حاضر</w:t>
            </w:r>
            <w:r>
              <w:rPr>
                <w:rStyle w:val="IndexLink"/>
                <w:rtl w:val="true"/>
              </w:rPr>
              <w:tab/>
            </w:r>
            <w:r>
              <w:rPr>
                <w:rStyle w:val="IndexLink"/>
              </w:rPr>
              <w:t>69</w:t>
            </w:r>
          </w:hyperlink>
        </w:p>
        <w:p>
          <w:pPr>
            <w:pStyle w:val="Contents2"/>
            <w:tabs>
              <w:tab w:val="clear" w:pos="8743"/>
              <w:tab w:val="right" w:pos="9026" w:leader="dot"/>
            </w:tabs>
            <w:rPr/>
          </w:pPr>
          <w:hyperlink w:anchor="__RefHeading___Toc78648_3244359995">
            <w:r>
              <w:rPr>
                <w:webHidden/>
                <w:rStyle w:val="IndexLink"/>
                <w:rtl w:val="true"/>
              </w:rPr>
              <w:t>پیش گفتار</w:t>
            </w:r>
            <w:r>
              <w:rPr>
                <w:rStyle w:val="IndexLink"/>
                <w:rtl w:val="true"/>
              </w:rPr>
              <w:t>:</w:t>
              <w:tab/>
            </w:r>
            <w:r>
              <w:rPr>
                <w:rStyle w:val="IndexLink"/>
              </w:rPr>
              <w:t>70</w:t>
            </w:r>
          </w:hyperlink>
        </w:p>
        <w:p>
          <w:pPr>
            <w:pStyle w:val="Contents2"/>
            <w:tabs>
              <w:tab w:val="clear" w:pos="8743"/>
              <w:tab w:val="right" w:pos="9026" w:leader="dot"/>
            </w:tabs>
            <w:rPr/>
          </w:pPr>
          <w:hyperlink w:anchor="__RefHeading___Toc78650_3244359995">
            <w:r>
              <w:rPr>
                <w:webHidden/>
                <w:rStyle w:val="IndexLink"/>
                <w:rtl w:val="true"/>
              </w:rPr>
              <w:t>کتاب حدود</w:t>
            </w:r>
            <w:r>
              <w:rPr>
                <w:rStyle w:val="IndexLink"/>
                <w:rtl w:val="true"/>
              </w:rPr>
              <w:t xml:space="preserve">: </w:t>
            </w:r>
            <w:r>
              <w:rPr>
                <w:rStyle w:val="IndexLink"/>
                <w:rtl w:val="true"/>
              </w:rPr>
              <w:t>ودر آن چند فصل است</w:t>
            </w:r>
            <w:r>
              <w:rPr>
                <w:rStyle w:val="IndexLink"/>
                <w:rtl w:val="true"/>
              </w:rPr>
              <w:tab/>
            </w:r>
            <w:r>
              <w:rPr>
                <w:rStyle w:val="IndexLink"/>
              </w:rPr>
              <w:t>73</w:t>
            </w:r>
          </w:hyperlink>
        </w:p>
        <w:p>
          <w:pPr>
            <w:pStyle w:val="Contents3"/>
            <w:tabs>
              <w:tab w:val="clear" w:pos="8459"/>
              <w:tab w:val="right" w:pos="9026" w:leader="dot"/>
            </w:tabs>
            <w:rPr/>
          </w:pPr>
          <w:hyperlink w:anchor="__RefHeading___Toc78652_3244359995">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78654_3244359995">
            <w:r>
              <w:rPr>
                <w:webHidden/>
                <w:rStyle w:val="IndexLink"/>
                <w:rtl w:val="true"/>
              </w:rPr>
              <w:t>مقدّمات بحث</w:t>
            </w:r>
            <w:r>
              <w:rPr>
                <w:rStyle w:val="IndexLink"/>
                <w:rtl w:val="true"/>
              </w:rPr>
              <w:tab/>
            </w:r>
            <w:r>
              <w:rPr>
                <w:rStyle w:val="IndexLink"/>
              </w:rPr>
              <w:t>74</w:t>
            </w:r>
          </w:hyperlink>
        </w:p>
        <w:p>
          <w:pPr>
            <w:pStyle w:val="Contents4"/>
            <w:tabs>
              <w:tab w:val="clear" w:pos="8176"/>
              <w:tab w:val="right" w:pos="9026" w:leader="dot"/>
            </w:tabs>
            <w:rPr/>
          </w:pPr>
          <w:hyperlink w:anchor="__RefHeading___Toc78656_3244359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8658_3244359995">
            <w:r>
              <w:rPr>
                <w:webHidden/>
                <w:rStyle w:val="IndexLink"/>
                <w:rtl w:val="true"/>
              </w:rPr>
              <w:t>امر اوّل</w:t>
            </w:r>
            <w:r>
              <w:rPr>
                <w:rStyle w:val="IndexLink"/>
                <w:rtl w:val="true"/>
              </w:rPr>
              <w:t xml:space="preserve">: </w:t>
            </w:r>
            <w:r>
              <w:rPr>
                <w:rStyle w:val="IndexLink"/>
                <w:rtl w:val="true"/>
              </w:rPr>
              <w:t>بررسی عنوان بحث</w:t>
            </w:r>
            <w:r>
              <w:rPr>
                <w:rStyle w:val="IndexLink"/>
                <w:rtl w:val="true"/>
              </w:rPr>
              <w:tab/>
            </w:r>
            <w:r>
              <w:rPr>
                <w:rStyle w:val="IndexLink"/>
              </w:rPr>
              <w:t>74</w:t>
            </w:r>
          </w:hyperlink>
        </w:p>
        <w:p>
          <w:pPr>
            <w:pStyle w:val="Contents4"/>
            <w:tabs>
              <w:tab w:val="clear" w:pos="8176"/>
              <w:tab w:val="right" w:pos="9026" w:leader="dot"/>
            </w:tabs>
            <w:rPr/>
          </w:pPr>
          <w:hyperlink w:anchor="__RefHeading___Toc78660_3244359995">
            <w:r>
              <w:rPr>
                <w:webHidden/>
                <w:rStyle w:val="IndexLink"/>
                <w:rtl w:val="true"/>
              </w:rPr>
              <w:t>امر دوم</w:t>
            </w:r>
            <w:r>
              <w:rPr>
                <w:rStyle w:val="IndexLink"/>
                <w:rtl w:val="true"/>
              </w:rPr>
              <w:t xml:space="preserve">: </w:t>
            </w:r>
            <w:r>
              <w:rPr>
                <w:rStyle w:val="IndexLink"/>
                <w:rtl w:val="true"/>
              </w:rPr>
              <w:t>معنای حدود و تعزیرات</w:t>
            </w:r>
            <w:r>
              <w:rPr>
                <w:rStyle w:val="IndexLink"/>
                <w:rtl w:val="true"/>
              </w:rPr>
              <w:tab/>
            </w:r>
            <w:r>
              <w:rPr>
                <w:rStyle w:val="IndexLink"/>
              </w:rPr>
              <w:t>77</w:t>
            </w:r>
          </w:hyperlink>
        </w:p>
        <w:p>
          <w:pPr>
            <w:pStyle w:val="Contents4"/>
            <w:tabs>
              <w:tab w:val="clear" w:pos="8176"/>
              <w:tab w:val="right" w:pos="9026" w:leader="dot"/>
            </w:tabs>
            <w:rPr/>
          </w:pPr>
          <w:hyperlink w:anchor="__RefHeading___Toc78662_3244359995">
            <w:r>
              <w:rPr>
                <w:webHidden/>
                <w:rStyle w:val="IndexLink"/>
                <w:rtl w:val="true"/>
              </w:rPr>
              <w:t>امر سوم</w:t>
            </w:r>
            <w:r>
              <w:rPr>
                <w:rStyle w:val="IndexLink"/>
                <w:rtl w:val="true"/>
              </w:rPr>
              <w:t xml:space="preserve">: </w:t>
            </w:r>
            <w:r>
              <w:rPr>
                <w:rStyle w:val="IndexLink"/>
                <w:rtl w:val="true"/>
              </w:rPr>
              <w:t>فرق بین حدّ و تعزیر</w:t>
            </w:r>
            <w:r>
              <w:rPr>
                <w:rStyle w:val="IndexLink"/>
                <w:rtl w:val="true"/>
              </w:rPr>
              <w:tab/>
            </w:r>
            <w:r>
              <w:rPr>
                <w:rStyle w:val="IndexLink"/>
              </w:rPr>
              <w:t>79</w:t>
            </w:r>
          </w:hyperlink>
        </w:p>
        <w:p>
          <w:pPr>
            <w:pStyle w:val="Contents5"/>
            <w:tabs>
              <w:tab w:val="clear" w:pos="7892"/>
              <w:tab w:val="right" w:pos="9026" w:leader="dot"/>
            </w:tabs>
            <w:rPr/>
          </w:pPr>
          <w:hyperlink w:anchor="__RefHeading___Toc78664_324435999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8666_3244359995">
            <w:r>
              <w:rPr>
                <w:webHidden/>
                <w:rStyle w:val="IndexLink"/>
                <w:rtl w:val="true"/>
              </w:rPr>
              <w:t>نقض اوّل شهید ثانی رحمه الله بر ضابطه محقّق حلّی رحمه الله</w:t>
            </w:r>
            <w:r>
              <w:rPr>
                <w:rStyle w:val="IndexLink"/>
                <w:rtl w:val="true"/>
              </w:rPr>
              <w:tab/>
            </w:r>
            <w:r>
              <w:rPr>
                <w:rStyle w:val="IndexLink"/>
              </w:rPr>
              <w:t>81</w:t>
            </w:r>
          </w:hyperlink>
        </w:p>
        <w:p>
          <w:pPr>
            <w:pStyle w:val="Contents5"/>
            <w:tabs>
              <w:tab w:val="clear" w:pos="7892"/>
              <w:tab w:val="right" w:pos="9026" w:leader="dot"/>
            </w:tabs>
            <w:rPr/>
          </w:pPr>
          <w:hyperlink w:anchor="__RefHeading___Toc78668_3244359995">
            <w:r>
              <w:rPr>
                <w:webHidden/>
                <w:rStyle w:val="IndexLink"/>
                <w:rtl w:val="true"/>
              </w:rPr>
              <w:t>نقض دوم شهید ثانی رحمه الله بر ضابطه محقّق حلّی رحمه الله</w:t>
            </w:r>
            <w:r>
              <w:rPr>
                <w:rStyle w:val="IndexLink"/>
                <w:rtl w:val="true"/>
              </w:rPr>
              <w:tab/>
            </w:r>
            <w:r>
              <w:rPr>
                <w:rStyle w:val="IndexLink"/>
              </w:rPr>
              <w:t>82</w:t>
            </w:r>
          </w:hyperlink>
        </w:p>
        <w:p>
          <w:pPr>
            <w:pStyle w:val="Contents5"/>
            <w:tabs>
              <w:tab w:val="clear" w:pos="7892"/>
              <w:tab w:val="right" w:pos="9026" w:leader="dot"/>
            </w:tabs>
            <w:rPr/>
          </w:pPr>
          <w:hyperlink w:anchor="__RefHeading___Toc78670_3244359995">
            <w:r>
              <w:rPr>
                <w:webHidden/>
                <w:rStyle w:val="IndexLink"/>
                <w:rtl w:val="true"/>
              </w:rPr>
              <w:t>نقض سوم شهید ثانی رحمه الله بر تعریف و ضابطه محقّق حلّی رحمه الله</w:t>
            </w:r>
            <w:r>
              <w:rPr>
                <w:rStyle w:val="IndexLink"/>
                <w:rtl w:val="true"/>
              </w:rPr>
              <w:tab/>
            </w:r>
            <w:r>
              <w:rPr>
                <w:rStyle w:val="IndexLink"/>
              </w:rPr>
              <w:t>84</w:t>
            </w:r>
          </w:hyperlink>
        </w:p>
        <w:p>
          <w:pPr>
            <w:pStyle w:val="Contents5"/>
            <w:tabs>
              <w:tab w:val="clear" w:pos="7892"/>
              <w:tab w:val="right" w:pos="9026" w:leader="dot"/>
            </w:tabs>
            <w:rPr/>
          </w:pPr>
          <w:hyperlink w:anchor="__RefHeading___Toc78672_3244359995">
            <w:r>
              <w:rPr>
                <w:webHidden/>
                <w:rStyle w:val="IndexLink"/>
                <w:rtl w:val="true"/>
              </w:rPr>
              <w:t>نقض چهارم شهید ثانی رحمه الله بر کلام محقّق حلّی رحمه الله</w:t>
            </w:r>
            <w:r>
              <w:rPr>
                <w:rStyle w:val="IndexLink"/>
                <w:rtl w:val="true"/>
              </w:rPr>
              <w:tab/>
            </w:r>
            <w:r>
              <w:rPr>
                <w:rStyle w:val="IndexLink"/>
              </w:rPr>
              <w:t>87</w:t>
            </w:r>
          </w:hyperlink>
        </w:p>
        <w:p>
          <w:pPr>
            <w:pStyle w:val="Contents5"/>
            <w:tabs>
              <w:tab w:val="clear" w:pos="7892"/>
              <w:tab w:val="right" w:pos="9026" w:leader="dot"/>
            </w:tabs>
            <w:rPr/>
          </w:pPr>
          <w:hyperlink w:anchor="__RefHeading___Toc78674_3244359995">
            <w:r>
              <w:rPr>
                <w:webHidden/>
                <w:rStyle w:val="IndexLink"/>
                <w:rtl w:val="true"/>
              </w:rPr>
              <w:t>نقض پنجم شهید ثانی رحمه الله بر کلام محقّق حلّی رحمه الله</w:t>
            </w:r>
            <w:r>
              <w:rPr>
                <w:rStyle w:val="IndexLink"/>
                <w:rtl w:val="true"/>
              </w:rPr>
              <w:tab/>
            </w:r>
            <w:r>
              <w:rPr>
                <w:rStyle w:val="IndexLink"/>
              </w:rPr>
              <w:t>89</w:t>
            </w:r>
          </w:hyperlink>
        </w:p>
        <w:p>
          <w:pPr>
            <w:pStyle w:val="Contents3"/>
            <w:tabs>
              <w:tab w:val="clear" w:pos="8459"/>
              <w:tab w:val="right" w:pos="9026" w:leader="dot"/>
            </w:tabs>
            <w:rPr/>
          </w:pPr>
          <w:hyperlink w:anchor="__RefHeading___Toc78676_3244359995">
            <w:r>
              <w:rPr>
                <w:webHidden/>
                <w:rStyle w:val="IndexLink"/>
                <w:rtl w:val="true"/>
              </w:rPr>
              <w:t>فصل اوّل</w:t>
            </w:r>
            <w:r>
              <w:rPr>
                <w:rStyle w:val="IndexLink"/>
                <w:rtl w:val="true"/>
              </w:rPr>
              <w:t xml:space="preserve">: </w:t>
            </w:r>
            <w:r>
              <w:rPr>
                <w:rStyle w:val="IndexLink"/>
                <w:rtl w:val="true"/>
              </w:rPr>
              <w:t>حدّ زنا</w:t>
            </w:r>
            <w:r>
              <w:rPr>
                <w:rStyle w:val="IndexLink"/>
                <w:rtl w:val="true"/>
              </w:rPr>
              <w:tab/>
            </w:r>
            <w:r>
              <w:rPr>
                <w:rStyle w:val="IndexLink"/>
              </w:rPr>
              <w:t>94</w:t>
            </w:r>
          </w:hyperlink>
        </w:p>
        <w:p>
          <w:pPr>
            <w:pStyle w:val="Contents4"/>
            <w:tabs>
              <w:tab w:val="clear" w:pos="8176"/>
              <w:tab w:val="right" w:pos="9026" w:leader="dot"/>
            </w:tabs>
            <w:rPr/>
          </w:pPr>
          <w:hyperlink w:anchor="__RefHeading___Toc78678_3244359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8680_3244359995">
            <w:r>
              <w:rPr>
                <w:webHidden/>
                <w:rStyle w:val="IndexLink"/>
                <w:rtl w:val="true"/>
              </w:rPr>
              <w:t>شرایط تحقّق زنای موجب حدّ</w:t>
            </w:r>
            <w:r>
              <w:rPr>
                <w:rStyle w:val="IndexLink"/>
                <w:rtl w:val="true"/>
              </w:rPr>
              <w:tab/>
            </w:r>
            <w:r>
              <w:rPr>
                <w:rStyle w:val="IndexLink"/>
              </w:rPr>
              <w:t>95</w:t>
            </w:r>
          </w:hyperlink>
        </w:p>
        <w:p>
          <w:pPr>
            <w:pStyle w:val="Contents5"/>
            <w:tabs>
              <w:tab w:val="clear" w:pos="7892"/>
              <w:tab w:val="right" w:pos="9026" w:leader="dot"/>
            </w:tabs>
            <w:rPr/>
          </w:pPr>
          <w:hyperlink w:anchor="__RefHeading___Toc78682_3244359995">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78684_3244359995">
            <w:r>
              <w:rPr>
                <w:webHidden/>
                <w:rStyle w:val="IndexLink"/>
                <w:rtl w:val="true"/>
              </w:rPr>
              <w:t>توضیح مسأله‌ی اوّل و دوم</w:t>
            </w:r>
            <w:r>
              <w:rPr>
                <w:rStyle w:val="IndexLink"/>
                <w:rtl w:val="true"/>
              </w:rPr>
              <w:tab/>
            </w:r>
            <w:r>
              <w:rPr>
                <w:rStyle w:val="IndexLink"/>
              </w:rPr>
              <w:t>96</w:t>
            </w:r>
          </w:hyperlink>
        </w:p>
        <w:p>
          <w:pPr>
            <w:pStyle w:val="Contents5"/>
            <w:tabs>
              <w:tab w:val="clear" w:pos="7892"/>
              <w:tab w:val="right" w:pos="9026" w:leader="dot"/>
            </w:tabs>
            <w:rPr/>
          </w:pPr>
          <w:hyperlink w:anchor="__RefHeading___Toc78686_3244359995">
            <w:r>
              <w:rPr>
                <w:webHidden/>
                <w:rStyle w:val="IndexLink"/>
                <w:rtl w:val="true"/>
              </w:rPr>
              <w:t>تحقیق عبارت‌های دو مسأله</w:t>
            </w:r>
            <w:r>
              <w:rPr>
                <w:rStyle w:val="IndexLink"/>
                <w:rtl w:val="true"/>
              </w:rPr>
              <w:tab/>
            </w:r>
            <w:r>
              <w:rPr>
                <w:rStyle w:val="IndexLink"/>
              </w:rPr>
              <w:t>96</w:t>
            </w:r>
          </w:hyperlink>
        </w:p>
        <w:p>
          <w:pPr>
            <w:pStyle w:val="Contents4"/>
            <w:tabs>
              <w:tab w:val="clear" w:pos="8176"/>
              <w:tab w:val="right" w:pos="9026" w:leader="dot"/>
            </w:tabs>
            <w:rPr/>
          </w:pPr>
          <w:hyperlink w:anchor="__RefHeading___Toc78688_3244359995">
            <w:r>
              <w:rPr>
                <w:webHidden/>
                <w:rStyle w:val="IndexLink"/>
                <w:rtl w:val="true"/>
              </w:rPr>
              <w:t>شرایط دخول در ثبوت حدّ زنا</w:t>
            </w:r>
            <w:r>
              <w:rPr>
                <w:rStyle w:val="IndexLink"/>
                <w:rtl w:val="true"/>
              </w:rPr>
              <w:tab/>
            </w:r>
            <w:r>
              <w:rPr>
                <w:rStyle w:val="IndexLink"/>
              </w:rPr>
              <w:t>105</w:t>
            </w:r>
          </w:hyperlink>
        </w:p>
        <w:p>
          <w:pPr>
            <w:pStyle w:val="Contents5"/>
            <w:tabs>
              <w:tab w:val="clear" w:pos="7892"/>
              <w:tab w:val="right" w:pos="9026" w:leader="dot"/>
            </w:tabs>
            <w:rPr/>
          </w:pPr>
          <w:hyperlink w:anchor="__RefHeading___Toc78690_3244359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78692_3244359995">
            <w:r>
              <w:rPr>
                <w:webHidden/>
                <w:rStyle w:val="IndexLink"/>
              </w:rPr>
              <w:t>1</w:t>
            </w:r>
            <w:r>
              <w:rPr>
                <w:rStyle w:val="IndexLink"/>
                <w:rtl w:val="true"/>
              </w:rPr>
              <w:t xml:space="preserve"> - </w:t>
            </w:r>
            <w:r>
              <w:rPr>
                <w:rStyle w:val="IndexLink"/>
                <w:rtl w:val="true"/>
              </w:rPr>
              <w:t>عدم فرق بین دخول در قُبُل و دُبُر</w:t>
            </w:r>
            <w:r>
              <w:rPr>
                <w:rStyle w:val="IndexLink"/>
                <w:rtl w:val="true"/>
              </w:rPr>
              <w:tab/>
            </w:r>
            <w:r>
              <w:rPr>
                <w:rStyle w:val="IndexLink"/>
              </w:rPr>
              <w:t>105</w:t>
            </w:r>
          </w:hyperlink>
        </w:p>
        <w:p>
          <w:pPr>
            <w:pStyle w:val="Contents5"/>
            <w:tabs>
              <w:tab w:val="clear" w:pos="7892"/>
              <w:tab w:val="right" w:pos="9026" w:leader="dot"/>
            </w:tabs>
            <w:rPr/>
          </w:pPr>
          <w:hyperlink w:anchor="__RefHeading___Toc78694_3244359995">
            <w:r>
              <w:rPr>
                <w:webHidden/>
                <w:rStyle w:val="IndexLink"/>
              </w:rPr>
              <w:t>2</w:t>
            </w:r>
            <w:r>
              <w:rPr>
                <w:rStyle w:val="IndexLink"/>
                <w:rtl w:val="true"/>
              </w:rPr>
              <w:t xml:space="preserve"> - </w:t>
            </w:r>
            <w:r>
              <w:rPr>
                <w:rStyle w:val="IndexLink"/>
                <w:rtl w:val="true"/>
              </w:rPr>
              <w:t>حکم واجد حشفه</w:t>
            </w:r>
            <w:r>
              <w:rPr>
                <w:rStyle w:val="IndexLink"/>
                <w:rtl w:val="true"/>
              </w:rPr>
              <w:tab/>
            </w:r>
            <w:r>
              <w:rPr>
                <w:rStyle w:val="IndexLink"/>
              </w:rPr>
              <w:t>105</w:t>
            </w:r>
          </w:hyperlink>
        </w:p>
        <w:p>
          <w:pPr>
            <w:pStyle w:val="Contents5"/>
            <w:tabs>
              <w:tab w:val="clear" w:pos="7892"/>
              <w:tab w:val="right" w:pos="9026" w:leader="dot"/>
            </w:tabs>
            <w:rPr/>
          </w:pPr>
          <w:hyperlink w:anchor="__RefHeading___Toc78696_3244359995">
            <w:r>
              <w:rPr>
                <w:webHidden/>
                <w:rStyle w:val="IndexLink"/>
              </w:rPr>
              <w:t>3</w:t>
            </w:r>
            <w:r>
              <w:rPr>
                <w:rStyle w:val="IndexLink"/>
                <w:rtl w:val="true"/>
              </w:rPr>
              <w:t xml:space="preserve"> - </w:t>
            </w:r>
            <w:r>
              <w:rPr>
                <w:rStyle w:val="IndexLink"/>
                <w:rtl w:val="true"/>
              </w:rPr>
              <w:t>حکم مقطوع الحشفة</w:t>
            </w:r>
            <w:r>
              <w:rPr>
                <w:rStyle w:val="IndexLink"/>
                <w:rtl w:val="true"/>
              </w:rPr>
              <w:tab/>
            </w:r>
            <w:r>
              <w:rPr>
                <w:rStyle w:val="IndexLink"/>
              </w:rPr>
              <w:t>108</w:t>
            </w:r>
          </w:hyperlink>
        </w:p>
        <w:p>
          <w:pPr>
            <w:pStyle w:val="Contents4"/>
            <w:tabs>
              <w:tab w:val="clear" w:pos="8176"/>
              <w:tab w:val="right" w:pos="9026" w:leader="dot"/>
            </w:tabs>
            <w:rPr/>
          </w:pPr>
          <w:hyperlink w:anchor="__RefHeading___Toc78698_3244359995">
            <w:r>
              <w:rPr>
                <w:webHidden/>
                <w:rStyle w:val="IndexLink"/>
                <w:rtl w:val="true"/>
              </w:rPr>
              <w:t>شرایط زن و مرد زناکار در ثبوت حدّ زنا</w:t>
            </w:r>
            <w:r>
              <w:rPr>
                <w:rStyle w:val="IndexLink"/>
                <w:rtl w:val="true"/>
              </w:rPr>
              <w:tab/>
            </w:r>
            <w:r>
              <w:rPr>
                <w:rStyle w:val="IndexLink"/>
              </w:rPr>
              <w:t>109</w:t>
            </w:r>
          </w:hyperlink>
        </w:p>
        <w:p>
          <w:pPr>
            <w:pStyle w:val="Contents5"/>
            <w:tabs>
              <w:tab w:val="clear" w:pos="7892"/>
              <w:tab w:val="right" w:pos="9026" w:leader="dot"/>
            </w:tabs>
            <w:rPr/>
          </w:pPr>
          <w:hyperlink w:anchor="__RefHeading___Toc78700_324435999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78702_3244359995">
            <w:r>
              <w:rPr>
                <w:webHidden/>
                <w:rStyle w:val="IndexLink"/>
                <w:rtl w:val="true"/>
              </w:rPr>
              <w:t>شرط اوّل</w:t>
            </w:r>
            <w:r>
              <w:rPr>
                <w:rStyle w:val="IndexLink"/>
                <w:rtl w:val="true"/>
              </w:rPr>
              <w:t xml:space="preserve">: </w:t>
            </w:r>
            <w:r>
              <w:rPr>
                <w:rStyle w:val="IndexLink"/>
                <w:rtl w:val="true"/>
              </w:rPr>
              <w:t>بلوغ</w:t>
            </w:r>
            <w:r>
              <w:rPr>
                <w:rStyle w:val="IndexLink"/>
                <w:rtl w:val="true"/>
              </w:rPr>
              <w:tab/>
            </w:r>
            <w:r>
              <w:rPr>
                <w:rStyle w:val="IndexLink"/>
              </w:rPr>
              <w:t>110</w:t>
            </w:r>
          </w:hyperlink>
        </w:p>
        <w:p>
          <w:pPr>
            <w:pStyle w:val="Contents5"/>
            <w:tabs>
              <w:tab w:val="clear" w:pos="7892"/>
              <w:tab w:val="right" w:pos="9026" w:leader="dot"/>
            </w:tabs>
            <w:rPr/>
          </w:pPr>
          <w:hyperlink w:anchor="__RefHeading___Toc78704_3244359995">
            <w:r>
              <w:rPr>
                <w:webHidden/>
                <w:rStyle w:val="IndexLink"/>
                <w:rtl w:val="true"/>
              </w:rPr>
              <w:t>شرط دوم</w:t>
            </w:r>
            <w:r>
              <w:rPr>
                <w:rStyle w:val="IndexLink"/>
                <w:rtl w:val="true"/>
              </w:rPr>
              <w:t xml:space="preserve">: </w:t>
            </w:r>
            <w:r>
              <w:rPr>
                <w:rStyle w:val="IndexLink"/>
                <w:rtl w:val="true"/>
              </w:rPr>
              <w:t>عقل</w:t>
            </w:r>
            <w:r>
              <w:rPr>
                <w:rStyle w:val="IndexLink"/>
                <w:rtl w:val="true"/>
              </w:rPr>
              <w:tab/>
            </w:r>
            <w:r>
              <w:rPr>
                <w:rStyle w:val="IndexLink"/>
              </w:rPr>
              <w:t>111</w:t>
            </w:r>
          </w:hyperlink>
        </w:p>
        <w:p>
          <w:pPr>
            <w:pStyle w:val="Contents5"/>
            <w:tabs>
              <w:tab w:val="clear" w:pos="7892"/>
              <w:tab w:val="right" w:pos="9026" w:leader="dot"/>
            </w:tabs>
            <w:rPr/>
          </w:pPr>
          <w:hyperlink w:anchor="__RefHeading___Toc78706_3244359995">
            <w:r>
              <w:rPr>
                <w:webHidden/>
                <w:rStyle w:val="IndexLink"/>
                <w:rtl w:val="true"/>
              </w:rPr>
              <w:t>شرط سوم</w:t>
            </w:r>
            <w:r>
              <w:rPr>
                <w:rStyle w:val="IndexLink"/>
                <w:rtl w:val="true"/>
              </w:rPr>
              <w:t xml:space="preserve">: </w:t>
            </w:r>
            <w:r>
              <w:rPr>
                <w:rStyle w:val="IndexLink"/>
                <w:rtl w:val="true"/>
              </w:rPr>
              <w:t>علم به تحریم زنا در حال وقوع فعل</w:t>
            </w:r>
            <w:r>
              <w:rPr>
                <w:rStyle w:val="IndexLink"/>
                <w:rtl w:val="true"/>
              </w:rPr>
              <w:tab/>
            </w:r>
            <w:r>
              <w:rPr>
                <w:rStyle w:val="IndexLink"/>
              </w:rPr>
              <w:t>117</w:t>
            </w:r>
          </w:hyperlink>
        </w:p>
        <w:p>
          <w:pPr>
            <w:pStyle w:val="Contents5"/>
            <w:tabs>
              <w:tab w:val="clear" w:pos="7892"/>
              <w:tab w:val="right" w:pos="9026" w:leader="dot"/>
            </w:tabs>
            <w:rPr/>
          </w:pPr>
          <w:hyperlink w:anchor="__RefHeading___Toc78708_3244359995">
            <w:r>
              <w:rPr>
                <w:webHidden/>
                <w:rStyle w:val="IndexLink"/>
                <w:rtl w:val="true"/>
              </w:rPr>
              <w:t>شرط چهارم</w:t>
            </w:r>
            <w:r>
              <w:rPr>
                <w:rStyle w:val="IndexLink"/>
                <w:rtl w:val="true"/>
              </w:rPr>
              <w:t xml:space="preserve">: </w:t>
            </w:r>
            <w:r>
              <w:rPr>
                <w:rStyle w:val="IndexLink"/>
                <w:rtl w:val="true"/>
              </w:rPr>
              <w:t>اختیار</w:t>
            </w:r>
            <w:r>
              <w:rPr>
                <w:rStyle w:val="IndexLink"/>
                <w:rtl w:val="true"/>
              </w:rPr>
              <w:tab/>
            </w:r>
            <w:r>
              <w:rPr>
                <w:rStyle w:val="IndexLink"/>
              </w:rPr>
              <w:t>121</w:t>
            </w:r>
          </w:hyperlink>
        </w:p>
        <w:p>
          <w:pPr>
            <w:pStyle w:val="Contents6"/>
            <w:tabs>
              <w:tab w:val="clear" w:pos="7609"/>
              <w:tab w:val="right" w:pos="9026" w:leader="dot"/>
            </w:tabs>
            <w:rPr/>
          </w:pPr>
          <w:hyperlink w:anchor="__RefHeading___Toc78710_3244359995">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78712_3244359995">
            <w:r>
              <w:rPr>
                <w:webHidden/>
                <w:rStyle w:val="IndexLink"/>
                <w:rtl w:val="true"/>
              </w:rPr>
              <w:t>مطلب اوّل</w:t>
            </w:r>
            <w:r>
              <w:rPr>
                <w:rStyle w:val="IndexLink"/>
                <w:rtl w:val="true"/>
              </w:rPr>
              <w:t xml:space="preserve">: </w:t>
            </w:r>
            <w:r>
              <w:rPr>
                <w:rStyle w:val="IndexLink"/>
                <w:rtl w:val="true"/>
              </w:rPr>
              <w:t>حدیث رفع، دلیل سقوط حدّ</w:t>
            </w:r>
            <w:r>
              <w:rPr>
                <w:rStyle w:val="IndexLink"/>
                <w:rtl w:val="true"/>
              </w:rPr>
              <w:tab/>
            </w:r>
            <w:r>
              <w:rPr>
                <w:rStyle w:val="IndexLink"/>
              </w:rPr>
              <w:t>121</w:t>
            </w:r>
          </w:hyperlink>
        </w:p>
        <w:p>
          <w:pPr>
            <w:pStyle w:val="Contents6"/>
            <w:tabs>
              <w:tab w:val="clear" w:pos="7609"/>
              <w:tab w:val="right" w:pos="9026" w:leader="dot"/>
            </w:tabs>
            <w:rPr/>
          </w:pPr>
          <w:hyperlink w:anchor="__RefHeading___Toc78714_3244359995">
            <w:r>
              <w:rPr>
                <w:webHidden/>
                <w:rStyle w:val="IndexLink"/>
                <w:rtl w:val="true"/>
              </w:rPr>
              <w:t>مطلب دوم</w:t>
            </w:r>
            <w:r>
              <w:rPr>
                <w:rStyle w:val="IndexLink"/>
                <w:rtl w:val="true"/>
              </w:rPr>
              <w:t xml:space="preserve">: </w:t>
            </w:r>
            <w:r>
              <w:rPr>
                <w:rStyle w:val="IndexLink"/>
                <w:rtl w:val="true"/>
              </w:rPr>
              <w:t>در باب زنا، چه اکراهی موجب سقوط حدّ می‌شود؟</w:t>
            </w:r>
            <w:r>
              <w:rPr>
                <w:rStyle w:val="IndexLink"/>
                <w:rtl w:val="true"/>
              </w:rPr>
              <w:tab/>
            </w:r>
            <w:r>
              <w:rPr>
                <w:rStyle w:val="IndexLink"/>
              </w:rPr>
              <w:t>123</w:t>
            </w:r>
          </w:hyperlink>
        </w:p>
        <w:p>
          <w:pPr>
            <w:pStyle w:val="Contents6"/>
            <w:tabs>
              <w:tab w:val="clear" w:pos="7609"/>
              <w:tab w:val="right" w:pos="9026" w:leader="dot"/>
            </w:tabs>
            <w:rPr/>
          </w:pPr>
          <w:hyperlink w:anchor="__RefHeading___Toc78716_3244359995">
            <w:r>
              <w:rPr>
                <w:webHidden/>
                <w:rStyle w:val="IndexLink"/>
                <w:rtl w:val="true"/>
              </w:rPr>
              <w:t>مطلب سوم</w:t>
            </w:r>
            <w:r>
              <w:rPr>
                <w:rStyle w:val="IndexLink"/>
                <w:rtl w:val="true"/>
              </w:rPr>
              <w:t xml:space="preserve">: </w:t>
            </w:r>
            <w:r>
              <w:rPr>
                <w:rStyle w:val="IndexLink"/>
                <w:rtl w:val="true"/>
              </w:rPr>
              <w:t>بررسی عمومیّت اکراهِ بر زنا، نسبت به مرد و زن</w:t>
            </w:r>
            <w:r>
              <w:rPr>
                <w:rStyle w:val="IndexLink"/>
                <w:rtl w:val="true"/>
              </w:rPr>
              <w:tab/>
            </w:r>
            <w:r>
              <w:rPr>
                <w:rStyle w:val="IndexLink"/>
              </w:rPr>
              <w:t>124</w:t>
            </w:r>
          </w:hyperlink>
        </w:p>
        <w:p>
          <w:pPr>
            <w:pStyle w:val="Contents6"/>
            <w:tabs>
              <w:tab w:val="clear" w:pos="7609"/>
              <w:tab w:val="right" w:pos="9026" w:leader="dot"/>
            </w:tabs>
            <w:rPr/>
          </w:pPr>
          <w:hyperlink w:anchor="__RefHeading___Toc78718_3244359995">
            <w:r>
              <w:rPr>
                <w:webHidden/>
                <w:rStyle w:val="IndexLink"/>
                <w:rtl w:val="true"/>
              </w:rPr>
              <w:t>حکم التحریم بالمحارم مع الجهل بالحرمة وتعریف الوطی بالشبهة</w:t>
            </w:r>
            <w:r>
              <w:rPr>
                <w:rStyle w:val="IndexLink"/>
                <w:rtl w:val="true"/>
              </w:rPr>
              <w:tab/>
            </w:r>
            <w:r>
              <w:rPr>
                <w:rStyle w:val="IndexLink"/>
              </w:rPr>
              <w:t>127</w:t>
            </w:r>
          </w:hyperlink>
        </w:p>
        <w:p>
          <w:pPr>
            <w:pStyle w:val="Contents4"/>
            <w:tabs>
              <w:tab w:val="clear" w:pos="8176"/>
              <w:tab w:val="right" w:pos="9026" w:leader="dot"/>
            </w:tabs>
            <w:rPr/>
          </w:pPr>
          <w:hyperlink w:anchor="__RefHeading___Toc78720_3244359995">
            <w:r>
              <w:rPr>
                <w:webHidden/>
                <w:rStyle w:val="IndexLink"/>
                <w:rtl w:val="true"/>
              </w:rPr>
              <w:t>حکم ازدواج با محارم در صورت جهل به حرمت</w:t>
            </w:r>
            <w:r>
              <w:rPr>
                <w:rStyle w:val="IndexLink"/>
                <w:rtl w:val="true"/>
              </w:rPr>
              <w:tab/>
            </w:r>
            <w:r>
              <w:rPr>
                <w:rStyle w:val="IndexLink"/>
              </w:rPr>
              <w:t>127</w:t>
            </w:r>
          </w:hyperlink>
        </w:p>
        <w:p>
          <w:pPr>
            <w:pStyle w:val="Contents5"/>
            <w:tabs>
              <w:tab w:val="clear" w:pos="7892"/>
              <w:tab w:val="right" w:pos="9026" w:leader="dot"/>
            </w:tabs>
            <w:rPr/>
          </w:pPr>
          <w:hyperlink w:anchor="__RefHeading___Toc78722_3244359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78724_3244359995">
            <w:r>
              <w:rPr>
                <w:webHidden/>
                <w:rStyle w:val="IndexLink"/>
                <w:rtl w:val="true"/>
              </w:rPr>
              <w:t>دلیل طرح این مسأله</w:t>
            </w:r>
            <w:r>
              <w:rPr>
                <w:rStyle w:val="IndexLink"/>
                <w:rtl w:val="true"/>
              </w:rPr>
              <w:tab/>
            </w:r>
            <w:r>
              <w:rPr>
                <w:rStyle w:val="IndexLink"/>
              </w:rPr>
              <w:t>127</w:t>
            </w:r>
          </w:hyperlink>
        </w:p>
        <w:p>
          <w:pPr>
            <w:pStyle w:val="Contents6"/>
            <w:tabs>
              <w:tab w:val="clear" w:pos="7609"/>
              <w:tab w:val="right" w:pos="9026" w:leader="dot"/>
            </w:tabs>
            <w:rPr/>
          </w:pPr>
          <w:hyperlink w:anchor="__RefHeading___Toc78726_3244359995">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78728_3244359995">
            <w:r>
              <w:rPr>
                <w:webHidden/>
                <w:rStyle w:val="IndexLink"/>
                <w:rtl w:val="true"/>
              </w:rPr>
              <w:t>مقام اوّل</w:t>
            </w:r>
            <w:r>
              <w:rPr>
                <w:rStyle w:val="IndexLink"/>
                <w:rtl w:val="true"/>
              </w:rPr>
              <w:t xml:space="preserve">: </w:t>
            </w:r>
            <w:r>
              <w:rPr>
                <w:rStyle w:val="IndexLink"/>
                <w:rtl w:val="true"/>
              </w:rPr>
              <w:t>ادلّه‌ی سقوط حدّ در موارد شبهه</w:t>
            </w:r>
            <w:r>
              <w:rPr>
                <w:rStyle w:val="IndexLink"/>
                <w:rtl w:val="true"/>
              </w:rPr>
              <w:tab/>
            </w:r>
            <w:r>
              <w:rPr>
                <w:rStyle w:val="IndexLink"/>
              </w:rPr>
              <w:t>129</w:t>
            </w:r>
          </w:hyperlink>
        </w:p>
        <w:p>
          <w:pPr>
            <w:pStyle w:val="Contents6"/>
            <w:tabs>
              <w:tab w:val="clear" w:pos="7609"/>
              <w:tab w:val="right" w:pos="9026" w:leader="dot"/>
            </w:tabs>
            <w:rPr/>
          </w:pPr>
          <w:hyperlink w:anchor="__RefHeading___Toc78730_3244359995">
            <w:r>
              <w:rPr>
                <w:webHidden/>
                <w:rStyle w:val="IndexLink"/>
                <w:rtl w:val="true"/>
              </w:rPr>
              <w:t>مقام دوم</w:t>
            </w:r>
            <w:r>
              <w:rPr>
                <w:rStyle w:val="IndexLink"/>
                <w:rtl w:val="true"/>
              </w:rPr>
              <w:t xml:space="preserve">: </w:t>
            </w:r>
            <w:r>
              <w:rPr>
                <w:rStyle w:val="IndexLink"/>
                <w:rtl w:val="true"/>
              </w:rPr>
              <w:t>معنای شبهه و مصادیق آن</w:t>
            </w:r>
            <w:r>
              <w:rPr>
                <w:rStyle w:val="IndexLink"/>
                <w:rtl w:val="true"/>
              </w:rPr>
              <w:tab/>
            </w:r>
            <w:r>
              <w:rPr>
                <w:rStyle w:val="IndexLink"/>
              </w:rPr>
              <w:t>134</w:t>
            </w:r>
          </w:hyperlink>
        </w:p>
        <w:p>
          <w:pPr>
            <w:pStyle w:val="Contents6"/>
            <w:tabs>
              <w:tab w:val="clear" w:pos="7609"/>
              <w:tab w:val="right" w:pos="9026" w:leader="dot"/>
            </w:tabs>
            <w:rPr/>
          </w:pPr>
          <w:hyperlink w:anchor="__RefHeading___Toc78732_3244359995">
            <w:r>
              <w:rPr>
                <w:webHidden/>
                <w:rStyle w:val="IndexLink"/>
                <w:rtl w:val="true"/>
              </w:rPr>
              <w:t>تحقیق در معنای شبهه</w:t>
            </w:r>
            <w:r>
              <w:rPr>
                <w:rStyle w:val="IndexLink"/>
                <w:rtl w:val="true"/>
              </w:rPr>
              <w:tab/>
            </w:r>
            <w:r>
              <w:rPr>
                <w:rStyle w:val="IndexLink"/>
              </w:rPr>
              <w:t>136</w:t>
            </w:r>
          </w:hyperlink>
        </w:p>
        <w:p>
          <w:pPr>
            <w:pStyle w:val="Contents4"/>
            <w:tabs>
              <w:tab w:val="clear" w:pos="8176"/>
              <w:tab w:val="right" w:pos="9026" w:leader="dot"/>
            </w:tabs>
            <w:rPr/>
          </w:pPr>
          <w:hyperlink w:anchor="__RefHeading___Toc78734_3244359995">
            <w:r>
              <w:rPr>
                <w:webHidden/>
                <w:rStyle w:val="IndexLink"/>
                <w:rtl w:val="true"/>
              </w:rPr>
              <w:t>حکم ازدواج با محارم با علم به حرمت</w:t>
            </w:r>
            <w:r>
              <w:rPr>
                <w:rStyle w:val="IndexLink"/>
                <w:rtl w:val="true"/>
              </w:rPr>
              <w:tab/>
            </w:r>
            <w:r>
              <w:rPr>
                <w:rStyle w:val="IndexLink"/>
              </w:rPr>
              <w:t>140</w:t>
            </w:r>
          </w:hyperlink>
        </w:p>
        <w:p>
          <w:pPr>
            <w:pStyle w:val="Contents4"/>
            <w:tabs>
              <w:tab w:val="clear" w:pos="8176"/>
              <w:tab w:val="right" w:pos="9026" w:leader="dot"/>
            </w:tabs>
            <w:rPr/>
          </w:pPr>
          <w:hyperlink w:anchor="__RefHeading___Toc78736_3244359995">
            <w:r>
              <w:rPr>
                <w:webHidden/>
                <w:rStyle w:val="IndexLink"/>
                <w:rtl w:val="true"/>
              </w:rPr>
              <w:t>سقوط حدّ زنا در موارد توهّم حلّیت وطی</w:t>
            </w:r>
            <w:r>
              <w:rPr>
                <w:rStyle w:val="IndexLink"/>
                <w:rtl w:val="true"/>
              </w:rPr>
              <w:tab/>
            </w:r>
            <w:r>
              <w:rPr>
                <w:rStyle w:val="IndexLink"/>
              </w:rPr>
              <w:t>143</w:t>
            </w:r>
          </w:hyperlink>
        </w:p>
        <w:p>
          <w:pPr>
            <w:pStyle w:val="Contents5"/>
            <w:tabs>
              <w:tab w:val="clear" w:pos="7892"/>
              <w:tab w:val="right" w:pos="9026" w:leader="dot"/>
            </w:tabs>
            <w:rPr/>
          </w:pPr>
          <w:hyperlink w:anchor="__RefHeading___Toc78738_3244359995">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78740_3244359995">
            <w:r>
              <w:rPr>
                <w:webHidden/>
                <w:rStyle w:val="IndexLink"/>
                <w:rtl w:val="true"/>
              </w:rPr>
              <w:t>علّت طرح مسأله</w:t>
            </w:r>
            <w:r>
              <w:rPr>
                <w:rStyle w:val="IndexLink"/>
                <w:rtl w:val="true"/>
              </w:rPr>
              <w:tab/>
            </w:r>
            <w:r>
              <w:rPr>
                <w:rStyle w:val="IndexLink"/>
              </w:rPr>
              <w:t>143</w:t>
            </w:r>
          </w:hyperlink>
        </w:p>
        <w:p>
          <w:pPr>
            <w:pStyle w:val="Contents5"/>
            <w:tabs>
              <w:tab w:val="clear" w:pos="7892"/>
              <w:tab w:val="right" w:pos="9026" w:leader="dot"/>
            </w:tabs>
            <w:rPr/>
          </w:pPr>
          <w:hyperlink w:anchor="__RefHeading___Toc78742_3244359995">
            <w:r>
              <w:rPr>
                <w:webHidden/>
                <w:rStyle w:val="IndexLink"/>
                <w:rtl w:val="true"/>
              </w:rPr>
              <w:t xml:space="preserve">مقدار تعمیم </w:t>
            </w:r>
            <w:r>
              <w:rPr>
                <w:rStyle w:val="IndexLink"/>
                <w:rtl w:val="true"/>
              </w:rPr>
              <w:t>«</w:t>
            </w:r>
            <w:r>
              <w:rPr>
                <w:rStyle w:val="IndexLink"/>
                <w:rtl w:val="true"/>
              </w:rPr>
              <w:t>سقوط حدّ در موارد توهّم حلّیت وطی</w:t>
            </w:r>
            <w:r>
              <w:rPr>
                <w:rStyle w:val="IndexLink"/>
                <w:rtl w:val="true"/>
              </w:rPr>
              <w:t>»</w:t>
              <w:tab/>
            </w:r>
            <w:r>
              <w:rPr>
                <w:rStyle w:val="IndexLink"/>
              </w:rPr>
              <w:t>145</w:t>
            </w:r>
          </w:hyperlink>
        </w:p>
        <w:p>
          <w:pPr>
            <w:pStyle w:val="Contents6"/>
            <w:tabs>
              <w:tab w:val="clear" w:pos="7609"/>
              <w:tab w:val="right" w:pos="9026" w:leader="dot"/>
            </w:tabs>
            <w:rPr/>
          </w:pPr>
          <w:hyperlink w:anchor="__RefHeading___Toc78744_3244359995">
            <w:r>
              <w:rPr>
                <w:webHidden/>
                <w:rStyle w:val="IndexLink"/>
                <w:rtl w:val="true"/>
              </w:rPr>
              <w:t>الف</w:t>
            </w:r>
            <w:r>
              <w:rPr>
                <w:rStyle w:val="IndexLink"/>
                <w:rtl w:val="true"/>
              </w:rPr>
              <w:t xml:space="preserve">: </w:t>
            </w:r>
            <w:r>
              <w:rPr>
                <w:rStyle w:val="IndexLink"/>
                <w:rtl w:val="true"/>
              </w:rPr>
              <w:t>نکاح اهل کتاب</w:t>
            </w:r>
            <w:r>
              <w:rPr>
                <w:rStyle w:val="IndexLink"/>
                <w:rtl w:val="true"/>
              </w:rPr>
              <w:tab/>
            </w:r>
            <w:r>
              <w:rPr>
                <w:rStyle w:val="IndexLink"/>
              </w:rPr>
              <w:t>145</w:t>
            </w:r>
          </w:hyperlink>
        </w:p>
        <w:p>
          <w:pPr>
            <w:pStyle w:val="Contents6"/>
            <w:tabs>
              <w:tab w:val="clear" w:pos="7609"/>
              <w:tab w:val="right" w:pos="9026" w:leader="dot"/>
            </w:tabs>
            <w:rPr/>
          </w:pPr>
          <w:hyperlink w:anchor="__RefHeading___Toc78746_3244359995">
            <w:r>
              <w:rPr>
                <w:webHidden/>
                <w:rStyle w:val="IndexLink"/>
                <w:rtl w:val="true"/>
              </w:rPr>
              <w:t>ب</w:t>
            </w:r>
            <w:r>
              <w:rPr>
                <w:rStyle w:val="IndexLink"/>
                <w:rtl w:val="true"/>
              </w:rPr>
              <w:t xml:space="preserve">: </w:t>
            </w:r>
            <w:r>
              <w:rPr>
                <w:rStyle w:val="IndexLink"/>
                <w:rtl w:val="true"/>
              </w:rPr>
              <w:t>نکاح اهل خلاف</w:t>
            </w:r>
            <w:r>
              <w:rPr>
                <w:rStyle w:val="IndexLink"/>
                <w:rtl w:val="true"/>
              </w:rPr>
              <w:tab/>
            </w:r>
            <w:r>
              <w:rPr>
                <w:rStyle w:val="IndexLink"/>
              </w:rPr>
              <w:t>147</w:t>
            </w:r>
          </w:hyperlink>
        </w:p>
        <w:p>
          <w:pPr>
            <w:pStyle w:val="Contents4"/>
            <w:tabs>
              <w:tab w:val="clear" w:pos="8176"/>
              <w:tab w:val="right" w:pos="9026" w:leader="dot"/>
            </w:tabs>
            <w:rPr/>
          </w:pPr>
          <w:hyperlink w:anchor="__RefHeading___Toc78748_3244359995">
            <w:r>
              <w:rPr>
                <w:webHidden/>
                <w:rStyle w:val="IndexLink"/>
                <w:rtl w:val="true"/>
              </w:rPr>
              <w:t>سقوط حدّ زنا در حقّ مدّعیِ شبهه</w:t>
            </w:r>
            <w:r>
              <w:rPr>
                <w:rStyle w:val="IndexLink"/>
                <w:rtl w:val="true"/>
              </w:rPr>
              <w:tab/>
            </w:r>
            <w:r>
              <w:rPr>
                <w:rStyle w:val="IndexLink"/>
              </w:rPr>
              <w:t>149</w:t>
            </w:r>
          </w:hyperlink>
        </w:p>
        <w:p>
          <w:pPr>
            <w:pStyle w:val="Contents4"/>
            <w:tabs>
              <w:tab w:val="clear" w:pos="8176"/>
              <w:tab w:val="right" w:pos="9026" w:leader="dot"/>
            </w:tabs>
            <w:rPr/>
          </w:pPr>
          <w:hyperlink w:anchor="__RefHeading___Toc78750_3244359995">
            <w:r>
              <w:rPr>
                <w:webHidden/>
                <w:rStyle w:val="IndexLink"/>
                <w:rtl w:val="true"/>
              </w:rPr>
              <w:t>شرایط تحقّق احصان</w:t>
            </w:r>
            <w:r>
              <w:rPr>
                <w:rStyle w:val="IndexLink"/>
                <w:rtl w:val="true"/>
              </w:rPr>
              <w:tab/>
            </w:r>
            <w:r>
              <w:rPr>
                <w:rStyle w:val="IndexLink"/>
              </w:rPr>
              <w:t>152</w:t>
            </w:r>
          </w:hyperlink>
        </w:p>
        <w:p>
          <w:pPr>
            <w:pStyle w:val="Contents5"/>
            <w:tabs>
              <w:tab w:val="clear" w:pos="7892"/>
              <w:tab w:val="right" w:pos="9026" w:leader="dot"/>
            </w:tabs>
            <w:rPr/>
          </w:pPr>
          <w:hyperlink w:anchor="__RefHeading___Toc78752_3244359995">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78754_3244359995">
            <w:r>
              <w:rPr>
                <w:webHidden/>
                <w:rStyle w:val="IndexLink"/>
                <w:rtl w:val="true"/>
              </w:rPr>
              <w:t>احصان در لغت</w:t>
            </w:r>
            <w:r>
              <w:rPr>
                <w:rStyle w:val="IndexLink"/>
                <w:rtl w:val="true"/>
              </w:rPr>
              <w:tab/>
            </w:r>
            <w:r>
              <w:rPr>
                <w:rStyle w:val="IndexLink"/>
              </w:rPr>
              <w:t>152</w:t>
            </w:r>
          </w:hyperlink>
        </w:p>
        <w:p>
          <w:pPr>
            <w:pStyle w:val="Contents5"/>
            <w:tabs>
              <w:tab w:val="clear" w:pos="7892"/>
              <w:tab w:val="right" w:pos="9026" w:leader="dot"/>
            </w:tabs>
            <w:rPr/>
          </w:pPr>
          <w:hyperlink w:anchor="__RefHeading___Toc78756_3244359995">
            <w:r>
              <w:rPr>
                <w:webHidden/>
                <w:rStyle w:val="IndexLink"/>
                <w:rtl w:val="true"/>
              </w:rPr>
              <w:t>موارد استعمال احصان در قرآن</w:t>
            </w:r>
            <w:r>
              <w:rPr>
                <w:rStyle w:val="IndexLink"/>
                <w:rtl w:val="true"/>
              </w:rPr>
              <w:tab/>
            </w:r>
            <w:r>
              <w:rPr>
                <w:rStyle w:val="IndexLink"/>
              </w:rPr>
              <w:t>153</w:t>
            </w:r>
          </w:hyperlink>
        </w:p>
        <w:p>
          <w:pPr>
            <w:pStyle w:val="Contents6"/>
            <w:tabs>
              <w:tab w:val="clear" w:pos="7609"/>
              <w:tab w:val="right" w:pos="9026" w:leader="dot"/>
            </w:tabs>
            <w:rPr/>
          </w:pPr>
          <w:hyperlink w:anchor="__RefHeading___Toc78758_3244359995">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8760_3244359995">
            <w:r>
              <w:rPr>
                <w:webHidden/>
                <w:rStyle w:val="IndexLink"/>
                <w:rtl w:val="true"/>
              </w:rPr>
              <w:t>شرط اوّل</w:t>
            </w:r>
            <w:r>
              <w:rPr>
                <w:rStyle w:val="IndexLink"/>
                <w:rtl w:val="true"/>
              </w:rPr>
              <w:t xml:space="preserve">: </w:t>
            </w:r>
            <w:r>
              <w:rPr>
                <w:rStyle w:val="IndexLink"/>
                <w:rtl w:val="true"/>
              </w:rPr>
              <w:t>وطی در قُبُل اهل</w:t>
            </w:r>
            <w:r>
              <w:rPr>
                <w:rStyle w:val="IndexLink"/>
                <w:rtl w:val="true"/>
              </w:rPr>
              <w:tab/>
            </w:r>
            <w:r>
              <w:rPr>
                <w:rStyle w:val="IndexLink"/>
              </w:rPr>
              <w:t>154</w:t>
            </w:r>
          </w:hyperlink>
        </w:p>
        <w:p>
          <w:pPr>
            <w:pStyle w:val="Contents6"/>
            <w:tabs>
              <w:tab w:val="clear" w:pos="7609"/>
              <w:tab w:val="right" w:pos="9026" w:leader="dot"/>
            </w:tabs>
            <w:rPr/>
          </w:pPr>
          <w:hyperlink w:anchor="__RefHeading___Toc78762_3244359995">
            <w:r>
              <w:rPr>
                <w:webHidden/>
                <w:rStyle w:val="IndexLink"/>
                <w:rtl w:val="true"/>
              </w:rPr>
              <w:t>مطلب اوّل</w:t>
            </w:r>
            <w:r>
              <w:rPr>
                <w:rStyle w:val="IndexLink"/>
                <w:rtl w:val="true"/>
              </w:rPr>
              <w:t xml:space="preserve">: </w:t>
            </w:r>
            <w:r>
              <w:rPr>
                <w:rStyle w:val="IndexLink"/>
                <w:rtl w:val="true"/>
              </w:rPr>
              <w:t>دخالت داشتن وطی در مفهوم احصان</w:t>
            </w:r>
            <w:r>
              <w:rPr>
                <w:rStyle w:val="IndexLink"/>
                <w:rtl w:val="true"/>
              </w:rPr>
              <w:tab/>
            </w:r>
            <w:r>
              <w:rPr>
                <w:rStyle w:val="IndexLink"/>
              </w:rPr>
              <w:t>155</w:t>
            </w:r>
          </w:hyperlink>
        </w:p>
        <w:p>
          <w:pPr>
            <w:pStyle w:val="Contents6"/>
            <w:tabs>
              <w:tab w:val="clear" w:pos="7609"/>
              <w:tab w:val="right" w:pos="9026" w:leader="dot"/>
            </w:tabs>
            <w:rPr/>
          </w:pPr>
          <w:hyperlink w:anchor="__RefHeading___Toc78764_3244359995">
            <w:r>
              <w:rPr>
                <w:webHidden/>
                <w:rStyle w:val="IndexLink"/>
                <w:rtl w:val="true"/>
              </w:rPr>
              <w:t>مطلب دوم</w:t>
            </w:r>
            <w:r>
              <w:rPr>
                <w:rStyle w:val="IndexLink"/>
                <w:rtl w:val="true"/>
              </w:rPr>
              <w:t xml:space="preserve">: </w:t>
            </w:r>
            <w:r>
              <w:rPr>
                <w:rStyle w:val="IndexLink"/>
                <w:rtl w:val="true"/>
              </w:rPr>
              <w:t>لزوم وطیِ به اهل در قُبُل</w:t>
            </w:r>
            <w:r>
              <w:rPr>
                <w:rStyle w:val="IndexLink"/>
                <w:rtl w:val="true"/>
              </w:rPr>
              <w:tab/>
            </w:r>
            <w:r>
              <w:rPr>
                <w:rStyle w:val="IndexLink"/>
              </w:rPr>
              <w:t>156</w:t>
            </w:r>
          </w:hyperlink>
        </w:p>
        <w:p>
          <w:pPr>
            <w:pStyle w:val="Contents6"/>
            <w:tabs>
              <w:tab w:val="clear" w:pos="7609"/>
              <w:tab w:val="right" w:pos="9026" w:leader="dot"/>
            </w:tabs>
            <w:rPr/>
          </w:pPr>
          <w:hyperlink w:anchor="__RefHeading___Toc78766_3244359995">
            <w:r>
              <w:rPr>
                <w:webHidden/>
                <w:rStyle w:val="IndexLink"/>
                <w:rtl w:val="true"/>
              </w:rPr>
              <w:t>مطلب سوم</w:t>
            </w:r>
            <w:r>
              <w:rPr>
                <w:rStyle w:val="IndexLink"/>
                <w:rtl w:val="true"/>
              </w:rPr>
              <w:t xml:space="preserve">: </w:t>
            </w:r>
            <w:r>
              <w:rPr>
                <w:rStyle w:val="IndexLink"/>
                <w:rtl w:val="true"/>
              </w:rPr>
              <w:t>آیا با وطی در دُبُر احصان محقّق می‌شود؟</w:t>
            </w:r>
            <w:r>
              <w:rPr>
                <w:rStyle w:val="IndexLink"/>
                <w:rtl w:val="true"/>
              </w:rPr>
              <w:tab/>
            </w:r>
            <w:r>
              <w:rPr>
                <w:rStyle w:val="IndexLink"/>
              </w:rPr>
              <w:t>157</w:t>
            </w:r>
          </w:hyperlink>
        </w:p>
        <w:p>
          <w:pPr>
            <w:pStyle w:val="Contents6"/>
            <w:tabs>
              <w:tab w:val="clear" w:pos="7609"/>
              <w:tab w:val="right" w:pos="9026" w:leader="dot"/>
            </w:tabs>
            <w:rPr/>
          </w:pPr>
          <w:hyperlink w:anchor="__RefHeading___Toc78768_3244359995">
            <w:r>
              <w:rPr>
                <w:webHidden/>
                <w:rStyle w:val="IndexLink"/>
                <w:rtl w:val="true"/>
              </w:rPr>
              <w:t>شرط دوم</w:t>
            </w:r>
            <w:r>
              <w:rPr>
                <w:rStyle w:val="IndexLink"/>
                <w:rtl w:val="true"/>
              </w:rPr>
              <w:t xml:space="preserve">: </w:t>
            </w:r>
            <w:r>
              <w:rPr>
                <w:rStyle w:val="IndexLink"/>
                <w:rtl w:val="true"/>
              </w:rPr>
              <w:t>اعتبار بلوغ هنگام وطی به اهل</w:t>
            </w:r>
            <w:r>
              <w:rPr>
                <w:rStyle w:val="IndexLink"/>
                <w:rtl w:val="true"/>
              </w:rPr>
              <w:tab/>
            </w:r>
            <w:r>
              <w:rPr>
                <w:rStyle w:val="IndexLink"/>
              </w:rPr>
              <w:t>160</w:t>
            </w:r>
          </w:hyperlink>
        </w:p>
        <w:p>
          <w:pPr>
            <w:pStyle w:val="Contents6"/>
            <w:tabs>
              <w:tab w:val="clear" w:pos="7609"/>
              <w:tab w:val="right" w:pos="9026" w:leader="dot"/>
            </w:tabs>
            <w:rPr/>
          </w:pPr>
          <w:hyperlink w:anchor="__RefHeading___Toc78770_3244359995">
            <w:r>
              <w:rPr>
                <w:webHidden/>
                <w:rStyle w:val="IndexLink"/>
                <w:rtl w:val="true"/>
              </w:rPr>
              <w:t>شرط سوم</w:t>
            </w:r>
            <w:r>
              <w:rPr>
                <w:rStyle w:val="IndexLink"/>
                <w:rtl w:val="true"/>
              </w:rPr>
              <w:t xml:space="preserve">: </w:t>
            </w:r>
            <w:r>
              <w:rPr>
                <w:rStyle w:val="IndexLink"/>
                <w:rtl w:val="true"/>
              </w:rPr>
              <w:t>اعتبار عقل در هنگام وطی به اهل</w:t>
            </w:r>
            <w:r>
              <w:rPr>
                <w:rStyle w:val="IndexLink"/>
                <w:rtl w:val="true"/>
              </w:rPr>
              <w:tab/>
            </w:r>
            <w:r>
              <w:rPr>
                <w:rStyle w:val="IndexLink"/>
              </w:rPr>
              <w:t>165</w:t>
            </w:r>
          </w:hyperlink>
        </w:p>
        <w:p>
          <w:pPr>
            <w:pStyle w:val="Contents6"/>
            <w:tabs>
              <w:tab w:val="clear" w:pos="7609"/>
              <w:tab w:val="right" w:pos="9026" w:leader="dot"/>
            </w:tabs>
            <w:rPr/>
          </w:pPr>
          <w:hyperlink w:anchor="__RefHeading___Toc78772_3244359995">
            <w:r>
              <w:rPr>
                <w:webHidden/>
                <w:rStyle w:val="IndexLink"/>
                <w:rtl w:val="true"/>
              </w:rPr>
              <w:t>شرط چهارم</w:t>
            </w:r>
            <w:r>
              <w:rPr>
                <w:rStyle w:val="IndexLink"/>
                <w:rtl w:val="true"/>
              </w:rPr>
              <w:t xml:space="preserve">: </w:t>
            </w:r>
            <w:r>
              <w:rPr>
                <w:rStyle w:val="IndexLink"/>
                <w:rtl w:val="true"/>
              </w:rPr>
              <w:t>اعتبار وطی به زوجه‌ی دائمی یا ملک یمین</w:t>
            </w:r>
            <w:r>
              <w:rPr>
                <w:rStyle w:val="IndexLink"/>
                <w:rtl w:val="true"/>
              </w:rPr>
              <w:tab/>
            </w:r>
            <w:r>
              <w:rPr>
                <w:rStyle w:val="IndexLink"/>
              </w:rPr>
              <w:t>169</w:t>
            </w:r>
          </w:hyperlink>
        </w:p>
        <w:p>
          <w:pPr>
            <w:pStyle w:val="Contents6"/>
            <w:tabs>
              <w:tab w:val="clear" w:pos="7609"/>
              <w:tab w:val="right" w:pos="9026" w:leader="dot"/>
            </w:tabs>
            <w:rPr/>
          </w:pPr>
          <w:hyperlink w:anchor="__RefHeading___Toc78774_3244359995">
            <w:r>
              <w:rPr>
                <w:webHidden/>
                <w:rStyle w:val="IndexLink"/>
                <w:rtl w:val="true"/>
              </w:rPr>
              <w:t>شرط پنجم</w:t>
            </w:r>
            <w:r>
              <w:rPr>
                <w:rStyle w:val="IndexLink"/>
                <w:rtl w:val="true"/>
              </w:rPr>
              <w:t xml:space="preserve">: </w:t>
            </w:r>
            <w:r>
              <w:rPr>
                <w:rStyle w:val="IndexLink"/>
                <w:rtl w:val="true"/>
              </w:rPr>
              <w:t>اعتبار تمکّن فاعل از وطی به اهل در هر زمان</w:t>
            </w:r>
            <w:r>
              <w:rPr>
                <w:rStyle w:val="IndexLink"/>
                <w:rtl w:val="true"/>
              </w:rPr>
              <w:tab/>
            </w:r>
            <w:r>
              <w:rPr>
                <w:rStyle w:val="IndexLink"/>
              </w:rPr>
              <w:t>179</w:t>
            </w:r>
          </w:hyperlink>
        </w:p>
        <w:p>
          <w:pPr>
            <w:pStyle w:val="Contents6"/>
            <w:tabs>
              <w:tab w:val="clear" w:pos="7609"/>
              <w:tab w:val="right" w:pos="9026" w:leader="dot"/>
            </w:tabs>
            <w:rPr/>
          </w:pPr>
          <w:hyperlink w:anchor="__RefHeading___Toc78776_3244359995">
            <w:r>
              <w:rPr>
                <w:webHidden/>
                <w:rStyle w:val="IndexLink"/>
                <w:rtl w:val="true"/>
              </w:rPr>
              <w:t>عنوان اوّل</w:t>
            </w:r>
            <w:r>
              <w:rPr>
                <w:rStyle w:val="IndexLink"/>
                <w:rtl w:val="true"/>
              </w:rPr>
              <w:t>: «</w:t>
            </w:r>
            <w:r>
              <w:rPr>
                <w:rStyle w:val="IndexLink"/>
                <w:rtl w:val="true"/>
              </w:rPr>
              <w:t>یغدو علیه ویروح</w:t>
            </w:r>
            <w:r>
              <w:rPr>
                <w:rStyle w:val="IndexLink"/>
                <w:rtl w:val="true"/>
              </w:rPr>
              <w:t>»</w:t>
              <w:tab/>
            </w:r>
            <w:r>
              <w:rPr>
                <w:rStyle w:val="IndexLink"/>
              </w:rPr>
              <w:t>179</w:t>
            </w:r>
          </w:hyperlink>
        </w:p>
        <w:p>
          <w:pPr>
            <w:pStyle w:val="Contents6"/>
            <w:tabs>
              <w:tab w:val="clear" w:pos="7609"/>
              <w:tab w:val="right" w:pos="9026" w:leader="dot"/>
            </w:tabs>
            <w:rPr/>
          </w:pPr>
          <w:hyperlink w:anchor="__RefHeading___Toc78778_3244359995">
            <w:r>
              <w:rPr>
                <w:webHidden/>
                <w:rStyle w:val="IndexLink"/>
                <w:rtl w:val="true"/>
              </w:rPr>
              <w:t>عنوان دوم</w:t>
            </w:r>
            <w:r>
              <w:rPr>
                <w:rStyle w:val="IndexLink"/>
                <w:rtl w:val="true"/>
              </w:rPr>
              <w:t>: «</w:t>
            </w:r>
            <w:r>
              <w:rPr>
                <w:rStyle w:val="IndexLink"/>
                <w:rtl w:val="true"/>
              </w:rPr>
              <w:t>عنده ما یغنیه من الزنا</w:t>
            </w:r>
            <w:r>
              <w:rPr>
                <w:rStyle w:val="IndexLink"/>
                <w:rtl w:val="true"/>
              </w:rPr>
              <w:t>»</w:t>
              <w:tab/>
            </w:r>
            <w:r>
              <w:rPr>
                <w:rStyle w:val="IndexLink"/>
              </w:rPr>
              <w:t>181</w:t>
            </w:r>
          </w:hyperlink>
        </w:p>
        <w:p>
          <w:pPr>
            <w:pStyle w:val="Contents6"/>
            <w:tabs>
              <w:tab w:val="clear" w:pos="7609"/>
              <w:tab w:val="right" w:pos="9026" w:leader="dot"/>
            </w:tabs>
            <w:rPr/>
          </w:pPr>
          <w:hyperlink w:anchor="__RefHeading___Toc78780_3244359995">
            <w:r>
              <w:rPr>
                <w:webHidden/>
                <w:rStyle w:val="IndexLink"/>
                <w:rtl w:val="true"/>
              </w:rPr>
              <w:t>عنوان سوم</w:t>
            </w:r>
            <w:r>
              <w:rPr>
                <w:rStyle w:val="IndexLink"/>
                <w:rtl w:val="true"/>
              </w:rPr>
              <w:t xml:space="preserve">: </w:t>
            </w:r>
            <w:r>
              <w:rPr>
                <w:rStyle w:val="IndexLink"/>
                <w:rtl w:val="true"/>
              </w:rPr>
              <w:t>معیّت</w:t>
            </w:r>
            <w:r>
              <w:rPr>
                <w:rStyle w:val="IndexLink"/>
                <w:rtl w:val="true"/>
              </w:rPr>
              <w:tab/>
            </w:r>
            <w:r>
              <w:rPr>
                <w:rStyle w:val="IndexLink"/>
              </w:rPr>
              <w:t>181</w:t>
            </w:r>
          </w:hyperlink>
        </w:p>
        <w:p>
          <w:pPr>
            <w:pStyle w:val="Contents6"/>
            <w:tabs>
              <w:tab w:val="clear" w:pos="7609"/>
              <w:tab w:val="right" w:pos="9026" w:leader="dot"/>
            </w:tabs>
            <w:rPr/>
          </w:pPr>
          <w:hyperlink w:anchor="__RefHeading___Toc78782_3244359995">
            <w:r>
              <w:rPr>
                <w:webHidden/>
                <w:rStyle w:val="IndexLink"/>
                <w:rtl w:val="true"/>
              </w:rPr>
              <w:t>عنوان چهارم</w:t>
            </w:r>
            <w:r>
              <w:rPr>
                <w:rStyle w:val="IndexLink"/>
                <w:rtl w:val="true"/>
              </w:rPr>
              <w:t xml:space="preserve">: </w:t>
            </w:r>
            <w:r>
              <w:rPr>
                <w:rStyle w:val="IndexLink"/>
                <w:rtl w:val="true"/>
              </w:rPr>
              <w:t>اقامت در یک محل</w:t>
            </w:r>
            <w:r>
              <w:rPr>
                <w:rStyle w:val="IndexLink"/>
                <w:rtl w:val="true"/>
              </w:rPr>
              <w:tab/>
            </w:r>
            <w:r>
              <w:rPr>
                <w:rStyle w:val="IndexLink"/>
              </w:rPr>
              <w:t>182</w:t>
            </w:r>
          </w:hyperlink>
        </w:p>
        <w:p>
          <w:pPr>
            <w:pStyle w:val="Contents6"/>
            <w:tabs>
              <w:tab w:val="clear" w:pos="7609"/>
              <w:tab w:val="right" w:pos="9026" w:leader="dot"/>
            </w:tabs>
            <w:rPr/>
          </w:pPr>
          <w:hyperlink w:anchor="__RefHeading___Toc78784_3244359995">
            <w:r>
              <w:rPr>
                <w:webHidden/>
                <w:rStyle w:val="IndexLink"/>
                <w:rtl w:val="true"/>
              </w:rPr>
              <w:t>تعارض بین ادلّه</w:t>
            </w:r>
            <w:r>
              <w:rPr>
                <w:rStyle w:val="IndexLink"/>
                <w:rtl w:val="true"/>
              </w:rPr>
              <w:tab/>
            </w:r>
            <w:r>
              <w:rPr>
                <w:rStyle w:val="IndexLink"/>
              </w:rPr>
              <w:t>187</w:t>
            </w:r>
          </w:hyperlink>
        </w:p>
        <w:p>
          <w:pPr>
            <w:pStyle w:val="Contents6"/>
            <w:tabs>
              <w:tab w:val="clear" w:pos="7609"/>
              <w:tab w:val="right" w:pos="9026" w:leader="dot"/>
            </w:tabs>
            <w:rPr/>
          </w:pPr>
          <w:hyperlink w:anchor="__RefHeading___Toc78786_3244359995">
            <w:r>
              <w:rPr>
                <w:webHidden/>
                <w:rStyle w:val="IndexLink"/>
                <w:rtl w:val="true"/>
              </w:rPr>
              <w:t>مانع بودن حیض و نفاس از تحقّق احصان</w:t>
            </w:r>
            <w:r>
              <w:rPr>
                <w:rStyle w:val="IndexLink"/>
                <w:rtl w:val="true"/>
              </w:rPr>
              <w:tab/>
            </w:r>
            <w:r>
              <w:rPr>
                <w:rStyle w:val="IndexLink"/>
              </w:rPr>
              <w:t>189</w:t>
            </w:r>
          </w:hyperlink>
        </w:p>
        <w:p>
          <w:pPr>
            <w:pStyle w:val="Contents6"/>
            <w:tabs>
              <w:tab w:val="clear" w:pos="7609"/>
              <w:tab w:val="right" w:pos="9026" w:leader="dot"/>
            </w:tabs>
            <w:rPr/>
          </w:pPr>
          <w:hyperlink w:anchor="__RefHeading___Toc78788_3244359995">
            <w:r>
              <w:rPr>
                <w:webHidden/>
                <w:rStyle w:val="IndexLink"/>
                <w:rtl w:val="true"/>
              </w:rPr>
              <w:t>شرط ششم</w:t>
            </w:r>
            <w:r>
              <w:rPr>
                <w:rStyle w:val="IndexLink"/>
                <w:rtl w:val="true"/>
              </w:rPr>
              <w:t xml:space="preserve">: </w:t>
            </w:r>
            <w:r>
              <w:rPr>
                <w:rStyle w:val="IndexLink"/>
                <w:rtl w:val="true"/>
              </w:rPr>
              <w:t>حرّیت فاعل</w:t>
            </w:r>
            <w:r>
              <w:rPr>
                <w:rStyle w:val="IndexLink"/>
                <w:rtl w:val="true"/>
              </w:rPr>
              <w:tab/>
            </w:r>
            <w:r>
              <w:rPr>
                <w:rStyle w:val="IndexLink"/>
              </w:rPr>
              <w:t>191</w:t>
            </w:r>
          </w:hyperlink>
        </w:p>
        <w:p>
          <w:pPr>
            <w:pStyle w:val="Contents4"/>
            <w:tabs>
              <w:tab w:val="clear" w:pos="8176"/>
              <w:tab w:val="right" w:pos="9026" w:leader="dot"/>
            </w:tabs>
            <w:rPr/>
          </w:pPr>
          <w:hyperlink w:anchor="__RefHeading___Toc78790_3244359995">
            <w:r>
              <w:rPr>
                <w:webHidden/>
                <w:rStyle w:val="IndexLink"/>
                <w:rtl w:val="true"/>
              </w:rPr>
              <w:t>شرایط تحقّق احصان در زن</w:t>
            </w:r>
            <w:r>
              <w:rPr>
                <w:rStyle w:val="IndexLink"/>
                <w:rtl w:val="true"/>
              </w:rPr>
              <w:tab/>
            </w:r>
            <w:r>
              <w:rPr>
                <w:rStyle w:val="IndexLink"/>
              </w:rPr>
              <w:t>196</w:t>
            </w:r>
          </w:hyperlink>
        </w:p>
        <w:p>
          <w:pPr>
            <w:pStyle w:val="Contents5"/>
            <w:tabs>
              <w:tab w:val="clear" w:pos="7892"/>
              <w:tab w:val="right" w:pos="9026" w:leader="dot"/>
            </w:tabs>
            <w:rPr/>
          </w:pPr>
          <w:hyperlink w:anchor="__RefHeading___Toc78792_3244359995">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78794_3244359995">
            <w:r>
              <w:rPr>
                <w:webHidden/>
                <w:rStyle w:val="IndexLink"/>
                <w:rtl w:val="true"/>
              </w:rPr>
              <w:t>دلیل مسأله</w:t>
            </w:r>
            <w:r>
              <w:rPr>
                <w:rStyle w:val="IndexLink"/>
                <w:rtl w:val="true"/>
              </w:rPr>
              <w:tab/>
            </w:r>
            <w:r>
              <w:rPr>
                <w:rStyle w:val="IndexLink"/>
              </w:rPr>
              <w:t>196</w:t>
            </w:r>
          </w:hyperlink>
        </w:p>
        <w:p>
          <w:pPr>
            <w:pStyle w:val="Contents5"/>
            <w:tabs>
              <w:tab w:val="clear" w:pos="7892"/>
              <w:tab w:val="right" w:pos="9026" w:leader="dot"/>
            </w:tabs>
            <w:rPr/>
          </w:pPr>
          <w:hyperlink w:anchor="__RefHeading___Toc78796_3244359995">
            <w:r>
              <w:rPr>
                <w:webHidden/>
                <w:rStyle w:val="IndexLink"/>
                <w:rtl w:val="true"/>
              </w:rPr>
              <w:t>ادلّه‌ی اشتراط حرّیت در حال زنا</w:t>
            </w:r>
            <w:r>
              <w:rPr>
                <w:rStyle w:val="IndexLink"/>
                <w:rtl w:val="true"/>
              </w:rPr>
              <w:tab/>
            </w:r>
            <w:r>
              <w:rPr>
                <w:rStyle w:val="IndexLink"/>
              </w:rPr>
              <w:t>196</w:t>
            </w:r>
          </w:hyperlink>
        </w:p>
        <w:p>
          <w:pPr>
            <w:pStyle w:val="Contents5"/>
            <w:tabs>
              <w:tab w:val="clear" w:pos="7892"/>
              <w:tab w:val="right" w:pos="9026" w:leader="dot"/>
            </w:tabs>
            <w:rPr/>
          </w:pPr>
          <w:hyperlink w:anchor="__RefHeading___Toc78798_3244359995">
            <w:r>
              <w:rPr>
                <w:webHidden/>
                <w:rStyle w:val="IndexLink"/>
                <w:rtl w:val="true"/>
              </w:rPr>
              <w:t>ادلّه‌ی اشتراط حرّیت در حال وطی قَبلی</w:t>
            </w:r>
            <w:r>
              <w:rPr>
                <w:rStyle w:val="IndexLink"/>
                <w:rtl w:val="true"/>
              </w:rPr>
              <w:tab/>
            </w:r>
            <w:r>
              <w:rPr>
                <w:rStyle w:val="IndexLink"/>
              </w:rPr>
              <w:t>197</w:t>
            </w:r>
          </w:hyperlink>
        </w:p>
        <w:p>
          <w:pPr>
            <w:pStyle w:val="Contents5"/>
            <w:tabs>
              <w:tab w:val="clear" w:pos="7892"/>
              <w:tab w:val="right" w:pos="9026" w:leader="dot"/>
            </w:tabs>
            <w:rPr/>
          </w:pPr>
          <w:hyperlink w:anchor="__RefHeading___Toc78800_3244359995">
            <w:r>
              <w:rPr>
                <w:webHidden/>
                <w:rStyle w:val="IndexLink"/>
                <w:rtl w:val="true"/>
              </w:rPr>
              <w:t>اشتراک زن با مرد در شرایط دیگر</w:t>
            </w:r>
            <w:r>
              <w:rPr>
                <w:rStyle w:val="IndexLink"/>
                <w:rtl w:val="true"/>
              </w:rPr>
              <w:tab/>
            </w:r>
            <w:r>
              <w:rPr>
                <w:rStyle w:val="IndexLink"/>
              </w:rPr>
              <w:t>198</w:t>
            </w:r>
          </w:hyperlink>
        </w:p>
        <w:p>
          <w:pPr>
            <w:pStyle w:val="Contents5"/>
            <w:tabs>
              <w:tab w:val="clear" w:pos="7892"/>
              <w:tab w:val="right" w:pos="9026" w:leader="dot"/>
            </w:tabs>
            <w:rPr/>
          </w:pPr>
          <w:hyperlink w:anchor="__RefHeading___Toc78802_3244359995">
            <w:r>
              <w:rPr>
                <w:webHidden/>
                <w:rStyle w:val="IndexLink"/>
                <w:rtl w:val="true"/>
              </w:rPr>
              <w:t>معنای تمکّن از زوج</w:t>
            </w:r>
            <w:r>
              <w:rPr>
                <w:rStyle w:val="IndexLink"/>
                <w:rtl w:val="true"/>
              </w:rPr>
              <w:tab/>
            </w:r>
            <w:r>
              <w:rPr>
                <w:rStyle w:val="IndexLink"/>
              </w:rPr>
              <w:t>200</w:t>
            </w:r>
          </w:hyperlink>
        </w:p>
        <w:p>
          <w:pPr>
            <w:pStyle w:val="Contents4"/>
            <w:tabs>
              <w:tab w:val="clear" w:pos="8176"/>
              <w:tab w:val="right" w:pos="9026" w:leader="dot"/>
            </w:tabs>
            <w:rPr/>
          </w:pPr>
          <w:hyperlink w:anchor="__RefHeading___Toc78804_3244359995">
            <w:r>
              <w:rPr>
                <w:webHidden/>
                <w:rStyle w:val="IndexLink"/>
                <w:rtl w:val="true"/>
              </w:rPr>
              <w:t>عدم تأثیر طلاق رجعی در خروج از احصان</w:t>
            </w:r>
            <w:r>
              <w:rPr>
                <w:rStyle w:val="IndexLink"/>
                <w:rtl w:val="true"/>
              </w:rPr>
              <w:tab/>
            </w:r>
            <w:r>
              <w:rPr>
                <w:rStyle w:val="IndexLink"/>
              </w:rPr>
              <w:t>202</w:t>
            </w:r>
          </w:hyperlink>
        </w:p>
        <w:p>
          <w:pPr>
            <w:pStyle w:val="Contents5"/>
            <w:tabs>
              <w:tab w:val="clear" w:pos="7892"/>
              <w:tab w:val="right" w:pos="9026" w:leader="dot"/>
            </w:tabs>
            <w:rPr/>
          </w:pPr>
          <w:hyperlink w:anchor="__RefHeading___Toc78806_3244359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78808_3244359995">
            <w:r>
              <w:rPr>
                <w:webHidden/>
                <w:rStyle w:val="IndexLink"/>
              </w:rPr>
              <w:t>1</w:t>
            </w:r>
            <w:r>
              <w:rPr>
                <w:rStyle w:val="IndexLink"/>
                <w:rtl w:val="true"/>
              </w:rPr>
              <w:t xml:space="preserve"> - </w:t>
            </w:r>
            <w:r>
              <w:rPr>
                <w:rStyle w:val="IndexLink"/>
                <w:rtl w:val="true"/>
              </w:rPr>
              <w:t>بقای احصان در ایّام عدّه‌ی طلاق رجعی</w:t>
            </w:r>
            <w:r>
              <w:rPr>
                <w:rStyle w:val="IndexLink"/>
                <w:rtl w:val="true"/>
              </w:rPr>
              <w:tab/>
            </w:r>
            <w:r>
              <w:rPr>
                <w:rStyle w:val="IndexLink"/>
              </w:rPr>
              <w:t>203</w:t>
            </w:r>
          </w:hyperlink>
        </w:p>
        <w:p>
          <w:pPr>
            <w:pStyle w:val="Contents6"/>
            <w:tabs>
              <w:tab w:val="clear" w:pos="7609"/>
              <w:tab w:val="right" w:pos="9026" w:leader="dot"/>
            </w:tabs>
            <w:rPr/>
          </w:pPr>
          <w:hyperlink w:anchor="__RefHeading___Toc78810_3244359995">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78812_3244359995">
            <w:r>
              <w:rPr>
                <w:webHidden/>
                <w:rStyle w:val="IndexLink"/>
                <w:rtl w:val="true"/>
              </w:rPr>
              <w:t>بررسی روایات مطلقه</w:t>
            </w:r>
            <w:r>
              <w:rPr>
                <w:rStyle w:val="IndexLink"/>
                <w:rtl w:val="true"/>
              </w:rPr>
              <w:tab/>
            </w:r>
            <w:r>
              <w:rPr>
                <w:rStyle w:val="IndexLink"/>
              </w:rPr>
              <w:t>204</w:t>
            </w:r>
          </w:hyperlink>
        </w:p>
        <w:p>
          <w:pPr>
            <w:pStyle w:val="Contents6"/>
            <w:tabs>
              <w:tab w:val="clear" w:pos="7609"/>
              <w:tab w:val="right" w:pos="9026" w:leader="dot"/>
            </w:tabs>
            <w:rPr/>
          </w:pPr>
          <w:hyperlink w:anchor="__RefHeading___Toc78814_3244359995">
            <w:r>
              <w:rPr>
                <w:webHidden/>
                <w:rStyle w:val="IndexLink"/>
                <w:rtl w:val="true"/>
              </w:rPr>
              <w:t>حکم ازدواج در عدّه‌ی طلاق رجعی</w:t>
            </w:r>
            <w:r>
              <w:rPr>
                <w:rStyle w:val="IndexLink"/>
                <w:rtl w:val="true"/>
              </w:rPr>
              <w:tab/>
            </w:r>
            <w:r>
              <w:rPr>
                <w:rStyle w:val="IndexLink"/>
              </w:rPr>
              <w:t>207</w:t>
            </w:r>
          </w:hyperlink>
        </w:p>
        <w:p>
          <w:pPr>
            <w:pStyle w:val="Contents4"/>
            <w:tabs>
              <w:tab w:val="clear" w:pos="8176"/>
              <w:tab w:val="right" w:pos="9026" w:leader="dot"/>
            </w:tabs>
            <w:rPr/>
          </w:pPr>
          <w:hyperlink w:anchor="__RefHeading___Toc78816_3244359995">
            <w:r>
              <w:rPr>
                <w:webHidden/>
                <w:rStyle w:val="IndexLink"/>
                <w:rtl w:val="true"/>
              </w:rPr>
              <w:t>تأثیر طلاق بائن در احصان</w:t>
            </w:r>
            <w:r>
              <w:rPr>
                <w:rStyle w:val="IndexLink"/>
                <w:rtl w:val="true"/>
              </w:rPr>
              <w:tab/>
            </w:r>
            <w:r>
              <w:rPr>
                <w:rStyle w:val="IndexLink"/>
              </w:rPr>
              <w:t>211</w:t>
            </w:r>
          </w:hyperlink>
        </w:p>
        <w:p>
          <w:pPr>
            <w:pStyle w:val="Contents4"/>
            <w:tabs>
              <w:tab w:val="clear" w:pos="8176"/>
              <w:tab w:val="right" w:pos="9026" w:leader="dot"/>
            </w:tabs>
            <w:rPr/>
          </w:pPr>
          <w:hyperlink w:anchor="__RefHeading___Toc78818_3244359995">
            <w:r>
              <w:rPr>
                <w:webHidden/>
                <w:rStyle w:val="IndexLink"/>
                <w:rtl w:val="true"/>
              </w:rPr>
              <w:t>تأثیر اسلام در احصان</w:t>
            </w:r>
            <w:r>
              <w:rPr>
                <w:rStyle w:val="IndexLink"/>
                <w:rtl w:val="true"/>
              </w:rPr>
              <w:tab/>
            </w:r>
            <w:r>
              <w:rPr>
                <w:rStyle w:val="IndexLink"/>
              </w:rPr>
              <w:t>213</w:t>
            </w:r>
          </w:hyperlink>
        </w:p>
        <w:p>
          <w:pPr>
            <w:pStyle w:val="Contents5"/>
            <w:tabs>
              <w:tab w:val="clear" w:pos="7892"/>
              <w:tab w:val="right" w:pos="9026" w:leader="dot"/>
            </w:tabs>
            <w:rPr/>
          </w:pPr>
          <w:hyperlink w:anchor="__RefHeading___Toc78820_3244359995">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8822_3244359995">
            <w:r>
              <w:rPr>
                <w:webHidden/>
                <w:rStyle w:val="IndexLink"/>
                <w:rtl w:val="true"/>
              </w:rPr>
              <w:t>دلیل تعمیم احصان به غیر مسلمان از یهودی و نصرانی</w:t>
            </w:r>
            <w:r>
              <w:rPr>
                <w:rStyle w:val="IndexLink"/>
                <w:rtl w:val="true"/>
              </w:rPr>
              <w:tab/>
            </w:r>
            <w:r>
              <w:rPr>
                <w:rStyle w:val="IndexLink"/>
              </w:rPr>
              <w:t>214</w:t>
            </w:r>
          </w:hyperlink>
        </w:p>
        <w:p>
          <w:pPr>
            <w:pStyle w:val="Contents4"/>
            <w:tabs>
              <w:tab w:val="clear" w:pos="8176"/>
              <w:tab w:val="right" w:pos="9026" w:leader="dot"/>
            </w:tabs>
            <w:rPr/>
          </w:pPr>
          <w:hyperlink w:anchor="__RefHeading___Toc78824_3244359995">
            <w:r>
              <w:rPr>
                <w:webHidden/>
                <w:rStyle w:val="IndexLink"/>
                <w:rtl w:val="true"/>
              </w:rPr>
              <w:t>تأثیر ارتداد در احصان</w:t>
            </w:r>
            <w:r>
              <w:rPr>
                <w:rStyle w:val="IndexLink"/>
                <w:rtl w:val="true"/>
              </w:rPr>
              <w:tab/>
            </w:r>
            <w:r>
              <w:rPr>
                <w:rStyle w:val="IndexLink"/>
              </w:rPr>
              <w:t>218</w:t>
            </w:r>
          </w:hyperlink>
        </w:p>
        <w:p>
          <w:pPr>
            <w:pStyle w:val="Contents5"/>
            <w:tabs>
              <w:tab w:val="clear" w:pos="7892"/>
              <w:tab w:val="right" w:pos="9026" w:leader="dot"/>
            </w:tabs>
            <w:rPr/>
          </w:pPr>
          <w:hyperlink w:anchor="__RefHeading___Toc78826_3244359995">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78828_3244359995">
            <w:r>
              <w:rPr>
                <w:webHidden/>
                <w:rStyle w:val="IndexLink"/>
                <w:rtl w:val="true"/>
              </w:rPr>
              <w:t>مرتدّ فطری و احکام آن</w:t>
            </w:r>
            <w:r>
              <w:rPr>
                <w:rStyle w:val="IndexLink"/>
                <w:rtl w:val="true"/>
              </w:rPr>
              <w:tab/>
            </w:r>
            <w:r>
              <w:rPr>
                <w:rStyle w:val="IndexLink"/>
              </w:rPr>
              <w:t>218</w:t>
            </w:r>
          </w:hyperlink>
        </w:p>
        <w:p>
          <w:pPr>
            <w:pStyle w:val="Contents5"/>
            <w:tabs>
              <w:tab w:val="clear" w:pos="7892"/>
              <w:tab w:val="right" w:pos="9026" w:leader="dot"/>
            </w:tabs>
            <w:rPr/>
          </w:pPr>
          <w:hyperlink w:anchor="__RefHeading___Toc78830_3244359995">
            <w:r>
              <w:rPr>
                <w:webHidden/>
                <w:rStyle w:val="IndexLink"/>
                <w:rtl w:val="true"/>
              </w:rPr>
              <w:t>بررسی تأثیر ارتداد فطری در احصان</w:t>
            </w:r>
            <w:r>
              <w:rPr>
                <w:rStyle w:val="IndexLink"/>
                <w:rtl w:val="true"/>
              </w:rPr>
              <w:tab/>
            </w:r>
            <w:r>
              <w:rPr>
                <w:rStyle w:val="IndexLink"/>
              </w:rPr>
              <w:t>219</w:t>
            </w:r>
          </w:hyperlink>
        </w:p>
        <w:p>
          <w:pPr>
            <w:pStyle w:val="Contents5"/>
            <w:tabs>
              <w:tab w:val="clear" w:pos="7892"/>
              <w:tab w:val="right" w:pos="9026" w:leader="dot"/>
            </w:tabs>
            <w:rPr/>
          </w:pPr>
          <w:hyperlink w:anchor="__RefHeading___Toc78832_3244359995">
            <w:r>
              <w:rPr>
                <w:webHidden/>
                <w:rStyle w:val="IndexLink"/>
                <w:rtl w:val="true"/>
              </w:rPr>
              <w:t>مرتد ملّی و احکام آن</w:t>
            </w:r>
            <w:r>
              <w:rPr>
                <w:rStyle w:val="IndexLink"/>
                <w:rtl w:val="true"/>
              </w:rPr>
              <w:tab/>
            </w:r>
            <w:r>
              <w:rPr>
                <w:rStyle w:val="IndexLink"/>
              </w:rPr>
              <w:t>220</w:t>
            </w:r>
          </w:hyperlink>
        </w:p>
        <w:p>
          <w:pPr>
            <w:pStyle w:val="Contents5"/>
            <w:tabs>
              <w:tab w:val="clear" w:pos="7892"/>
              <w:tab w:val="right" w:pos="9026" w:leader="dot"/>
            </w:tabs>
            <w:rPr/>
          </w:pPr>
          <w:hyperlink w:anchor="__RefHeading___Toc78834_3244359995">
            <w:r>
              <w:rPr>
                <w:webHidden/>
                <w:rStyle w:val="IndexLink"/>
                <w:rtl w:val="true"/>
              </w:rPr>
              <w:t>بررسی تأثیر ارتداد ملّی در احصان</w:t>
            </w:r>
            <w:r>
              <w:rPr>
                <w:rStyle w:val="IndexLink"/>
                <w:rtl w:val="true"/>
              </w:rPr>
              <w:tab/>
            </w:r>
            <w:r>
              <w:rPr>
                <w:rStyle w:val="IndexLink"/>
              </w:rPr>
              <w:t>220</w:t>
            </w:r>
          </w:hyperlink>
        </w:p>
        <w:p>
          <w:pPr>
            <w:pStyle w:val="Contents4"/>
            <w:tabs>
              <w:tab w:val="clear" w:pos="8176"/>
              <w:tab w:val="right" w:pos="9026" w:leader="dot"/>
            </w:tabs>
            <w:rPr/>
          </w:pPr>
          <w:hyperlink w:anchor="__RefHeading___Toc78836_3244359995">
            <w:r>
              <w:rPr>
                <w:webHidden/>
                <w:rStyle w:val="IndexLink"/>
                <w:rtl w:val="true"/>
              </w:rPr>
              <w:t>حکم زنای شخص نابینا</w:t>
            </w:r>
            <w:r>
              <w:rPr>
                <w:rStyle w:val="IndexLink"/>
                <w:rtl w:val="true"/>
              </w:rPr>
              <w:tab/>
            </w:r>
            <w:r>
              <w:rPr>
                <w:rStyle w:val="IndexLink"/>
              </w:rPr>
              <w:t>221</w:t>
            </w:r>
          </w:hyperlink>
        </w:p>
        <w:p>
          <w:pPr>
            <w:pStyle w:val="Contents4"/>
            <w:tabs>
              <w:tab w:val="clear" w:pos="8176"/>
              <w:tab w:val="right" w:pos="9026" w:leader="dot"/>
            </w:tabs>
            <w:rPr/>
          </w:pPr>
          <w:hyperlink w:anchor="__RefHeading___Toc78838_3244359995">
            <w:r>
              <w:rPr>
                <w:webHidden/>
                <w:rStyle w:val="IndexLink"/>
                <w:rtl w:val="true"/>
              </w:rPr>
              <w:t>حکم استمتاعات حرام</w:t>
            </w:r>
            <w:r>
              <w:rPr>
                <w:rStyle w:val="IndexLink"/>
                <w:rtl w:val="true"/>
              </w:rPr>
              <w:tab/>
            </w:r>
            <w:r>
              <w:rPr>
                <w:rStyle w:val="IndexLink"/>
              </w:rPr>
              <w:t>224</w:t>
            </w:r>
          </w:hyperlink>
        </w:p>
        <w:p>
          <w:pPr>
            <w:pStyle w:val="Contents5"/>
            <w:tabs>
              <w:tab w:val="clear" w:pos="7892"/>
              <w:tab w:val="right" w:pos="9026" w:leader="dot"/>
            </w:tabs>
            <w:rPr/>
          </w:pPr>
          <w:hyperlink w:anchor="__RefHeading___Toc78840_324435999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78842_3244359995">
            <w:r>
              <w:rPr>
                <w:webHidden/>
                <w:rStyle w:val="IndexLink"/>
                <w:rtl w:val="true"/>
              </w:rPr>
              <w:t>بررسی اقوال و فتاوا</w:t>
            </w:r>
            <w:r>
              <w:rPr>
                <w:rStyle w:val="IndexLink"/>
                <w:rtl w:val="true"/>
              </w:rPr>
              <w:tab/>
            </w:r>
            <w:r>
              <w:rPr>
                <w:rStyle w:val="IndexLink"/>
              </w:rPr>
              <w:t>224</w:t>
            </w:r>
          </w:hyperlink>
        </w:p>
        <w:p>
          <w:pPr>
            <w:pStyle w:val="Contents6"/>
            <w:tabs>
              <w:tab w:val="clear" w:pos="7609"/>
              <w:tab w:val="right" w:pos="9026" w:leader="dot"/>
            </w:tabs>
            <w:rPr/>
          </w:pPr>
          <w:hyperlink w:anchor="__RefHeading___Toc78844_3244359995">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78846_3244359995">
            <w:r>
              <w:rPr>
                <w:webHidden/>
                <w:rStyle w:val="IndexLink"/>
                <w:rtl w:val="true"/>
              </w:rPr>
              <w:t>روایات دسته‌ی اوّل</w:t>
            </w:r>
            <w:r>
              <w:rPr>
                <w:rStyle w:val="IndexLink"/>
                <w:rtl w:val="true"/>
              </w:rPr>
              <w:tab/>
            </w:r>
            <w:r>
              <w:rPr>
                <w:rStyle w:val="IndexLink"/>
              </w:rPr>
              <w:t>226</w:t>
            </w:r>
          </w:hyperlink>
        </w:p>
        <w:p>
          <w:pPr>
            <w:pStyle w:val="Contents6"/>
            <w:tabs>
              <w:tab w:val="clear" w:pos="7609"/>
              <w:tab w:val="right" w:pos="9026" w:leader="dot"/>
            </w:tabs>
            <w:rPr/>
          </w:pPr>
          <w:hyperlink w:anchor="__RefHeading___Toc78848_3244359995">
            <w:r>
              <w:rPr>
                <w:webHidden/>
                <w:rStyle w:val="IndexLink"/>
                <w:rtl w:val="true"/>
              </w:rPr>
              <w:t>روایات دسته‌ی دوم</w:t>
            </w:r>
            <w:r>
              <w:rPr>
                <w:rStyle w:val="IndexLink"/>
                <w:rtl w:val="true"/>
              </w:rPr>
              <w:tab/>
            </w:r>
            <w:r>
              <w:rPr>
                <w:rStyle w:val="IndexLink"/>
              </w:rPr>
              <w:t>229</w:t>
            </w:r>
          </w:hyperlink>
        </w:p>
        <w:p>
          <w:pPr>
            <w:pStyle w:val="Contents5"/>
            <w:tabs>
              <w:tab w:val="clear" w:pos="7892"/>
              <w:tab w:val="right" w:pos="9026" w:leader="dot"/>
            </w:tabs>
            <w:rPr/>
          </w:pPr>
          <w:hyperlink w:anchor="__RefHeading___Toc78850_3244359995">
            <w:r>
              <w:rPr>
                <w:webHidden/>
                <w:rStyle w:val="IndexLink"/>
                <w:rtl w:val="true"/>
              </w:rPr>
              <w:t>وجوه جمع بین روایات</w:t>
            </w:r>
            <w:r>
              <w:rPr>
                <w:rStyle w:val="IndexLink"/>
                <w:rtl w:val="true"/>
              </w:rPr>
              <w:tab/>
            </w:r>
            <w:r>
              <w:rPr>
                <w:rStyle w:val="IndexLink"/>
              </w:rPr>
              <w:t>229</w:t>
            </w:r>
          </w:hyperlink>
        </w:p>
        <w:p>
          <w:pPr>
            <w:pStyle w:val="Contents6"/>
            <w:tabs>
              <w:tab w:val="clear" w:pos="7609"/>
              <w:tab w:val="right" w:pos="9026" w:leader="dot"/>
            </w:tabs>
            <w:rPr/>
          </w:pPr>
          <w:hyperlink w:anchor="__RefHeading___Toc78852_3244359995">
            <w:r>
              <w:rPr>
                <w:webHidden/>
                <w:rStyle w:val="IndexLink"/>
                <w:rtl w:val="true"/>
              </w:rPr>
              <w:t>وجه اوّل</w:t>
            </w:r>
            <w:r>
              <w:rPr>
                <w:rStyle w:val="IndexLink"/>
                <w:rtl w:val="true"/>
              </w:rPr>
              <w:t xml:space="preserve">: </w:t>
            </w:r>
            <w:r>
              <w:rPr>
                <w:rStyle w:val="IndexLink"/>
                <w:rtl w:val="true"/>
              </w:rPr>
              <w:t>جمع به تخصیص</w:t>
            </w:r>
            <w:r>
              <w:rPr>
                <w:rStyle w:val="IndexLink"/>
                <w:rtl w:val="true"/>
              </w:rPr>
              <w:tab/>
            </w:r>
            <w:r>
              <w:rPr>
                <w:rStyle w:val="IndexLink"/>
              </w:rPr>
              <w:t>229</w:t>
            </w:r>
          </w:hyperlink>
        </w:p>
        <w:p>
          <w:pPr>
            <w:pStyle w:val="Contents6"/>
            <w:tabs>
              <w:tab w:val="clear" w:pos="7609"/>
              <w:tab w:val="right" w:pos="9026" w:leader="dot"/>
            </w:tabs>
            <w:rPr/>
          </w:pPr>
          <w:hyperlink w:anchor="__RefHeading___Toc78854_3244359995">
            <w:r>
              <w:rPr>
                <w:webHidden/>
                <w:rStyle w:val="IndexLink"/>
                <w:rtl w:val="true"/>
              </w:rPr>
              <w:t>وجه دوم</w:t>
            </w:r>
            <w:r>
              <w:rPr>
                <w:rStyle w:val="IndexLink"/>
                <w:rtl w:val="true"/>
              </w:rPr>
              <w:t xml:space="preserve">: </w:t>
            </w:r>
            <w:r>
              <w:rPr>
                <w:rStyle w:val="IndexLink"/>
                <w:rtl w:val="true"/>
              </w:rPr>
              <w:t>حمل بر تقیّه</w:t>
            </w:r>
            <w:r>
              <w:rPr>
                <w:rStyle w:val="IndexLink"/>
                <w:rtl w:val="true"/>
              </w:rPr>
              <w:tab/>
            </w:r>
            <w:r>
              <w:rPr>
                <w:rStyle w:val="IndexLink"/>
              </w:rPr>
              <w:t>230</w:t>
            </w:r>
          </w:hyperlink>
        </w:p>
        <w:p>
          <w:pPr>
            <w:pStyle w:val="Contents6"/>
            <w:tabs>
              <w:tab w:val="clear" w:pos="7609"/>
              <w:tab w:val="right" w:pos="9026" w:leader="dot"/>
            </w:tabs>
            <w:rPr/>
          </w:pPr>
          <w:hyperlink w:anchor="__RefHeading___Toc78856_3244359995">
            <w:r>
              <w:rPr>
                <w:webHidden/>
                <w:rStyle w:val="IndexLink"/>
                <w:rtl w:val="true"/>
              </w:rPr>
              <w:t>نظر برگزیده</w:t>
            </w:r>
            <w:r>
              <w:rPr>
                <w:rStyle w:val="IndexLink"/>
                <w:rtl w:val="true"/>
              </w:rPr>
              <w:tab/>
            </w:r>
            <w:r>
              <w:rPr>
                <w:rStyle w:val="IndexLink"/>
              </w:rPr>
              <w:t>231</w:t>
            </w:r>
          </w:hyperlink>
        </w:p>
        <w:p>
          <w:pPr>
            <w:pStyle w:val="Contents6"/>
            <w:tabs>
              <w:tab w:val="clear" w:pos="7609"/>
              <w:tab w:val="right" w:pos="9026" w:leader="dot"/>
            </w:tabs>
            <w:rPr/>
          </w:pPr>
          <w:hyperlink w:anchor="__RefHeading___Toc78858_3244359995">
            <w:r>
              <w:rPr>
                <w:webHidden/>
                <w:rStyle w:val="IndexLink"/>
                <w:rtl w:val="true"/>
              </w:rPr>
              <w:t>وجه سوم</w:t>
            </w:r>
            <w:r>
              <w:rPr>
                <w:rStyle w:val="IndexLink"/>
                <w:rtl w:val="true"/>
              </w:rPr>
              <w:t xml:space="preserve">: </w:t>
            </w:r>
            <w:r>
              <w:rPr>
                <w:rStyle w:val="IndexLink"/>
                <w:rtl w:val="true"/>
              </w:rPr>
              <w:t>جمع شیخ طوسی رحمه الله</w:t>
            </w:r>
            <w:r>
              <w:rPr>
                <w:rStyle w:val="IndexLink"/>
                <w:rtl w:val="true"/>
              </w:rPr>
              <w:tab/>
            </w:r>
            <w:r>
              <w:rPr>
                <w:rStyle w:val="IndexLink"/>
              </w:rPr>
              <w:t>232</w:t>
            </w:r>
          </w:hyperlink>
        </w:p>
        <w:p>
          <w:pPr>
            <w:pStyle w:val="Contents6"/>
            <w:tabs>
              <w:tab w:val="clear" w:pos="7609"/>
              <w:tab w:val="right" w:pos="9026" w:leader="dot"/>
            </w:tabs>
            <w:rPr/>
          </w:pPr>
          <w:hyperlink w:anchor="__RefHeading___Toc78860_3244359995">
            <w:r>
              <w:rPr>
                <w:webHidden/>
                <w:rStyle w:val="IndexLink"/>
                <w:rtl w:val="true"/>
              </w:rPr>
              <w:t>نقد وجه سوم</w:t>
            </w:r>
            <w:r>
              <w:rPr>
                <w:rStyle w:val="IndexLink"/>
                <w:rtl w:val="true"/>
              </w:rPr>
              <w:tab/>
            </w:r>
            <w:r>
              <w:rPr>
                <w:rStyle w:val="IndexLink"/>
              </w:rPr>
              <w:t>234</w:t>
            </w:r>
          </w:hyperlink>
        </w:p>
        <w:p>
          <w:pPr>
            <w:pStyle w:val="Contents6"/>
            <w:tabs>
              <w:tab w:val="clear" w:pos="7609"/>
              <w:tab w:val="right" w:pos="9026" w:leader="dot"/>
            </w:tabs>
            <w:rPr/>
          </w:pPr>
          <w:hyperlink w:anchor="__RefHeading___Toc78862_3244359995">
            <w:r>
              <w:rPr>
                <w:webHidden/>
                <w:rStyle w:val="IndexLink"/>
                <w:rtl w:val="true"/>
              </w:rPr>
              <w:t>وجه چهارم</w:t>
            </w:r>
            <w:r>
              <w:rPr>
                <w:rStyle w:val="IndexLink"/>
                <w:rtl w:val="true"/>
              </w:rPr>
              <w:t xml:space="preserve">: </w:t>
            </w:r>
            <w:r>
              <w:rPr>
                <w:rStyle w:val="IndexLink"/>
                <w:rtl w:val="true"/>
              </w:rPr>
              <w:t>جمع شیخ صدوق رحمه الله</w:t>
            </w:r>
            <w:r>
              <w:rPr>
                <w:rStyle w:val="IndexLink"/>
                <w:rtl w:val="true"/>
              </w:rPr>
              <w:tab/>
            </w:r>
            <w:r>
              <w:rPr>
                <w:rStyle w:val="IndexLink"/>
              </w:rPr>
              <w:t>234</w:t>
            </w:r>
          </w:hyperlink>
        </w:p>
        <w:p>
          <w:pPr>
            <w:pStyle w:val="Contents6"/>
            <w:tabs>
              <w:tab w:val="clear" w:pos="7609"/>
              <w:tab w:val="right" w:pos="9026" w:leader="dot"/>
            </w:tabs>
            <w:rPr/>
          </w:pPr>
          <w:hyperlink w:anchor="__RefHeading___Toc78864_3244359995">
            <w:r>
              <w:rPr>
                <w:webHidden/>
                <w:rStyle w:val="IndexLink"/>
                <w:rtl w:val="true"/>
              </w:rPr>
              <w:t>نقد وجه چهارم</w:t>
            </w:r>
            <w:r>
              <w:rPr>
                <w:rStyle w:val="IndexLink"/>
                <w:rtl w:val="true"/>
              </w:rPr>
              <w:tab/>
            </w:r>
            <w:r>
              <w:rPr>
                <w:rStyle w:val="IndexLink"/>
              </w:rPr>
              <w:t>234</w:t>
            </w:r>
          </w:hyperlink>
        </w:p>
        <w:p>
          <w:pPr>
            <w:pStyle w:val="Contents6"/>
            <w:tabs>
              <w:tab w:val="clear" w:pos="7609"/>
              <w:tab w:val="right" w:pos="9026" w:leader="dot"/>
            </w:tabs>
            <w:rPr/>
          </w:pPr>
          <w:hyperlink w:anchor="__RefHeading___Toc78866_3244359995">
            <w:r>
              <w:rPr>
                <w:webHidden/>
                <w:rStyle w:val="IndexLink"/>
                <w:rtl w:val="true"/>
              </w:rPr>
              <w:t>وجه پنجم</w:t>
            </w:r>
            <w:r>
              <w:rPr>
                <w:rStyle w:val="IndexLink"/>
                <w:rtl w:val="true"/>
              </w:rPr>
              <w:t xml:space="preserve">: </w:t>
            </w:r>
            <w:r>
              <w:rPr>
                <w:rStyle w:val="IndexLink"/>
                <w:rtl w:val="true"/>
              </w:rPr>
              <w:t>جمع به تخییر</w:t>
            </w:r>
            <w:r>
              <w:rPr>
                <w:rStyle w:val="IndexLink"/>
                <w:rtl w:val="true"/>
              </w:rPr>
              <w:tab/>
            </w:r>
            <w:r>
              <w:rPr>
                <w:rStyle w:val="IndexLink"/>
              </w:rPr>
              <w:t>234</w:t>
            </w:r>
          </w:hyperlink>
        </w:p>
        <w:p>
          <w:pPr>
            <w:pStyle w:val="Contents6"/>
            <w:tabs>
              <w:tab w:val="clear" w:pos="7609"/>
              <w:tab w:val="right" w:pos="9026" w:leader="dot"/>
            </w:tabs>
            <w:rPr/>
          </w:pPr>
          <w:hyperlink w:anchor="__RefHeading___Toc78868_3244359995">
            <w:r>
              <w:rPr>
                <w:webHidden/>
                <w:rStyle w:val="IndexLink"/>
                <w:rtl w:val="true"/>
              </w:rPr>
              <w:t>نقد وجه پنجم</w:t>
            </w:r>
            <w:r>
              <w:rPr>
                <w:rStyle w:val="IndexLink"/>
                <w:rtl w:val="true"/>
              </w:rPr>
              <w:tab/>
            </w:r>
            <w:r>
              <w:rPr>
                <w:rStyle w:val="IndexLink"/>
              </w:rPr>
              <w:t>235</w:t>
            </w:r>
          </w:hyperlink>
        </w:p>
        <w:p>
          <w:pPr>
            <w:pStyle w:val="Contents6"/>
            <w:tabs>
              <w:tab w:val="clear" w:pos="7609"/>
              <w:tab w:val="right" w:pos="9026" w:leader="dot"/>
            </w:tabs>
            <w:rPr/>
          </w:pPr>
          <w:hyperlink w:anchor="__RefHeading___Toc78870_3244359995">
            <w:r>
              <w:rPr>
                <w:webHidden/>
                <w:rStyle w:val="IndexLink"/>
                <w:rtl w:val="true"/>
              </w:rPr>
              <w:t>وجه ششم</w:t>
            </w:r>
            <w:r>
              <w:rPr>
                <w:rStyle w:val="IndexLink"/>
                <w:rtl w:val="true"/>
              </w:rPr>
              <w:t xml:space="preserve">: </w:t>
            </w:r>
            <w:r>
              <w:rPr>
                <w:rStyle w:val="IndexLink"/>
                <w:rtl w:val="true"/>
              </w:rPr>
              <w:t>جمع مرحوم مجلسی رحمه الله</w:t>
            </w:r>
            <w:r>
              <w:rPr>
                <w:rStyle w:val="IndexLink"/>
                <w:rtl w:val="true"/>
              </w:rPr>
              <w:tab/>
            </w:r>
            <w:r>
              <w:rPr>
                <w:rStyle w:val="IndexLink"/>
              </w:rPr>
              <w:t>235</w:t>
            </w:r>
          </w:hyperlink>
        </w:p>
        <w:p>
          <w:pPr>
            <w:pStyle w:val="Contents6"/>
            <w:tabs>
              <w:tab w:val="clear" w:pos="7609"/>
              <w:tab w:val="right" w:pos="9026" w:leader="dot"/>
            </w:tabs>
            <w:rPr/>
          </w:pPr>
          <w:hyperlink w:anchor="__RefHeading___Toc78872_3244359995">
            <w:r>
              <w:rPr>
                <w:webHidden/>
                <w:rStyle w:val="IndexLink"/>
                <w:rtl w:val="true"/>
              </w:rPr>
              <w:t>نقد طریق مجلسی</w:t>
            </w:r>
            <w:r>
              <w:rPr>
                <w:rStyle w:val="IndexLink"/>
                <w:rtl w:val="true"/>
              </w:rPr>
              <w:tab/>
            </w:r>
            <w:r>
              <w:rPr>
                <w:rStyle w:val="IndexLink"/>
              </w:rPr>
              <w:t>237</w:t>
            </w:r>
          </w:hyperlink>
        </w:p>
        <w:p>
          <w:pPr>
            <w:pStyle w:val="Contents5"/>
            <w:tabs>
              <w:tab w:val="clear" w:pos="7892"/>
              <w:tab w:val="right" w:pos="9026" w:leader="dot"/>
            </w:tabs>
            <w:rPr/>
          </w:pPr>
          <w:hyperlink w:anchor="__RefHeading___Toc78874_3244359995">
            <w:r>
              <w:rPr>
                <w:webHidden/>
                <w:rStyle w:val="IndexLink"/>
                <w:rtl w:val="true"/>
              </w:rPr>
              <w:t>وقوع تعارض بین روایات</w:t>
            </w:r>
            <w:r>
              <w:rPr>
                <w:rStyle w:val="IndexLink"/>
                <w:rtl w:val="true"/>
              </w:rPr>
              <w:tab/>
            </w:r>
            <w:r>
              <w:rPr>
                <w:rStyle w:val="IndexLink"/>
              </w:rPr>
              <w:t>238</w:t>
            </w:r>
          </w:hyperlink>
        </w:p>
        <w:p>
          <w:pPr>
            <w:pStyle w:val="Contents5"/>
            <w:tabs>
              <w:tab w:val="clear" w:pos="7892"/>
              <w:tab w:val="right" w:pos="9026" w:leader="dot"/>
            </w:tabs>
            <w:rPr/>
          </w:pPr>
          <w:hyperlink w:anchor="__RefHeading___Toc78876_3244359995">
            <w:r>
              <w:rPr>
                <w:webHidden/>
                <w:rStyle w:val="IndexLink"/>
                <w:rtl w:val="true"/>
              </w:rPr>
              <w:t>بیان راه حلّ مشکل</w:t>
            </w:r>
            <w:r>
              <w:rPr>
                <w:rStyle w:val="IndexLink"/>
                <w:rtl w:val="true"/>
              </w:rPr>
              <w:tab/>
            </w:r>
            <w:r>
              <w:rPr>
                <w:rStyle w:val="IndexLink"/>
              </w:rPr>
              <w:t>239</w:t>
            </w:r>
          </w:hyperlink>
        </w:p>
        <w:p>
          <w:pPr>
            <w:pStyle w:val="Contents5"/>
            <w:tabs>
              <w:tab w:val="clear" w:pos="7892"/>
              <w:tab w:val="right" w:pos="9026" w:leader="dot"/>
            </w:tabs>
            <w:rPr/>
          </w:pPr>
          <w:hyperlink w:anchor="__RefHeading___Toc78878_3244359995">
            <w:r>
              <w:rPr>
                <w:webHidden/>
                <w:rStyle w:val="IndexLink"/>
                <w:rtl w:val="true"/>
              </w:rPr>
              <w:t>مقصود از اجتماع مرد و زن چیست؟</w:t>
            </w:r>
            <w:r>
              <w:rPr>
                <w:rStyle w:val="IndexLink"/>
                <w:rtl w:val="true"/>
              </w:rPr>
              <w:tab/>
            </w:r>
            <w:r>
              <w:rPr>
                <w:rStyle w:val="IndexLink"/>
              </w:rPr>
              <w:t>240</w:t>
            </w:r>
          </w:hyperlink>
        </w:p>
        <w:p>
          <w:pPr>
            <w:pStyle w:val="Contents4"/>
            <w:tabs>
              <w:tab w:val="clear" w:pos="8176"/>
              <w:tab w:val="right" w:pos="9026" w:leader="dot"/>
            </w:tabs>
            <w:rPr/>
          </w:pPr>
          <w:hyperlink w:anchor="__RefHeading___Toc78880_3244359995">
            <w:r>
              <w:rPr>
                <w:webHidden/>
                <w:rStyle w:val="IndexLink"/>
                <w:rtl w:val="true"/>
              </w:rPr>
              <w:t>تعمیم حکم به تقبیل و معانقه</w:t>
            </w:r>
            <w:r>
              <w:rPr>
                <w:rStyle w:val="IndexLink"/>
                <w:rtl w:val="true"/>
              </w:rPr>
              <w:tab/>
            </w:r>
            <w:r>
              <w:rPr>
                <w:rStyle w:val="IndexLink"/>
              </w:rPr>
              <w:t>242</w:t>
            </w:r>
          </w:hyperlink>
        </w:p>
        <w:p>
          <w:pPr>
            <w:pStyle w:val="Contents3"/>
            <w:tabs>
              <w:tab w:val="clear" w:pos="8459"/>
              <w:tab w:val="right" w:pos="9026" w:leader="dot"/>
            </w:tabs>
            <w:rPr/>
          </w:pPr>
          <w:hyperlink w:anchor="__RefHeading___Toc78882_3244359995">
            <w:r>
              <w:rPr>
                <w:webHidden/>
                <w:rStyle w:val="IndexLink"/>
                <w:rtl w:val="true"/>
              </w:rPr>
              <w:t>فصل دوم</w:t>
            </w:r>
            <w:r>
              <w:rPr>
                <w:rStyle w:val="IndexLink"/>
                <w:rtl w:val="true"/>
              </w:rPr>
              <w:t xml:space="preserve">: </w:t>
            </w:r>
            <w:r>
              <w:rPr>
                <w:rStyle w:val="IndexLink"/>
                <w:rtl w:val="true"/>
              </w:rPr>
              <w:t>راه های اثبات زنا</w:t>
            </w:r>
            <w:r>
              <w:rPr>
                <w:rStyle w:val="IndexLink"/>
                <w:rtl w:val="true"/>
              </w:rPr>
              <w:tab/>
            </w:r>
            <w:r>
              <w:rPr>
                <w:rStyle w:val="IndexLink"/>
              </w:rPr>
              <w:t>246</w:t>
            </w:r>
          </w:hyperlink>
        </w:p>
        <w:p>
          <w:pPr>
            <w:pStyle w:val="Contents4"/>
            <w:tabs>
              <w:tab w:val="clear" w:pos="8176"/>
              <w:tab w:val="right" w:pos="9026" w:leader="dot"/>
            </w:tabs>
            <w:rPr/>
          </w:pPr>
          <w:hyperlink w:anchor="__RefHeading___Toc78884_324435999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8886_3244359995">
            <w:r>
              <w:rPr>
                <w:webHidden/>
                <w:rStyle w:val="IndexLink"/>
                <w:rtl w:val="true"/>
              </w:rPr>
              <w:t>ثبوت زنا به اقرار</w:t>
            </w:r>
            <w:r>
              <w:rPr>
                <w:rStyle w:val="IndexLink"/>
                <w:rtl w:val="true"/>
              </w:rPr>
              <w:tab/>
            </w:r>
            <w:r>
              <w:rPr>
                <w:rStyle w:val="IndexLink"/>
              </w:rPr>
              <w:t>247</w:t>
            </w:r>
          </w:hyperlink>
        </w:p>
        <w:p>
          <w:pPr>
            <w:pStyle w:val="Contents5"/>
            <w:tabs>
              <w:tab w:val="clear" w:pos="7892"/>
              <w:tab w:val="right" w:pos="9026" w:leader="dot"/>
            </w:tabs>
            <w:rPr/>
          </w:pPr>
          <w:hyperlink w:anchor="__RefHeading___Toc78888_3244359995">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78890_3244359995">
            <w:r>
              <w:rPr>
                <w:webHidden/>
                <w:rStyle w:val="IndexLink"/>
                <w:rtl w:val="true"/>
              </w:rPr>
              <w:t>دلیل اثبات زنا به اقرار</w:t>
            </w:r>
            <w:r>
              <w:rPr>
                <w:rStyle w:val="IndexLink"/>
                <w:rtl w:val="true"/>
              </w:rPr>
              <w:tab/>
            </w:r>
            <w:r>
              <w:rPr>
                <w:rStyle w:val="IndexLink"/>
              </w:rPr>
              <w:t>247</w:t>
            </w:r>
          </w:hyperlink>
        </w:p>
        <w:p>
          <w:pPr>
            <w:pStyle w:val="Contents5"/>
            <w:tabs>
              <w:tab w:val="clear" w:pos="7892"/>
              <w:tab w:val="right" w:pos="9026" w:leader="dot"/>
            </w:tabs>
            <w:rPr/>
          </w:pPr>
          <w:hyperlink w:anchor="__RefHeading___Toc78892_3244359995">
            <w:r>
              <w:rPr>
                <w:webHidden/>
                <w:rStyle w:val="IndexLink"/>
                <w:rtl w:val="true"/>
              </w:rPr>
              <w:t>شرایط مُقِرّ</w:t>
            </w:r>
            <w:r>
              <w:rPr>
                <w:rStyle w:val="IndexLink"/>
                <w:rtl w:val="true"/>
              </w:rPr>
              <w:tab/>
            </w:r>
            <w:r>
              <w:rPr>
                <w:rStyle w:val="IndexLink"/>
              </w:rPr>
              <w:t>247</w:t>
            </w:r>
          </w:hyperlink>
        </w:p>
        <w:p>
          <w:pPr>
            <w:pStyle w:val="Contents4"/>
            <w:tabs>
              <w:tab w:val="clear" w:pos="8176"/>
              <w:tab w:val="right" w:pos="9026" w:leader="dot"/>
            </w:tabs>
            <w:rPr/>
          </w:pPr>
          <w:hyperlink w:anchor="__RefHeading___Toc78894_3244359995">
            <w:r>
              <w:rPr>
                <w:webHidden/>
                <w:rStyle w:val="IndexLink"/>
                <w:rtl w:val="true"/>
              </w:rPr>
              <w:t>خصوصیّات اقرار در باب زنا</w:t>
            </w:r>
            <w:r>
              <w:rPr>
                <w:rStyle w:val="IndexLink"/>
                <w:rtl w:val="true"/>
              </w:rPr>
              <w:tab/>
            </w:r>
            <w:r>
              <w:rPr>
                <w:rStyle w:val="IndexLink"/>
              </w:rPr>
              <w:t>251</w:t>
            </w:r>
          </w:hyperlink>
        </w:p>
        <w:p>
          <w:pPr>
            <w:pStyle w:val="Contents5"/>
            <w:tabs>
              <w:tab w:val="clear" w:pos="7892"/>
              <w:tab w:val="right" w:pos="9026" w:leader="dot"/>
            </w:tabs>
            <w:rPr/>
          </w:pPr>
          <w:hyperlink w:anchor="__RefHeading___Toc78896_3244359995">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78898_3244359995">
            <w:r>
              <w:rPr>
                <w:webHidden/>
                <w:rStyle w:val="IndexLink"/>
                <w:rtl w:val="true"/>
              </w:rPr>
              <w:t>ثبوت زنا با چهار اقرار</w:t>
            </w:r>
            <w:r>
              <w:rPr>
                <w:rStyle w:val="IndexLink"/>
                <w:rtl w:val="true"/>
              </w:rPr>
              <w:tab/>
            </w:r>
            <w:r>
              <w:rPr>
                <w:rStyle w:val="IndexLink"/>
              </w:rPr>
              <w:t>251</w:t>
            </w:r>
          </w:hyperlink>
        </w:p>
        <w:p>
          <w:pPr>
            <w:pStyle w:val="Contents5"/>
            <w:tabs>
              <w:tab w:val="clear" w:pos="7892"/>
              <w:tab w:val="right" w:pos="9026" w:leader="dot"/>
            </w:tabs>
            <w:rPr/>
          </w:pPr>
          <w:hyperlink w:anchor="__RefHeading___Toc78900_3244359995">
            <w:r>
              <w:rPr>
                <w:webHidden/>
                <w:rStyle w:val="IndexLink"/>
                <w:rtl w:val="true"/>
              </w:rPr>
              <w:t>بررسی اعتبار تعدّد مجالس در چهار مرتبه اقرار</w:t>
            </w:r>
            <w:r>
              <w:rPr>
                <w:rStyle w:val="IndexLink"/>
                <w:rtl w:val="true"/>
              </w:rPr>
              <w:tab/>
            </w:r>
            <w:r>
              <w:rPr>
                <w:rStyle w:val="IndexLink"/>
              </w:rPr>
              <w:t>262</w:t>
            </w:r>
          </w:hyperlink>
        </w:p>
        <w:p>
          <w:pPr>
            <w:pStyle w:val="Contents5"/>
            <w:tabs>
              <w:tab w:val="clear" w:pos="7892"/>
              <w:tab w:val="right" w:pos="9026" w:leader="dot"/>
            </w:tabs>
            <w:rPr/>
          </w:pPr>
          <w:hyperlink w:anchor="__RefHeading___Toc78902_3244359995">
            <w:r>
              <w:rPr>
                <w:webHidden/>
                <w:rStyle w:val="IndexLink"/>
                <w:rtl w:val="true"/>
              </w:rPr>
              <w:t>دلیل کفایت مجلس واحد</w:t>
            </w:r>
            <w:r>
              <w:rPr>
                <w:rStyle w:val="IndexLink"/>
                <w:rtl w:val="true"/>
              </w:rPr>
              <w:tab/>
            </w:r>
            <w:r>
              <w:rPr>
                <w:rStyle w:val="IndexLink"/>
              </w:rPr>
              <w:t>263</w:t>
            </w:r>
          </w:hyperlink>
        </w:p>
        <w:p>
          <w:pPr>
            <w:pStyle w:val="Contents5"/>
            <w:tabs>
              <w:tab w:val="clear" w:pos="7892"/>
              <w:tab w:val="right" w:pos="9026" w:leader="dot"/>
            </w:tabs>
            <w:rPr/>
          </w:pPr>
          <w:hyperlink w:anchor="__RefHeading___Toc78904_3244359995">
            <w:r>
              <w:rPr>
                <w:webHidden/>
                <w:rStyle w:val="IndexLink"/>
                <w:rtl w:val="true"/>
              </w:rPr>
              <w:t>حکم اقرار کمتر از چهار مرتبه</w:t>
            </w:r>
            <w:r>
              <w:rPr>
                <w:rStyle w:val="IndexLink"/>
                <w:rtl w:val="true"/>
              </w:rPr>
              <w:tab/>
            </w:r>
            <w:r>
              <w:rPr>
                <w:rStyle w:val="IndexLink"/>
              </w:rPr>
              <w:t>265</w:t>
            </w:r>
          </w:hyperlink>
        </w:p>
        <w:p>
          <w:pPr>
            <w:pStyle w:val="Contents4"/>
            <w:tabs>
              <w:tab w:val="clear" w:pos="8176"/>
              <w:tab w:val="right" w:pos="9026" w:leader="dot"/>
            </w:tabs>
            <w:rPr/>
          </w:pPr>
          <w:hyperlink w:anchor="__RefHeading___Toc78906_3244359995">
            <w:r>
              <w:rPr>
                <w:webHidden/>
                <w:rStyle w:val="IndexLink"/>
                <w:rtl w:val="true"/>
              </w:rPr>
              <w:t>تساوی مرد و زن در شرایط اقرار</w:t>
            </w:r>
            <w:r>
              <w:rPr>
                <w:rStyle w:val="IndexLink"/>
                <w:rtl w:val="true"/>
              </w:rPr>
              <w:tab/>
            </w:r>
            <w:r>
              <w:rPr>
                <w:rStyle w:val="IndexLink"/>
              </w:rPr>
              <w:t>268</w:t>
            </w:r>
          </w:hyperlink>
        </w:p>
        <w:p>
          <w:pPr>
            <w:pStyle w:val="Contents4"/>
            <w:tabs>
              <w:tab w:val="clear" w:pos="8176"/>
              <w:tab w:val="right" w:pos="9026" w:leader="dot"/>
            </w:tabs>
            <w:rPr/>
          </w:pPr>
          <w:hyperlink w:anchor="__RefHeading___Toc78908_3244359995">
            <w:r>
              <w:rPr>
                <w:webHidden/>
                <w:rStyle w:val="IndexLink"/>
                <w:rtl w:val="true"/>
              </w:rPr>
              <w:t>کیفیت اقرار اخرس</w:t>
            </w:r>
            <w:r>
              <w:rPr>
                <w:rStyle w:val="IndexLink"/>
                <w:rtl w:val="true"/>
              </w:rPr>
              <w:tab/>
            </w:r>
            <w:r>
              <w:rPr>
                <w:rStyle w:val="IndexLink"/>
              </w:rPr>
              <w:t>269</w:t>
            </w:r>
          </w:hyperlink>
        </w:p>
        <w:p>
          <w:pPr>
            <w:pStyle w:val="Contents5"/>
            <w:tabs>
              <w:tab w:val="clear" w:pos="7892"/>
              <w:tab w:val="right" w:pos="9026" w:leader="dot"/>
            </w:tabs>
            <w:rPr/>
          </w:pPr>
          <w:hyperlink w:anchor="__RefHeading___Toc78910_3244359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78912_3244359995">
            <w:r>
              <w:rPr>
                <w:webHidden/>
                <w:rStyle w:val="IndexLink"/>
                <w:rtl w:val="true"/>
              </w:rPr>
              <w:t>الف</w:t>
            </w:r>
            <w:r>
              <w:rPr>
                <w:rStyle w:val="IndexLink"/>
                <w:rtl w:val="true"/>
              </w:rPr>
              <w:t xml:space="preserve">: </w:t>
            </w:r>
            <w:r>
              <w:rPr>
                <w:rStyle w:val="IndexLink"/>
                <w:rtl w:val="true"/>
              </w:rPr>
              <w:t>ادلّه‌ی پذیرش اشاره‌ی اخرس</w:t>
            </w:r>
            <w:r>
              <w:rPr>
                <w:rStyle w:val="IndexLink"/>
                <w:rtl w:val="true"/>
              </w:rPr>
              <w:tab/>
            </w:r>
            <w:r>
              <w:rPr>
                <w:rStyle w:val="IndexLink"/>
              </w:rPr>
              <w:t>269</w:t>
            </w:r>
          </w:hyperlink>
        </w:p>
        <w:p>
          <w:pPr>
            <w:pStyle w:val="Contents5"/>
            <w:tabs>
              <w:tab w:val="clear" w:pos="7892"/>
              <w:tab w:val="right" w:pos="9026" w:leader="dot"/>
            </w:tabs>
            <w:rPr/>
          </w:pPr>
          <w:hyperlink w:anchor="__RefHeading___Toc78914_3244359995">
            <w:r>
              <w:rPr>
                <w:webHidden/>
                <w:rStyle w:val="IndexLink"/>
                <w:rtl w:val="true"/>
              </w:rPr>
              <w:t>ب</w:t>
            </w:r>
            <w:r>
              <w:rPr>
                <w:rStyle w:val="IndexLink"/>
                <w:rtl w:val="true"/>
              </w:rPr>
              <w:t xml:space="preserve">: </w:t>
            </w:r>
            <w:r>
              <w:rPr>
                <w:rStyle w:val="IndexLink"/>
                <w:rtl w:val="true"/>
              </w:rPr>
              <w:t>ترجمه‌ی اشاره‌ی اخرس</w:t>
            </w:r>
            <w:r>
              <w:rPr>
                <w:rStyle w:val="IndexLink"/>
                <w:rtl w:val="true"/>
              </w:rPr>
              <w:tab/>
            </w:r>
            <w:r>
              <w:rPr>
                <w:rStyle w:val="IndexLink"/>
              </w:rPr>
              <w:t>270</w:t>
            </w:r>
          </w:hyperlink>
        </w:p>
        <w:p>
          <w:pPr>
            <w:pStyle w:val="Contents4"/>
            <w:tabs>
              <w:tab w:val="clear" w:pos="8176"/>
              <w:tab w:val="right" w:pos="9026" w:leader="dot"/>
            </w:tabs>
            <w:rPr/>
          </w:pPr>
          <w:hyperlink w:anchor="__RefHeading___Toc78916_3244359995">
            <w:r>
              <w:rPr>
                <w:webHidden/>
                <w:rStyle w:val="IndexLink"/>
                <w:rtl w:val="true"/>
              </w:rPr>
              <w:t>رابطه‌ی بین اقرار و ثبوت قذف</w:t>
            </w:r>
            <w:r>
              <w:rPr>
                <w:rStyle w:val="IndexLink"/>
                <w:rtl w:val="true"/>
              </w:rPr>
              <w:tab/>
            </w:r>
            <w:r>
              <w:rPr>
                <w:rStyle w:val="IndexLink"/>
              </w:rPr>
              <w:t>272</w:t>
            </w:r>
          </w:hyperlink>
        </w:p>
        <w:p>
          <w:pPr>
            <w:pStyle w:val="Contents5"/>
            <w:tabs>
              <w:tab w:val="clear" w:pos="7892"/>
              <w:tab w:val="right" w:pos="9026" w:leader="dot"/>
            </w:tabs>
            <w:rPr/>
          </w:pPr>
          <w:hyperlink w:anchor="__RefHeading___Toc78918_3244359995">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78920_3244359995">
            <w:r>
              <w:rPr>
                <w:webHidden/>
                <w:rStyle w:val="IndexLink"/>
                <w:rtl w:val="true"/>
              </w:rPr>
              <w:t>الف</w:t>
            </w:r>
            <w:r>
              <w:rPr>
                <w:rStyle w:val="IndexLink"/>
                <w:rtl w:val="true"/>
              </w:rPr>
              <w:t xml:space="preserve">: </w:t>
            </w:r>
            <w:r>
              <w:rPr>
                <w:rStyle w:val="IndexLink"/>
                <w:rtl w:val="true"/>
              </w:rPr>
              <w:t>دلیل ثبوت قذف</w:t>
            </w:r>
            <w:r>
              <w:rPr>
                <w:rStyle w:val="IndexLink"/>
                <w:rtl w:val="true"/>
              </w:rPr>
              <w:tab/>
            </w:r>
            <w:r>
              <w:rPr>
                <w:rStyle w:val="IndexLink"/>
              </w:rPr>
              <w:t>272</w:t>
            </w:r>
          </w:hyperlink>
        </w:p>
        <w:p>
          <w:pPr>
            <w:pStyle w:val="Contents5"/>
            <w:tabs>
              <w:tab w:val="clear" w:pos="7892"/>
              <w:tab w:val="right" w:pos="9026" w:leader="dot"/>
            </w:tabs>
            <w:rPr/>
          </w:pPr>
          <w:hyperlink w:anchor="__RefHeading___Toc78922_3244359995">
            <w:r>
              <w:rPr>
                <w:webHidden/>
                <w:rStyle w:val="IndexLink"/>
                <w:rtl w:val="true"/>
              </w:rPr>
              <w:t>ب</w:t>
            </w:r>
            <w:r>
              <w:rPr>
                <w:rStyle w:val="IndexLink"/>
                <w:rtl w:val="true"/>
              </w:rPr>
              <w:t xml:space="preserve">: </w:t>
            </w:r>
            <w:r>
              <w:rPr>
                <w:rStyle w:val="IndexLink"/>
                <w:rtl w:val="true"/>
              </w:rPr>
              <w:t>دلیل عدم ثبوت قذف</w:t>
            </w:r>
            <w:r>
              <w:rPr>
                <w:rStyle w:val="IndexLink"/>
                <w:rtl w:val="true"/>
              </w:rPr>
              <w:tab/>
            </w:r>
            <w:r>
              <w:rPr>
                <w:rStyle w:val="IndexLink"/>
              </w:rPr>
              <w:t>273</w:t>
            </w:r>
          </w:hyperlink>
        </w:p>
        <w:p>
          <w:pPr>
            <w:pStyle w:val="Contents5"/>
            <w:tabs>
              <w:tab w:val="clear" w:pos="7892"/>
              <w:tab w:val="right" w:pos="9026" w:leader="dot"/>
            </w:tabs>
            <w:rPr/>
          </w:pPr>
          <w:hyperlink w:anchor="__RefHeading___Toc78924_3244359995">
            <w:r>
              <w:rPr>
                <w:webHidden/>
                <w:rStyle w:val="IndexLink"/>
                <w:rtl w:val="true"/>
              </w:rPr>
              <w:t>بیان شهید ثانی رحمه الله در اثبات قذف</w:t>
            </w:r>
            <w:r>
              <w:rPr>
                <w:rStyle w:val="IndexLink"/>
                <w:rtl w:val="true"/>
              </w:rPr>
              <w:tab/>
            </w:r>
            <w:r>
              <w:rPr>
                <w:rStyle w:val="IndexLink"/>
              </w:rPr>
              <w:t>275</w:t>
            </w:r>
          </w:hyperlink>
        </w:p>
        <w:p>
          <w:pPr>
            <w:pStyle w:val="Contents4"/>
            <w:tabs>
              <w:tab w:val="clear" w:pos="8176"/>
              <w:tab w:val="right" w:pos="9026" w:leader="dot"/>
            </w:tabs>
            <w:rPr/>
          </w:pPr>
          <w:hyperlink w:anchor="__RefHeading___Toc78926_3244359995">
            <w:r>
              <w:rPr>
                <w:webHidden/>
                <w:rStyle w:val="IndexLink"/>
                <w:rtl w:val="true"/>
              </w:rPr>
              <w:t>حکم اقرار به حدّ</w:t>
            </w:r>
            <w:r>
              <w:rPr>
                <w:rStyle w:val="IndexLink"/>
                <w:rtl w:val="true"/>
              </w:rPr>
              <w:tab/>
            </w:r>
            <w:r>
              <w:rPr>
                <w:rStyle w:val="IndexLink"/>
              </w:rPr>
              <w:t>276</w:t>
            </w:r>
          </w:hyperlink>
        </w:p>
        <w:p>
          <w:pPr>
            <w:pStyle w:val="Contents5"/>
            <w:tabs>
              <w:tab w:val="clear" w:pos="7892"/>
              <w:tab w:val="right" w:pos="9026" w:leader="dot"/>
            </w:tabs>
            <w:rPr/>
          </w:pPr>
          <w:hyperlink w:anchor="__RefHeading___Toc78928_3244359995">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78930_3244359995">
            <w:r>
              <w:rPr>
                <w:webHidden/>
                <w:rStyle w:val="IndexLink"/>
                <w:rtl w:val="true"/>
              </w:rPr>
              <w:t>ادلّه‌ی احتمال اوّل</w:t>
            </w:r>
            <w:r>
              <w:rPr>
                <w:rStyle w:val="IndexLink"/>
                <w:rtl w:val="true"/>
              </w:rPr>
              <w:tab/>
            </w:r>
            <w:r>
              <w:rPr>
                <w:rStyle w:val="IndexLink"/>
              </w:rPr>
              <w:t>277</w:t>
            </w:r>
          </w:hyperlink>
        </w:p>
        <w:p>
          <w:pPr>
            <w:pStyle w:val="Contents5"/>
            <w:tabs>
              <w:tab w:val="clear" w:pos="7892"/>
              <w:tab w:val="right" w:pos="9026" w:leader="dot"/>
            </w:tabs>
            <w:rPr/>
          </w:pPr>
          <w:hyperlink w:anchor="__RefHeading___Toc78932_3244359995">
            <w:r>
              <w:rPr>
                <w:webHidden/>
                <w:rStyle w:val="IndexLink"/>
                <w:rtl w:val="true"/>
              </w:rPr>
              <w:t>نقد ادلّه‌ی احتمال اوّل</w:t>
            </w:r>
            <w:r>
              <w:rPr>
                <w:rStyle w:val="IndexLink"/>
                <w:rtl w:val="true"/>
              </w:rPr>
              <w:tab/>
            </w:r>
            <w:r>
              <w:rPr>
                <w:rStyle w:val="IndexLink"/>
              </w:rPr>
              <w:t>279</w:t>
            </w:r>
          </w:hyperlink>
        </w:p>
        <w:p>
          <w:pPr>
            <w:pStyle w:val="Contents5"/>
            <w:tabs>
              <w:tab w:val="clear" w:pos="7892"/>
              <w:tab w:val="right" w:pos="9026" w:leader="dot"/>
            </w:tabs>
            <w:rPr/>
          </w:pPr>
          <w:hyperlink w:anchor="__RefHeading___Toc78934_3244359995">
            <w:r>
              <w:rPr>
                <w:webHidden/>
                <w:rStyle w:val="IndexLink"/>
                <w:rtl w:val="true"/>
              </w:rPr>
              <w:t>بیان مقتضای قاعده</w:t>
            </w:r>
            <w:r>
              <w:rPr>
                <w:rStyle w:val="IndexLink"/>
                <w:rtl w:val="true"/>
              </w:rPr>
              <w:tab/>
            </w:r>
            <w:r>
              <w:rPr>
                <w:rStyle w:val="IndexLink"/>
              </w:rPr>
              <w:t>280</w:t>
            </w:r>
          </w:hyperlink>
        </w:p>
        <w:p>
          <w:pPr>
            <w:pStyle w:val="Contents5"/>
            <w:tabs>
              <w:tab w:val="clear" w:pos="7892"/>
              <w:tab w:val="right" w:pos="9026" w:leader="dot"/>
            </w:tabs>
            <w:rPr/>
          </w:pPr>
          <w:hyperlink w:anchor="__RefHeading___Toc78936_3244359995">
            <w:r>
              <w:rPr>
                <w:webHidden/>
                <w:rStyle w:val="IndexLink"/>
                <w:rtl w:val="true"/>
              </w:rPr>
              <w:t>نقد نظر شهید ثانی رحمه الله</w:t>
            </w:r>
            <w:r>
              <w:rPr>
                <w:rStyle w:val="IndexLink"/>
                <w:rtl w:val="true"/>
              </w:rPr>
              <w:tab/>
            </w:r>
            <w:r>
              <w:rPr>
                <w:rStyle w:val="IndexLink"/>
              </w:rPr>
              <w:t>282</w:t>
            </w:r>
          </w:hyperlink>
        </w:p>
        <w:p>
          <w:pPr>
            <w:pStyle w:val="Contents5"/>
            <w:tabs>
              <w:tab w:val="clear" w:pos="7892"/>
              <w:tab w:val="right" w:pos="9026" w:leader="dot"/>
            </w:tabs>
            <w:rPr/>
          </w:pPr>
          <w:hyperlink w:anchor="__RefHeading___Toc78938_3244359995">
            <w:r>
              <w:rPr>
                <w:webHidden/>
                <w:rStyle w:val="IndexLink"/>
                <w:rtl w:val="true"/>
              </w:rPr>
              <w:t>روایت صدوق رحمه الله در کتاب مقنع</w:t>
            </w:r>
            <w:r>
              <w:rPr>
                <w:rStyle w:val="IndexLink"/>
                <w:rtl w:val="true"/>
              </w:rPr>
              <w:tab/>
            </w:r>
            <w:r>
              <w:rPr>
                <w:rStyle w:val="IndexLink"/>
              </w:rPr>
              <w:t>284</w:t>
            </w:r>
          </w:hyperlink>
        </w:p>
        <w:p>
          <w:pPr>
            <w:pStyle w:val="Contents5"/>
            <w:tabs>
              <w:tab w:val="clear" w:pos="7892"/>
              <w:tab w:val="right" w:pos="9026" w:leader="dot"/>
            </w:tabs>
            <w:rPr/>
          </w:pPr>
          <w:hyperlink w:anchor="__RefHeading___Toc78940_3244359995">
            <w:r>
              <w:rPr>
                <w:webHidden/>
                <w:rStyle w:val="IndexLink"/>
                <w:rtl w:val="true"/>
              </w:rPr>
              <w:t>استدلال ابن ادریس رحمه الله و نقد آن</w:t>
            </w:r>
            <w:r>
              <w:rPr>
                <w:rStyle w:val="IndexLink"/>
                <w:rtl w:val="true"/>
              </w:rPr>
              <w:tab/>
            </w:r>
            <w:r>
              <w:rPr>
                <w:rStyle w:val="IndexLink"/>
              </w:rPr>
              <w:t>286</w:t>
            </w:r>
          </w:hyperlink>
        </w:p>
        <w:p>
          <w:pPr>
            <w:pStyle w:val="Contents5"/>
            <w:tabs>
              <w:tab w:val="clear" w:pos="7892"/>
              <w:tab w:val="right" w:pos="9026" w:leader="dot"/>
            </w:tabs>
            <w:rPr/>
          </w:pPr>
          <w:hyperlink w:anchor="__RefHeading___Toc78942_3244359995">
            <w:r>
              <w:rPr>
                <w:webHidden/>
                <w:rStyle w:val="IndexLink"/>
                <w:rtl w:val="true"/>
              </w:rPr>
              <w:t>نظر صاحب جواهر رحمه الله</w:t>
            </w:r>
            <w:r>
              <w:rPr>
                <w:rStyle w:val="IndexLink"/>
                <w:rtl w:val="true"/>
              </w:rPr>
              <w:tab/>
            </w:r>
            <w:r>
              <w:rPr>
                <w:rStyle w:val="IndexLink"/>
              </w:rPr>
              <w:t>288</w:t>
            </w:r>
          </w:hyperlink>
        </w:p>
        <w:p>
          <w:pPr>
            <w:pStyle w:val="Contents5"/>
            <w:tabs>
              <w:tab w:val="clear" w:pos="7892"/>
              <w:tab w:val="right" w:pos="9026" w:leader="dot"/>
            </w:tabs>
            <w:rPr/>
          </w:pPr>
          <w:hyperlink w:anchor="__RefHeading___Toc78944_3244359995">
            <w:r>
              <w:rPr>
                <w:webHidden/>
                <w:rStyle w:val="IndexLink"/>
                <w:rtl w:val="true"/>
              </w:rPr>
              <w:t>بیان نظر برگزیده در جمع بین روایات</w:t>
            </w:r>
            <w:r>
              <w:rPr>
                <w:rStyle w:val="IndexLink"/>
                <w:rtl w:val="true"/>
              </w:rPr>
              <w:tab/>
            </w:r>
            <w:r>
              <w:rPr>
                <w:rStyle w:val="IndexLink"/>
              </w:rPr>
              <w:t>288</w:t>
            </w:r>
          </w:hyperlink>
        </w:p>
        <w:p>
          <w:pPr>
            <w:pStyle w:val="Contents4"/>
            <w:tabs>
              <w:tab w:val="clear" w:pos="8176"/>
              <w:tab w:val="right" w:pos="9026" w:leader="dot"/>
            </w:tabs>
            <w:rPr/>
          </w:pPr>
          <w:hyperlink w:anchor="__RefHeading___Toc78946_3244359995">
            <w:r>
              <w:rPr>
                <w:webHidden/>
                <w:rStyle w:val="IndexLink"/>
                <w:rtl w:val="true"/>
              </w:rPr>
              <w:t>حکم انکار پس از اقرار</w:t>
            </w:r>
            <w:r>
              <w:rPr>
                <w:rStyle w:val="IndexLink"/>
                <w:rtl w:val="true"/>
              </w:rPr>
              <w:tab/>
            </w:r>
            <w:r>
              <w:rPr>
                <w:rStyle w:val="IndexLink"/>
              </w:rPr>
              <w:t>290</w:t>
            </w:r>
          </w:hyperlink>
        </w:p>
        <w:p>
          <w:pPr>
            <w:pStyle w:val="Contents5"/>
            <w:tabs>
              <w:tab w:val="clear" w:pos="7892"/>
              <w:tab w:val="right" w:pos="9026" w:leader="dot"/>
            </w:tabs>
            <w:rPr/>
          </w:pPr>
          <w:hyperlink w:anchor="__RefHeading___Toc78948_324435999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78950_3244359995">
            <w:r>
              <w:rPr>
                <w:webHidden/>
                <w:rStyle w:val="IndexLink"/>
                <w:rtl w:val="true"/>
              </w:rPr>
              <w:t>فرع اوّل</w:t>
            </w:r>
            <w:r>
              <w:rPr>
                <w:rStyle w:val="IndexLink"/>
                <w:rtl w:val="true"/>
              </w:rPr>
              <w:t xml:space="preserve">: </w:t>
            </w:r>
            <w:r>
              <w:rPr>
                <w:rStyle w:val="IndexLink"/>
                <w:rtl w:val="true"/>
              </w:rPr>
              <w:t>حکم انکار موجب رجم بعد از اقرار</w:t>
            </w:r>
            <w:r>
              <w:rPr>
                <w:rStyle w:val="IndexLink"/>
                <w:rtl w:val="true"/>
              </w:rPr>
              <w:tab/>
            </w:r>
            <w:r>
              <w:rPr>
                <w:rStyle w:val="IndexLink"/>
              </w:rPr>
              <w:t>290</w:t>
            </w:r>
          </w:hyperlink>
        </w:p>
        <w:p>
          <w:pPr>
            <w:pStyle w:val="Contents4"/>
            <w:tabs>
              <w:tab w:val="clear" w:pos="8176"/>
              <w:tab w:val="right" w:pos="9026" w:leader="dot"/>
            </w:tabs>
            <w:rPr/>
          </w:pPr>
          <w:hyperlink w:anchor="__RefHeading___Toc78952_3244359995">
            <w:r>
              <w:rPr>
                <w:webHidden/>
                <w:rStyle w:val="IndexLink"/>
                <w:rtl w:val="true"/>
              </w:rPr>
              <w:t>بررسی تأثیر سوگند در سقوط رجم</w:t>
            </w:r>
            <w:r>
              <w:rPr>
                <w:rStyle w:val="IndexLink"/>
                <w:rtl w:val="true"/>
              </w:rPr>
              <w:tab/>
            </w:r>
            <w:r>
              <w:rPr>
                <w:rStyle w:val="IndexLink"/>
              </w:rPr>
              <w:t>292</w:t>
            </w:r>
          </w:hyperlink>
        </w:p>
        <w:p>
          <w:pPr>
            <w:pStyle w:val="Contents5"/>
            <w:tabs>
              <w:tab w:val="clear" w:pos="7892"/>
              <w:tab w:val="right" w:pos="9026" w:leader="dot"/>
            </w:tabs>
            <w:rPr/>
          </w:pPr>
          <w:hyperlink w:anchor="__RefHeading___Toc78954_3244359995">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78956_3244359995">
            <w:r>
              <w:rPr>
                <w:webHidden/>
                <w:rStyle w:val="IndexLink"/>
                <w:rtl w:val="true"/>
              </w:rPr>
              <w:t>استدلال به جریان ماعز بن مالک بر عدم سقوط حدّ</w:t>
            </w:r>
            <w:r>
              <w:rPr>
                <w:rStyle w:val="IndexLink"/>
                <w:rtl w:val="true"/>
              </w:rPr>
              <w:tab/>
            </w:r>
            <w:r>
              <w:rPr>
                <w:rStyle w:val="IndexLink"/>
              </w:rPr>
              <w:t>293</w:t>
            </w:r>
          </w:hyperlink>
        </w:p>
        <w:p>
          <w:pPr>
            <w:pStyle w:val="Contents5"/>
            <w:tabs>
              <w:tab w:val="clear" w:pos="7892"/>
              <w:tab w:val="right" w:pos="9026" w:leader="dot"/>
            </w:tabs>
            <w:rPr/>
          </w:pPr>
          <w:hyperlink w:anchor="__RefHeading___Toc78958_3244359995">
            <w:r>
              <w:rPr>
                <w:webHidden/>
                <w:rStyle w:val="IndexLink"/>
                <w:rtl w:val="true"/>
              </w:rPr>
              <w:t>فرع دوم</w:t>
            </w:r>
            <w:r>
              <w:rPr>
                <w:rStyle w:val="IndexLink"/>
                <w:rtl w:val="true"/>
              </w:rPr>
              <w:t xml:space="preserve">: </w:t>
            </w:r>
            <w:r>
              <w:rPr>
                <w:rStyle w:val="IndexLink"/>
                <w:rtl w:val="true"/>
              </w:rPr>
              <w:t>حکم انکار حدود دیگر غیر از رجم</w:t>
            </w:r>
            <w:r>
              <w:rPr>
                <w:rStyle w:val="IndexLink"/>
                <w:rtl w:val="true"/>
              </w:rPr>
              <w:tab/>
            </w:r>
            <w:r>
              <w:rPr>
                <w:rStyle w:val="IndexLink"/>
              </w:rPr>
              <w:t>294</w:t>
            </w:r>
          </w:hyperlink>
        </w:p>
        <w:p>
          <w:pPr>
            <w:pStyle w:val="Contents5"/>
            <w:tabs>
              <w:tab w:val="clear" w:pos="7892"/>
              <w:tab w:val="right" w:pos="9026" w:leader="dot"/>
            </w:tabs>
            <w:rPr/>
          </w:pPr>
          <w:hyperlink w:anchor="__RefHeading___Toc78960_3244359995">
            <w:r>
              <w:rPr>
                <w:webHidden/>
                <w:rStyle w:val="IndexLink"/>
                <w:rtl w:val="true"/>
              </w:rPr>
              <w:t>نقد استدلال شیخ طوسی رحمه الله</w:t>
            </w:r>
            <w:r>
              <w:rPr>
                <w:rStyle w:val="IndexLink"/>
                <w:rtl w:val="true"/>
              </w:rPr>
              <w:tab/>
            </w:r>
            <w:r>
              <w:rPr>
                <w:rStyle w:val="IndexLink"/>
              </w:rPr>
              <w:t>295</w:t>
            </w:r>
          </w:hyperlink>
        </w:p>
        <w:p>
          <w:pPr>
            <w:pStyle w:val="Contents5"/>
            <w:tabs>
              <w:tab w:val="clear" w:pos="7892"/>
              <w:tab w:val="right" w:pos="9026" w:leader="dot"/>
            </w:tabs>
            <w:rPr/>
          </w:pPr>
          <w:hyperlink w:anchor="__RefHeading___Toc78962_3244359995">
            <w:r>
              <w:rPr>
                <w:webHidden/>
                <w:rStyle w:val="IndexLink"/>
                <w:rtl w:val="true"/>
              </w:rPr>
              <w:t>تأیید استدلال شیخ رحمه الله به روایت مرسله‌ی جمیل</w:t>
            </w:r>
            <w:r>
              <w:rPr>
                <w:rStyle w:val="IndexLink"/>
                <w:rtl w:val="true"/>
              </w:rPr>
              <w:tab/>
            </w:r>
            <w:r>
              <w:rPr>
                <w:rStyle w:val="IndexLink"/>
              </w:rPr>
              <w:t>295</w:t>
            </w:r>
          </w:hyperlink>
        </w:p>
        <w:p>
          <w:pPr>
            <w:pStyle w:val="Contents5"/>
            <w:tabs>
              <w:tab w:val="clear" w:pos="7892"/>
              <w:tab w:val="right" w:pos="9026" w:leader="dot"/>
            </w:tabs>
            <w:rPr/>
          </w:pPr>
          <w:hyperlink w:anchor="__RefHeading___Toc78964_3244359995">
            <w:r>
              <w:rPr>
                <w:webHidden/>
                <w:rStyle w:val="IndexLink"/>
                <w:rtl w:val="true"/>
              </w:rPr>
              <w:t>فرع سوم</w:t>
            </w:r>
            <w:r>
              <w:rPr>
                <w:rStyle w:val="IndexLink"/>
                <w:rtl w:val="true"/>
              </w:rPr>
              <w:t xml:space="preserve">: </w:t>
            </w:r>
            <w:r>
              <w:rPr>
                <w:rStyle w:val="IndexLink"/>
                <w:rtl w:val="true"/>
              </w:rPr>
              <w:t>حکم اقرار به موجب قتل و انکار آن</w:t>
            </w:r>
            <w:r>
              <w:rPr>
                <w:rStyle w:val="IndexLink"/>
                <w:rtl w:val="true"/>
              </w:rPr>
              <w:tab/>
            </w:r>
            <w:r>
              <w:rPr>
                <w:rStyle w:val="IndexLink"/>
              </w:rPr>
              <w:t>296</w:t>
            </w:r>
          </w:hyperlink>
        </w:p>
        <w:p>
          <w:pPr>
            <w:pStyle w:val="Contents4"/>
            <w:tabs>
              <w:tab w:val="clear" w:pos="8176"/>
              <w:tab w:val="right" w:pos="9026" w:leader="dot"/>
            </w:tabs>
            <w:rPr/>
          </w:pPr>
          <w:hyperlink w:anchor="__RefHeading___Toc78966_3244359995">
            <w:r>
              <w:rPr>
                <w:webHidden/>
                <w:rStyle w:val="IndexLink"/>
                <w:rtl w:val="true"/>
              </w:rPr>
              <w:t>توبه‌ی پس از اقرار</w:t>
            </w:r>
            <w:r>
              <w:rPr>
                <w:rStyle w:val="IndexLink"/>
                <w:rtl w:val="true"/>
              </w:rPr>
              <w:tab/>
            </w:r>
            <w:r>
              <w:rPr>
                <w:rStyle w:val="IndexLink"/>
              </w:rPr>
              <w:t>299</w:t>
            </w:r>
          </w:hyperlink>
        </w:p>
        <w:p>
          <w:pPr>
            <w:pStyle w:val="Contents5"/>
            <w:tabs>
              <w:tab w:val="clear" w:pos="7892"/>
              <w:tab w:val="right" w:pos="9026" w:leader="dot"/>
            </w:tabs>
            <w:rPr/>
          </w:pPr>
          <w:hyperlink w:anchor="__RefHeading___Toc78968_3244359995">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78970_3244359995">
            <w:r>
              <w:rPr>
                <w:webHidden/>
                <w:rStyle w:val="IndexLink"/>
                <w:rtl w:val="true"/>
              </w:rPr>
              <w:t>فرع اوّل</w:t>
            </w:r>
            <w:r>
              <w:rPr>
                <w:rStyle w:val="IndexLink"/>
                <w:rtl w:val="true"/>
              </w:rPr>
              <w:t xml:space="preserve">: </w:t>
            </w:r>
            <w:r>
              <w:rPr>
                <w:rStyle w:val="IndexLink"/>
                <w:rtl w:val="true"/>
              </w:rPr>
              <w:t>مختار بودن امام علیه السلام در عفو و اجرای حدّ</w:t>
            </w:r>
            <w:r>
              <w:rPr>
                <w:rStyle w:val="IndexLink"/>
                <w:rtl w:val="true"/>
              </w:rPr>
              <w:tab/>
            </w:r>
            <w:r>
              <w:rPr>
                <w:rStyle w:val="IndexLink"/>
              </w:rPr>
              <w:t>299</w:t>
            </w:r>
          </w:hyperlink>
        </w:p>
        <w:p>
          <w:pPr>
            <w:pStyle w:val="Contents6"/>
            <w:tabs>
              <w:tab w:val="clear" w:pos="7609"/>
              <w:tab w:val="right" w:pos="9026" w:leader="dot"/>
            </w:tabs>
            <w:rPr/>
          </w:pPr>
          <w:hyperlink w:anchor="__RefHeading___Toc78972_3244359995">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78974_3244359995">
            <w:r>
              <w:rPr>
                <w:webHidden/>
                <w:rStyle w:val="IndexLink"/>
                <w:rtl w:val="true"/>
              </w:rPr>
              <w:t>دو اشکال بر استدلال به روایت</w:t>
            </w:r>
            <w:r>
              <w:rPr>
                <w:rStyle w:val="IndexLink"/>
                <w:rtl w:val="true"/>
              </w:rPr>
              <w:tab/>
            </w:r>
            <w:r>
              <w:rPr>
                <w:rStyle w:val="IndexLink"/>
              </w:rPr>
              <w:t>301</w:t>
            </w:r>
          </w:hyperlink>
        </w:p>
        <w:p>
          <w:pPr>
            <w:pStyle w:val="Contents5"/>
            <w:tabs>
              <w:tab w:val="clear" w:pos="7892"/>
              <w:tab w:val="right" w:pos="9026" w:leader="dot"/>
            </w:tabs>
            <w:rPr/>
          </w:pPr>
          <w:hyperlink w:anchor="__RefHeading___Toc78976_3244359995">
            <w:r>
              <w:rPr>
                <w:webHidden/>
                <w:rStyle w:val="IndexLink"/>
                <w:rtl w:val="true"/>
              </w:rPr>
              <w:t>فرع دوم</w:t>
            </w:r>
            <w:r>
              <w:rPr>
                <w:rStyle w:val="IndexLink"/>
                <w:rtl w:val="true"/>
              </w:rPr>
              <w:t xml:space="preserve">: </w:t>
            </w:r>
            <w:r>
              <w:rPr>
                <w:rStyle w:val="IndexLink"/>
                <w:rtl w:val="true"/>
              </w:rPr>
              <w:t>تعمیم حکم اختیار به فقیه جامع الشرایط‌</w:t>
            </w:r>
            <w:r>
              <w:rPr>
                <w:rStyle w:val="IndexLink"/>
                <w:rtl w:val="true"/>
              </w:rPr>
              <w:tab/>
            </w:r>
            <w:r>
              <w:rPr>
                <w:rStyle w:val="IndexLink"/>
              </w:rPr>
              <w:t>306</w:t>
            </w:r>
          </w:hyperlink>
        </w:p>
        <w:p>
          <w:pPr>
            <w:pStyle w:val="Contents5"/>
            <w:tabs>
              <w:tab w:val="clear" w:pos="7892"/>
              <w:tab w:val="right" w:pos="9026" w:leader="dot"/>
            </w:tabs>
            <w:rPr/>
          </w:pPr>
          <w:hyperlink w:anchor="__RefHeading___Toc78978_3244359995">
            <w:r>
              <w:rPr>
                <w:webHidden/>
                <w:rStyle w:val="IndexLink"/>
                <w:rtl w:val="true"/>
              </w:rPr>
              <w:t>فرع سوم</w:t>
            </w:r>
            <w:r>
              <w:rPr>
                <w:rStyle w:val="IndexLink"/>
                <w:rtl w:val="true"/>
              </w:rPr>
              <w:t xml:space="preserve">: </w:t>
            </w:r>
            <w:r>
              <w:rPr>
                <w:rStyle w:val="IndexLink"/>
                <w:rtl w:val="true"/>
              </w:rPr>
              <w:t>تعمیم حکم اختیار، نسبت به هر حدّی</w:t>
            </w:r>
            <w:r>
              <w:rPr>
                <w:rStyle w:val="IndexLink"/>
                <w:rtl w:val="true"/>
              </w:rPr>
              <w:tab/>
            </w:r>
            <w:r>
              <w:rPr>
                <w:rStyle w:val="IndexLink"/>
              </w:rPr>
              <w:t>307</w:t>
            </w:r>
          </w:hyperlink>
        </w:p>
        <w:p>
          <w:pPr>
            <w:pStyle w:val="Contents4"/>
            <w:tabs>
              <w:tab w:val="clear" w:pos="8176"/>
              <w:tab w:val="right" w:pos="9026" w:leader="dot"/>
            </w:tabs>
            <w:rPr/>
          </w:pPr>
          <w:hyperlink w:anchor="__RefHeading___Toc78980_3244359995">
            <w:r>
              <w:rPr>
                <w:webHidden/>
                <w:rStyle w:val="IndexLink"/>
                <w:rtl w:val="true"/>
              </w:rPr>
              <w:t>حکم زنی که بدون شوهر حامله شده است</w:t>
            </w:r>
            <w:r>
              <w:rPr>
                <w:rStyle w:val="IndexLink"/>
                <w:rtl w:val="true"/>
              </w:rPr>
              <w:tab/>
            </w:r>
            <w:r>
              <w:rPr>
                <w:rStyle w:val="IndexLink"/>
              </w:rPr>
              <w:t>309</w:t>
            </w:r>
          </w:hyperlink>
        </w:p>
        <w:p>
          <w:pPr>
            <w:pStyle w:val="Contents5"/>
            <w:tabs>
              <w:tab w:val="clear" w:pos="7892"/>
              <w:tab w:val="right" w:pos="9026" w:leader="dot"/>
            </w:tabs>
            <w:rPr/>
          </w:pPr>
          <w:hyperlink w:anchor="__RefHeading___Toc78982_3244359995">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78984_3244359995">
            <w:r>
              <w:rPr>
                <w:webHidden/>
                <w:rStyle w:val="IndexLink"/>
                <w:rtl w:val="true"/>
              </w:rPr>
              <w:t>فرع اوّل</w:t>
            </w:r>
            <w:r>
              <w:rPr>
                <w:rStyle w:val="IndexLink"/>
                <w:rtl w:val="true"/>
              </w:rPr>
              <w:t xml:space="preserve">: </w:t>
            </w:r>
            <w:r>
              <w:rPr>
                <w:rStyle w:val="IndexLink"/>
                <w:rtl w:val="true"/>
              </w:rPr>
              <w:t>عدم دلالت حمل بر زنا</w:t>
            </w:r>
            <w:r>
              <w:rPr>
                <w:rStyle w:val="IndexLink"/>
                <w:rtl w:val="true"/>
              </w:rPr>
              <w:tab/>
            </w:r>
            <w:r>
              <w:rPr>
                <w:rStyle w:val="IndexLink"/>
              </w:rPr>
              <w:t>309</w:t>
            </w:r>
          </w:hyperlink>
        </w:p>
        <w:p>
          <w:pPr>
            <w:pStyle w:val="Contents5"/>
            <w:tabs>
              <w:tab w:val="clear" w:pos="7892"/>
              <w:tab w:val="right" w:pos="9026" w:leader="dot"/>
            </w:tabs>
            <w:rPr/>
          </w:pPr>
          <w:hyperlink w:anchor="__RefHeading___Toc78986_3244359995">
            <w:r>
              <w:rPr>
                <w:webHidden/>
                <w:rStyle w:val="IndexLink"/>
                <w:rtl w:val="true"/>
              </w:rPr>
              <w:t>فرع دوم</w:t>
            </w:r>
            <w:r>
              <w:rPr>
                <w:rStyle w:val="IndexLink"/>
                <w:rtl w:val="true"/>
              </w:rPr>
              <w:t xml:space="preserve">: </w:t>
            </w:r>
            <w:r>
              <w:rPr>
                <w:rStyle w:val="IndexLink"/>
                <w:rtl w:val="true"/>
              </w:rPr>
              <w:t>عدم جواز تفتیش و سؤال</w:t>
            </w:r>
            <w:r>
              <w:rPr>
                <w:rStyle w:val="IndexLink"/>
                <w:rtl w:val="true"/>
              </w:rPr>
              <w:tab/>
            </w:r>
            <w:r>
              <w:rPr>
                <w:rStyle w:val="IndexLink"/>
              </w:rPr>
              <w:t>309</w:t>
            </w:r>
          </w:hyperlink>
        </w:p>
        <w:p>
          <w:pPr>
            <w:pStyle w:val="Contents4"/>
            <w:tabs>
              <w:tab w:val="clear" w:pos="8176"/>
              <w:tab w:val="right" w:pos="9026" w:leader="dot"/>
            </w:tabs>
            <w:rPr/>
          </w:pPr>
          <w:hyperlink w:anchor="__RefHeading___Toc78988_3244359995">
            <w:r>
              <w:rPr>
                <w:webHidden/>
                <w:rStyle w:val="IndexLink"/>
                <w:rtl w:val="true"/>
              </w:rPr>
              <w:t>عدم تأثیر اقرار زانی در ثبوت حدّ بر دیگری</w:t>
            </w:r>
            <w:r>
              <w:rPr>
                <w:rStyle w:val="IndexLink"/>
                <w:rtl w:val="true"/>
              </w:rPr>
              <w:tab/>
            </w:r>
            <w:r>
              <w:rPr>
                <w:rStyle w:val="IndexLink"/>
              </w:rPr>
              <w:t>311</w:t>
            </w:r>
          </w:hyperlink>
        </w:p>
        <w:p>
          <w:pPr>
            <w:pStyle w:val="Contents4"/>
            <w:tabs>
              <w:tab w:val="clear" w:pos="8176"/>
              <w:tab w:val="right" w:pos="9026" w:leader="dot"/>
            </w:tabs>
            <w:rPr/>
          </w:pPr>
          <w:hyperlink w:anchor="__RefHeading___Toc78990_3244359995">
            <w:r>
              <w:rPr>
                <w:webHidden/>
                <w:rStyle w:val="IndexLink"/>
                <w:rtl w:val="true"/>
              </w:rPr>
              <w:t>ثبوت زنا به شهادت عدول</w:t>
            </w:r>
            <w:r>
              <w:rPr>
                <w:rStyle w:val="IndexLink"/>
                <w:rtl w:val="true"/>
              </w:rPr>
              <w:tab/>
            </w:r>
            <w:r>
              <w:rPr>
                <w:rStyle w:val="IndexLink"/>
              </w:rPr>
              <w:t>313</w:t>
            </w:r>
          </w:hyperlink>
        </w:p>
        <w:p>
          <w:pPr>
            <w:pStyle w:val="Contents5"/>
            <w:tabs>
              <w:tab w:val="clear" w:pos="7892"/>
              <w:tab w:val="right" w:pos="9026" w:leader="dot"/>
            </w:tabs>
            <w:rPr/>
          </w:pPr>
          <w:hyperlink w:anchor="__RefHeading___Toc78992_3244359995">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78994_3244359995">
            <w:r>
              <w:rPr>
                <w:webHidden/>
                <w:rStyle w:val="IndexLink"/>
                <w:rtl w:val="true"/>
              </w:rPr>
              <w:t>فرع اوّل</w:t>
            </w:r>
            <w:r>
              <w:rPr>
                <w:rStyle w:val="IndexLink"/>
                <w:rtl w:val="true"/>
              </w:rPr>
              <w:t xml:space="preserve">: </w:t>
            </w:r>
            <w:r>
              <w:rPr>
                <w:rStyle w:val="IndexLink"/>
                <w:rtl w:val="true"/>
              </w:rPr>
              <w:t>اثبات زنا به بیّنه</w:t>
            </w:r>
            <w:r>
              <w:rPr>
                <w:rStyle w:val="IndexLink"/>
                <w:rtl w:val="true"/>
              </w:rPr>
              <w:tab/>
            </w:r>
            <w:r>
              <w:rPr>
                <w:rStyle w:val="IndexLink"/>
              </w:rPr>
              <w:t>313</w:t>
            </w:r>
          </w:hyperlink>
        </w:p>
        <w:p>
          <w:pPr>
            <w:pStyle w:val="Contents5"/>
            <w:tabs>
              <w:tab w:val="clear" w:pos="7892"/>
              <w:tab w:val="right" w:pos="9026" w:leader="dot"/>
            </w:tabs>
            <w:rPr/>
          </w:pPr>
          <w:hyperlink w:anchor="__RefHeading___Toc78996_3244359995">
            <w:r>
              <w:rPr>
                <w:webHidden/>
                <w:rStyle w:val="IndexLink"/>
                <w:rtl w:val="true"/>
              </w:rPr>
              <w:t>فرع دوم</w:t>
            </w:r>
            <w:r>
              <w:rPr>
                <w:rStyle w:val="IndexLink"/>
                <w:rtl w:val="true"/>
              </w:rPr>
              <w:t xml:space="preserve">: </w:t>
            </w:r>
            <w:r>
              <w:rPr>
                <w:rStyle w:val="IndexLink"/>
                <w:rtl w:val="true"/>
              </w:rPr>
              <w:t>اثبات زنا با شهادت چهار مرد عادل</w:t>
            </w:r>
            <w:r>
              <w:rPr>
                <w:rStyle w:val="IndexLink"/>
                <w:rtl w:val="true"/>
              </w:rPr>
              <w:tab/>
            </w:r>
            <w:r>
              <w:rPr>
                <w:rStyle w:val="IndexLink"/>
              </w:rPr>
              <w:t>314</w:t>
            </w:r>
          </w:hyperlink>
        </w:p>
        <w:p>
          <w:pPr>
            <w:pStyle w:val="Contents5"/>
            <w:tabs>
              <w:tab w:val="clear" w:pos="7892"/>
              <w:tab w:val="right" w:pos="9026" w:leader="dot"/>
            </w:tabs>
            <w:rPr/>
          </w:pPr>
          <w:hyperlink w:anchor="__RefHeading___Toc78998_3244359995">
            <w:r>
              <w:rPr>
                <w:webHidden/>
                <w:rStyle w:val="IndexLink"/>
                <w:rtl w:val="true"/>
              </w:rPr>
              <w:t>فرع سوم</w:t>
            </w:r>
            <w:r>
              <w:rPr>
                <w:rStyle w:val="IndexLink"/>
                <w:rtl w:val="true"/>
              </w:rPr>
              <w:t xml:space="preserve">: </w:t>
            </w:r>
            <w:r>
              <w:rPr>
                <w:rStyle w:val="IndexLink"/>
                <w:rtl w:val="true"/>
              </w:rPr>
              <w:t>تأثیر شهادت زنان در اثبات زنا</w:t>
            </w:r>
            <w:r>
              <w:rPr>
                <w:rStyle w:val="IndexLink"/>
                <w:rtl w:val="true"/>
              </w:rPr>
              <w:tab/>
            </w:r>
            <w:r>
              <w:rPr>
                <w:rStyle w:val="IndexLink"/>
              </w:rPr>
              <w:t>316</w:t>
            </w:r>
          </w:hyperlink>
        </w:p>
        <w:p>
          <w:pPr>
            <w:pStyle w:val="Contents4"/>
            <w:tabs>
              <w:tab w:val="clear" w:pos="8176"/>
              <w:tab w:val="right" w:pos="9026" w:leader="dot"/>
            </w:tabs>
            <w:rPr/>
          </w:pPr>
          <w:hyperlink w:anchor="__RefHeading___Toc79000_3244359995">
            <w:r>
              <w:rPr>
                <w:webHidden/>
                <w:rStyle w:val="IndexLink"/>
                <w:rtl w:val="true"/>
              </w:rPr>
              <w:t>شرطهای لازم در شهادت</w:t>
            </w:r>
            <w:r>
              <w:rPr>
                <w:rStyle w:val="IndexLink"/>
                <w:rtl w:val="true"/>
              </w:rPr>
              <w:tab/>
            </w:r>
            <w:r>
              <w:rPr>
                <w:rStyle w:val="IndexLink"/>
              </w:rPr>
              <w:t>328</w:t>
            </w:r>
          </w:hyperlink>
        </w:p>
        <w:p>
          <w:pPr>
            <w:pStyle w:val="Contents5"/>
            <w:tabs>
              <w:tab w:val="clear" w:pos="7892"/>
              <w:tab w:val="right" w:pos="9026" w:leader="dot"/>
            </w:tabs>
            <w:rPr/>
          </w:pPr>
          <w:hyperlink w:anchor="__RefHeading___Toc79002_3244359995">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79004_3244359995">
            <w:r>
              <w:rPr>
                <w:webHidden/>
                <w:rStyle w:val="IndexLink"/>
                <w:rtl w:val="true"/>
              </w:rPr>
              <w:t>ادلّه‌ی مستند شاهد در باب زنا</w:t>
            </w:r>
            <w:r>
              <w:rPr>
                <w:rStyle w:val="IndexLink"/>
                <w:rtl w:val="true"/>
              </w:rPr>
              <w:tab/>
            </w:r>
            <w:r>
              <w:rPr>
                <w:rStyle w:val="IndexLink"/>
              </w:rPr>
              <w:t>329</w:t>
            </w:r>
          </w:hyperlink>
        </w:p>
        <w:p>
          <w:pPr>
            <w:pStyle w:val="Contents5"/>
            <w:tabs>
              <w:tab w:val="clear" w:pos="7892"/>
              <w:tab w:val="right" w:pos="9026" w:leader="dot"/>
            </w:tabs>
            <w:rPr/>
          </w:pPr>
          <w:hyperlink w:anchor="__RefHeading___Toc79006_3244359995">
            <w:r>
              <w:rPr>
                <w:webHidden/>
                <w:rStyle w:val="IndexLink"/>
                <w:rtl w:val="true"/>
              </w:rPr>
              <w:t>امکان الغای خصوصیّت از رؤیت</w:t>
            </w:r>
            <w:r>
              <w:rPr>
                <w:rStyle w:val="IndexLink"/>
                <w:rtl w:val="true"/>
              </w:rPr>
              <w:tab/>
            </w:r>
            <w:r>
              <w:rPr>
                <w:rStyle w:val="IndexLink"/>
              </w:rPr>
              <w:t>334</w:t>
            </w:r>
          </w:hyperlink>
        </w:p>
        <w:p>
          <w:pPr>
            <w:pStyle w:val="Contents4"/>
            <w:tabs>
              <w:tab w:val="clear" w:pos="8176"/>
              <w:tab w:val="right" w:pos="9026" w:leader="dot"/>
            </w:tabs>
            <w:rPr/>
          </w:pPr>
          <w:hyperlink w:anchor="__RefHeading___Toc79008_3244359995">
            <w:r>
              <w:rPr>
                <w:webHidden/>
                <w:rStyle w:val="IndexLink"/>
                <w:rtl w:val="true"/>
              </w:rPr>
              <w:t>کیفیّت شهادت بر زنا</w:t>
            </w:r>
            <w:r>
              <w:rPr>
                <w:rStyle w:val="IndexLink"/>
                <w:rtl w:val="true"/>
              </w:rPr>
              <w:tab/>
            </w:r>
            <w:r>
              <w:rPr>
                <w:rStyle w:val="IndexLink"/>
              </w:rPr>
              <w:t>335</w:t>
            </w:r>
          </w:hyperlink>
        </w:p>
        <w:p>
          <w:pPr>
            <w:pStyle w:val="Contents5"/>
            <w:tabs>
              <w:tab w:val="clear" w:pos="7892"/>
              <w:tab w:val="right" w:pos="9026" w:leader="dot"/>
            </w:tabs>
            <w:rPr/>
          </w:pPr>
          <w:hyperlink w:anchor="__RefHeading___Toc79010_3244359995">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79012_3244359995">
            <w:r>
              <w:rPr>
                <w:webHidden/>
                <w:rStyle w:val="IndexLink"/>
                <w:rtl w:val="true"/>
              </w:rPr>
              <w:t>خصوصیّات لازم در هنگام شهادت دادن</w:t>
            </w:r>
            <w:r>
              <w:rPr>
                <w:rStyle w:val="IndexLink"/>
                <w:rtl w:val="true"/>
              </w:rPr>
              <w:tab/>
            </w:r>
            <w:r>
              <w:rPr>
                <w:rStyle w:val="IndexLink"/>
              </w:rPr>
              <w:t>336</w:t>
            </w:r>
          </w:hyperlink>
        </w:p>
        <w:p>
          <w:pPr>
            <w:pStyle w:val="Contents4"/>
            <w:tabs>
              <w:tab w:val="clear" w:pos="8176"/>
              <w:tab w:val="right" w:pos="9026" w:leader="dot"/>
            </w:tabs>
            <w:rPr/>
          </w:pPr>
          <w:hyperlink w:anchor="__RefHeading___Toc79014_3244359995">
            <w:r>
              <w:rPr>
                <w:webHidden/>
                <w:rStyle w:val="IndexLink"/>
                <w:rtl w:val="true"/>
              </w:rPr>
              <w:t>حکم شهادت مطلق و مقیّد</w:t>
            </w:r>
            <w:r>
              <w:rPr>
                <w:rStyle w:val="IndexLink"/>
                <w:rtl w:val="true"/>
              </w:rPr>
              <w:tab/>
            </w:r>
            <w:r>
              <w:rPr>
                <w:rStyle w:val="IndexLink"/>
              </w:rPr>
              <w:t>338</w:t>
            </w:r>
          </w:hyperlink>
        </w:p>
        <w:p>
          <w:pPr>
            <w:pStyle w:val="Contents5"/>
            <w:tabs>
              <w:tab w:val="clear" w:pos="7892"/>
              <w:tab w:val="right" w:pos="9026" w:leader="dot"/>
            </w:tabs>
            <w:rPr/>
          </w:pPr>
          <w:hyperlink w:anchor="__RefHeading___Toc79016_3244359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79018_3244359995">
            <w:r>
              <w:rPr>
                <w:webHidden/>
                <w:rStyle w:val="IndexLink"/>
                <w:rtl w:val="true"/>
              </w:rPr>
              <w:t>فرع اوّل</w:t>
            </w:r>
            <w:r>
              <w:rPr>
                <w:rStyle w:val="IndexLink"/>
                <w:rtl w:val="true"/>
              </w:rPr>
              <w:t xml:space="preserve">: </w:t>
            </w:r>
            <w:r>
              <w:rPr>
                <w:rStyle w:val="IndexLink"/>
                <w:rtl w:val="true"/>
              </w:rPr>
              <w:t>کفایت شهادت مطلق</w:t>
            </w:r>
            <w:r>
              <w:rPr>
                <w:rStyle w:val="IndexLink"/>
                <w:rtl w:val="true"/>
              </w:rPr>
              <w:tab/>
            </w:r>
            <w:r>
              <w:rPr>
                <w:rStyle w:val="IndexLink"/>
              </w:rPr>
              <w:t>339</w:t>
            </w:r>
          </w:hyperlink>
        </w:p>
        <w:p>
          <w:pPr>
            <w:pStyle w:val="Contents5"/>
            <w:tabs>
              <w:tab w:val="clear" w:pos="7892"/>
              <w:tab w:val="right" w:pos="9026" w:leader="dot"/>
            </w:tabs>
            <w:rPr/>
          </w:pPr>
          <w:hyperlink w:anchor="__RefHeading___Toc79020_3244359995">
            <w:r>
              <w:rPr>
                <w:webHidden/>
                <w:rStyle w:val="IndexLink"/>
                <w:rtl w:val="true"/>
              </w:rPr>
              <w:t>فرع دوم</w:t>
            </w:r>
            <w:r>
              <w:rPr>
                <w:rStyle w:val="IndexLink"/>
                <w:rtl w:val="true"/>
              </w:rPr>
              <w:t xml:space="preserve">: </w:t>
            </w:r>
            <w:r>
              <w:rPr>
                <w:rStyle w:val="IndexLink"/>
                <w:rtl w:val="true"/>
              </w:rPr>
              <w:t>اختلاف شهود در خصوصیّات</w:t>
            </w:r>
            <w:r>
              <w:rPr>
                <w:rStyle w:val="IndexLink"/>
                <w:rtl w:val="true"/>
              </w:rPr>
              <w:tab/>
            </w:r>
            <w:r>
              <w:rPr>
                <w:rStyle w:val="IndexLink"/>
              </w:rPr>
              <w:t>340</w:t>
            </w:r>
          </w:hyperlink>
        </w:p>
        <w:p>
          <w:pPr>
            <w:pStyle w:val="Contents5"/>
            <w:tabs>
              <w:tab w:val="clear" w:pos="7892"/>
              <w:tab w:val="right" w:pos="9026" w:leader="dot"/>
            </w:tabs>
            <w:rPr/>
          </w:pPr>
          <w:hyperlink w:anchor="__RefHeading___Toc79022_3244359995">
            <w:r>
              <w:rPr>
                <w:webHidden/>
                <w:rStyle w:val="IndexLink"/>
                <w:rtl w:val="true"/>
              </w:rPr>
              <w:t>فرع سوم</w:t>
            </w:r>
            <w:r>
              <w:rPr>
                <w:rStyle w:val="IndexLink"/>
                <w:rtl w:val="true"/>
              </w:rPr>
              <w:t xml:space="preserve">: </w:t>
            </w:r>
            <w:r>
              <w:rPr>
                <w:rStyle w:val="IndexLink"/>
                <w:rtl w:val="true"/>
              </w:rPr>
              <w:t>اختلاف شهود در اطلاق و تقیید</w:t>
            </w:r>
            <w:r>
              <w:rPr>
                <w:rStyle w:val="IndexLink"/>
                <w:rtl w:val="true"/>
              </w:rPr>
              <w:tab/>
            </w:r>
            <w:r>
              <w:rPr>
                <w:rStyle w:val="IndexLink"/>
              </w:rPr>
              <w:t>340</w:t>
            </w:r>
          </w:hyperlink>
        </w:p>
        <w:p>
          <w:pPr>
            <w:pStyle w:val="Contents4"/>
            <w:tabs>
              <w:tab w:val="clear" w:pos="8176"/>
              <w:tab w:val="right" w:pos="9026" w:leader="dot"/>
            </w:tabs>
            <w:rPr/>
          </w:pPr>
          <w:hyperlink w:anchor="__RefHeading___Toc79024_3244359995">
            <w:r>
              <w:rPr>
                <w:webHidden/>
                <w:rStyle w:val="IndexLink"/>
                <w:rtl w:val="true"/>
              </w:rPr>
              <w:t>تأخیر شهود در شهادت</w:t>
            </w:r>
            <w:r>
              <w:rPr>
                <w:rStyle w:val="IndexLink"/>
                <w:rtl w:val="true"/>
              </w:rPr>
              <w:tab/>
            </w:r>
            <w:r>
              <w:rPr>
                <w:rStyle w:val="IndexLink"/>
              </w:rPr>
              <w:t>343</w:t>
            </w:r>
          </w:hyperlink>
        </w:p>
        <w:p>
          <w:pPr>
            <w:pStyle w:val="Contents5"/>
            <w:tabs>
              <w:tab w:val="clear" w:pos="7892"/>
              <w:tab w:val="right" w:pos="9026" w:leader="dot"/>
            </w:tabs>
            <w:rPr/>
          </w:pPr>
          <w:hyperlink w:anchor="__RefHeading___Toc79026_3244359995">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79028_3244359995">
            <w:r>
              <w:rPr>
                <w:webHidden/>
                <w:rStyle w:val="IndexLink"/>
                <w:rtl w:val="true"/>
              </w:rPr>
              <w:t>فرع اوّل</w:t>
            </w:r>
            <w:r>
              <w:rPr>
                <w:rStyle w:val="IndexLink"/>
                <w:rtl w:val="true"/>
              </w:rPr>
              <w:t xml:space="preserve">: </w:t>
            </w:r>
            <w:r>
              <w:rPr>
                <w:rStyle w:val="IndexLink"/>
                <w:rtl w:val="true"/>
              </w:rPr>
              <w:t>لزوم عدم فاصله‌ی عرفی بین شهادت‌ها</w:t>
            </w:r>
            <w:r>
              <w:rPr>
                <w:rStyle w:val="IndexLink"/>
                <w:rtl w:val="true"/>
              </w:rPr>
              <w:tab/>
            </w:r>
            <w:r>
              <w:rPr>
                <w:rStyle w:val="IndexLink"/>
              </w:rPr>
              <w:t>344</w:t>
            </w:r>
          </w:hyperlink>
        </w:p>
        <w:p>
          <w:pPr>
            <w:pStyle w:val="Contents5"/>
            <w:tabs>
              <w:tab w:val="clear" w:pos="7892"/>
              <w:tab w:val="right" w:pos="9026" w:leader="dot"/>
            </w:tabs>
            <w:rPr/>
          </w:pPr>
          <w:hyperlink w:anchor="__RefHeading___Toc79030_3244359995">
            <w:r>
              <w:rPr>
                <w:webHidden/>
                <w:rStyle w:val="IndexLink"/>
                <w:rtl w:val="true"/>
              </w:rPr>
              <w:t>فرع دوم</w:t>
            </w:r>
            <w:r>
              <w:rPr>
                <w:rStyle w:val="IndexLink"/>
                <w:rtl w:val="true"/>
              </w:rPr>
              <w:t xml:space="preserve">: </w:t>
            </w:r>
            <w:r>
              <w:rPr>
                <w:rStyle w:val="IndexLink"/>
                <w:rtl w:val="true"/>
              </w:rPr>
              <w:t>کیفیّت حضور شهود در دادگاه</w:t>
            </w:r>
            <w:r>
              <w:rPr>
                <w:rStyle w:val="IndexLink"/>
                <w:rtl w:val="true"/>
              </w:rPr>
              <w:tab/>
            </w:r>
            <w:r>
              <w:rPr>
                <w:rStyle w:val="IndexLink"/>
              </w:rPr>
              <w:t>347</w:t>
            </w:r>
          </w:hyperlink>
        </w:p>
        <w:p>
          <w:pPr>
            <w:pStyle w:val="Contents5"/>
            <w:tabs>
              <w:tab w:val="clear" w:pos="7892"/>
              <w:tab w:val="right" w:pos="9026" w:leader="dot"/>
            </w:tabs>
            <w:rPr/>
          </w:pPr>
          <w:hyperlink w:anchor="__RefHeading___Toc79032_3244359995">
            <w:r>
              <w:rPr>
                <w:webHidden/>
                <w:rStyle w:val="IndexLink"/>
                <w:rtl w:val="true"/>
              </w:rPr>
              <w:t>فرع سوم</w:t>
            </w:r>
            <w:r>
              <w:rPr>
                <w:rStyle w:val="IndexLink"/>
                <w:rtl w:val="true"/>
              </w:rPr>
              <w:t xml:space="preserve">: </w:t>
            </w:r>
            <w:r>
              <w:rPr>
                <w:rStyle w:val="IndexLink"/>
                <w:rtl w:val="true"/>
              </w:rPr>
              <w:t>نکول بعضی از شهود</w:t>
            </w:r>
            <w:r>
              <w:rPr>
                <w:rStyle w:val="IndexLink"/>
                <w:rtl w:val="true"/>
              </w:rPr>
              <w:tab/>
            </w:r>
            <w:r>
              <w:rPr>
                <w:rStyle w:val="IndexLink"/>
              </w:rPr>
              <w:t>347</w:t>
            </w:r>
          </w:hyperlink>
        </w:p>
        <w:p>
          <w:pPr>
            <w:pStyle w:val="Contents4"/>
            <w:tabs>
              <w:tab w:val="clear" w:pos="8176"/>
              <w:tab w:val="right" w:pos="9026" w:leader="dot"/>
            </w:tabs>
            <w:rPr/>
          </w:pPr>
          <w:hyperlink w:anchor="__RefHeading___Toc79034_3244359995">
            <w:r>
              <w:rPr>
                <w:webHidden/>
                <w:rStyle w:val="IndexLink"/>
                <w:rtl w:val="true"/>
              </w:rPr>
              <w:t>عدم اجتماع شرایط در شهود</w:t>
            </w:r>
            <w:r>
              <w:rPr>
                <w:rStyle w:val="IndexLink"/>
                <w:rtl w:val="true"/>
              </w:rPr>
              <w:tab/>
            </w:r>
            <w:r>
              <w:rPr>
                <w:rStyle w:val="IndexLink"/>
              </w:rPr>
              <w:t>350</w:t>
            </w:r>
          </w:hyperlink>
        </w:p>
        <w:p>
          <w:pPr>
            <w:pStyle w:val="Contents5"/>
            <w:tabs>
              <w:tab w:val="clear" w:pos="7892"/>
              <w:tab w:val="right" w:pos="9026" w:leader="dot"/>
            </w:tabs>
            <w:rPr/>
          </w:pPr>
          <w:hyperlink w:anchor="__RefHeading___Toc79036_3244359995">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79038_3244359995">
            <w:r>
              <w:rPr>
                <w:webHidden/>
                <w:rStyle w:val="IndexLink"/>
                <w:rtl w:val="true"/>
              </w:rPr>
              <w:t>بیان تفصیل و دلیل آن در فرع اوّل</w:t>
            </w:r>
            <w:r>
              <w:rPr>
                <w:rStyle w:val="IndexLink"/>
                <w:rtl w:val="true"/>
              </w:rPr>
              <w:tab/>
            </w:r>
            <w:r>
              <w:rPr>
                <w:rStyle w:val="IndexLink"/>
              </w:rPr>
              <w:t>350</w:t>
            </w:r>
          </w:hyperlink>
        </w:p>
        <w:p>
          <w:pPr>
            <w:pStyle w:val="Contents5"/>
            <w:tabs>
              <w:tab w:val="clear" w:pos="7892"/>
              <w:tab w:val="right" w:pos="9026" w:leader="dot"/>
            </w:tabs>
            <w:rPr/>
          </w:pPr>
          <w:hyperlink w:anchor="__RefHeading___Toc79040_3244359995">
            <w:r>
              <w:rPr>
                <w:webHidden/>
                <w:rStyle w:val="IndexLink"/>
                <w:rtl w:val="true"/>
              </w:rPr>
              <w:t>فرع دوم</w:t>
            </w:r>
            <w:r>
              <w:rPr>
                <w:rStyle w:val="IndexLink"/>
                <w:rtl w:val="true"/>
              </w:rPr>
              <w:t xml:space="preserve">: </w:t>
            </w:r>
            <w:r>
              <w:rPr>
                <w:rStyle w:val="IndexLink"/>
                <w:rtl w:val="true"/>
              </w:rPr>
              <w:t>شهادت افراد مستور</w:t>
            </w:r>
            <w:r>
              <w:rPr>
                <w:rStyle w:val="IndexLink"/>
                <w:rtl w:val="true"/>
              </w:rPr>
              <w:tab/>
            </w:r>
            <w:r>
              <w:rPr>
                <w:rStyle w:val="IndexLink"/>
              </w:rPr>
              <w:t>352</w:t>
            </w:r>
          </w:hyperlink>
        </w:p>
        <w:p>
          <w:pPr>
            <w:pStyle w:val="Contents4"/>
            <w:tabs>
              <w:tab w:val="clear" w:pos="8176"/>
              <w:tab w:val="right" w:pos="9026" w:leader="dot"/>
            </w:tabs>
            <w:rPr/>
          </w:pPr>
          <w:hyperlink w:anchor="__RefHeading___Toc79042_3244359995">
            <w:r>
              <w:rPr>
                <w:webHidden/>
                <w:rStyle w:val="IndexLink"/>
                <w:rtl w:val="true"/>
              </w:rPr>
              <w:t>شهادت شهود بر زنای دو نفر یا بیشتر</w:t>
            </w:r>
            <w:r>
              <w:rPr>
                <w:rStyle w:val="IndexLink"/>
                <w:rtl w:val="true"/>
              </w:rPr>
              <w:tab/>
            </w:r>
            <w:r>
              <w:rPr>
                <w:rStyle w:val="IndexLink"/>
              </w:rPr>
              <w:t>354</w:t>
            </w:r>
          </w:hyperlink>
        </w:p>
        <w:p>
          <w:pPr>
            <w:pStyle w:val="Contents4"/>
            <w:tabs>
              <w:tab w:val="clear" w:pos="8176"/>
              <w:tab w:val="right" w:pos="9026" w:leader="dot"/>
            </w:tabs>
            <w:rPr/>
          </w:pPr>
          <w:hyperlink w:anchor="__RefHeading___Toc79044_3244359995">
            <w:r>
              <w:rPr>
                <w:webHidden/>
                <w:rStyle w:val="IndexLink"/>
                <w:rtl w:val="true"/>
              </w:rPr>
              <w:t>تکذیب و تصدیق زانی نسبت به شهود</w:t>
            </w:r>
            <w:r>
              <w:rPr>
                <w:rStyle w:val="IndexLink"/>
                <w:rtl w:val="true"/>
              </w:rPr>
              <w:tab/>
            </w:r>
            <w:r>
              <w:rPr>
                <w:rStyle w:val="IndexLink"/>
              </w:rPr>
              <w:t>356</w:t>
            </w:r>
          </w:hyperlink>
        </w:p>
        <w:p>
          <w:pPr>
            <w:pStyle w:val="Contents5"/>
            <w:tabs>
              <w:tab w:val="clear" w:pos="7892"/>
              <w:tab w:val="right" w:pos="9026" w:leader="dot"/>
            </w:tabs>
            <w:rPr/>
          </w:pPr>
          <w:hyperlink w:anchor="__RefHeading___Toc79046_3244359995">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79048_3244359995">
            <w:r>
              <w:rPr>
                <w:webHidden/>
                <w:rStyle w:val="IndexLink"/>
                <w:rtl w:val="true"/>
              </w:rPr>
              <w:t>فرع اوّل</w:t>
            </w:r>
            <w:r>
              <w:rPr>
                <w:rStyle w:val="IndexLink"/>
                <w:rtl w:val="true"/>
              </w:rPr>
              <w:t xml:space="preserve">: </w:t>
            </w:r>
            <w:r>
              <w:rPr>
                <w:rStyle w:val="IndexLink"/>
                <w:rtl w:val="true"/>
              </w:rPr>
              <w:t>تکذیب مشهودٌ علیه نسبت به شهود</w:t>
            </w:r>
            <w:r>
              <w:rPr>
                <w:rStyle w:val="IndexLink"/>
                <w:rtl w:val="true"/>
              </w:rPr>
              <w:tab/>
            </w:r>
            <w:r>
              <w:rPr>
                <w:rStyle w:val="IndexLink"/>
              </w:rPr>
              <w:t>356</w:t>
            </w:r>
          </w:hyperlink>
        </w:p>
        <w:p>
          <w:pPr>
            <w:pStyle w:val="Contents5"/>
            <w:tabs>
              <w:tab w:val="clear" w:pos="7892"/>
              <w:tab w:val="right" w:pos="9026" w:leader="dot"/>
            </w:tabs>
            <w:rPr/>
          </w:pPr>
          <w:hyperlink w:anchor="__RefHeading___Toc79050_3244359995">
            <w:r>
              <w:rPr>
                <w:webHidden/>
                <w:rStyle w:val="IndexLink"/>
                <w:rtl w:val="true"/>
              </w:rPr>
              <w:t>فرع دوم</w:t>
            </w:r>
            <w:r>
              <w:rPr>
                <w:rStyle w:val="IndexLink"/>
                <w:rtl w:val="true"/>
              </w:rPr>
              <w:t xml:space="preserve">: </w:t>
            </w:r>
            <w:r>
              <w:rPr>
                <w:rStyle w:val="IndexLink"/>
                <w:rtl w:val="true"/>
              </w:rPr>
              <w:t>تصدیق مشهود علیه نسبت به مورد شهادت</w:t>
            </w:r>
            <w:r>
              <w:rPr>
                <w:rStyle w:val="IndexLink"/>
                <w:rtl w:val="true"/>
              </w:rPr>
              <w:tab/>
            </w:r>
            <w:r>
              <w:rPr>
                <w:rStyle w:val="IndexLink"/>
              </w:rPr>
              <w:t>356</w:t>
            </w:r>
          </w:hyperlink>
        </w:p>
        <w:p>
          <w:pPr>
            <w:pStyle w:val="Contents4"/>
            <w:tabs>
              <w:tab w:val="clear" w:pos="8176"/>
              <w:tab w:val="right" w:pos="9026" w:leader="dot"/>
            </w:tabs>
            <w:rPr/>
          </w:pPr>
          <w:hyperlink w:anchor="__RefHeading___Toc79052_3244359995">
            <w:r>
              <w:rPr>
                <w:webHidden/>
                <w:rStyle w:val="IndexLink"/>
                <w:rtl w:val="true"/>
              </w:rPr>
              <w:t>موارد سقوط حدّ</w:t>
            </w:r>
            <w:r>
              <w:rPr>
                <w:rStyle w:val="IndexLink"/>
                <w:rtl w:val="true"/>
              </w:rPr>
              <w:tab/>
            </w:r>
            <w:r>
              <w:rPr>
                <w:rStyle w:val="IndexLink"/>
              </w:rPr>
              <w:t>358</w:t>
            </w:r>
          </w:hyperlink>
        </w:p>
        <w:p>
          <w:pPr>
            <w:pStyle w:val="Contents3"/>
            <w:tabs>
              <w:tab w:val="clear" w:pos="8459"/>
              <w:tab w:val="right" w:pos="9026" w:leader="dot"/>
            </w:tabs>
            <w:rPr/>
          </w:pPr>
          <w:hyperlink w:anchor="__RefHeading___Toc79054_3244359995">
            <w:r>
              <w:rPr>
                <w:webHidden/>
                <w:rStyle w:val="IndexLink"/>
                <w:rtl w:val="true"/>
              </w:rPr>
              <w:t>فصل سوم</w:t>
            </w:r>
            <w:r>
              <w:rPr>
                <w:rStyle w:val="IndexLink"/>
                <w:rtl w:val="true"/>
              </w:rPr>
              <w:t xml:space="preserve">: </w:t>
            </w:r>
            <w:r>
              <w:rPr>
                <w:rStyle w:val="IndexLink"/>
                <w:rtl w:val="true"/>
              </w:rPr>
              <w:t>در اقسام حدّ زناو برخی فروعات آن</w:t>
            </w:r>
            <w:r>
              <w:rPr>
                <w:rStyle w:val="IndexLink"/>
                <w:rtl w:val="true"/>
              </w:rPr>
              <w:tab/>
            </w:r>
            <w:r>
              <w:rPr>
                <w:rStyle w:val="IndexLink"/>
              </w:rPr>
              <w:t>365</w:t>
            </w:r>
          </w:hyperlink>
        </w:p>
        <w:p>
          <w:pPr>
            <w:pStyle w:val="Contents4"/>
            <w:tabs>
              <w:tab w:val="clear" w:pos="8176"/>
              <w:tab w:val="right" w:pos="9026" w:leader="dot"/>
            </w:tabs>
            <w:rPr/>
          </w:pPr>
          <w:hyperlink w:anchor="__RefHeading___Toc79056_3244359995">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79058_3244359995">
            <w:r>
              <w:rPr>
                <w:webHidden/>
                <w:rStyle w:val="IndexLink"/>
                <w:rtl w:val="true"/>
              </w:rPr>
              <w:t>نوع اوّل حدّ زنا</w:t>
            </w:r>
            <w:r>
              <w:rPr>
                <w:rStyle w:val="IndexLink"/>
                <w:rtl w:val="true"/>
              </w:rPr>
              <w:t xml:space="preserve">: </w:t>
            </w:r>
            <w:r>
              <w:rPr>
                <w:rStyle w:val="IndexLink"/>
                <w:rtl w:val="true"/>
              </w:rPr>
              <w:t>قتل</w:t>
            </w:r>
            <w:r>
              <w:rPr>
                <w:rStyle w:val="IndexLink"/>
                <w:rtl w:val="true"/>
              </w:rPr>
              <w:tab/>
            </w:r>
            <w:r>
              <w:rPr>
                <w:rStyle w:val="IndexLink"/>
              </w:rPr>
              <w:t>366</w:t>
            </w:r>
          </w:hyperlink>
        </w:p>
        <w:p>
          <w:pPr>
            <w:pStyle w:val="Contents5"/>
            <w:tabs>
              <w:tab w:val="clear" w:pos="7892"/>
              <w:tab w:val="right" w:pos="9026" w:leader="dot"/>
            </w:tabs>
            <w:rPr/>
          </w:pPr>
          <w:hyperlink w:anchor="__RefHeading___Toc79060_3244359995">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79062_3244359995">
            <w:r>
              <w:rPr>
                <w:webHidden/>
                <w:rStyle w:val="IndexLink"/>
                <w:rtl w:val="true"/>
              </w:rPr>
              <w:t>فرع اوّل</w:t>
            </w:r>
            <w:r>
              <w:rPr>
                <w:rStyle w:val="IndexLink"/>
                <w:rtl w:val="true"/>
              </w:rPr>
              <w:t xml:space="preserve">: </w:t>
            </w:r>
            <w:r>
              <w:rPr>
                <w:rStyle w:val="IndexLink"/>
                <w:rtl w:val="true"/>
              </w:rPr>
              <w:t>حکم زنا با محارم نسبی</w:t>
            </w:r>
            <w:r>
              <w:rPr>
                <w:rStyle w:val="IndexLink"/>
                <w:rtl w:val="true"/>
              </w:rPr>
              <w:tab/>
            </w:r>
            <w:r>
              <w:rPr>
                <w:rStyle w:val="IndexLink"/>
              </w:rPr>
              <w:t>367</w:t>
            </w:r>
          </w:hyperlink>
        </w:p>
        <w:p>
          <w:pPr>
            <w:pStyle w:val="Contents6"/>
            <w:tabs>
              <w:tab w:val="clear" w:pos="7609"/>
              <w:tab w:val="right" w:pos="9026" w:leader="dot"/>
            </w:tabs>
            <w:rPr/>
          </w:pPr>
          <w:hyperlink w:anchor="__RefHeading___Toc79064_3244359995">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79066_3244359995">
            <w:r>
              <w:rPr>
                <w:webHidden/>
                <w:rStyle w:val="IndexLink"/>
                <w:rtl w:val="true"/>
              </w:rPr>
              <w:t>کیفیّت وقوع قتل</w:t>
            </w:r>
            <w:r>
              <w:rPr>
                <w:rStyle w:val="IndexLink"/>
                <w:rtl w:val="true"/>
              </w:rPr>
              <w:tab/>
            </w:r>
            <w:r>
              <w:rPr>
                <w:rStyle w:val="IndexLink"/>
              </w:rPr>
              <w:t>378</w:t>
            </w:r>
          </w:hyperlink>
        </w:p>
        <w:p>
          <w:pPr>
            <w:pStyle w:val="Contents6"/>
            <w:tabs>
              <w:tab w:val="clear" w:pos="7609"/>
              <w:tab w:val="right" w:pos="9026" w:leader="dot"/>
            </w:tabs>
            <w:rPr/>
          </w:pPr>
          <w:hyperlink w:anchor="__RefHeading___Toc79068_3244359995">
            <w:r>
              <w:rPr>
                <w:webHidden/>
                <w:rStyle w:val="IndexLink"/>
                <w:rtl w:val="true"/>
              </w:rPr>
              <w:t>مقصود از محارم</w:t>
            </w:r>
            <w:r>
              <w:rPr>
                <w:rStyle w:val="IndexLink"/>
                <w:rtl w:val="true"/>
              </w:rPr>
              <w:tab/>
            </w:r>
            <w:r>
              <w:rPr>
                <w:rStyle w:val="IndexLink"/>
              </w:rPr>
              <w:t>379</w:t>
            </w:r>
          </w:hyperlink>
        </w:p>
        <w:p>
          <w:pPr>
            <w:pStyle w:val="Contents6"/>
            <w:tabs>
              <w:tab w:val="clear" w:pos="7609"/>
              <w:tab w:val="right" w:pos="9026" w:leader="dot"/>
            </w:tabs>
            <w:rPr/>
          </w:pPr>
          <w:hyperlink w:anchor="__RefHeading___Toc79070_3244359995">
            <w:r>
              <w:rPr>
                <w:webHidden/>
                <w:rStyle w:val="IndexLink"/>
                <w:rtl w:val="true"/>
              </w:rPr>
              <w:t>راه‌های الحاق محارم رضاعی و سببی به نسبی</w:t>
            </w:r>
            <w:r>
              <w:rPr>
                <w:rStyle w:val="IndexLink"/>
                <w:rtl w:val="true"/>
              </w:rPr>
              <w:tab/>
            </w:r>
            <w:r>
              <w:rPr>
                <w:rStyle w:val="IndexLink"/>
              </w:rPr>
              <w:t>381</w:t>
            </w:r>
          </w:hyperlink>
        </w:p>
        <w:p>
          <w:pPr>
            <w:pStyle w:val="Contents6"/>
            <w:tabs>
              <w:tab w:val="clear" w:pos="7609"/>
              <w:tab w:val="right" w:pos="9026" w:leader="dot"/>
            </w:tabs>
            <w:rPr/>
          </w:pPr>
          <w:hyperlink w:anchor="__RefHeading___Toc79072_3244359995">
            <w:r>
              <w:rPr>
                <w:webHidden/>
                <w:rStyle w:val="IndexLink"/>
                <w:rtl w:val="true"/>
              </w:rPr>
              <w:t>تعمیم حکم نسبت به زنی که نکاح با او حرام است</w:t>
            </w:r>
            <w:r>
              <w:rPr>
                <w:rStyle w:val="IndexLink"/>
                <w:rtl w:val="true"/>
              </w:rPr>
              <w:tab/>
            </w:r>
            <w:r>
              <w:rPr>
                <w:rStyle w:val="IndexLink"/>
              </w:rPr>
              <w:t>385</w:t>
            </w:r>
          </w:hyperlink>
        </w:p>
        <w:p>
          <w:pPr>
            <w:pStyle w:val="Contents6"/>
            <w:tabs>
              <w:tab w:val="clear" w:pos="7609"/>
              <w:tab w:val="right" w:pos="9026" w:leader="dot"/>
            </w:tabs>
            <w:rPr/>
          </w:pPr>
          <w:hyperlink w:anchor="__RefHeading___Toc79074_3244359995">
            <w:r>
              <w:rPr>
                <w:webHidden/>
                <w:rStyle w:val="IndexLink"/>
                <w:rtl w:val="true"/>
              </w:rPr>
              <w:t>محرمیّت به واسطه‌ی نسب غیر شرعی</w:t>
            </w:r>
            <w:r>
              <w:rPr>
                <w:rStyle w:val="IndexLink"/>
                <w:rtl w:val="true"/>
              </w:rPr>
              <w:tab/>
            </w:r>
            <w:r>
              <w:rPr>
                <w:rStyle w:val="IndexLink"/>
              </w:rPr>
              <w:t>385</w:t>
            </w:r>
          </w:hyperlink>
        </w:p>
        <w:p>
          <w:pPr>
            <w:pStyle w:val="Contents6"/>
            <w:tabs>
              <w:tab w:val="clear" w:pos="7609"/>
              <w:tab w:val="right" w:pos="9026" w:leader="dot"/>
            </w:tabs>
            <w:rPr/>
          </w:pPr>
          <w:hyperlink w:anchor="__RefHeading___Toc79076_3244359995">
            <w:r>
              <w:rPr>
                <w:webHidden/>
                <w:rStyle w:val="IndexLink"/>
                <w:rtl w:val="true"/>
              </w:rPr>
              <w:t>حکم زنا با همسر پدر</w:t>
            </w:r>
            <w:r>
              <w:rPr>
                <w:rStyle w:val="IndexLink"/>
                <w:rtl w:val="true"/>
              </w:rPr>
              <w:tab/>
            </w:r>
            <w:r>
              <w:rPr>
                <w:rStyle w:val="IndexLink"/>
              </w:rPr>
              <w:t>386</w:t>
            </w:r>
          </w:hyperlink>
        </w:p>
        <w:p>
          <w:pPr>
            <w:pStyle w:val="Contents6"/>
            <w:tabs>
              <w:tab w:val="clear" w:pos="7609"/>
              <w:tab w:val="right" w:pos="9026" w:leader="dot"/>
            </w:tabs>
            <w:rPr/>
          </w:pPr>
          <w:hyperlink w:anchor="__RefHeading___Toc79078_3244359995">
            <w:r>
              <w:rPr>
                <w:webHidden/>
                <w:rStyle w:val="IndexLink"/>
                <w:rtl w:val="true"/>
              </w:rPr>
              <w:t>کیفیّت قتل زانی زن پدر</w:t>
            </w:r>
            <w:r>
              <w:rPr>
                <w:rStyle w:val="IndexLink"/>
                <w:rtl w:val="true"/>
              </w:rPr>
              <w:tab/>
            </w:r>
            <w:r>
              <w:rPr>
                <w:rStyle w:val="IndexLink"/>
              </w:rPr>
              <w:t>388</w:t>
            </w:r>
          </w:hyperlink>
        </w:p>
        <w:p>
          <w:pPr>
            <w:pStyle w:val="Contents5"/>
            <w:tabs>
              <w:tab w:val="clear" w:pos="7892"/>
              <w:tab w:val="right" w:pos="9026" w:leader="dot"/>
            </w:tabs>
            <w:rPr/>
          </w:pPr>
          <w:hyperlink w:anchor="__RefHeading___Toc79080_3244359995">
            <w:r>
              <w:rPr>
                <w:webHidden/>
                <w:rStyle w:val="IndexLink"/>
                <w:rtl w:val="true"/>
              </w:rPr>
              <w:t>فرع دوم</w:t>
            </w:r>
            <w:r>
              <w:rPr>
                <w:rStyle w:val="IndexLink"/>
                <w:rtl w:val="true"/>
              </w:rPr>
              <w:t xml:space="preserve">: </w:t>
            </w:r>
            <w:r>
              <w:rPr>
                <w:rStyle w:val="IndexLink"/>
                <w:rtl w:val="true"/>
              </w:rPr>
              <w:t>حکم زنای کافر با زن مسلمان</w:t>
            </w:r>
            <w:r>
              <w:rPr>
                <w:rStyle w:val="IndexLink"/>
                <w:rtl w:val="true"/>
              </w:rPr>
              <w:tab/>
            </w:r>
            <w:r>
              <w:rPr>
                <w:rStyle w:val="IndexLink"/>
              </w:rPr>
              <w:t>389</w:t>
            </w:r>
          </w:hyperlink>
        </w:p>
        <w:p>
          <w:pPr>
            <w:pStyle w:val="Contents5"/>
            <w:tabs>
              <w:tab w:val="clear" w:pos="7892"/>
              <w:tab w:val="right" w:pos="9026" w:leader="dot"/>
            </w:tabs>
            <w:rPr/>
          </w:pPr>
          <w:hyperlink w:anchor="__RefHeading___Toc79082_3244359995">
            <w:r>
              <w:rPr>
                <w:webHidden/>
                <w:rStyle w:val="IndexLink"/>
                <w:rtl w:val="true"/>
              </w:rPr>
              <w:t>فرع سوم</w:t>
            </w:r>
            <w:r>
              <w:rPr>
                <w:rStyle w:val="IndexLink"/>
                <w:rtl w:val="true"/>
              </w:rPr>
              <w:t xml:space="preserve">: </w:t>
            </w:r>
            <w:r>
              <w:rPr>
                <w:rStyle w:val="IndexLink"/>
                <w:rtl w:val="true"/>
              </w:rPr>
              <w:t>حکم زنای مکره</w:t>
            </w:r>
            <w:r>
              <w:rPr>
                <w:rStyle w:val="IndexLink"/>
                <w:rtl w:val="true"/>
              </w:rPr>
              <w:tab/>
            </w:r>
            <w:r>
              <w:rPr>
                <w:rStyle w:val="IndexLink"/>
              </w:rPr>
              <w:t>396</w:t>
            </w:r>
          </w:hyperlink>
        </w:p>
        <w:p>
          <w:pPr>
            <w:pStyle w:val="Contents4"/>
            <w:tabs>
              <w:tab w:val="clear" w:pos="8176"/>
              <w:tab w:val="right" w:pos="9026" w:leader="dot"/>
            </w:tabs>
            <w:rPr/>
          </w:pPr>
          <w:hyperlink w:anchor="__RefHeading___Toc79084_3244359995">
            <w:r>
              <w:rPr>
                <w:webHidden/>
                <w:rStyle w:val="IndexLink"/>
                <w:rtl w:val="true"/>
              </w:rPr>
              <w:t>عدم اعتبار احصان در حدّ قتل</w:t>
            </w:r>
            <w:r>
              <w:rPr>
                <w:rStyle w:val="IndexLink"/>
                <w:rtl w:val="true"/>
              </w:rPr>
              <w:tab/>
            </w:r>
            <w:r>
              <w:rPr>
                <w:rStyle w:val="IndexLink"/>
              </w:rPr>
              <w:t>402</w:t>
            </w:r>
          </w:hyperlink>
        </w:p>
        <w:p>
          <w:pPr>
            <w:pStyle w:val="Contents5"/>
            <w:tabs>
              <w:tab w:val="clear" w:pos="7892"/>
              <w:tab w:val="right" w:pos="9026" w:leader="dot"/>
            </w:tabs>
            <w:rPr/>
          </w:pPr>
          <w:hyperlink w:anchor="__RefHeading___Toc79086_3244359995">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79088_3244359995">
            <w:r>
              <w:rPr>
                <w:webHidden/>
                <w:rStyle w:val="IndexLink"/>
                <w:rtl w:val="true"/>
              </w:rPr>
              <w:t>فرع اوّل</w:t>
            </w:r>
            <w:r>
              <w:rPr>
                <w:rStyle w:val="IndexLink"/>
                <w:rtl w:val="true"/>
              </w:rPr>
              <w:t xml:space="preserve">: </w:t>
            </w:r>
            <w:r>
              <w:rPr>
                <w:rStyle w:val="IndexLink"/>
                <w:rtl w:val="true"/>
              </w:rPr>
              <w:t>عدم فرق بین عبد و حرّ، پیر و جوان و کافر و مسلمان</w:t>
            </w:r>
            <w:r>
              <w:rPr>
                <w:rStyle w:val="IndexLink"/>
                <w:rtl w:val="true"/>
              </w:rPr>
              <w:tab/>
            </w:r>
            <w:r>
              <w:rPr>
                <w:rStyle w:val="IndexLink"/>
              </w:rPr>
              <w:t>402</w:t>
            </w:r>
          </w:hyperlink>
        </w:p>
        <w:p>
          <w:pPr>
            <w:pStyle w:val="Contents5"/>
            <w:tabs>
              <w:tab w:val="clear" w:pos="7892"/>
              <w:tab w:val="right" w:pos="9026" w:leader="dot"/>
            </w:tabs>
            <w:rPr/>
          </w:pPr>
          <w:hyperlink w:anchor="__RefHeading___Toc79090_3244359995">
            <w:r>
              <w:rPr>
                <w:webHidden/>
                <w:rStyle w:val="IndexLink"/>
                <w:rtl w:val="true"/>
              </w:rPr>
              <w:t>فرع دوم</w:t>
            </w:r>
            <w:r>
              <w:rPr>
                <w:rStyle w:val="IndexLink"/>
                <w:rtl w:val="true"/>
              </w:rPr>
              <w:t xml:space="preserve">: </w:t>
            </w:r>
            <w:r>
              <w:rPr>
                <w:rStyle w:val="IndexLink"/>
                <w:rtl w:val="true"/>
              </w:rPr>
              <w:t>عدم ثبوت تازیانه اضافه بر حدّ قتل</w:t>
            </w:r>
            <w:r>
              <w:rPr>
                <w:rStyle w:val="IndexLink"/>
                <w:rtl w:val="true"/>
              </w:rPr>
              <w:tab/>
            </w:r>
            <w:r>
              <w:rPr>
                <w:rStyle w:val="IndexLink"/>
              </w:rPr>
              <w:t>403</w:t>
            </w:r>
          </w:hyperlink>
        </w:p>
        <w:p>
          <w:pPr>
            <w:pStyle w:val="Contents4"/>
            <w:tabs>
              <w:tab w:val="clear" w:pos="8176"/>
              <w:tab w:val="right" w:pos="9026" w:leader="dot"/>
            </w:tabs>
            <w:rPr/>
          </w:pPr>
          <w:hyperlink w:anchor="__RefHeading___Toc79092_3244359995">
            <w:r>
              <w:rPr>
                <w:webHidden/>
                <w:rStyle w:val="IndexLink"/>
                <w:rtl w:val="true"/>
              </w:rPr>
              <w:t>دوّمین حدّ زنا</w:t>
            </w:r>
            <w:r>
              <w:rPr>
                <w:rStyle w:val="IndexLink"/>
                <w:rtl w:val="true"/>
              </w:rPr>
              <w:t xml:space="preserve">: </w:t>
            </w:r>
            <w:r>
              <w:rPr>
                <w:rStyle w:val="IndexLink"/>
                <w:rtl w:val="true"/>
              </w:rPr>
              <w:t>رجم</w:t>
            </w:r>
            <w:r>
              <w:rPr>
                <w:rStyle w:val="IndexLink"/>
                <w:rtl w:val="true"/>
              </w:rPr>
              <w:tab/>
            </w:r>
            <w:r>
              <w:rPr>
                <w:rStyle w:val="IndexLink"/>
              </w:rPr>
              <w:t>411</w:t>
            </w:r>
          </w:hyperlink>
        </w:p>
        <w:p>
          <w:pPr>
            <w:pStyle w:val="Contents5"/>
            <w:tabs>
              <w:tab w:val="clear" w:pos="7892"/>
              <w:tab w:val="right" w:pos="9026" w:leader="dot"/>
            </w:tabs>
            <w:rPr/>
          </w:pPr>
          <w:hyperlink w:anchor="__RefHeading___Toc79094_3244359995">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79096_3244359995">
            <w:r>
              <w:rPr>
                <w:webHidden/>
                <w:rStyle w:val="IndexLink"/>
                <w:rtl w:val="true"/>
              </w:rPr>
              <w:t>ثبوت حدّ رجم</w:t>
            </w:r>
            <w:r>
              <w:rPr>
                <w:rStyle w:val="IndexLink"/>
                <w:rtl w:val="true"/>
              </w:rPr>
              <w:tab/>
            </w:r>
            <w:r>
              <w:rPr>
                <w:rStyle w:val="IndexLink"/>
              </w:rPr>
              <w:t>411</w:t>
            </w:r>
          </w:hyperlink>
        </w:p>
        <w:p>
          <w:pPr>
            <w:pStyle w:val="Contents5"/>
            <w:tabs>
              <w:tab w:val="clear" w:pos="7892"/>
              <w:tab w:val="right" w:pos="9026" w:leader="dot"/>
            </w:tabs>
            <w:rPr/>
          </w:pPr>
          <w:hyperlink w:anchor="__RefHeading___Toc79098_3244359995">
            <w:r>
              <w:rPr>
                <w:webHidden/>
                <w:rStyle w:val="IndexLink"/>
                <w:rtl w:val="true"/>
              </w:rPr>
              <w:t>مناقشه در روایت رجم</w:t>
            </w:r>
            <w:r>
              <w:rPr>
                <w:rStyle w:val="IndexLink"/>
                <w:rtl w:val="true"/>
              </w:rPr>
              <w:tab/>
            </w:r>
            <w:r>
              <w:rPr>
                <w:rStyle w:val="IndexLink"/>
              </w:rPr>
              <w:t>414</w:t>
            </w:r>
          </w:hyperlink>
        </w:p>
        <w:p>
          <w:pPr>
            <w:pStyle w:val="Contents5"/>
            <w:tabs>
              <w:tab w:val="clear" w:pos="7892"/>
              <w:tab w:val="right" w:pos="9026" w:leader="dot"/>
            </w:tabs>
            <w:rPr/>
          </w:pPr>
          <w:hyperlink w:anchor="__RefHeading___Toc79100_3244359995">
            <w:r>
              <w:rPr>
                <w:webHidden/>
                <w:rStyle w:val="IndexLink"/>
                <w:rtl w:val="true"/>
              </w:rPr>
              <w:t>ثبوت رجم همراه با تازیانه یا بدون آن</w:t>
            </w:r>
            <w:r>
              <w:rPr>
                <w:rStyle w:val="IndexLink"/>
                <w:rtl w:val="true"/>
              </w:rPr>
              <w:tab/>
            </w:r>
            <w:r>
              <w:rPr>
                <w:rStyle w:val="IndexLink"/>
              </w:rPr>
              <w:t>415</w:t>
            </w:r>
          </w:hyperlink>
        </w:p>
        <w:p>
          <w:pPr>
            <w:pStyle w:val="Contents5"/>
            <w:tabs>
              <w:tab w:val="clear" w:pos="7892"/>
              <w:tab w:val="right" w:pos="9026" w:leader="dot"/>
            </w:tabs>
            <w:rPr/>
          </w:pPr>
          <w:hyperlink w:anchor="__RefHeading___Toc79102_3244359995">
            <w:r>
              <w:rPr>
                <w:webHidden/>
                <w:rStyle w:val="IndexLink"/>
                <w:rtl w:val="true"/>
              </w:rPr>
              <w:t>تقسیم‌بندی روایات باب رجم</w:t>
            </w:r>
            <w:r>
              <w:rPr>
                <w:rStyle w:val="IndexLink"/>
                <w:rtl w:val="true"/>
              </w:rPr>
              <w:tab/>
            </w:r>
            <w:r>
              <w:rPr>
                <w:rStyle w:val="IndexLink"/>
              </w:rPr>
              <w:t>416</w:t>
            </w:r>
          </w:hyperlink>
        </w:p>
        <w:p>
          <w:pPr>
            <w:pStyle w:val="Contents4"/>
            <w:tabs>
              <w:tab w:val="clear" w:pos="8176"/>
              <w:tab w:val="right" w:pos="9026" w:leader="dot"/>
            </w:tabs>
            <w:rPr/>
          </w:pPr>
          <w:hyperlink w:anchor="__RefHeading___Toc79104_3244359995">
            <w:r>
              <w:rPr>
                <w:webHidden/>
                <w:rStyle w:val="IndexLink"/>
                <w:rtl w:val="true"/>
              </w:rPr>
              <w:t>حکم محصن در زنای با غیر بالغ یا دیوانه</w:t>
            </w:r>
            <w:r>
              <w:rPr>
                <w:rStyle w:val="IndexLink"/>
                <w:rtl w:val="true"/>
              </w:rPr>
              <w:tab/>
            </w:r>
            <w:r>
              <w:rPr>
                <w:rStyle w:val="IndexLink"/>
              </w:rPr>
              <w:t>427</w:t>
            </w:r>
          </w:hyperlink>
        </w:p>
        <w:p>
          <w:pPr>
            <w:pStyle w:val="Contents4"/>
            <w:tabs>
              <w:tab w:val="clear" w:pos="8176"/>
              <w:tab w:val="right" w:pos="9026" w:leader="dot"/>
            </w:tabs>
            <w:rPr/>
          </w:pPr>
          <w:hyperlink w:anchor="__RefHeading___Toc79106_3244359995">
            <w:r>
              <w:rPr>
                <w:webHidden/>
                <w:rStyle w:val="IndexLink"/>
                <w:rtl w:val="true"/>
              </w:rPr>
              <w:t>سوّمین نوع حدّ زنا</w:t>
            </w:r>
            <w:r>
              <w:rPr>
                <w:rStyle w:val="IndexLink"/>
                <w:rtl w:val="true"/>
              </w:rPr>
              <w:t xml:space="preserve">: </w:t>
            </w:r>
            <w:r>
              <w:rPr>
                <w:rStyle w:val="IndexLink"/>
                <w:rtl w:val="true"/>
              </w:rPr>
              <w:t>تازیانه</w:t>
            </w:r>
            <w:r>
              <w:rPr>
                <w:rStyle w:val="IndexLink"/>
                <w:rtl w:val="true"/>
              </w:rPr>
              <w:tab/>
            </w:r>
            <w:r>
              <w:rPr>
                <w:rStyle w:val="IndexLink"/>
              </w:rPr>
              <w:t>433</w:t>
            </w:r>
          </w:hyperlink>
        </w:p>
        <w:p>
          <w:pPr>
            <w:pStyle w:val="Contents5"/>
            <w:tabs>
              <w:tab w:val="clear" w:pos="7892"/>
              <w:tab w:val="right" w:pos="9026" w:leader="dot"/>
            </w:tabs>
            <w:rPr/>
          </w:pPr>
          <w:hyperlink w:anchor="__RefHeading___Toc79108_3244359995">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79110_3244359995">
            <w:r>
              <w:rPr>
                <w:webHidden/>
                <w:rStyle w:val="IndexLink"/>
                <w:rtl w:val="true"/>
              </w:rPr>
              <w:t>تحقیق محلّ بحث</w:t>
            </w:r>
            <w:r>
              <w:rPr>
                <w:rStyle w:val="IndexLink"/>
                <w:rtl w:val="true"/>
              </w:rPr>
              <w:tab/>
            </w:r>
            <w:r>
              <w:rPr>
                <w:rStyle w:val="IndexLink"/>
              </w:rPr>
              <w:t>433</w:t>
            </w:r>
          </w:hyperlink>
        </w:p>
        <w:p>
          <w:pPr>
            <w:pStyle w:val="Contents5"/>
            <w:tabs>
              <w:tab w:val="clear" w:pos="7892"/>
              <w:tab w:val="right" w:pos="9026" w:leader="dot"/>
            </w:tabs>
            <w:rPr/>
          </w:pPr>
          <w:hyperlink w:anchor="__RefHeading___Toc79112_3244359995">
            <w:r>
              <w:rPr>
                <w:webHidden/>
                <w:rStyle w:val="IndexLink"/>
                <w:rtl w:val="true"/>
              </w:rPr>
              <w:t>بررسی روایات دالّ بر دو عنوان</w:t>
            </w:r>
            <w:r>
              <w:rPr>
                <w:rStyle w:val="IndexLink"/>
                <w:rtl w:val="true"/>
              </w:rPr>
              <w:tab/>
            </w:r>
            <w:r>
              <w:rPr>
                <w:rStyle w:val="IndexLink"/>
              </w:rPr>
              <w:t>434</w:t>
            </w:r>
          </w:hyperlink>
        </w:p>
        <w:p>
          <w:pPr>
            <w:pStyle w:val="Contents5"/>
            <w:tabs>
              <w:tab w:val="clear" w:pos="7892"/>
              <w:tab w:val="right" w:pos="9026" w:leader="dot"/>
            </w:tabs>
            <w:rPr/>
          </w:pPr>
          <w:hyperlink w:anchor="__RefHeading___Toc79114_3244359995">
            <w:r>
              <w:rPr>
                <w:webHidden/>
                <w:rStyle w:val="IndexLink"/>
                <w:rtl w:val="true"/>
              </w:rPr>
              <w:t>بررسی روایات دالّ بر سه عنوان</w:t>
            </w:r>
            <w:r>
              <w:rPr>
                <w:rStyle w:val="IndexLink"/>
                <w:rtl w:val="true"/>
              </w:rPr>
              <w:tab/>
            </w:r>
            <w:r>
              <w:rPr>
                <w:rStyle w:val="IndexLink"/>
              </w:rPr>
              <w:t>439</w:t>
            </w:r>
          </w:hyperlink>
        </w:p>
        <w:p>
          <w:pPr>
            <w:pStyle w:val="Contents4"/>
            <w:tabs>
              <w:tab w:val="clear" w:pos="8176"/>
              <w:tab w:val="right" w:pos="9026" w:leader="dot"/>
            </w:tabs>
            <w:rPr/>
          </w:pPr>
          <w:hyperlink w:anchor="__RefHeading___Toc79116_3244359995">
            <w:r>
              <w:rPr>
                <w:webHidden/>
                <w:rStyle w:val="IndexLink"/>
                <w:rtl w:val="true"/>
              </w:rPr>
              <w:t>چهارمین نوع حدّ زنا</w:t>
            </w:r>
            <w:r>
              <w:rPr>
                <w:rStyle w:val="IndexLink"/>
                <w:rtl w:val="true"/>
              </w:rPr>
              <w:t xml:space="preserve">: </w:t>
            </w:r>
            <w:r>
              <w:rPr>
                <w:rStyle w:val="IndexLink"/>
                <w:rtl w:val="true"/>
              </w:rPr>
              <w:t>صد تازیانه و رجم</w:t>
            </w:r>
            <w:r>
              <w:rPr>
                <w:rStyle w:val="IndexLink"/>
                <w:rtl w:val="true"/>
              </w:rPr>
              <w:tab/>
            </w:r>
            <w:r>
              <w:rPr>
                <w:rStyle w:val="IndexLink"/>
              </w:rPr>
              <w:t>445</w:t>
            </w:r>
          </w:hyperlink>
        </w:p>
        <w:p>
          <w:pPr>
            <w:pStyle w:val="Contents4"/>
            <w:tabs>
              <w:tab w:val="clear" w:pos="8176"/>
              <w:tab w:val="right" w:pos="9026" w:leader="dot"/>
            </w:tabs>
            <w:rPr/>
          </w:pPr>
          <w:hyperlink w:anchor="__RefHeading___Toc79118_3244359995">
            <w:r>
              <w:rPr>
                <w:webHidden/>
                <w:rStyle w:val="IndexLink"/>
                <w:rtl w:val="true"/>
              </w:rPr>
              <w:t>پنجمین نوع حدّ زنا</w:t>
            </w:r>
            <w:r>
              <w:rPr>
                <w:rStyle w:val="IndexLink"/>
                <w:rtl w:val="true"/>
              </w:rPr>
              <w:t xml:space="preserve">: </w:t>
            </w:r>
            <w:r>
              <w:rPr>
                <w:rStyle w:val="IndexLink"/>
                <w:rtl w:val="true"/>
              </w:rPr>
              <w:t>صد تازیانه و تبعید و تراشیدن سر</w:t>
            </w:r>
            <w:r>
              <w:rPr>
                <w:rStyle w:val="IndexLink"/>
                <w:rtl w:val="true"/>
              </w:rPr>
              <w:tab/>
            </w:r>
            <w:r>
              <w:rPr>
                <w:rStyle w:val="IndexLink"/>
              </w:rPr>
              <w:t>446</w:t>
            </w:r>
          </w:hyperlink>
        </w:p>
        <w:p>
          <w:pPr>
            <w:pStyle w:val="Contents5"/>
            <w:tabs>
              <w:tab w:val="clear" w:pos="7892"/>
              <w:tab w:val="right" w:pos="9026" w:leader="dot"/>
            </w:tabs>
            <w:rPr/>
          </w:pPr>
          <w:hyperlink w:anchor="__RefHeading___Toc79120_3244359995">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79122_3244359995">
            <w:r>
              <w:rPr>
                <w:webHidden/>
                <w:rStyle w:val="IndexLink"/>
                <w:rtl w:val="true"/>
              </w:rPr>
              <w:t>اقوال در مسأله</w:t>
            </w:r>
            <w:r>
              <w:rPr>
                <w:rStyle w:val="IndexLink"/>
                <w:rtl w:val="true"/>
              </w:rPr>
              <w:tab/>
            </w:r>
            <w:r>
              <w:rPr>
                <w:rStyle w:val="IndexLink"/>
              </w:rPr>
              <w:t>446</w:t>
            </w:r>
          </w:hyperlink>
        </w:p>
        <w:p>
          <w:pPr>
            <w:pStyle w:val="Contents5"/>
            <w:tabs>
              <w:tab w:val="clear" w:pos="7892"/>
              <w:tab w:val="right" w:pos="9026" w:leader="dot"/>
            </w:tabs>
            <w:rPr/>
          </w:pPr>
          <w:hyperlink w:anchor="__RefHeading___Toc79124_3244359995">
            <w:r>
              <w:rPr>
                <w:webHidden/>
                <w:rStyle w:val="IndexLink"/>
                <w:rtl w:val="true"/>
              </w:rPr>
              <w:t>روایات دالّ بر حکم</w:t>
            </w:r>
            <w:r>
              <w:rPr>
                <w:rStyle w:val="IndexLink"/>
                <w:rtl w:val="true"/>
              </w:rPr>
              <w:tab/>
            </w:r>
            <w:r>
              <w:rPr>
                <w:rStyle w:val="IndexLink"/>
              </w:rPr>
              <w:t>447</w:t>
            </w:r>
          </w:hyperlink>
        </w:p>
        <w:p>
          <w:pPr>
            <w:pStyle w:val="Contents4"/>
            <w:tabs>
              <w:tab w:val="clear" w:pos="8176"/>
              <w:tab w:val="right" w:pos="9026" w:leader="dot"/>
            </w:tabs>
            <w:rPr/>
          </w:pPr>
          <w:hyperlink w:anchor="__RefHeading___Toc79126_3244359995">
            <w:r>
              <w:rPr>
                <w:webHidden/>
                <w:rStyle w:val="IndexLink"/>
                <w:rtl w:val="true"/>
              </w:rPr>
              <w:t>جزّ شعر یا حلق رأس؟</w:t>
            </w:r>
            <w:r>
              <w:rPr>
                <w:rStyle w:val="IndexLink"/>
                <w:rtl w:val="true"/>
              </w:rPr>
              <w:tab/>
            </w:r>
            <w:r>
              <w:rPr>
                <w:rStyle w:val="IndexLink"/>
              </w:rPr>
              <w:t>449</w:t>
            </w:r>
          </w:hyperlink>
        </w:p>
        <w:p>
          <w:pPr>
            <w:pStyle w:val="Contents5"/>
            <w:tabs>
              <w:tab w:val="clear" w:pos="7892"/>
              <w:tab w:val="right" w:pos="9026" w:leader="dot"/>
            </w:tabs>
            <w:rPr/>
          </w:pPr>
          <w:hyperlink w:anchor="__RefHeading___Toc79128_3244359995">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79130_3244359995">
            <w:r>
              <w:rPr>
                <w:webHidden/>
                <w:rStyle w:val="IndexLink"/>
                <w:rtl w:val="true"/>
              </w:rPr>
              <w:t>حلق تمام سر یا مقداری از آن؟</w:t>
            </w:r>
            <w:r>
              <w:rPr>
                <w:rStyle w:val="IndexLink"/>
                <w:rtl w:val="true"/>
              </w:rPr>
              <w:tab/>
            </w:r>
            <w:r>
              <w:rPr>
                <w:rStyle w:val="IndexLink"/>
              </w:rPr>
              <w:t>449</w:t>
            </w:r>
          </w:hyperlink>
        </w:p>
        <w:p>
          <w:pPr>
            <w:pStyle w:val="Contents5"/>
            <w:tabs>
              <w:tab w:val="clear" w:pos="7892"/>
              <w:tab w:val="right" w:pos="9026" w:leader="dot"/>
            </w:tabs>
            <w:rPr/>
          </w:pPr>
          <w:hyperlink w:anchor="__RefHeading___Toc79132_3244359995">
            <w:r>
              <w:rPr>
                <w:webHidden/>
                <w:rStyle w:val="IndexLink"/>
                <w:rtl w:val="true"/>
              </w:rPr>
              <w:t>موضوع حلق رأس</w:t>
            </w:r>
            <w:r>
              <w:rPr>
                <w:rStyle w:val="IndexLink"/>
                <w:rtl w:val="true"/>
              </w:rPr>
              <w:tab/>
            </w:r>
            <w:r>
              <w:rPr>
                <w:rStyle w:val="IndexLink"/>
              </w:rPr>
              <w:t>450</w:t>
            </w:r>
          </w:hyperlink>
        </w:p>
        <w:p>
          <w:pPr>
            <w:pStyle w:val="Contents5"/>
            <w:tabs>
              <w:tab w:val="clear" w:pos="7892"/>
              <w:tab w:val="right" w:pos="9026" w:leader="dot"/>
            </w:tabs>
            <w:rPr/>
          </w:pPr>
          <w:hyperlink w:anchor="__RefHeading___Toc79134_3244359995">
            <w:r>
              <w:rPr>
                <w:webHidden/>
                <w:rStyle w:val="IndexLink"/>
                <w:rtl w:val="true"/>
              </w:rPr>
              <w:t>حکم جدایی بین زانی و همسرش</w:t>
            </w:r>
            <w:r>
              <w:rPr>
                <w:rStyle w:val="IndexLink"/>
                <w:rtl w:val="true"/>
              </w:rPr>
              <w:tab/>
            </w:r>
            <w:r>
              <w:rPr>
                <w:rStyle w:val="IndexLink"/>
              </w:rPr>
              <w:t>450</w:t>
            </w:r>
          </w:hyperlink>
        </w:p>
        <w:p>
          <w:pPr>
            <w:pStyle w:val="Contents5"/>
            <w:tabs>
              <w:tab w:val="clear" w:pos="7892"/>
              <w:tab w:val="right" w:pos="9026" w:leader="dot"/>
            </w:tabs>
            <w:rPr/>
          </w:pPr>
          <w:hyperlink w:anchor="__RefHeading___Toc79136_3244359995">
            <w:r>
              <w:rPr>
                <w:webHidden/>
                <w:rStyle w:val="IndexLink"/>
                <w:rtl w:val="true"/>
              </w:rPr>
              <w:t>کیفیّت جمع بین دو طایفه</w:t>
            </w:r>
            <w:r>
              <w:rPr>
                <w:rStyle w:val="IndexLink"/>
                <w:rtl w:val="true"/>
              </w:rPr>
              <w:tab/>
            </w:r>
            <w:r>
              <w:rPr>
                <w:rStyle w:val="IndexLink"/>
              </w:rPr>
              <w:t>451</w:t>
            </w:r>
          </w:hyperlink>
        </w:p>
        <w:p>
          <w:pPr>
            <w:pStyle w:val="Contents5"/>
            <w:tabs>
              <w:tab w:val="clear" w:pos="7892"/>
              <w:tab w:val="right" w:pos="9026" w:leader="dot"/>
            </w:tabs>
            <w:rPr/>
          </w:pPr>
          <w:hyperlink w:anchor="__RefHeading___Toc79138_3244359995">
            <w:r>
              <w:rPr>
                <w:webHidden/>
                <w:rStyle w:val="IndexLink"/>
                <w:rtl w:val="true"/>
              </w:rPr>
              <w:t>اختصاص حلق رأس به مرد زانی</w:t>
            </w:r>
            <w:r>
              <w:rPr>
                <w:rStyle w:val="IndexLink"/>
                <w:rtl w:val="true"/>
              </w:rPr>
              <w:tab/>
            </w:r>
            <w:r>
              <w:rPr>
                <w:rStyle w:val="IndexLink"/>
              </w:rPr>
              <w:t>451</w:t>
            </w:r>
          </w:hyperlink>
        </w:p>
        <w:p>
          <w:pPr>
            <w:pStyle w:val="Contents5"/>
            <w:tabs>
              <w:tab w:val="clear" w:pos="7892"/>
              <w:tab w:val="right" w:pos="9026" w:leader="dot"/>
            </w:tabs>
            <w:rPr/>
          </w:pPr>
          <w:hyperlink w:anchor="__RefHeading___Toc79140_3244359995">
            <w:r>
              <w:rPr>
                <w:webHidden/>
                <w:rStyle w:val="IndexLink"/>
                <w:rtl w:val="true"/>
              </w:rPr>
              <w:t>اختصاص تبعید به مرد زانی</w:t>
            </w:r>
            <w:r>
              <w:rPr>
                <w:rStyle w:val="IndexLink"/>
                <w:rtl w:val="true"/>
              </w:rPr>
              <w:tab/>
            </w:r>
            <w:r>
              <w:rPr>
                <w:rStyle w:val="IndexLink"/>
              </w:rPr>
              <w:t>451</w:t>
            </w:r>
          </w:hyperlink>
        </w:p>
        <w:p>
          <w:pPr>
            <w:pStyle w:val="Contents4"/>
            <w:tabs>
              <w:tab w:val="clear" w:pos="8176"/>
              <w:tab w:val="right" w:pos="9026" w:leader="dot"/>
            </w:tabs>
            <w:rPr/>
          </w:pPr>
          <w:hyperlink w:anchor="__RefHeading___Toc79142_3244359995">
            <w:r>
              <w:rPr>
                <w:webHidden/>
                <w:rStyle w:val="IndexLink"/>
                <w:rtl w:val="true"/>
              </w:rPr>
              <w:t>تبعید و خصوصیّات آن</w:t>
            </w:r>
            <w:r>
              <w:rPr>
                <w:rStyle w:val="IndexLink"/>
                <w:rtl w:val="true"/>
              </w:rPr>
              <w:tab/>
            </w:r>
            <w:r>
              <w:rPr>
                <w:rStyle w:val="IndexLink"/>
              </w:rPr>
              <w:t>455</w:t>
            </w:r>
          </w:hyperlink>
        </w:p>
        <w:p>
          <w:pPr>
            <w:pStyle w:val="Contents5"/>
            <w:tabs>
              <w:tab w:val="clear" w:pos="7892"/>
              <w:tab w:val="right" w:pos="9026" w:leader="dot"/>
            </w:tabs>
            <w:rPr/>
          </w:pPr>
          <w:hyperlink w:anchor="__RefHeading___Toc79144_3244359995">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79146_3244359995">
            <w:r>
              <w:rPr>
                <w:webHidden/>
                <w:rStyle w:val="IndexLink"/>
                <w:rtl w:val="true"/>
              </w:rPr>
              <w:t>فرع اوّل</w:t>
            </w:r>
            <w:r>
              <w:rPr>
                <w:rStyle w:val="IndexLink"/>
                <w:rtl w:val="true"/>
              </w:rPr>
              <w:t xml:space="preserve">: </w:t>
            </w:r>
            <w:r>
              <w:rPr>
                <w:rStyle w:val="IndexLink"/>
                <w:rtl w:val="true"/>
              </w:rPr>
              <w:t>مقدار تبعید</w:t>
            </w:r>
            <w:r>
              <w:rPr>
                <w:rStyle w:val="IndexLink"/>
                <w:rtl w:val="true"/>
              </w:rPr>
              <w:tab/>
            </w:r>
            <w:r>
              <w:rPr>
                <w:rStyle w:val="IndexLink"/>
              </w:rPr>
              <w:t>455</w:t>
            </w:r>
          </w:hyperlink>
        </w:p>
        <w:p>
          <w:pPr>
            <w:pStyle w:val="Contents5"/>
            <w:tabs>
              <w:tab w:val="clear" w:pos="7892"/>
              <w:tab w:val="right" w:pos="9026" w:leader="dot"/>
            </w:tabs>
            <w:rPr/>
          </w:pPr>
          <w:hyperlink w:anchor="__RefHeading___Toc79148_3244359995">
            <w:r>
              <w:rPr>
                <w:webHidden/>
                <w:rStyle w:val="IndexLink"/>
                <w:rtl w:val="true"/>
              </w:rPr>
              <w:t>فرع دوم</w:t>
            </w:r>
            <w:r>
              <w:rPr>
                <w:rStyle w:val="IndexLink"/>
                <w:rtl w:val="true"/>
              </w:rPr>
              <w:t xml:space="preserve">: </w:t>
            </w:r>
            <w:r>
              <w:rPr>
                <w:rStyle w:val="IndexLink"/>
                <w:rtl w:val="true"/>
              </w:rPr>
              <w:t>مکان تبعید</w:t>
            </w:r>
            <w:r>
              <w:rPr>
                <w:rStyle w:val="IndexLink"/>
                <w:rtl w:val="true"/>
              </w:rPr>
              <w:tab/>
            </w:r>
            <w:r>
              <w:rPr>
                <w:rStyle w:val="IndexLink"/>
              </w:rPr>
              <w:t>459</w:t>
            </w:r>
          </w:hyperlink>
        </w:p>
        <w:p>
          <w:pPr>
            <w:pStyle w:val="Contents5"/>
            <w:tabs>
              <w:tab w:val="clear" w:pos="7892"/>
              <w:tab w:val="right" w:pos="9026" w:leader="dot"/>
            </w:tabs>
            <w:rPr/>
          </w:pPr>
          <w:hyperlink w:anchor="__RefHeading___Toc79150_3244359995">
            <w:r>
              <w:rPr>
                <w:webHidden/>
                <w:rStyle w:val="IndexLink"/>
                <w:rtl w:val="true"/>
              </w:rPr>
              <w:t>فرع سوم</w:t>
            </w:r>
            <w:r>
              <w:rPr>
                <w:rStyle w:val="IndexLink"/>
                <w:rtl w:val="true"/>
              </w:rPr>
              <w:t xml:space="preserve">: </w:t>
            </w:r>
            <w:r>
              <w:rPr>
                <w:rStyle w:val="IndexLink"/>
                <w:rtl w:val="true"/>
              </w:rPr>
              <w:t>عدم تبعید از محل اقامه‌ی حدّ به وطن</w:t>
            </w:r>
            <w:r>
              <w:rPr>
                <w:rStyle w:val="IndexLink"/>
                <w:rtl w:val="true"/>
              </w:rPr>
              <w:tab/>
            </w:r>
            <w:r>
              <w:rPr>
                <w:rStyle w:val="IndexLink"/>
              </w:rPr>
              <w:t>460</w:t>
            </w:r>
          </w:hyperlink>
        </w:p>
        <w:p>
          <w:pPr>
            <w:pStyle w:val="Contents5"/>
            <w:tabs>
              <w:tab w:val="clear" w:pos="7892"/>
              <w:tab w:val="right" w:pos="9026" w:leader="dot"/>
            </w:tabs>
            <w:rPr/>
          </w:pPr>
          <w:hyperlink w:anchor="__RefHeading___Toc79152_3244359995">
            <w:r>
              <w:rPr>
                <w:webHidden/>
                <w:rStyle w:val="IndexLink"/>
                <w:rtl w:val="true"/>
              </w:rPr>
              <w:t>فرع چهارم</w:t>
            </w:r>
            <w:r>
              <w:rPr>
                <w:rStyle w:val="IndexLink"/>
                <w:rtl w:val="true"/>
              </w:rPr>
              <w:t xml:space="preserve">: </w:t>
            </w:r>
            <w:r>
              <w:rPr>
                <w:rStyle w:val="IndexLink"/>
                <w:rtl w:val="true"/>
              </w:rPr>
              <w:t>عدم سقوط تبعید در صورت اجرای حدّ در بیابان</w:t>
            </w:r>
            <w:r>
              <w:rPr>
                <w:rStyle w:val="IndexLink"/>
                <w:rtl w:val="true"/>
              </w:rPr>
              <w:tab/>
            </w:r>
            <w:r>
              <w:rPr>
                <w:rStyle w:val="IndexLink"/>
              </w:rPr>
              <w:t>460</w:t>
            </w:r>
          </w:hyperlink>
        </w:p>
        <w:p>
          <w:pPr>
            <w:pStyle w:val="Contents4"/>
            <w:tabs>
              <w:tab w:val="clear" w:pos="8176"/>
              <w:tab w:val="right" w:pos="9026" w:leader="dot"/>
            </w:tabs>
            <w:rPr/>
          </w:pPr>
          <w:hyperlink w:anchor="__RefHeading___Toc79154_3244359995">
            <w:r>
              <w:rPr>
                <w:webHidden/>
                <w:rStyle w:val="IndexLink"/>
                <w:rtl w:val="true"/>
              </w:rPr>
              <w:t>تکرار زنای غیر محصنه</w:t>
            </w:r>
            <w:r>
              <w:rPr>
                <w:rStyle w:val="IndexLink"/>
                <w:rtl w:val="true"/>
              </w:rPr>
              <w:tab/>
            </w:r>
            <w:r>
              <w:rPr>
                <w:rStyle w:val="IndexLink"/>
              </w:rPr>
              <w:t>461</w:t>
            </w:r>
          </w:hyperlink>
        </w:p>
        <w:p>
          <w:pPr>
            <w:pStyle w:val="Contents5"/>
            <w:tabs>
              <w:tab w:val="clear" w:pos="7892"/>
              <w:tab w:val="right" w:pos="9026" w:leader="dot"/>
            </w:tabs>
            <w:rPr/>
          </w:pPr>
          <w:hyperlink w:anchor="__RefHeading___Toc79156_3244359995">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79158_3244359995">
            <w:r>
              <w:rPr>
                <w:webHidden/>
                <w:rStyle w:val="IndexLink"/>
                <w:rtl w:val="true"/>
              </w:rPr>
              <w:t xml:space="preserve">دلیل فرع اوّل </w:t>
            </w:r>
            <w:r>
              <w:rPr>
                <w:rStyle w:val="IndexLink"/>
                <w:rtl w:val="true"/>
              </w:rPr>
              <w:t>(</w:t>
            </w:r>
            <w:r>
              <w:rPr>
                <w:rStyle w:val="IndexLink"/>
                <w:rtl w:val="true"/>
              </w:rPr>
              <w:t>اقامه‌ی یک حدّ در زنای مکرّر</w:t>
            </w:r>
            <w:r>
              <w:rPr>
                <w:rStyle w:val="IndexLink"/>
                <w:rtl w:val="true"/>
              </w:rPr>
              <w:t>)</w:t>
              <w:tab/>
            </w:r>
            <w:r>
              <w:rPr>
                <w:rStyle w:val="IndexLink"/>
              </w:rPr>
              <w:t>461</w:t>
            </w:r>
          </w:hyperlink>
        </w:p>
        <w:p>
          <w:pPr>
            <w:pStyle w:val="Contents5"/>
            <w:tabs>
              <w:tab w:val="clear" w:pos="7892"/>
              <w:tab w:val="right" w:pos="9026" w:leader="dot"/>
            </w:tabs>
            <w:rPr/>
          </w:pPr>
          <w:hyperlink w:anchor="__RefHeading___Toc79160_3244359995">
            <w:r>
              <w:rPr>
                <w:webHidden/>
                <w:rStyle w:val="IndexLink"/>
                <w:rtl w:val="true"/>
              </w:rPr>
              <w:t xml:space="preserve">دلیل فرع دوم و سوم </w:t>
            </w:r>
            <w:r>
              <w:rPr>
                <w:rStyle w:val="IndexLink"/>
                <w:rtl w:val="true"/>
              </w:rPr>
              <w:t>(</w:t>
            </w:r>
            <w:r>
              <w:rPr>
                <w:rStyle w:val="IndexLink"/>
                <w:rtl w:val="true"/>
              </w:rPr>
              <w:t>تکرار حدّ</w:t>
            </w:r>
            <w:r>
              <w:rPr>
                <w:rStyle w:val="IndexLink"/>
                <w:rtl w:val="true"/>
              </w:rPr>
              <w:t>)</w:t>
              <w:tab/>
            </w:r>
            <w:r>
              <w:rPr>
                <w:rStyle w:val="IndexLink"/>
              </w:rPr>
              <w:t>465</w:t>
            </w:r>
          </w:hyperlink>
        </w:p>
        <w:p>
          <w:pPr>
            <w:pStyle w:val="Contents4"/>
            <w:tabs>
              <w:tab w:val="clear" w:pos="8176"/>
              <w:tab w:val="right" w:pos="9026" w:leader="dot"/>
            </w:tabs>
            <w:rPr/>
          </w:pPr>
          <w:hyperlink w:anchor="__RefHeading___Toc79162_3244359995">
            <w:r>
              <w:rPr>
                <w:webHidden/>
                <w:rStyle w:val="IndexLink"/>
                <w:rtl w:val="true"/>
              </w:rPr>
              <w:t>تخلّل حدّ بین زنای مکرّر</w:t>
            </w:r>
            <w:r>
              <w:rPr>
                <w:rStyle w:val="IndexLink"/>
                <w:rtl w:val="true"/>
              </w:rPr>
              <w:tab/>
            </w:r>
            <w:r>
              <w:rPr>
                <w:rStyle w:val="IndexLink"/>
              </w:rPr>
              <w:t>466</w:t>
            </w:r>
          </w:hyperlink>
        </w:p>
        <w:p>
          <w:pPr>
            <w:pStyle w:val="Contents5"/>
            <w:tabs>
              <w:tab w:val="clear" w:pos="7892"/>
              <w:tab w:val="right" w:pos="9026" w:leader="dot"/>
            </w:tabs>
            <w:rPr/>
          </w:pPr>
          <w:hyperlink w:anchor="__RefHeading___Toc79164_3244359995">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79166_3244359995">
            <w:r>
              <w:rPr>
                <w:webHidden/>
                <w:rStyle w:val="IndexLink"/>
                <w:rtl w:val="true"/>
              </w:rPr>
              <w:t>تساوی مرد و زن در حدّ قتل</w:t>
            </w:r>
            <w:r>
              <w:rPr>
                <w:rStyle w:val="IndexLink"/>
                <w:rtl w:val="true"/>
              </w:rPr>
              <w:tab/>
            </w:r>
            <w:r>
              <w:rPr>
                <w:rStyle w:val="IndexLink"/>
              </w:rPr>
              <w:t>470</w:t>
            </w:r>
          </w:hyperlink>
        </w:p>
        <w:p>
          <w:pPr>
            <w:pStyle w:val="Contents4"/>
            <w:tabs>
              <w:tab w:val="clear" w:pos="8176"/>
              <w:tab w:val="right" w:pos="9026" w:leader="dot"/>
            </w:tabs>
            <w:rPr/>
          </w:pPr>
          <w:hyperlink w:anchor="__RefHeading___Toc79168_3244359995">
            <w:r>
              <w:rPr>
                <w:webHidden/>
                <w:rStyle w:val="IndexLink"/>
                <w:rtl w:val="true"/>
              </w:rPr>
              <w:t>تخییر حاکم در اجرای حدّ بر ذمّی</w:t>
            </w:r>
            <w:r>
              <w:rPr>
                <w:rStyle w:val="IndexLink"/>
                <w:rtl w:val="true"/>
              </w:rPr>
              <w:tab/>
            </w:r>
            <w:r>
              <w:rPr>
                <w:rStyle w:val="IndexLink"/>
              </w:rPr>
              <w:t>471</w:t>
            </w:r>
          </w:hyperlink>
        </w:p>
        <w:p>
          <w:pPr>
            <w:pStyle w:val="Contents5"/>
            <w:tabs>
              <w:tab w:val="clear" w:pos="7892"/>
              <w:tab w:val="right" w:pos="9026" w:leader="dot"/>
            </w:tabs>
            <w:rPr/>
          </w:pPr>
          <w:hyperlink w:anchor="__RefHeading___Toc79170_3244359995">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79172_3244359995">
            <w:r>
              <w:rPr>
                <w:webHidden/>
                <w:rStyle w:val="IndexLink"/>
                <w:rtl w:val="true"/>
              </w:rPr>
              <w:t>فرع اوّل</w:t>
            </w:r>
            <w:r>
              <w:rPr>
                <w:rStyle w:val="IndexLink"/>
                <w:rtl w:val="true"/>
              </w:rPr>
              <w:t xml:space="preserve">: </w:t>
            </w:r>
            <w:r>
              <w:rPr>
                <w:rStyle w:val="IndexLink"/>
                <w:rtl w:val="true"/>
              </w:rPr>
              <w:t>حکم زنای ذمّی با ذمّی</w:t>
            </w:r>
            <w:r>
              <w:rPr>
                <w:rStyle w:val="IndexLink"/>
                <w:rtl w:val="true"/>
              </w:rPr>
              <w:tab/>
            </w:r>
            <w:r>
              <w:rPr>
                <w:rStyle w:val="IndexLink"/>
              </w:rPr>
              <w:t>471</w:t>
            </w:r>
          </w:hyperlink>
        </w:p>
        <w:p>
          <w:pPr>
            <w:pStyle w:val="Contents6"/>
            <w:tabs>
              <w:tab w:val="clear" w:pos="7609"/>
              <w:tab w:val="right" w:pos="9026" w:leader="dot"/>
            </w:tabs>
            <w:rPr/>
          </w:pPr>
          <w:hyperlink w:anchor="__RefHeading___Toc79174_3244359995">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79176_3244359995">
            <w:r>
              <w:rPr>
                <w:webHidden/>
                <w:rStyle w:val="IndexLink"/>
                <w:rtl w:val="true"/>
              </w:rPr>
              <w:t>ادلّه‌ی تخییر حاکم شرع</w:t>
            </w:r>
            <w:r>
              <w:rPr>
                <w:rStyle w:val="IndexLink"/>
                <w:rtl w:val="true"/>
              </w:rPr>
              <w:tab/>
            </w:r>
            <w:r>
              <w:rPr>
                <w:rStyle w:val="IndexLink"/>
              </w:rPr>
              <w:t>472</w:t>
            </w:r>
          </w:hyperlink>
        </w:p>
        <w:p>
          <w:pPr>
            <w:pStyle w:val="Contents6"/>
            <w:tabs>
              <w:tab w:val="clear" w:pos="7609"/>
              <w:tab w:val="right" w:pos="9026" w:leader="dot"/>
            </w:tabs>
            <w:rPr/>
          </w:pPr>
          <w:hyperlink w:anchor="__RefHeading___Toc79178_3244359995">
            <w:r>
              <w:rPr>
                <w:webHidden/>
                <w:rStyle w:val="IndexLink"/>
                <w:rtl w:val="true"/>
              </w:rPr>
              <w:t>توجیه فاضل اصفهانی رحمه الله در این زمینه</w:t>
            </w:r>
            <w:r>
              <w:rPr>
                <w:rStyle w:val="IndexLink"/>
                <w:rtl w:val="true"/>
              </w:rPr>
              <w:tab/>
            </w:r>
            <w:r>
              <w:rPr>
                <w:rStyle w:val="IndexLink"/>
              </w:rPr>
              <w:t>476</w:t>
            </w:r>
          </w:hyperlink>
        </w:p>
        <w:p>
          <w:pPr>
            <w:pStyle w:val="Contents5"/>
            <w:tabs>
              <w:tab w:val="clear" w:pos="7892"/>
              <w:tab w:val="right" w:pos="9026" w:leader="dot"/>
            </w:tabs>
            <w:rPr/>
          </w:pPr>
          <w:hyperlink w:anchor="__RefHeading___Toc79180_3244359995">
            <w:r>
              <w:rPr>
                <w:webHidden/>
                <w:rStyle w:val="IndexLink"/>
                <w:rtl w:val="true"/>
              </w:rPr>
              <w:t>فرع دوم</w:t>
            </w:r>
            <w:r>
              <w:rPr>
                <w:rStyle w:val="IndexLink"/>
                <w:rtl w:val="true"/>
              </w:rPr>
              <w:t xml:space="preserve">: </w:t>
            </w:r>
            <w:r>
              <w:rPr>
                <w:rStyle w:val="IndexLink"/>
                <w:rtl w:val="true"/>
              </w:rPr>
              <w:t>حکم زنای کافر با مسلمان</w:t>
            </w:r>
            <w:r>
              <w:rPr>
                <w:rStyle w:val="IndexLink"/>
                <w:rtl w:val="true"/>
              </w:rPr>
              <w:tab/>
            </w:r>
            <w:r>
              <w:rPr>
                <w:rStyle w:val="IndexLink"/>
              </w:rPr>
              <w:t>481</w:t>
            </w:r>
          </w:hyperlink>
        </w:p>
        <w:p>
          <w:pPr>
            <w:pStyle w:val="Contents4"/>
            <w:tabs>
              <w:tab w:val="clear" w:pos="8176"/>
              <w:tab w:val="right" w:pos="9026" w:leader="dot"/>
            </w:tabs>
            <w:rPr/>
          </w:pPr>
          <w:hyperlink w:anchor="__RefHeading___Toc79182_3244359995">
            <w:r>
              <w:rPr>
                <w:webHidden/>
                <w:rStyle w:val="IndexLink"/>
                <w:rtl w:val="true"/>
              </w:rPr>
              <w:t>موارد تأخیر در اجرای حدّ</w:t>
            </w:r>
            <w:r>
              <w:rPr>
                <w:rStyle w:val="IndexLink"/>
                <w:rtl w:val="true"/>
              </w:rPr>
              <w:tab/>
            </w:r>
            <w:r>
              <w:rPr>
                <w:rStyle w:val="IndexLink"/>
              </w:rPr>
              <w:t>484</w:t>
            </w:r>
          </w:hyperlink>
        </w:p>
        <w:p>
          <w:pPr>
            <w:pStyle w:val="Contents5"/>
            <w:tabs>
              <w:tab w:val="clear" w:pos="7892"/>
              <w:tab w:val="right" w:pos="9026" w:leader="dot"/>
            </w:tabs>
            <w:rPr/>
          </w:pPr>
          <w:hyperlink w:anchor="__RefHeading___Toc79184_3244359995">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79186_3244359995">
            <w:r>
              <w:rPr>
                <w:webHidden/>
                <w:rStyle w:val="IndexLink"/>
                <w:rtl w:val="true"/>
              </w:rPr>
              <w:t>دلیل عدم جریان حدّ بر حامل</w:t>
            </w:r>
            <w:r>
              <w:rPr>
                <w:rStyle w:val="IndexLink"/>
                <w:rtl w:val="true"/>
              </w:rPr>
              <w:tab/>
            </w:r>
            <w:r>
              <w:rPr>
                <w:rStyle w:val="IndexLink"/>
              </w:rPr>
              <w:t>484</w:t>
            </w:r>
          </w:hyperlink>
        </w:p>
        <w:p>
          <w:pPr>
            <w:pStyle w:val="Contents5"/>
            <w:tabs>
              <w:tab w:val="clear" w:pos="7892"/>
              <w:tab w:val="right" w:pos="9026" w:leader="dot"/>
            </w:tabs>
            <w:rPr/>
          </w:pPr>
          <w:hyperlink w:anchor="__RefHeading___Toc79188_3244359995">
            <w:r>
              <w:rPr>
                <w:webHidden/>
                <w:rStyle w:val="IndexLink"/>
                <w:rtl w:val="true"/>
              </w:rPr>
              <w:t>دلیل تأخیر حدّ تا خروج از نفاس</w:t>
            </w:r>
            <w:r>
              <w:rPr>
                <w:rStyle w:val="IndexLink"/>
                <w:rtl w:val="true"/>
              </w:rPr>
              <w:tab/>
            </w:r>
            <w:r>
              <w:rPr>
                <w:rStyle w:val="IndexLink"/>
              </w:rPr>
              <w:t>486</w:t>
            </w:r>
          </w:hyperlink>
        </w:p>
        <w:p>
          <w:pPr>
            <w:pStyle w:val="Contents6"/>
            <w:tabs>
              <w:tab w:val="clear" w:pos="7609"/>
              <w:tab w:val="right" w:pos="9026" w:leader="dot"/>
            </w:tabs>
            <w:rPr/>
          </w:pPr>
          <w:hyperlink w:anchor="__RefHeading___Toc79190_3244359995">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79192_3244359995">
            <w:r>
              <w:rPr>
                <w:webHidden/>
                <w:rStyle w:val="IndexLink"/>
                <w:rtl w:val="true"/>
              </w:rPr>
              <w:t>نقدی بر عبارت تحریر الوسیله</w:t>
            </w:r>
            <w:r>
              <w:rPr>
                <w:rStyle w:val="IndexLink"/>
                <w:rtl w:val="true"/>
              </w:rPr>
              <w:tab/>
            </w:r>
            <w:r>
              <w:rPr>
                <w:rStyle w:val="IndexLink"/>
              </w:rPr>
              <w:t>487</w:t>
            </w:r>
          </w:hyperlink>
        </w:p>
        <w:p>
          <w:pPr>
            <w:pStyle w:val="Contents5"/>
            <w:tabs>
              <w:tab w:val="clear" w:pos="7892"/>
              <w:tab w:val="right" w:pos="9026" w:leader="dot"/>
            </w:tabs>
            <w:rPr/>
          </w:pPr>
          <w:hyperlink w:anchor="__RefHeading___Toc79194_3244359995">
            <w:r>
              <w:rPr>
                <w:webHidden/>
                <w:rStyle w:val="IndexLink"/>
                <w:rtl w:val="true"/>
              </w:rPr>
              <w:t>دلیل تأخیر حدّ رجم تا پایان رضاع</w:t>
            </w:r>
            <w:r>
              <w:rPr>
                <w:rStyle w:val="IndexLink"/>
                <w:rtl w:val="true"/>
              </w:rPr>
              <w:tab/>
            </w:r>
            <w:r>
              <w:rPr>
                <w:rStyle w:val="IndexLink"/>
              </w:rPr>
              <w:t>488</w:t>
            </w:r>
          </w:hyperlink>
        </w:p>
        <w:p>
          <w:pPr>
            <w:pStyle w:val="Contents5"/>
            <w:tabs>
              <w:tab w:val="clear" w:pos="7892"/>
              <w:tab w:val="right" w:pos="9026" w:leader="dot"/>
            </w:tabs>
            <w:rPr/>
          </w:pPr>
          <w:hyperlink w:anchor="__RefHeading___Toc79196_3244359995">
            <w:r>
              <w:rPr>
                <w:webHidden/>
                <w:rStyle w:val="IndexLink"/>
                <w:rtl w:val="true"/>
              </w:rPr>
              <w:t>دلیل تأخیر حدّ تازیانه تا پایان دوران شیردهی</w:t>
            </w:r>
            <w:r>
              <w:rPr>
                <w:rStyle w:val="IndexLink"/>
                <w:rtl w:val="true"/>
              </w:rPr>
              <w:tab/>
            </w:r>
            <w:r>
              <w:rPr>
                <w:rStyle w:val="IndexLink"/>
              </w:rPr>
              <w:t>491</w:t>
            </w:r>
          </w:hyperlink>
        </w:p>
        <w:p>
          <w:pPr>
            <w:pStyle w:val="Contents5"/>
            <w:tabs>
              <w:tab w:val="clear" w:pos="7892"/>
              <w:tab w:val="right" w:pos="9026" w:leader="dot"/>
            </w:tabs>
            <w:rPr/>
          </w:pPr>
          <w:hyperlink w:anchor="__RefHeading___Toc79198_3244359995">
            <w:r>
              <w:rPr>
                <w:webHidden/>
                <w:rStyle w:val="IndexLink"/>
                <w:rtl w:val="true"/>
              </w:rPr>
              <w:t>حکم حدّ با وجود سرپرست</w:t>
            </w:r>
            <w:r>
              <w:rPr>
                <w:rStyle w:val="IndexLink"/>
                <w:rtl w:val="true"/>
              </w:rPr>
              <w:tab/>
            </w:r>
            <w:r>
              <w:rPr>
                <w:rStyle w:val="IndexLink"/>
              </w:rPr>
              <w:t>492</w:t>
            </w:r>
          </w:hyperlink>
        </w:p>
        <w:p>
          <w:pPr>
            <w:pStyle w:val="Contents4"/>
            <w:tabs>
              <w:tab w:val="clear" w:pos="8176"/>
              <w:tab w:val="right" w:pos="9026" w:leader="dot"/>
            </w:tabs>
            <w:rPr/>
          </w:pPr>
          <w:hyperlink w:anchor="__RefHeading___Toc79200_3244359995">
            <w:r>
              <w:rPr>
                <w:webHidden/>
                <w:rStyle w:val="IndexLink"/>
                <w:rtl w:val="true"/>
              </w:rPr>
              <w:t>موارد تأخیر و تعجیل در اجرای حدّ</w:t>
            </w:r>
            <w:r>
              <w:rPr>
                <w:rStyle w:val="IndexLink"/>
                <w:rtl w:val="true"/>
              </w:rPr>
              <w:tab/>
            </w:r>
            <w:r>
              <w:rPr>
                <w:rStyle w:val="IndexLink"/>
              </w:rPr>
              <w:t>493</w:t>
            </w:r>
          </w:hyperlink>
        </w:p>
        <w:p>
          <w:pPr>
            <w:pStyle w:val="Contents5"/>
            <w:tabs>
              <w:tab w:val="clear" w:pos="7892"/>
              <w:tab w:val="right" w:pos="9026" w:leader="dot"/>
            </w:tabs>
            <w:rPr/>
          </w:pPr>
          <w:hyperlink w:anchor="__RefHeading___Toc79202_3244359995">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79204_3244359995">
            <w:r>
              <w:rPr>
                <w:webHidden/>
                <w:rStyle w:val="IndexLink"/>
                <w:rtl w:val="true"/>
              </w:rPr>
              <w:t>فرع اوّل</w:t>
            </w:r>
            <w:r>
              <w:rPr>
                <w:rStyle w:val="IndexLink"/>
                <w:rtl w:val="true"/>
              </w:rPr>
              <w:t xml:space="preserve">: </w:t>
            </w:r>
            <w:r>
              <w:rPr>
                <w:rStyle w:val="IndexLink"/>
                <w:rtl w:val="true"/>
              </w:rPr>
              <w:t>عدم جواز تأخیر حدّ مریض در رجم و قتل</w:t>
            </w:r>
            <w:r>
              <w:rPr>
                <w:rStyle w:val="IndexLink"/>
                <w:rtl w:val="true"/>
              </w:rPr>
              <w:tab/>
            </w:r>
            <w:r>
              <w:rPr>
                <w:rStyle w:val="IndexLink"/>
              </w:rPr>
              <w:t>494</w:t>
            </w:r>
          </w:hyperlink>
        </w:p>
        <w:p>
          <w:pPr>
            <w:pStyle w:val="Contents5"/>
            <w:tabs>
              <w:tab w:val="clear" w:pos="7892"/>
              <w:tab w:val="right" w:pos="9026" w:leader="dot"/>
            </w:tabs>
            <w:rPr/>
          </w:pPr>
          <w:hyperlink w:anchor="__RefHeading___Toc79206_3244359995">
            <w:r>
              <w:rPr>
                <w:webHidden/>
                <w:rStyle w:val="IndexLink"/>
                <w:rtl w:val="true"/>
              </w:rPr>
              <w:t>فرع دوم</w:t>
            </w:r>
            <w:r>
              <w:rPr>
                <w:rStyle w:val="IndexLink"/>
                <w:rtl w:val="true"/>
              </w:rPr>
              <w:t xml:space="preserve">: </w:t>
            </w:r>
            <w:r>
              <w:rPr>
                <w:rStyle w:val="IndexLink"/>
                <w:rtl w:val="true"/>
              </w:rPr>
              <w:t>جواز تأخیر حدّ جلد در مریض و مستحاضه</w:t>
            </w:r>
            <w:r>
              <w:rPr>
                <w:rStyle w:val="IndexLink"/>
                <w:rtl w:val="true"/>
              </w:rPr>
              <w:tab/>
            </w:r>
            <w:r>
              <w:rPr>
                <w:rStyle w:val="IndexLink"/>
              </w:rPr>
              <w:t>496</w:t>
            </w:r>
          </w:hyperlink>
        </w:p>
        <w:p>
          <w:pPr>
            <w:pStyle w:val="Contents5"/>
            <w:tabs>
              <w:tab w:val="clear" w:pos="7892"/>
              <w:tab w:val="right" w:pos="9026" w:leader="dot"/>
            </w:tabs>
            <w:rPr/>
          </w:pPr>
          <w:hyperlink w:anchor="__RefHeading___Toc79208_3244359995">
            <w:r>
              <w:rPr>
                <w:webHidden/>
                <w:rStyle w:val="IndexLink"/>
                <w:rtl w:val="true"/>
              </w:rPr>
              <w:t>فرع دوم</w:t>
            </w:r>
            <w:r>
              <w:rPr>
                <w:rStyle w:val="IndexLink"/>
                <w:rtl w:val="true"/>
              </w:rPr>
              <w:t xml:space="preserve">: </w:t>
            </w:r>
            <w:r>
              <w:rPr>
                <w:rStyle w:val="IndexLink"/>
                <w:rtl w:val="true"/>
              </w:rPr>
              <w:t>کیفیّت اجرای حدّ تعجیلی بر مریض</w:t>
            </w:r>
            <w:r>
              <w:rPr>
                <w:rStyle w:val="IndexLink"/>
                <w:rtl w:val="true"/>
              </w:rPr>
              <w:tab/>
            </w:r>
            <w:r>
              <w:rPr>
                <w:rStyle w:val="IndexLink"/>
              </w:rPr>
              <w:t>499</w:t>
            </w:r>
          </w:hyperlink>
        </w:p>
        <w:p>
          <w:pPr>
            <w:pStyle w:val="Contents6"/>
            <w:tabs>
              <w:tab w:val="clear" w:pos="7609"/>
              <w:tab w:val="right" w:pos="9026" w:leader="dot"/>
            </w:tabs>
            <w:rPr/>
          </w:pPr>
          <w:hyperlink w:anchor="__RefHeading___Toc79210_3244359995">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79212_3244359995">
            <w:r>
              <w:rPr>
                <w:webHidden/>
                <w:rStyle w:val="IndexLink"/>
                <w:rtl w:val="true"/>
              </w:rPr>
              <w:t>کیفیّت ضرب شماریخ</w:t>
            </w:r>
            <w:r>
              <w:rPr>
                <w:rStyle w:val="IndexLink"/>
                <w:rtl w:val="true"/>
              </w:rPr>
              <w:tab/>
            </w:r>
            <w:r>
              <w:rPr>
                <w:rStyle w:val="IndexLink"/>
              </w:rPr>
              <w:t>503</w:t>
            </w:r>
          </w:hyperlink>
        </w:p>
        <w:p>
          <w:pPr>
            <w:pStyle w:val="Contents6"/>
            <w:tabs>
              <w:tab w:val="clear" w:pos="7609"/>
              <w:tab w:val="right" w:pos="9026" w:leader="dot"/>
            </w:tabs>
            <w:rPr/>
          </w:pPr>
          <w:hyperlink w:anchor="__RefHeading___Toc79214_3244359995">
            <w:r>
              <w:rPr>
                <w:webHidden/>
                <w:rStyle w:val="IndexLink"/>
                <w:rtl w:val="true"/>
              </w:rPr>
              <w:t>ذکر چند فرع از صاحب جواهر رحمه الله</w:t>
            </w:r>
            <w:r>
              <w:rPr>
                <w:rStyle w:val="IndexLink"/>
                <w:rtl w:val="true"/>
              </w:rPr>
              <w:tab/>
            </w:r>
            <w:r>
              <w:rPr>
                <w:rStyle w:val="IndexLink"/>
              </w:rPr>
              <w:t>503</w:t>
            </w:r>
          </w:hyperlink>
        </w:p>
        <w:p>
          <w:pPr>
            <w:pStyle w:val="Contents5"/>
            <w:tabs>
              <w:tab w:val="clear" w:pos="7892"/>
              <w:tab w:val="right" w:pos="9026" w:leader="dot"/>
            </w:tabs>
            <w:rPr/>
          </w:pPr>
          <w:hyperlink w:anchor="__RefHeading___Toc79216_3244359995">
            <w:r>
              <w:rPr>
                <w:webHidden/>
                <w:rStyle w:val="IndexLink"/>
                <w:rtl w:val="true"/>
              </w:rPr>
              <w:t>فرع سوم</w:t>
            </w:r>
            <w:r>
              <w:rPr>
                <w:rStyle w:val="IndexLink"/>
                <w:rtl w:val="true"/>
              </w:rPr>
              <w:t xml:space="preserve">: </w:t>
            </w:r>
            <w:r>
              <w:rPr>
                <w:rStyle w:val="IndexLink"/>
                <w:rtl w:val="true"/>
              </w:rPr>
              <w:t>حکم بازیافت سلامتی قبل از ضرب ضغث و بعد از آن</w:t>
            </w:r>
            <w:r>
              <w:rPr>
                <w:rStyle w:val="IndexLink"/>
                <w:rtl w:val="true"/>
              </w:rPr>
              <w:tab/>
            </w:r>
            <w:r>
              <w:rPr>
                <w:rStyle w:val="IndexLink"/>
              </w:rPr>
              <w:t>504</w:t>
            </w:r>
          </w:hyperlink>
        </w:p>
        <w:p>
          <w:pPr>
            <w:pStyle w:val="Contents5"/>
            <w:tabs>
              <w:tab w:val="clear" w:pos="7892"/>
              <w:tab w:val="right" w:pos="9026" w:leader="dot"/>
            </w:tabs>
            <w:rPr/>
          </w:pPr>
          <w:hyperlink w:anchor="__RefHeading___Toc79218_3244359995">
            <w:r>
              <w:rPr>
                <w:webHidden/>
                <w:rStyle w:val="IndexLink"/>
                <w:rtl w:val="true"/>
              </w:rPr>
              <w:t>فرع چهارم</w:t>
            </w:r>
            <w:r>
              <w:rPr>
                <w:rStyle w:val="IndexLink"/>
                <w:rtl w:val="true"/>
              </w:rPr>
              <w:t xml:space="preserve">: </w:t>
            </w:r>
            <w:r>
              <w:rPr>
                <w:rStyle w:val="IndexLink"/>
                <w:rtl w:val="true"/>
              </w:rPr>
              <w:t>حکم حدّ زن حائض و نفساء</w:t>
            </w:r>
            <w:r>
              <w:rPr>
                <w:rStyle w:val="IndexLink"/>
                <w:rtl w:val="true"/>
              </w:rPr>
              <w:tab/>
            </w:r>
            <w:r>
              <w:rPr>
                <w:rStyle w:val="IndexLink"/>
              </w:rPr>
              <w:t>505</w:t>
            </w:r>
          </w:hyperlink>
        </w:p>
        <w:p>
          <w:pPr>
            <w:pStyle w:val="Contents4"/>
            <w:tabs>
              <w:tab w:val="clear" w:pos="8176"/>
              <w:tab w:val="right" w:pos="9026" w:leader="dot"/>
            </w:tabs>
            <w:rPr/>
          </w:pPr>
          <w:hyperlink w:anchor="__RefHeading___Toc79220_3244359995">
            <w:r>
              <w:rPr>
                <w:webHidden/>
                <w:rStyle w:val="IndexLink"/>
                <w:rtl w:val="true"/>
              </w:rPr>
              <w:t>اجرای حدّ بر مجنون ومرتد</w:t>
            </w:r>
            <w:r>
              <w:rPr>
                <w:rStyle w:val="IndexLink"/>
                <w:rtl w:val="true"/>
              </w:rPr>
              <w:tab/>
            </w:r>
            <w:r>
              <w:rPr>
                <w:rStyle w:val="IndexLink"/>
              </w:rPr>
              <w:t>506</w:t>
            </w:r>
          </w:hyperlink>
        </w:p>
        <w:p>
          <w:pPr>
            <w:pStyle w:val="Contents5"/>
            <w:tabs>
              <w:tab w:val="clear" w:pos="7892"/>
              <w:tab w:val="right" w:pos="9026" w:leader="dot"/>
            </w:tabs>
            <w:rPr/>
          </w:pPr>
          <w:hyperlink w:anchor="__RefHeading___Toc79222_3244359995">
            <w:r>
              <w:rPr>
                <w:webHidden/>
                <w:rStyle w:val="IndexLink"/>
                <w:rtl w:val="true"/>
              </w:rPr>
              <w:t>اشاره</w:t>
            </w:r>
            <w:r>
              <w:rPr>
                <w:rStyle w:val="IndexLink"/>
                <w:rtl w:val="true"/>
              </w:rPr>
              <w:tab/>
            </w:r>
            <w:r>
              <w:rPr>
                <w:rStyle w:val="IndexLink"/>
              </w:rPr>
              <w:t>506</w:t>
            </w:r>
          </w:hyperlink>
        </w:p>
        <w:p>
          <w:pPr>
            <w:pStyle w:val="Contents5"/>
            <w:tabs>
              <w:tab w:val="clear" w:pos="7892"/>
              <w:tab w:val="right" w:pos="9026" w:leader="dot"/>
            </w:tabs>
            <w:rPr/>
          </w:pPr>
          <w:hyperlink w:anchor="__RefHeading___Toc79224_3244359995">
            <w:r>
              <w:rPr>
                <w:webHidden/>
                <w:rStyle w:val="IndexLink"/>
                <w:rtl w:val="true"/>
              </w:rPr>
              <w:t>دلیل مسأله</w:t>
            </w:r>
            <w:r>
              <w:rPr>
                <w:rStyle w:val="IndexLink"/>
                <w:rtl w:val="true"/>
              </w:rPr>
              <w:tab/>
            </w:r>
            <w:r>
              <w:rPr>
                <w:rStyle w:val="IndexLink"/>
              </w:rPr>
              <w:t>506</w:t>
            </w:r>
          </w:hyperlink>
        </w:p>
        <w:p>
          <w:pPr>
            <w:pStyle w:val="Contents5"/>
            <w:tabs>
              <w:tab w:val="clear" w:pos="7892"/>
              <w:tab w:val="right" w:pos="9026" w:leader="dot"/>
            </w:tabs>
            <w:rPr/>
          </w:pPr>
          <w:hyperlink w:anchor="__RefHeading___Toc79226_3244359995">
            <w:r>
              <w:rPr>
                <w:webHidden/>
                <w:rStyle w:val="IndexLink"/>
                <w:rtl w:val="true"/>
              </w:rPr>
              <w:t>حکم زانی پس از ارتداد</w:t>
            </w:r>
            <w:r>
              <w:rPr>
                <w:rStyle w:val="IndexLink"/>
                <w:rtl w:val="true"/>
              </w:rPr>
              <w:tab/>
            </w:r>
            <w:r>
              <w:rPr>
                <w:rStyle w:val="IndexLink"/>
              </w:rPr>
              <w:t>509</w:t>
            </w:r>
          </w:hyperlink>
        </w:p>
        <w:p>
          <w:pPr>
            <w:pStyle w:val="Contents4"/>
            <w:tabs>
              <w:tab w:val="clear" w:pos="8176"/>
              <w:tab w:val="right" w:pos="9026" w:leader="dot"/>
            </w:tabs>
            <w:rPr/>
          </w:pPr>
          <w:hyperlink w:anchor="__RefHeading___Toc79228_3244359995">
            <w:r>
              <w:rPr>
                <w:webHidden/>
                <w:rStyle w:val="IndexLink"/>
                <w:rtl w:val="true"/>
              </w:rPr>
              <w:t>خصوصیّات زمان و مکان اقامه‌ی حدّ</w:t>
            </w:r>
            <w:r>
              <w:rPr>
                <w:rStyle w:val="IndexLink"/>
                <w:rtl w:val="true"/>
              </w:rPr>
              <w:tab/>
            </w:r>
            <w:r>
              <w:rPr>
                <w:rStyle w:val="IndexLink"/>
              </w:rPr>
              <w:t>510</w:t>
            </w:r>
          </w:hyperlink>
        </w:p>
        <w:p>
          <w:pPr>
            <w:pStyle w:val="Contents5"/>
            <w:tabs>
              <w:tab w:val="clear" w:pos="7892"/>
              <w:tab w:val="right" w:pos="9026" w:leader="dot"/>
            </w:tabs>
            <w:rPr/>
          </w:pPr>
          <w:hyperlink w:anchor="__RefHeading___Toc79230_3244359995">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79232_3244359995">
            <w:r>
              <w:rPr>
                <w:webHidden/>
                <w:rStyle w:val="IndexLink"/>
                <w:rtl w:val="true"/>
              </w:rPr>
              <w:t xml:space="preserve">ادلّه‌ی فرع اوّل </w:t>
            </w:r>
            <w:r>
              <w:rPr>
                <w:rStyle w:val="IndexLink"/>
                <w:rtl w:val="true"/>
              </w:rPr>
              <w:t>(</w:t>
            </w:r>
            <w:r>
              <w:rPr>
                <w:rStyle w:val="IndexLink"/>
                <w:rtl w:val="true"/>
              </w:rPr>
              <w:t>عدم اجرای حدّ در هوای سرد و گرم</w:t>
            </w:r>
            <w:r>
              <w:rPr>
                <w:rStyle w:val="IndexLink"/>
                <w:rtl w:val="true"/>
              </w:rPr>
              <w:t>)</w:t>
              <w:tab/>
            </w:r>
            <w:r>
              <w:rPr>
                <w:rStyle w:val="IndexLink"/>
              </w:rPr>
              <w:t>511</w:t>
            </w:r>
          </w:hyperlink>
        </w:p>
        <w:p>
          <w:pPr>
            <w:pStyle w:val="Contents5"/>
            <w:tabs>
              <w:tab w:val="clear" w:pos="7892"/>
              <w:tab w:val="right" w:pos="9026" w:leader="dot"/>
            </w:tabs>
            <w:rPr/>
          </w:pPr>
          <w:hyperlink w:anchor="__RefHeading___Toc79234_3244359995">
            <w:r>
              <w:rPr>
                <w:webHidden/>
                <w:rStyle w:val="IndexLink"/>
                <w:rtl w:val="true"/>
              </w:rPr>
              <w:t xml:space="preserve">بررسی فرع دوم </w:t>
            </w:r>
            <w:r>
              <w:rPr>
                <w:rStyle w:val="IndexLink"/>
                <w:rtl w:val="true"/>
              </w:rPr>
              <w:t>(</w:t>
            </w:r>
            <w:r>
              <w:rPr>
                <w:rStyle w:val="IndexLink"/>
                <w:rtl w:val="true"/>
              </w:rPr>
              <w:t>اجرای حدّ در ممالک غیر اسلامی</w:t>
            </w:r>
            <w:r>
              <w:rPr>
                <w:rStyle w:val="IndexLink"/>
                <w:rtl w:val="true"/>
              </w:rPr>
              <w:t>)</w:t>
              <w:tab/>
            </w:r>
            <w:r>
              <w:rPr>
                <w:rStyle w:val="IndexLink"/>
              </w:rPr>
              <w:t>512</w:t>
            </w:r>
          </w:hyperlink>
        </w:p>
        <w:p>
          <w:pPr>
            <w:pStyle w:val="Contents5"/>
            <w:tabs>
              <w:tab w:val="clear" w:pos="7892"/>
              <w:tab w:val="right" w:pos="9026" w:leader="dot"/>
            </w:tabs>
            <w:rPr/>
          </w:pPr>
          <w:hyperlink w:anchor="__RefHeading___Toc79236_3244359995">
            <w:r>
              <w:rPr>
                <w:webHidden/>
                <w:rStyle w:val="IndexLink"/>
                <w:rtl w:val="true"/>
              </w:rPr>
              <w:t xml:space="preserve">بررسی فرع سوم و چهارم </w:t>
            </w:r>
            <w:r>
              <w:rPr>
                <w:rStyle w:val="IndexLink"/>
                <w:rtl w:val="true"/>
              </w:rPr>
              <w:t>(</w:t>
            </w:r>
            <w:r>
              <w:rPr>
                <w:rStyle w:val="IndexLink"/>
                <w:rtl w:val="true"/>
              </w:rPr>
              <w:t>اقامه‌ی حدّ بر پناهنده‌ی به حرم خدا</w:t>
            </w:r>
            <w:r>
              <w:rPr>
                <w:rStyle w:val="IndexLink"/>
                <w:rtl w:val="true"/>
              </w:rPr>
              <w:t>)</w:t>
              <w:tab/>
            </w:r>
            <w:r>
              <w:rPr>
                <w:rStyle w:val="IndexLink"/>
              </w:rPr>
              <w:t>513</w:t>
            </w:r>
          </w:hyperlink>
        </w:p>
        <w:p>
          <w:pPr>
            <w:pStyle w:val="Contents5"/>
            <w:tabs>
              <w:tab w:val="clear" w:pos="7892"/>
              <w:tab w:val="right" w:pos="9026" w:leader="dot"/>
            </w:tabs>
            <w:rPr/>
          </w:pPr>
          <w:hyperlink w:anchor="__RefHeading___Toc79238_3244359995">
            <w:r>
              <w:rPr>
                <w:webHidden/>
                <w:rStyle w:val="IndexLink"/>
                <w:rtl w:val="true"/>
              </w:rPr>
              <w:t>مقصود از حرم</w:t>
            </w:r>
            <w:r>
              <w:rPr>
                <w:rStyle w:val="IndexLink"/>
                <w:rtl w:val="true"/>
              </w:rPr>
              <w:tab/>
            </w:r>
            <w:r>
              <w:rPr>
                <w:rStyle w:val="IndexLink"/>
              </w:rPr>
              <w:t>515</w:t>
            </w:r>
          </w:hyperlink>
        </w:p>
        <w:p>
          <w:pPr>
            <w:pStyle w:val="Contents3"/>
            <w:tabs>
              <w:tab w:val="clear" w:pos="8459"/>
              <w:tab w:val="right" w:pos="9026" w:leader="dot"/>
            </w:tabs>
            <w:rPr/>
          </w:pPr>
          <w:hyperlink w:anchor="__RefHeading___Toc79240_3244359995">
            <w:r>
              <w:rPr>
                <w:webHidden/>
                <w:rStyle w:val="IndexLink"/>
                <w:rtl w:val="true"/>
              </w:rPr>
              <w:t>فصل چهارم</w:t>
            </w:r>
            <w:r>
              <w:rPr>
                <w:rStyle w:val="IndexLink"/>
                <w:rtl w:val="true"/>
              </w:rPr>
              <w:t xml:space="preserve">: </w:t>
            </w:r>
            <w:r>
              <w:rPr>
                <w:rStyle w:val="IndexLink"/>
                <w:rtl w:val="true"/>
              </w:rPr>
              <w:t>کیفیت اجرای حدّ</w:t>
            </w:r>
            <w:r>
              <w:rPr>
                <w:rStyle w:val="IndexLink"/>
                <w:rtl w:val="true"/>
              </w:rPr>
              <w:tab/>
            </w:r>
            <w:r>
              <w:rPr>
                <w:rStyle w:val="IndexLink"/>
              </w:rPr>
              <w:t>516</w:t>
            </w:r>
          </w:hyperlink>
        </w:p>
        <w:p>
          <w:pPr>
            <w:pStyle w:val="Contents4"/>
            <w:tabs>
              <w:tab w:val="clear" w:pos="8176"/>
              <w:tab w:val="right" w:pos="9026" w:leader="dot"/>
            </w:tabs>
            <w:rPr/>
          </w:pPr>
          <w:hyperlink w:anchor="__RefHeading___Toc79242_3244359995">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79244_3244359995">
            <w:r>
              <w:rPr>
                <w:webHidden/>
                <w:rStyle w:val="IndexLink"/>
                <w:rtl w:val="true"/>
              </w:rPr>
              <w:t>کیفیّت اجرای حدّ</w:t>
            </w:r>
            <w:r>
              <w:rPr>
                <w:rStyle w:val="IndexLink"/>
                <w:rtl w:val="true"/>
              </w:rPr>
              <w:tab/>
            </w:r>
            <w:r>
              <w:rPr>
                <w:rStyle w:val="IndexLink"/>
              </w:rPr>
              <w:t>517</w:t>
            </w:r>
          </w:hyperlink>
        </w:p>
        <w:p>
          <w:pPr>
            <w:pStyle w:val="Contents5"/>
            <w:tabs>
              <w:tab w:val="clear" w:pos="7892"/>
              <w:tab w:val="right" w:pos="9026" w:leader="dot"/>
            </w:tabs>
            <w:rPr/>
          </w:pPr>
          <w:hyperlink w:anchor="__RefHeading___Toc79246_3244359995">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79248_3244359995">
            <w:r>
              <w:rPr>
                <w:webHidden/>
                <w:rStyle w:val="IndexLink"/>
                <w:rtl w:val="true"/>
              </w:rPr>
              <w:t>فرع اوّل</w:t>
            </w:r>
            <w:r>
              <w:rPr>
                <w:rStyle w:val="IndexLink"/>
                <w:rtl w:val="true"/>
              </w:rPr>
              <w:t xml:space="preserve">: </w:t>
            </w:r>
            <w:r>
              <w:rPr>
                <w:rStyle w:val="IndexLink"/>
                <w:rtl w:val="true"/>
              </w:rPr>
              <w:t>اجتماع حدود</w:t>
            </w:r>
            <w:r>
              <w:rPr>
                <w:rStyle w:val="IndexLink"/>
                <w:rtl w:val="true"/>
              </w:rPr>
              <w:tab/>
            </w:r>
            <w:r>
              <w:rPr>
                <w:rStyle w:val="IndexLink"/>
              </w:rPr>
              <w:t>517</w:t>
            </w:r>
          </w:hyperlink>
        </w:p>
        <w:p>
          <w:pPr>
            <w:pStyle w:val="Contents5"/>
            <w:tabs>
              <w:tab w:val="clear" w:pos="7892"/>
              <w:tab w:val="right" w:pos="9026" w:leader="dot"/>
            </w:tabs>
            <w:rPr/>
          </w:pPr>
          <w:hyperlink w:anchor="__RefHeading___Toc79250_3244359995">
            <w:r>
              <w:rPr>
                <w:webHidden/>
                <w:rStyle w:val="IndexLink"/>
                <w:rtl w:val="true"/>
              </w:rPr>
              <w:t>فرع دوم</w:t>
            </w:r>
            <w:r>
              <w:rPr>
                <w:rStyle w:val="IndexLink"/>
                <w:rtl w:val="true"/>
              </w:rPr>
              <w:t xml:space="preserve">: </w:t>
            </w:r>
            <w:r>
              <w:rPr>
                <w:rStyle w:val="IndexLink"/>
                <w:rtl w:val="true"/>
              </w:rPr>
              <w:t>کیفیّت اجرای حدّ بکر و محصن بر یک نفر</w:t>
            </w:r>
            <w:r>
              <w:rPr>
                <w:rStyle w:val="IndexLink"/>
                <w:rtl w:val="true"/>
              </w:rPr>
              <w:tab/>
            </w:r>
            <w:r>
              <w:rPr>
                <w:rStyle w:val="IndexLink"/>
              </w:rPr>
              <w:t>520</w:t>
            </w:r>
          </w:hyperlink>
        </w:p>
        <w:p>
          <w:pPr>
            <w:pStyle w:val="Contents6"/>
            <w:tabs>
              <w:tab w:val="clear" w:pos="7609"/>
              <w:tab w:val="right" w:pos="9026" w:leader="dot"/>
            </w:tabs>
            <w:rPr/>
          </w:pPr>
          <w:hyperlink w:anchor="__RefHeading___Toc79252_3244359995">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79254_3244359995">
            <w:r>
              <w:rPr>
                <w:webHidden/>
                <w:rStyle w:val="IndexLink"/>
                <w:rtl w:val="true"/>
              </w:rPr>
              <w:t>کیفیّت تقدیم حدود بر یکدیگر</w:t>
            </w:r>
            <w:r>
              <w:rPr>
                <w:rStyle w:val="IndexLink"/>
                <w:rtl w:val="true"/>
              </w:rPr>
              <w:tab/>
            </w:r>
            <w:r>
              <w:rPr>
                <w:rStyle w:val="IndexLink"/>
              </w:rPr>
              <w:t>521</w:t>
            </w:r>
          </w:hyperlink>
        </w:p>
        <w:p>
          <w:pPr>
            <w:pStyle w:val="Contents5"/>
            <w:tabs>
              <w:tab w:val="clear" w:pos="7892"/>
              <w:tab w:val="right" w:pos="9026" w:leader="dot"/>
            </w:tabs>
            <w:rPr/>
          </w:pPr>
          <w:hyperlink w:anchor="__RefHeading___Toc79256_3244359995">
            <w:r>
              <w:rPr>
                <w:webHidden/>
                <w:rStyle w:val="IndexLink"/>
                <w:rtl w:val="true"/>
              </w:rPr>
              <w:t>فرع سوم</w:t>
            </w:r>
            <w:r>
              <w:rPr>
                <w:rStyle w:val="IndexLink"/>
                <w:rtl w:val="true"/>
              </w:rPr>
              <w:t xml:space="preserve">: </w:t>
            </w:r>
            <w:r>
              <w:rPr>
                <w:rStyle w:val="IndexLink"/>
                <w:rtl w:val="true"/>
              </w:rPr>
              <w:t>فاصله‌ی بین تازیانه و رجم</w:t>
            </w:r>
            <w:r>
              <w:rPr>
                <w:rStyle w:val="IndexLink"/>
                <w:rtl w:val="true"/>
              </w:rPr>
              <w:tab/>
            </w:r>
            <w:r>
              <w:rPr>
                <w:rStyle w:val="IndexLink"/>
              </w:rPr>
              <w:t>522</w:t>
            </w:r>
          </w:hyperlink>
        </w:p>
        <w:p>
          <w:pPr>
            <w:pStyle w:val="Contents6"/>
            <w:tabs>
              <w:tab w:val="clear" w:pos="7609"/>
              <w:tab w:val="right" w:pos="9026" w:leader="dot"/>
            </w:tabs>
            <w:rPr/>
          </w:pPr>
          <w:hyperlink w:anchor="__RefHeading___Toc79258_3244359995">
            <w:r>
              <w:rPr>
                <w:webHidden/>
                <w:rStyle w:val="IndexLink"/>
                <w:rtl w:val="true"/>
              </w:rPr>
              <w:t>اشاره</w:t>
            </w:r>
            <w:r>
              <w:rPr>
                <w:rStyle w:val="IndexLink"/>
                <w:rtl w:val="true"/>
              </w:rPr>
              <w:tab/>
            </w:r>
            <w:r>
              <w:rPr>
                <w:rStyle w:val="IndexLink"/>
              </w:rPr>
              <w:t>522</w:t>
            </w:r>
          </w:hyperlink>
        </w:p>
        <w:p>
          <w:pPr>
            <w:pStyle w:val="Contents6"/>
            <w:tabs>
              <w:tab w:val="clear" w:pos="7609"/>
              <w:tab w:val="right" w:pos="9026" w:leader="dot"/>
            </w:tabs>
            <w:rPr/>
          </w:pPr>
          <w:hyperlink w:anchor="__RefHeading___Toc79260_3244359995">
            <w:r>
              <w:rPr>
                <w:webHidden/>
                <w:rStyle w:val="IndexLink"/>
                <w:rtl w:val="true"/>
              </w:rPr>
              <w:t>ادلّه‌ی فتوای امام راحل رحمه الله</w:t>
            </w:r>
            <w:r>
              <w:rPr>
                <w:rStyle w:val="IndexLink"/>
                <w:rtl w:val="true"/>
              </w:rPr>
              <w:tab/>
            </w:r>
            <w:r>
              <w:rPr>
                <w:rStyle w:val="IndexLink"/>
              </w:rPr>
              <w:t>526</w:t>
            </w:r>
          </w:hyperlink>
        </w:p>
        <w:p>
          <w:pPr>
            <w:pStyle w:val="Contents4"/>
            <w:tabs>
              <w:tab w:val="clear" w:pos="8176"/>
              <w:tab w:val="right" w:pos="9026" w:leader="dot"/>
            </w:tabs>
            <w:rPr/>
          </w:pPr>
          <w:hyperlink w:anchor="__RefHeading___Toc79262_3244359995">
            <w:r>
              <w:rPr>
                <w:webHidden/>
                <w:rStyle w:val="IndexLink"/>
                <w:rtl w:val="true"/>
              </w:rPr>
              <w:t>کیفیّت رجم و فرار از حدّ</w:t>
            </w:r>
            <w:r>
              <w:rPr>
                <w:rStyle w:val="IndexLink"/>
                <w:rtl w:val="true"/>
              </w:rPr>
              <w:tab/>
            </w:r>
            <w:r>
              <w:rPr>
                <w:rStyle w:val="IndexLink"/>
              </w:rPr>
              <w:t>527</w:t>
            </w:r>
          </w:hyperlink>
        </w:p>
        <w:p>
          <w:pPr>
            <w:pStyle w:val="Contents5"/>
            <w:tabs>
              <w:tab w:val="clear" w:pos="7892"/>
              <w:tab w:val="right" w:pos="9026" w:leader="dot"/>
            </w:tabs>
            <w:rPr/>
          </w:pPr>
          <w:hyperlink w:anchor="__RefHeading___Toc79264_3244359995">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79266_3244359995">
            <w:r>
              <w:rPr>
                <w:webHidden/>
                <w:rStyle w:val="IndexLink"/>
                <w:rtl w:val="true"/>
              </w:rPr>
              <w:t>فرع اوّل</w:t>
            </w:r>
            <w:r>
              <w:rPr>
                <w:rStyle w:val="IndexLink"/>
                <w:rtl w:val="true"/>
              </w:rPr>
              <w:t xml:space="preserve">: </w:t>
            </w:r>
            <w:r>
              <w:rPr>
                <w:rStyle w:val="IndexLink"/>
                <w:rtl w:val="true"/>
              </w:rPr>
              <w:t>دفن مقداری از بدن زانی برای رجم</w:t>
            </w:r>
            <w:r>
              <w:rPr>
                <w:rStyle w:val="IndexLink"/>
                <w:rtl w:val="true"/>
              </w:rPr>
              <w:tab/>
            </w:r>
            <w:r>
              <w:rPr>
                <w:rStyle w:val="IndexLink"/>
              </w:rPr>
              <w:t>527</w:t>
            </w:r>
          </w:hyperlink>
        </w:p>
        <w:p>
          <w:pPr>
            <w:pStyle w:val="Contents5"/>
            <w:tabs>
              <w:tab w:val="clear" w:pos="7892"/>
              <w:tab w:val="right" w:pos="9026" w:leader="dot"/>
            </w:tabs>
            <w:rPr/>
          </w:pPr>
          <w:hyperlink w:anchor="__RefHeading___Toc79268_3244359995">
            <w:r>
              <w:rPr>
                <w:webHidden/>
                <w:rStyle w:val="IndexLink"/>
                <w:rtl w:val="true"/>
              </w:rPr>
              <w:t>فرع دوم</w:t>
            </w:r>
            <w:r>
              <w:rPr>
                <w:rStyle w:val="IndexLink"/>
                <w:rtl w:val="true"/>
              </w:rPr>
              <w:t xml:space="preserve">: </w:t>
            </w:r>
            <w:r>
              <w:rPr>
                <w:rStyle w:val="IndexLink"/>
                <w:rtl w:val="true"/>
              </w:rPr>
              <w:t>حکم فرار از گودال</w:t>
            </w:r>
            <w:r>
              <w:rPr>
                <w:rStyle w:val="IndexLink"/>
                <w:rtl w:val="true"/>
              </w:rPr>
              <w:tab/>
            </w:r>
            <w:r>
              <w:rPr>
                <w:rStyle w:val="IndexLink"/>
              </w:rPr>
              <w:t>538</w:t>
            </w:r>
          </w:hyperlink>
        </w:p>
        <w:p>
          <w:pPr>
            <w:pStyle w:val="Contents5"/>
            <w:tabs>
              <w:tab w:val="clear" w:pos="7892"/>
              <w:tab w:val="right" w:pos="9026" w:leader="dot"/>
            </w:tabs>
            <w:rPr/>
          </w:pPr>
          <w:hyperlink w:anchor="__RefHeading___Toc79270_3244359995">
            <w:r>
              <w:rPr>
                <w:webHidden/>
                <w:rStyle w:val="IndexLink"/>
                <w:rtl w:val="true"/>
              </w:rPr>
              <w:t>بررسی ادلّه‌ی فرع دوم</w:t>
            </w:r>
            <w:r>
              <w:rPr>
                <w:rStyle w:val="IndexLink"/>
                <w:rtl w:val="true"/>
              </w:rPr>
              <w:tab/>
            </w:r>
            <w:r>
              <w:rPr>
                <w:rStyle w:val="IndexLink"/>
              </w:rPr>
              <w:t>539</w:t>
            </w:r>
          </w:hyperlink>
        </w:p>
        <w:p>
          <w:pPr>
            <w:pStyle w:val="Contents4"/>
            <w:tabs>
              <w:tab w:val="clear" w:pos="8176"/>
              <w:tab w:val="right" w:pos="9026" w:leader="dot"/>
            </w:tabs>
            <w:rPr/>
          </w:pPr>
          <w:hyperlink w:anchor="__RefHeading___Toc79272_3244359995">
            <w:r>
              <w:rPr>
                <w:webHidden/>
                <w:rStyle w:val="IndexLink"/>
                <w:rtl w:val="true"/>
              </w:rPr>
              <w:t>آغازکننده‌ی رجم</w:t>
            </w:r>
            <w:r>
              <w:rPr>
                <w:rStyle w:val="IndexLink"/>
                <w:rtl w:val="true"/>
              </w:rPr>
              <w:tab/>
            </w:r>
            <w:r>
              <w:rPr>
                <w:rStyle w:val="IndexLink"/>
              </w:rPr>
              <w:t>545</w:t>
            </w:r>
          </w:hyperlink>
        </w:p>
        <w:p>
          <w:pPr>
            <w:pStyle w:val="Contents5"/>
            <w:tabs>
              <w:tab w:val="clear" w:pos="7892"/>
              <w:tab w:val="right" w:pos="9026" w:leader="dot"/>
            </w:tabs>
            <w:rPr/>
          </w:pPr>
          <w:hyperlink w:anchor="__RefHeading___Toc79274_3244359995">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79276_3244359995">
            <w:r>
              <w:rPr>
                <w:webHidden/>
                <w:rStyle w:val="IndexLink"/>
                <w:rtl w:val="true"/>
              </w:rPr>
              <w:t xml:space="preserve">دلیل قول مشهور </w:t>
            </w:r>
            <w:r>
              <w:rPr>
                <w:rStyle w:val="IndexLink"/>
                <w:rtl w:val="true"/>
              </w:rPr>
              <w:t>(</w:t>
            </w:r>
            <w:r>
              <w:rPr>
                <w:rStyle w:val="IndexLink"/>
                <w:rtl w:val="true"/>
              </w:rPr>
              <w:t>تفصیل بین ثبوت زنا با اقرار و بیّنه</w:t>
            </w:r>
            <w:r>
              <w:rPr>
                <w:rStyle w:val="IndexLink"/>
                <w:rtl w:val="true"/>
              </w:rPr>
              <w:t>)</w:t>
              <w:tab/>
            </w:r>
            <w:r>
              <w:rPr>
                <w:rStyle w:val="IndexLink"/>
              </w:rPr>
              <w:t>545</w:t>
            </w:r>
          </w:hyperlink>
        </w:p>
        <w:p>
          <w:pPr>
            <w:pStyle w:val="Contents5"/>
            <w:tabs>
              <w:tab w:val="clear" w:pos="7892"/>
              <w:tab w:val="right" w:pos="9026" w:leader="dot"/>
            </w:tabs>
            <w:rPr/>
          </w:pPr>
          <w:hyperlink w:anchor="__RefHeading___Toc79278_3244359995">
            <w:r>
              <w:rPr>
                <w:webHidden/>
                <w:rStyle w:val="IndexLink"/>
                <w:rtl w:val="true"/>
              </w:rPr>
              <w:t xml:space="preserve">دلیل قول دوم </w:t>
            </w:r>
            <w:r>
              <w:rPr>
                <w:rStyle w:val="IndexLink"/>
                <w:rtl w:val="true"/>
              </w:rPr>
              <w:t>(</w:t>
            </w:r>
            <w:r>
              <w:rPr>
                <w:rStyle w:val="IndexLink"/>
                <w:rtl w:val="true"/>
              </w:rPr>
              <w:t>آغازگر امام علیه السلام است</w:t>
            </w:r>
            <w:r>
              <w:rPr>
                <w:rStyle w:val="IndexLink"/>
                <w:rtl w:val="true"/>
              </w:rPr>
              <w:t>)</w:t>
              <w:tab/>
            </w:r>
            <w:r>
              <w:rPr>
                <w:rStyle w:val="IndexLink"/>
              </w:rPr>
              <w:t>547</w:t>
            </w:r>
          </w:hyperlink>
        </w:p>
        <w:p>
          <w:pPr>
            <w:pStyle w:val="Contents5"/>
            <w:tabs>
              <w:tab w:val="clear" w:pos="7892"/>
              <w:tab w:val="right" w:pos="9026" w:leader="dot"/>
            </w:tabs>
            <w:rPr/>
          </w:pPr>
          <w:hyperlink w:anchor="__RefHeading___Toc79280_3244359995">
            <w:r>
              <w:rPr>
                <w:webHidden/>
                <w:rStyle w:val="IndexLink"/>
                <w:rtl w:val="true"/>
              </w:rPr>
              <w:t xml:space="preserve">دلیل قول سوم </w:t>
            </w:r>
            <w:r>
              <w:rPr>
                <w:rStyle w:val="IndexLink"/>
                <w:rtl w:val="true"/>
              </w:rPr>
              <w:t>(</w:t>
            </w:r>
            <w:r>
              <w:rPr>
                <w:rStyle w:val="IndexLink"/>
                <w:rtl w:val="true"/>
              </w:rPr>
              <w:t>تساوی امام علیه السلام و بیّنه و مردم در آغاز رجم</w:t>
            </w:r>
            <w:r>
              <w:rPr>
                <w:rStyle w:val="IndexLink"/>
                <w:rtl w:val="true"/>
              </w:rPr>
              <w:t>)</w:t>
              <w:tab/>
            </w:r>
            <w:r>
              <w:rPr>
                <w:rStyle w:val="IndexLink"/>
              </w:rPr>
              <w:t>548</w:t>
            </w:r>
          </w:hyperlink>
        </w:p>
        <w:p>
          <w:pPr>
            <w:pStyle w:val="Contents5"/>
            <w:tabs>
              <w:tab w:val="clear" w:pos="7892"/>
              <w:tab w:val="right" w:pos="9026" w:leader="dot"/>
            </w:tabs>
            <w:rPr/>
          </w:pPr>
          <w:hyperlink w:anchor="__RefHeading___Toc79282_3244359995">
            <w:r>
              <w:rPr>
                <w:webHidden/>
                <w:rStyle w:val="IndexLink"/>
                <w:rtl w:val="true"/>
              </w:rPr>
              <w:t>نقد قول سوم</w:t>
            </w:r>
            <w:r>
              <w:rPr>
                <w:rStyle w:val="IndexLink"/>
                <w:rtl w:val="true"/>
              </w:rPr>
              <w:tab/>
            </w:r>
            <w:r>
              <w:rPr>
                <w:rStyle w:val="IndexLink"/>
              </w:rPr>
              <w:t>549</w:t>
            </w:r>
          </w:hyperlink>
        </w:p>
        <w:p>
          <w:pPr>
            <w:pStyle w:val="Contents4"/>
            <w:tabs>
              <w:tab w:val="clear" w:pos="8176"/>
              <w:tab w:val="right" w:pos="9026" w:leader="dot"/>
            </w:tabs>
            <w:rPr/>
          </w:pPr>
          <w:hyperlink w:anchor="__RefHeading___Toc79284_3244359995">
            <w:r>
              <w:rPr>
                <w:webHidden/>
                <w:rStyle w:val="IndexLink"/>
                <w:rtl w:val="true"/>
              </w:rPr>
              <w:t>کیفیّت ضرب تازیانه</w:t>
            </w:r>
            <w:r>
              <w:rPr>
                <w:rStyle w:val="IndexLink"/>
                <w:rtl w:val="true"/>
              </w:rPr>
              <w:tab/>
            </w:r>
            <w:r>
              <w:rPr>
                <w:rStyle w:val="IndexLink"/>
              </w:rPr>
              <w:t>550</w:t>
            </w:r>
          </w:hyperlink>
        </w:p>
        <w:p>
          <w:pPr>
            <w:pStyle w:val="Contents5"/>
            <w:tabs>
              <w:tab w:val="clear" w:pos="7892"/>
              <w:tab w:val="right" w:pos="9026" w:leader="dot"/>
            </w:tabs>
            <w:rPr/>
          </w:pPr>
          <w:hyperlink w:anchor="__RefHeading___Toc79286_3244359995">
            <w:r>
              <w:rPr>
                <w:webHidden/>
                <w:rStyle w:val="IndexLink"/>
                <w:rtl w:val="true"/>
              </w:rPr>
              <w:t>اشاره</w:t>
            </w:r>
            <w:r>
              <w:rPr>
                <w:rStyle w:val="IndexLink"/>
                <w:rtl w:val="true"/>
              </w:rPr>
              <w:tab/>
            </w:r>
            <w:r>
              <w:rPr>
                <w:rStyle w:val="IndexLink"/>
              </w:rPr>
              <w:t>550</w:t>
            </w:r>
          </w:hyperlink>
        </w:p>
        <w:p>
          <w:pPr>
            <w:pStyle w:val="Contents5"/>
            <w:tabs>
              <w:tab w:val="clear" w:pos="7892"/>
              <w:tab w:val="right" w:pos="9026" w:leader="dot"/>
            </w:tabs>
            <w:rPr/>
          </w:pPr>
          <w:hyperlink w:anchor="__RefHeading___Toc79288_3244359995">
            <w:r>
              <w:rPr>
                <w:webHidden/>
                <w:rStyle w:val="IndexLink"/>
                <w:rtl w:val="true"/>
              </w:rPr>
              <w:t>فرع اوّل</w:t>
            </w:r>
            <w:r>
              <w:rPr>
                <w:rStyle w:val="IndexLink"/>
                <w:rtl w:val="true"/>
              </w:rPr>
              <w:t xml:space="preserve">: </w:t>
            </w:r>
            <w:r>
              <w:rPr>
                <w:rStyle w:val="IndexLink"/>
                <w:rtl w:val="true"/>
              </w:rPr>
              <w:t>ضرب تازیانه بر مرد زانی در حال قیام</w:t>
            </w:r>
            <w:r>
              <w:rPr>
                <w:rStyle w:val="IndexLink"/>
                <w:rtl w:val="true"/>
              </w:rPr>
              <w:tab/>
            </w:r>
            <w:r>
              <w:rPr>
                <w:rStyle w:val="IndexLink"/>
              </w:rPr>
              <w:t>550</w:t>
            </w:r>
          </w:hyperlink>
        </w:p>
        <w:p>
          <w:pPr>
            <w:pStyle w:val="Contents5"/>
            <w:tabs>
              <w:tab w:val="clear" w:pos="7892"/>
              <w:tab w:val="right" w:pos="9026" w:leader="dot"/>
            </w:tabs>
            <w:rPr/>
          </w:pPr>
          <w:hyperlink w:anchor="__RefHeading___Toc79290_3244359995">
            <w:r>
              <w:rPr>
                <w:webHidden/>
                <w:rStyle w:val="IndexLink"/>
                <w:rtl w:val="true"/>
              </w:rPr>
              <w:t>فرع دوم</w:t>
            </w:r>
            <w:r>
              <w:rPr>
                <w:rStyle w:val="IndexLink"/>
                <w:rtl w:val="true"/>
              </w:rPr>
              <w:t xml:space="preserve">: </w:t>
            </w:r>
            <w:r>
              <w:rPr>
                <w:rStyle w:val="IndexLink"/>
                <w:rtl w:val="true"/>
              </w:rPr>
              <w:t>پوشش بدن زانی هنگام اجرای حدّ</w:t>
            </w:r>
            <w:r>
              <w:rPr>
                <w:rStyle w:val="IndexLink"/>
                <w:rtl w:val="true"/>
              </w:rPr>
              <w:tab/>
            </w:r>
            <w:r>
              <w:rPr>
                <w:rStyle w:val="IndexLink"/>
              </w:rPr>
              <w:t>551</w:t>
            </w:r>
          </w:hyperlink>
        </w:p>
        <w:p>
          <w:pPr>
            <w:pStyle w:val="Contents6"/>
            <w:tabs>
              <w:tab w:val="clear" w:pos="7609"/>
              <w:tab w:val="right" w:pos="9026" w:leader="dot"/>
            </w:tabs>
            <w:rPr/>
          </w:pPr>
          <w:hyperlink w:anchor="__RefHeading___Toc79292_3244359995">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79294_3244359995">
            <w:r>
              <w:rPr>
                <w:webHidden/>
                <w:rStyle w:val="IndexLink"/>
                <w:rtl w:val="true"/>
              </w:rPr>
              <w:t>دلیل قول اوّل</w:t>
            </w:r>
            <w:r>
              <w:rPr>
                <w:rStyle w:val="IndexLink"/>
                <w:rtl w:val="true"/>
              </w:rPr>
              <w:tab/>
            </w:r>
            <w:r>
              <w:rPr>
                <w:rStyle w:val="IndexLink"/>
              </w:rPr>
              <w:t>553</w:t>
            </w:r>
          </w:hyperlink>
        </w:p>
        <w:p>
          <w:pPr>
            <w:pStyle w:val="Contents5"/>
            <w:tabs>
              <w:tab w:val="clear" w:pos="7892"/>
              <w:tab w:val="right" w:pos="9026" w:leader="dot"/>
            </w:tabs>
            <w:rPr/>
          </w:pPr>
          <w:hyperlink w:anchor="__RefHeading___Toc79296_3244359995">
            <w:r>
              <w:rPr>
                <w:webHidden/>
                <w:rStyle w:val="IndexLink"/>
                <w:rtl w:val="true"/>
              </w:rPr>
              <w:t>فرع سوم</w:t>
            </w:r>
            <w:r>
              <w:rPr>
                <w:rStyle w:val="IndexLink"/>
                <w:rtl w:val="true"/>
              </w:rPr>
              <w:t xml:space="preserve">: </w:t>
            </w:r>
            <w:r>
              <w:rPr>
                <w:rStyle w:val="IndexLink"/>
                <w:rtl w:val="true"/>
              </w:rPr>
              <w:t>کیفیّت ضرب تازیانه</w:t>
            </w:r>
            <w:r>
              <w:rPr>
                <w:rStyle w:val="IndexLink"/>
                <w:rtl w:val="true"/>
              </w:rPr>
              <w:tab/>
            </w:r>
            <w:r>
              <w:rPr>
                <w:rStyle w:val="IndexLink"/>
              </w:rPr>
              <w:t>559</w:t>
            </w:r>
          </w:hyperlink>
        </w:p>
        <w:p>
          <w:pPr>
            <w:pStyle w:val="Contents6"/>
            <w:tabs>
              <w:tab w:val="clear" w:pos="7609"/>
              <w:tab w:val="right" w:pos="9026" w:leader="dot"/>
            </w:tabs>
            <w:rPr/>
          </w:pPr>
          <w:hyperlink w:anchor="__RefHeading___Toc79298_3244359995">
            <w:r>
              <w:rPr>
                <w:webHidden/>
                <w:rStyle w:val="IndexLink"/>
                <w:rtl w:val="true"/>
              </w:rPr>
              <w:t>اشاره</w:t>
            </w:r>
            <w:r>
              <w:rPr>
                <w:rStyle w:val="IndexLink"/>
                <w:rtl w:val="true"/>
              </w:rPr>
              <w:tab/>
            </w:r>
            <w:r>
              <w:rPr>
                <w:rStyle w:val="IndexLink"/>
              </w:rPr>
              <w:t>559</w:t>
            </w:r>
          </w:hyperlink>
        </w:p>
        <w:p>
          <w:pPr>
            <w:pStyle w:val="Contents6"/>
            <w:tabs>
              <w:tab w:val="clear" w:pos="7609"/>
              <w:tab w:val="right" w:pos="9026" w:leader="dot"/>
            </w:tabs>
            <w:rPr/>
          </w:pPr>
          <w:hyperlink w:anchor="__RefHeading___Toc79300_3244359995">
            <w:r>
              <w:rPr>
                <w:webHidden/>
                <w:rStyle w:val="IndexLink"/>
                <w:rtl w:val="true"/>
              </w:rPr>
              <w:t>تعمیم حکم ضرب شدید نسبت به مرد و زن</w:t>
            </w:r>
            <w:r>
              <w:rPr>
                <w:rStyle w:val="IndexLink"/>
                <w:rtl w:val="true"/>
              </w:rPr>
              <w:tab/>
            </w:r>
            <w:r>
              <w:rPr>
                <w:rStyle w:val="IndexLink"/>
              </w:rPr>
              <w:t>561</w:t>
            </w:r>
          </w:hyperlink>
        </w:p>
        <w:p>
          <w:pPr>
            <w:pStyle w:val="Contents5"/>
            <w:tabs>
              <w:tab w:val="clear" w:pos="7892"/>
              <w:tab w:val="right" w:pos="9026" w:leader="dot"/>
            </w:tabs>
            <w:rPr/>
          </w:pPr>
          <w:hyperlink w:anchor="__RefHeading___Toc79302_3244359995">
            <w:r>
              <w:rPr>
                <w:webHidden/>
                <w:rStyle w:val="IndexLink"/>
                <w:rtl w:val="true"/>
              </w:rPr>
              <w:t>فرع چهارم</w:t>
            </w:r>
            <w:r>
              <w:rPr>
                <w:rStyle w:val="IndexLink"/>
                <w:rtl w:val="true"/>
              </w:rPr>
              <w:t xml:space="preserve">: </w:t>
            </w:r>
            <w:r>
              <w:rPr>
                <w:rStyle w:val="IndexLink"/>
                <w:rtl w:val="true"/>
              </w:rPr>
              <w:t>تفریق ضرب بر بدن</w:t>
            </w:r>
            <w:r>
              <w:rPr>
                <w:rStyle w:val="IndexLink"/>
                <w:rtl w:val="true"/>
              </w:rPr>
              <w:tab/>
            </w:r>
            <w:r>
              <w:rPr>
                <w:rStyle w:val="IndexLink"/>
              </w:rPr>
              <w:t>562</w:t>
            </w:r>
          </w:hyperlink>
        </w:p>
        <w:p>
          <w:pPr>
            <w:pStyle w:val="Contents5"/>
            <w:tabs>
              <w:tab w:val="clear" w:pos="7892"/>
              <w:tab w:val="right" w:pos="9026" w:leader="dot"/>
            </w:tabs>
            <w:rPr/>
          </w:pPr>
          <w:hyperlink w:anchor="__RefHeading___Toc79304_3244359995">
            <w:r>
              <w:rPr>
                <w:webHidden/>
                <w:rStyle w:val="IndexLink"/>
                <w:rtl w:val="true"/>
              </w:rPr>
              <w:t>فرع پنجم</w:t>
            </w:r>
            <w:r>
              <w:rPr>
                <w:rStyle w:val="IndexLink"/>
                <w:rtl w:val="true"/>
              </w:rPr>
              <w:t xml:space="preserve">: </w:t>
            </w:r>
            <w:r>
              <w:rPr>
                <w:rStyle w:val="IndexLink"/>
                <w:rtl w:val="true"/>
              </w:rPr>
              <w:t>حکم مرگ بر اثر اجرای حدّ</w:t>
            </w:r>
            <w:r>
              <w:rPr>
                <w:rStyle w:val="IndexLink"/>
                <w:rtl w:val="true"/>
              </w:rPr>
              <w:tab/>
            </w:r>
            <w:r>
              <w:rPr>
                <w:rStyle w:val="IndexLink"/>
              </w:rPr>
              <w:t>566</w:t>
            </w:r>
          </w:hyperlink>
        </w:p>
        <w:p>
          <w:pPr>
            <w:pStyle w:val="Contents4"/>
            <w:tabs>
              <w:tab w:val="clear" w:pos="8176"/>
              <w:tab w:val="right" w:pos="9026" w:leader="dot"/>
            </w:tabs>
            <w:rPr/>
          </w:pPr>
          <w:hyperlink w:anchor="__RefHeading___Toc79306_3244359995">
            <w:r>
              <w:rPr>
                <w:webHidden/>
                <w:rStyle w:val="IndexLink"/>
                <w:rtl w:val="true"/>
              </w:rPr>
              <w:t>آداب رجم</w:t>
            </w:r>
            <w:r>
              <w:rPr>
                <w:rStyle w:val="IndexLink"/>
                <w:rtl w:val="true"/>
              </w:rPr>
              <w:tab/>
            </w:r>
            <w:r>
              <w:rPr>
                <w:rStyle w:val="IndexLink"/>
              </w:rPr>
              <w:t>567</w:t>
            </w:r>
          </w:hyperlink>
        </w:p>
        <w:p>
          <w:pPr>
            <w:pStyle w:val="Contents5"/>
            <w:tabs>
              <w:tab w:val="clear" w:pos="7892"/>
              <w:tab w:val="right" w:pos="9026" w:leader="dot"/>
            </w:tabs>
            <w:rPr/>
          </w:pPr>
          <w:hyperlink w:anchor="__RefHeading___Toc79308_3244359995">
            <w:r>
              <w:rPr>
                <w:webHidden/>
                <w:rStyle w:val="IndexLink"/>
                <w:rtl w:val="true"/>
              </w:rPr>
              <w:t>اشاره</w:t>
            </w:r>
            <w:r>
              <w:rPr>
                <w:rStyle w:val="IndexLink"/>
                <w:rtl w:val="true"/>
              </w:rPr>
              <w:tab/>
            </w:r>
            <w:r>
              <w:rPr>
                <w:rStyle w:val="IndexLink"/>
              </w:rPr>
              <w:t>567</w:t>
            </w:r>
          </w:hyperlink>
        </w:p>
        <w:p>
          <w:pPr>
            <w:pStyle w:val="Contents5"/>
            <w:tabs>
              <w:tab w:val="clear" w:pos="7892"/>
              <w:tab w:val="right" w:pos="9026" w:leader="dot"/>
            </w:tabs>
            <w:rPr/>
          </w:pPr>
          <w:hyperlink w:anchor="__RefHeading___Toc79310_3244359995">
            <w:r>
              <w:rPr>
                <w:webHidden/>
                <w:rStyle w:val="IndexLink"/>
                <w:rtl w:val="true"/>
              </w:rPr>
              <w:t>فرع اوّل</w:t>
            </w:r>
            <w:r>
              <w:rPr>
                <w:rStyle w:val="IndexLink"/>
                <w:rtl w:val="true"/>
              </w:rPr>
              <w:t xml:space="preserve">: </w:t>
            </w:r>
            <w:r>
              <w:rPr>
                <w:rStyle w:val="IndexLink"/>
                <w:rtl w:val="true"/>
              </w:rPr>
              <w:t>استحباب اعلام مؤمنین و امر به حضور آنان</w:t>
            </w:r>
            <w:r>
              <w:rPr>
                <w:rStyle w:val="IndexLink"/>
                <w:rtl w:val="true"/>
              </w:rPr>
              <w:tab/>
            </w:r>
            <w:r>
              <w:rPr>
                <w:rStyle w:val="IndexLink"/>
              </w:rPr>
              <w:t>568</w:t>
            </w:r>
          </w:hyperlink>
        </w:p>
        <w:p>
          <w:pPr>
            <w:pStyle w:val="Contents5"/>
            <w:tabs>
              <w:tab w:val="clear" w:pos="7892"/>
              <w:tab w:val="right" w:pos="9026" w:leader="dot"/>
            </w:tabs>
            <w:rPr/>
          </w:pPr>
          <w:hyperlink w:anchor="__RefHeading___Toc79312_3244359995">
            <w:r>
              <w:rPr>
                <w:webHidden/>
                <w:rStyle w:val="IndexLink"/>
                <w:rtl w:val="true"/>
              </w:rPr>
              <w:t>فرع دوم</w:t>
            </w:r>
            <w:r>
              <w:rPr>
                <w:rStyle w:val="IndexLink"/>
                <w:rtl w:val="true"/>
              </w:rPr>
              <w:t xml:space="preserve">: </w:t>
            </w:r>
            <w:r>
              <w:rPr>
                <w:rStyle w:val="IndexLink"/>
                <w:rtl w:val="true"/>
              </w:rPr>
              <w:t>حکم حضور گروه مؤمنین</w:t>
            </w:r>
            <w:r>
              <w:rPr>
                <w:rStyle w:val="IndexLink"/>
                <w:rtl w:val="true"/>
              </w:rPr>
              <w:tab/>
            </w:r>
            <w:r>
              <w:rPr>
                <w:rStyle w:val="IndexLink"/>
              </w:rPr>
              <w:t>572</w:t>
            </w:r>
          </w:hyperlink>
        </w:p>
        <w:p>
          <w:pPr>
            <w:pStyle w:val="Contents5"/>
            <w:tabs>
              <w:tab w:val="clear" w:pos="7892"/>
              <w:tab w:val="right" w:pos="9026" w:leader="dot"/>
            </w:tabs>
            <w:rPr/>
          </w:pPr>
          <w:hyperlink w:anchor="__RefHeading___Toc79314_3244359995">
            <w:r>
              <w:rPr>
                <w:webHidden/>
                <w:rStyle w:val="IndexLink"/>
                <w:rtl w:val="true"/>
              </w:rPr>
              <w:t>فرع سوم</w:t>
            </w:r>
            <w:r>
              <w:rPr>
                <w:rStyle w:val="IndexLink"/>
                <w:rtl w:val="true"/>
              </w:rPr>
              <w:t xml:space="preserve">: </w:t>
            </w:r>
            <w:r>
              <w:rPr>
                <w:rStyle w:val="IndexLink"/>
                <w:rtl w:val="true"/>
              </w:rPr>
              <w:t>اندازه‌ی سنگ‌ها</w:t>
            </w:r>
            <w:r>
              <w:rPr>
                <w:rStyle w:val="IndexLink"/>
                <w:rtl w:val="true"/>
              </w:rPr>
              <w:tab/>
            </w:r>
            <w:r>
              <w:rPr>
                <w:rStyle w:val="IndexLink"/>
              </w:rPr>
              <w:t>580</w:t>
            </w:r>
          </w:hyperlink>
        </w:p>
        <w:p>
          <w:pPr>
            <w:pStyle w:val="Contents5"/>
            <w:tabs>
              <w:tab w:val="clear" w:pos="7892"/>
              <w:tab w:val="right" w:pos="9026" w:leader="dot"/>
            </w:tabs>
            <w:rPr/>
          </w:pPr>
          <w:hyperlink w:anchor="__RefHeading___Toc79316_3244359995">
            <w:r>
              <w:rPr>
                <w:webHidden/>
                <w:rStyle w:val="IndexLink"/>
                <w:rtl w:val="true"/>
              </w:rPr>
              <w:t>فرع چهارم</w:t>
            </w:r>
            <w:r>
              <w:rPr>
                <w:rStyle w:val="IndexLink"/>
                <w:rtl w:val="true"/>
              </w:rPr>
              <w:t xml:space="preserve">: </w:t>
            </w:r>
            <w:r>
              <w:rPr>
                <w:rStyle w:val="IndexLink"/>
                <w:rtl w:val="true"/>
              </w:rPr>
              <w:t>حکم کسی که حدّ بر عهده دارد</w:t>
            </w:r>
            <w:r>
              <w:rPr>
                <w:rStyle w:val="IndexLink"/>
                <w:rtl w:val="true"/>
              </w:rPr>
              <w:tab/>
            </w:r>
            <w:r>
              <w:rPr>
                <w:rStyle w:val="IndexLink"/>
              </w:rPr>
              <w:t>582</w:t>
            </w:r>
          </w:hyperlink>
        </w:p>
        <w:p>
          <w:pPr>
            <w:pStyle w:val="Contents6"/>
            <w:tabs>
              <w:tab w:val="clear" w:pos="7609"/>
              <w:tab w:val="right" w:pos="9026" w:leader="dot"/>
            </w:tabs>
            <w:rPr/>
          </w:pPr>
          <w:hyperlink w:anchor="__RefHeading___Toc79318_3244359995">
            <w:r>
              <w:rPr>
                <w:webHidden/>
                <w:rStyle w:val="IndexLink"/>
                <w:rtl w:val="true"/>
              </w:rPr>
              <w:t>اشاره</w:t>
            </w:r>
            <w:r>
              <w:rPr>
                <w:rStyle w:val="IndexLink"/>
                <w:rtl w:val="true"/>
              </w:rPr>
              <w:tab/>
            </w:r>
            <w:r>
              <w:rPr>
                <w:rStyle w:val="IndexLink"/>
              </w:rPr>
              <w:t>582</w:t>
            </w:r>
          </w:hyperlink>
        </w:p>
        <w:p>
          <w:pPr>
            <w:pStyle w:val="Contents6"/>
            <w:tabs>
              <w:tab w:val="clear" w:pos="7609"/>
              <w:tab w:val="right" w:pos="9026" w:leader="dot"/>
            </w:tabs>
            <w:rPr/>
          </w:pPr>
          <w:hyperlink w:anchor="__RefHeading___Toc79320_3244359995">
            <w:r>
              <w:rPr>
                <w:webHidden/>
                <w:rStyle w:val="IndexLink"/>
                <w:rtl w:val="true"/>
              </w:rPr>
              <w:t>بررسی مطلب در دو جهت ضروری است</w:t>
            </w:r>
            <w:r>
              <w:rPr>
                <w:rStyle w:val="IndexLink"/>
                <w:rtl w:val="true"/>
              </w:rPr>
              <w:t>-</w:t>
              <w:tab/>
            </w:r>
            <w:r>
              <w:rPr>
                <w:rStyle w:val="IndexLink"/>
              </w:rPr>
              <w:t>582</w:t>
            </w:r>
          </w:hyperlink>
        </w:p>
        <w:p>
          <w:pPr>
            <w:pStyle w:val="Contents6"/>
            <w:tabs>
              <w:tab w:val="clear" w:pos="7609"/>
              <w:tab w:val="right" w:pos="9026" w:leader="dot"/>
            </w:tabs>
            <w:rPr/>
          </w:pPr>
          <w:hyperlink w:anchor="__RefHeading___Toc79322_3244359995">
            <w:r>
              <w:rPr>
                <w:webHidden/>
                <w:rStyle w:val="IndexLink"/>
                <w:rtl w:val="true"/>
              </w:rPr>
              <w:t>جهت اوّل</w:t>
            </w:r>
            <w:r>
              <w:rPr>
                <w:rStyle w:val="IndexLink"/>
                <w:rtl w:val="true"/>
              </w:rPr>
              <w:t xml:space="preserve">: </w:t>
            </w:r>
            <w:r>
              <w:rPr>
                <w:rStyle w:val="IndexLink"/>
                <w:rtl w:val="true"/>
              </w:rPr>
              <w:t>مفاد ادلّه در حرمت و کراهت</w:t>
            </w:r>
            <w:r>
              <w:rPr>
                <w:rStyle w:val="IndexLink"/>
                <w:rtl w:val="true"/>
              </w:rPr>
              <w:tab/>
            </w:r>
            <w:r>
              <w:rPr>
                <w:rStyle w:val="IndexLink"/>
              </w:rPr>
              <w:t>582</w:t>
            </w:r>
          </w:hyperlink>
        </w:p>
        <w:p>
          <w:pPr>
            <w:pStyle w:val="Contents6"/>
            <w:tabs>
              <w:tab w:val="clear" w:pos="7609"/>
              <w:tab w:val="right" w:pos="9026" w:leader="dot"/>
            </w:tabs>
            <w:rPr/>
          </w:pPr>
          <w:hyperlink w:anchor="__RefHeading___Toc79324_3244359995">
            <w:r>
              <w:rPr>
                <w:webHidden/>
                <w:rStyle w:val="IndexLink"/>
                <w:rtl w:val="true"/>
              </w:rPr>
              <w:t>جهت دوم</w:t>
            </w:r>
            <w:r>
              <w:rPr>
                <w:rStyle w:val="IndexLink"/>
                <w:rtl w:val="true"/>
              </w:rPr>
              <w:t xml:space="preserve">: </w:t>
            </w:r>
            <w:r>
              <w:rPr>
                <w:rStyle w:val="IndexLink"/>
                <w:rtl w:val="true"/>
              </w:rPr>
              <w:t>در تعمیم یا اختصاص حکم</w:t>
            </w:r>
            <w:r>
              <w:rPr>
                <w:rStyle w:val="IndexLink"/>
                <w:rtl w:val="true"/>
              </w:rPr>
              <w:tab/>
            </w:r>
            <w:r>
              <w:rPr>
                <w:rStyle w:val="IndexLink"/>
              </w:rPr>
              <w:t>586</w:t>
            </w:r>
          </w:hyperlink>
        </w:p>
        <w:p>
          <w:pPr>
            <w:pStyle w:val="Contents5"/>
            <w:tabs>
              <w:tab w:val="clear" w:pos="7892"/>
              <w:tab w:val="right" w:pos="9026" w:leader="dot"/>
            </w:tabs>
            <w:rPr/>
          </w:pPr>
          <w:hyperlink w:anchor="__RefHeading___Toc79326_3244359995">
            <w:r>
              <w:rPr>
                <w:webHidden/>
                <w:rStyle w:val="IndexLink"/>
                <w:rtl w:val="true"/>
              </w:rPr>
              <w:t>مجوّز بودن توبه جهت اقامه‌ی حدّ</w:t>
            </w:r>
            <w:r>
              <w:rPr>
                <w:rStyle w:val="IndexLink"/>
                <w:rtl w:val="true"/>
              </w:rPr>
              <w:tab/>
            </w:r>
            <w:r>
              <w:rPr>
                <w:rStyle w:val="IndexLink"/>
              </w:rPr>
              <w:t>588</w:t>
            </w:r>
          </w:hyperlink>
        </w:p>
        <w:p>
          <w:pPr>
            <w:pStyle w:val="Contents5"/>
            <w:tabs>
              <w:tab w:val="clear" w:pos="7892"/>
              <w:tab w:val="right" w:pos="9026" w:leader="dot"/>
            </w:tabs>
            <w:rPr/>
          </w:pPr>
          <w:hyperlink w:anchor="__RefHeading___Toc79328_3244359995">
            <w:r>
              <w:rPr>
                <w:webHidden/>
                <w:rStyle w:val="IndexLink"/>
                <w:rtl w:val="true"/>
              </w:rPr>
              <w:t>عدم فرق بین ثبوت حدّ به اقرار یا بیّنه</w:t>
            </w:r>
            <w:r>
              <w:rPr>
                <w:rStyle w:val="IndexLink"/>
                <w:rtl w:val="true"/>
              </w:rPr>
              <w:tab/>
            </w:r>
            <w:r>
              <w:rPr>
                <w:rStyle w:val="IndexLink"/>
              </w:rPr>
              <w:t>590</w:t>
            </w:r>
          </w:hyperlink>
        </w:p>
        <w:p>
          <w:pPr>
            <w:pStyle w:val="Contents4"/>
            <w:tabs>
              <w:tab w:val="clear" w:pos="8176"/>
              <w:tab w:val="right" w:pos="9026" w:leader="dot"/>
            </w:tabs>
            <w:rPr/>
          </w:pPr>
          <w:hyperlink w:anchor="__RefHeading___Toc79330_3244359995">
            <w:r>
              <w:rPr>
                <w:webHidden/>
                <w:rStyle w:val="IndexLink"/>
                <w:rtl w:val="true"/>
              </w:rPr>
              <w:t>تجهیز زانی مرجوم قبل از رجم</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9_226756"/>
      <w:bookmarkStart w:id="1" w:name="pg16919_226756"/>
      <w:bookmarkEnd w:id="1"/>
    </w:p>
    <w:p>
      <w:pPr>
        <w:pStyle w:val="Heading2"/>
        <w:numPr>
          <w:ilvl w:val="1"/>
          <w:numId w:val="1"/>
        </w:numPr>
        <w:rPr/>
      </w:pPr>
      <w:bookmarkStart w:id="2" w:name="pg16919_226756"/>
      <w:bookmarkStart w:id="3" w:name="__RefHeading___Toc78586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کیفری اسلام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کیفری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ترابی شهرضایی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91072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HV6026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588_3244359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 کیفری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موحدی لنکرانی، محمد</w:t>
      </w:r>
      <w:bookmarkStart w:id="7" w:name="pg16919_226764"/>
    </w:p>
    <w:p>
      <w:pPr>
        <w:pStyle w:val="Heading2"/>
        <w:numPr>
          <w:ilvl w:val="1"/>
          <w:numId w:val="1"/>
        </w:numPr>
        <w:rPr/>
      </w:pPr>
      <w:bookmarkStart w:id="8" w:name="__RefHeading___Toc78590_3244359995"/>
      <w:bookmarkStart w:id="9" w:name="_Toc3"/>
      <w:bookmarkEnd w:id="7"/>
      <w:bookmarkEnd w:id="8"/>
      <w:r>
        <w:rPr>
          <w:rtl w:val="true"/>
        </w:rPr>
        <w:t>مقدمه کتاب به قلم</w:t>
      </w:r>
      <w:bookmarkEnd w:id="9"/>
    </w:p>
    <w:p>
      <w:pPr>
        <w:pStyle w:val="Heading3"/>
        <w:numPr>
          <w:ilvl w:val="2"/>
          <w:numId w:val="1"/>
        </w:numPr>
        <w:rPr/>
      </w:pPr>
      <w:bookmarkStart w:id="10" w:name="__RefHeading___Toc78592_3244359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حضرت آیت اللّه آقای حاج شیخ محمّدجواد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Heading3"/>
        <w:numPr>
          <w:ilvl w:val="2"/>
          <w:numId w:val="1"/>
        </w:numPr>
        <w:rPr/>
      </w:pPr>
      <w:bookmarkStart w:id="12" w:name="__RefHeading___Toc78594_3244359995"/>
      <w:bookmarkStart w:id="13" w:name="_Toc5"/>
      <w:bookmarkEnd w:id="12"/>
      <w:r>
        <w:rPr>
          <w:rtl w:val="true"/>
        </w:rPr>
        <w:t>مشروعیّت و لزوم اجرای حدود اسلامی در زمان غیبت</w:t>
      </w:r>
      <w:bookmarkEnd w:id="13"/>
    </w:p>
    <w:p>
      <w:pPr>
        <w:pStyle w:val="Heading4"/>
        <w:numPr>
          <w:ilvl w:val="3"/>
          <w:numId w:val="1"/>
        </w:numPr>
        <w:rPr/>
      </w:pPr>
      <w:bookmarkStart w:id="14" w:name="__RefHeading___Toc78596_3244359995"/>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ویژگی‌های بسیار مهمّ دین اسلام که از مؤلّفه‌های مؤثر در جامعیّت این دین محسوب می‌شود، تبیین جرم‌ها و گناهان، و بیان ناهنجاری‌های شخصی و اجتماعی، و به دنبال آن ذکر آثار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 اسلام به عنوان عملی قبیح شمرده شده، و از مصادیق گناهان محسوب می‌شود، دارای آثار مهمّ دنیوی و عقوبت‌های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دنیوی، جنبه وضعی، و به تعبیر دیگر، جنبه قهری و تکوینی دارد؛ و برخی دیگر، جنبه عقوبتی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همان طور که نسبت به اجتناب و ترکِ گناه سفارش شده، و در همه اجتماعات نسبت به تقوا، دین‌داری و ترس از خدا تأکید می‌شود، برای برخی گناهان نیز عقوبت‌هایی در نظر گرفته شده است که در فقه از آن به حدود و تعزیرات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مجازات‌ها چهار نکته وجود دارد که از آن به مؤلّفه تعبیر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معلوم می‌شود تمامی حدود در مواردی اجرا می‌گردد که شخص انسان و خود او به تنهایی مطرح نیست؛ بلکه جرم در ارتباط با فعل یک انسان با مال دیگر، یا شخص دیگری و یا جمعی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شخصی از قبیل دروغ و یا غیبت که در آن فعل یک نفر است و فعل یا مال و یا عرض دیگری در آن مطرح</w:t>
      </w:r>
    </w:p>
    <w:p>
      <w:pPr>
        <w:pStyle w:val="BookText"/>
        <w:rPr/>
      </w:pPr>
      <w:r>
        <w:rPr>
          <w:rFonts w:ascii="IRNazanin" w:hAnsi="IRNazanin" w:eastAsia="IRNazanin"/>
          <w:color w:val="111111"/>
          <w:sz w:val="28"/>
          <w:sz w:val="28"/>
          <w:szCs w:val="28"/>
          <w:rtl w:val="true"/>
          <w:lang w:bidi="fa-IR"/>
        </w:rPr>
        <w:t>نیست، موضوع برای حدود نمی‌باشند؛ امّا در مواردی مانند زنا، لواط، سرقت و قذف، حدود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کاشف از آن است که اراده اوّلیّه شارع مقدّس بر آن نبوده که نسبت به همه پلیدی‌ها، حرام‌ها و گناه‌ها، عقوبتی را وضع نماید؛ بلکه جرائمی که در دایره فرد و مال، یا عرض و یا عقیده او محدود و محصور نباشد، مشمول این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ارتداد، چنان‌چه شخصی آن را اظهار ننماید و در کمون ذهن خویش قرار دهد، عقوبت دنیوی و حدّی وجود ندارد؛ امّا زمانی که آن را اظهار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نوعی اعلان مقابله با دین و متدیّنین و تخریب عقائد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حدّ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 نکته حائز اهمیّت است که بر طبق قانون درء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وادرئوا الحدود عن المسملمین ما استطعتم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یا مطابق نقل شیخ 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ادرئوا الحدود بالشبهات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بر آن است که تا اندازۀ ممکن استحقاق حدّ در مورد افراد منتفی باشد؛ و هیچ‌گاه این دین اصراری بر اثبات جرم و به دنبال آن، اقامۀ حدود مترتّب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موارد اثبات جرم، هیچ‌گاه آن را به وسیله طریقی آسان و ساده نپذیرفته است تا جایی که در برخی از صورت‌ها، اقامه چهار شاهد عادل مرد را لازم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دو مؤلّفه، مؤلّفه سوم مواردی است که به عنوان عفو در اختیار حاکم شرع و قاضی جامع الشرائط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چهارم آن است که بر اساس برخی روایات، در صورت جهل به حرمت و حکم، استحقاق حدّ منتفی است؛ به عنوان مثال، در صحیحه حلبی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دخل فی الإسلام وأقرّ به ثمّ شرب الخمر وزنی وأکل الربا ولم یتبیّن له شیء من الحلال والحرام لم أقم علیه الحدّ إذا کان جاهلاً إلّاأن تقوم علیه البیّنة أنّه قرء السورة الّتی فیها الزنا والخمر وأکل الربا وإذا جهل ذلک أعلمته وأخبرته</w:t>
      </w:r>
    </w:p>
    <w:p>
      <w:pPr>
        <w:pStyle w:val="BookText"/>
        <w:rPr/>
      </w:pPr>
      <w:r>
        <w:rPr>
          <w:rFonts w:ascii="IRNazanin" w:hAnsi="IRNazanin" w:eastAsia="IRNazanin"/>
          <w:color w:val="111111"/>
          <w:sz w:val="28"/>
          <w:sz w:val="28"/>
          <w:szCs w:val="28"/>
          <w:rtl w:val="true"/>
          <w:lang w:bidi="fa-IR"/>
        </w:rPr>
        <w:t>فإن رکبه بعد ذلک جلدته وأقمت علیه الحدّ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نیز در ضابطه کلّی 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شامل شبهات حکمیه است و هم در شبهات موضوعیه جریان دارد، هم جاهل قاصر را شامل است و هم جاهل مقصّر را، به این جهت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روشن است که لازم نیست مجرم، علم به وجود حدّ و مقدار آن داشته باشد؛ بلکه فقط باید بداند این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استحقاق حدّ دارد؛ هرچند نداند که حدّ شرعی و عقوبت در چنین حرامی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چهار مؤلّفه و خصوصیّت، روشن می‌شود استحقاق حدّ امری است که به آسانی محقّق نمی‌شود؛ بلکه بعد از شرایط و اموری تحقّق آن ممکن است؛ و به عبارت دیگر، در دین اسلام، تصمیم شارع مقدّس بر تکثیر حدود و اجرا و شیوع آن در جامعه نبوده، و به مقدار ضرورت و به کمترین مقدار لازم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این خصوصیات، نزاع در این است که آیا اقامه حدود از مختصّات زمان حضور معصوم علیه السلام است که باید به اذن وی باشد یا این‌که شامل زمان غیبت هم می‌شود؟ و آیا این احتمال وجود دارد که چنان‌چه اجرای حدود از احکام اختصاصی زمان حضور باشد، بگوئیم ائمّه معصومین علیهم السلام به فقهای جامع الشرایط، در این مورد اذنی عام داده‌اند و آنان ولایت بر این امر دارند؟ همان‌طور که ممکن است نسبت به زمان حضور معتقد باشیم ائمه علیهم السلام برای اجرای آن در مورد دیگران اذن داده‌اند؟</w:t>
      </w:r>
    </w:p>
    <w:p>
      <w:pPr>
        <w:pStyle w:val="BookText"/>
        <w:rPr/>
      </w:pPr>
      <w:r>
        <w:rPr>
          <w:rFonts w:ascii="IRNazanin" w:hAnsi="IRNazanin" w:eastAsia="IRNazanin"/>
          <w:color w:val="111111"/>
          <w:sz w:val="28"/>
          <w:sz w:val="28"/>
          <w:szCs w:val="28"/>
          <w:rtl w:val="true"/>
          <w:lang w:bidi="fa-IR"/>
        </w:rPr>
        <w:t>در بحث قضاوت، فقها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ولایتِ بر حکم دارد؛ و به تعبیر دیگر، قضاوت ونفوذ آن از مصادیق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اجرای حدود نیز جهت ولایت باید وجود داشته باشد و بدون آن، کسی حق اجرای 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آیا چنین ولایتی برای فقهای جامع الشرائط در زمان غیبت قرار داده شده است و یا آن‌که مختص به امام معصوم علیه السلام است و بدون حضور امام معصوم علیه السلام و اذن ایشان نمی‌توان این حدود را اجرا کرد؟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محل نزاع، واضح است که در مقام استدلال، لازم است بر اشتراط و</w:t>
      </w:r>
      <w:bookmarkStart w:id="16" w:name="pg16919_226767"/>
    </w:p>
    <w:p>
      <w:pPr>
        <w:pStyle w:val="BookText"/>
        <w:rPr/>
      </w:pPr>
      <w:bookmarkEnd w:id="16"/>
      <w:r>
        <w:rPr>
          <w:rFonts w:ascii="IRNazanin" w:hAnsi="IRNazanin" w:eastAsia="IRNazanin"/>
          <w:color w:val="111111"/>
          <w:sz w:val="28"/>
          <w:sz w:val="28"/>
          <w:szCs w:val="28"/>
          <w:rtl w:val="true"/>
          <w:lang w:bidi="fa-IR"/>
        </w:rPr>
        <w:t>اختصاص، دلیل اقامه شود؛ و چنان‌چه دلیل روشنی بر اختصاص این امر به امام معصوم علیه السلام دلالت داشته باشد، قائل به اختصاص می‌شویم؛ امّا اگر دلیلی بر این اختصاص نباشد، بعد از اثبات ولایت مطلقه برای فقیه جامع الشرائط، اصالة عدم الاشتراط در این مورد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 مطلب مسلّم است که اثباتِ حدّ باید با نظر حاکم شرع باشد؛ امّا بحث در این است که در مواردی که بر حسب ظاهر برای افراد معمولی نیز اصل جرم با خصوصیّات و شرایط آن ثابت است، آیا این شخص می‌تواند خودْ حاکم و مجری در اجرای حدّ باشد؟</w:t>
      </w:r>
    </w:p>
    <w:p>
      <w:pPr>
        <w:pStyle w:val="BookText"/>
        <w:rPr/>
      </w:pPr>
      <w:r>
        <w:rPr>
          <w:rFonts w:ascii="IRNazanin" w:hAnsi="IRNazanin" w:eastAsia="IRNazanin"/>
          <w:color w:val="111111"/>
          <w:sz w:val="28"/>
          <w:sz w:val="28"/>
          <w:szCs w:val="28"/>
          <w:rtl w:val="true"/>
          <w:lang w:bidi="fa-IR"/>
        </w:rPr>
        <w:t>به عبارت دیگر، نمی‌توان پذیرفت بین مسئلۀ اثبات و مسئلۀ اجرای حدّ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اثبات حدّ تردیدی نیست که باید نزد حاکم مجتهد باشد، امّا ملازمه‌ای نیست که در اجرا، مجری نیز مجتهد باشد</w:t>
      </w:r>
      <w:r>
        <w:rPr>
          <w:rFonts w:eastAsia="IRNazanin" w:cs="IRNazanin"/>
          <w:color w:val="111111"/>
          <w:sz w:val="28"/>
          <w:szCs w:val="28"/>
          <w:rtl w:val="true"/>
          <w:lang w:bidi="fa-IR"/>
        </w:rPr>
        <w:t>.</w:t>
      </w:r>
    </w:p>
    <w:p>
      <w:pPr>
        <w:pStyle w:val="Heading4"/>
        <w:numPr>
          <w:ilvl w:val="3"/>
          <w:numId w:val="1"/>
        </w:numPr>
        <w:rPr/>
      </w:pPr>
      <w:bookmarkStart w:id="17" w:name="__RefHeading___Toc78598_3244359995"/>
      <w:bookmarkStart w:id="18" w:name="_Toc7"/>
      <w:bookmarkEnd w:id="17"/>
      <w:r>
        <w:rPr>
          <w:rtl w:val="true"/>
        </w:rPr>
        <w:t>ملازمه مشروعیّت قضا و مشروعیّت اجرا</w:t>
      </w:r>
      <w:bookmarkEnd w:id="18"/>
    </w:p>
    <w:p>
      <w:pPr>
        <w:pStyle w:val="BookText"/>
        <w:rPr/>
      </w:pPr>
      <w:r>
        <w:rPr>
          <w:rFonts w:ascii="IRNazanin" w:hAnsi="IRNazanin" w:eastAsia="IRNazanin"/>
          <w:color w:val="111111"/>
          <w:sz w:val="28"/>
          <w:sz w:val="28"/>
          <w:szCs w:val="28"/>
          <w:rtl w:val="true"/>
          <w:lang w:bidi="fa-IR"/>
        </w:rPr>
        <w:t>آیا بین مشروعیّت قضا در زمان غیبت و مشروعیّت اجرای حدود ملازمه وجود دارد؟</w:t>
      </w:r>
    </w:p>
    <w:p>
      <w:pPr>
        <w:pStyle w:val="BookText"/>
        <w:rPr/>
      </w:pPr>
      <w:r>
        <w:rPr>
          <w:rFonts w:ascii="IRNazanin" w:hAnsi="IRNazanin" w:eastAsia="IRNazanin"/>
          <w:color w:val="111111"/>
          <w:sz w:val="28"/>
          <w:sz w:val="28"/>
          <w:szCs w:val="28"/>
          <w:rtl w:val="true"/>
          <w:lang w:bidi="fa-IR"/>
        </w:rPr>
        <w:t>در عبارات فقهایی که به جواز اقامه حدود در زمان غیبت معتقد هستند، غالباً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حکم و قضا از شؤون فقاهت است، اجرای حدود نیز چنین است؛ و گویا در ارتکاز فقها این ملازمه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نیز همین است که یک ملازمۀ شرعی و عادی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این است که اگر قضا مشروع باشد امّا اجرای حدود مشروع نباشد، لغویّت قضا در برخی از موارد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ادلّه مشروعیّت قضا حتّی نسبت به مواردی که در آن‌ها حدود الهی وجود دارد، اطلاق دارند؛ و اگر اجرای حدود در زمان غیبت را مشروع ندانیم، لازم می‌آید در این ادلّه، تخصیص و یا تقیید وارد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مشروعیّت اجرای حدود، یا مستلزم لغویّت مشروعیّت قضا در برخی از موارد است، و یا این‌که باید ملتزم به تخصیص و یا تقیید در آن شویم؛ و هیچ کدام از این دو امر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ملازمه بین این‌ها را بپذیریم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بین مشروعیّت افتا و اجرای حدود ملازمه‌ای نیست</w:t>
      </w:r>
      <w:r>
        <w:rPr>
          <w:rFonts w:eastAsia="IRNazanin" w:cs="IRNazanin"/>
          <w:color w:val="111111"/>
          <w:sz w:val="28"/>
          <w:szCs w:val="28"/>
          <w:rtl w:val="true"/>
          <w:lang w:bidi="fa-IR"/>
        </w:rPr>
        <w:t>.</w:t>
      </w:r>
      <w:bookmarkStart w:id="19" w:name="pg16919_226768"/>
    </w:p>
    <w:p>
      <w:pPr>
        <w:pStyle w:val="Heading4"/>
        <w:numPr>
          <w:ilvl w:val="3"/>
          <w:numId w:val="1"/>
        </w:numPr>
        <w:rPr/>
      </w:pPr>
      <w:bookmarkStart w:id="20" w:name="__RefHeading___Toc78600_3244359995"/>
      <w:bookmarkStart w:id="21" w:name="_Toc8"/>
      <w:bookmarkEnd w:id="19"/>
      <w:bookmarkEnd w:id="20"/>
      <w:r>
        <w:rPr>
          <w:rtl w:val="true"/>
        </w:rPr>
        <w:t>ملازمه نظریه ولایت فقیه و مشروعیّت اجرای حدود</w:t>
      </w:r>
      <w:bookmarkEnd w:id="21"/>
    </w:p>
    <w:p>
      <w:pPr>
        <w:pStyle w:val="BookText"/>
        <w:rPr/>
      </w:pPr>
      <w:r>
        <w:rPr>
          <w:rFonts w:ascii="IRNazanin" w:hAnsi="IRNazanin" w:eastAsia="IRNazanin"/>
          <w:color w:val="111111"/>
          <w:sz w:val="28"/>
          <w:sz w:val="28"/>
          <w:szCs w:val="28"/>
          <w:rtl w:val="true"/>
          <w:lang w:bidi="fa-IR"/>
        </w:rPr>
        <w:t>در برخی از کلمات محقّقان ارجمند</w:t>
      </w:r>
      <w:r>
        <w:rPr>
          <w:rStyle w:val="FootnoteAnchor"/>
          <w:rtl w:val="true"/>
        </w:rPr>
        <w:footnoteReference w:id="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جواز اقامۀ حدود در زمان غیبت، به معنای انکار نظریه ولایت فقیه نیست؛ چرا که میان این دو مبحث، به اصطلاح اهل منطق، رابطه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قائل به نظریه ولایت فقیه به معنای رایج نباشند ولی معتقد باشند فقیهان جامع الشرایط می‌توانند قضاوت و اقامه 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رحمه الله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قائل به ولایت فقیه باشد، ولی حدود و اختیارات فقیه را به اجرای حدود یا جهاد با کفّار تسرّی ندهد؛ مانند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کسی هیچ‌کدام را قائل نباشد؛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سیّد احمد خوانساری و آیت‌اللّه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برخی هر دو نظریه را قائل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و شمار زیادی از معاصرین متأخرین و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سخن قابل مناقشه است؛ زیرا، مدّعی مبتنی بر نظریه ولایت مطلقه فقیه است و باید پرسید آیا ملازمه‌ای بین این نظریه و مسئلۀ اجرای حدود وجود دارد یا خیر؟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چنین ملازمه‌ای وجود دارد؛ وگرنه خلاف فرض لازم می‌آید و عنوان اطلاق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بین دو مطلب خلط شده است؛ اوّل آن‌که آیا لازمۀ مسأله ولایت مطلقه جواز اقامه حدود در زمان غیبت است یا خیر؟ دوّم آن‌که از نظر اقوال، بین بزرگان چند قول وجود دارد؟ نویسنده محترم نسبت به مطلب دوّم توجّه فرموده‌اند، در حالی که بحث در ملازمه، مربوط به مطلب اوّل است؛ و بین پذیرش ولایت مطلق برای فقیه و مشروعیّت اقامه حدود ملازمه روشنی وجود دارد، مگر آن‌که دلیلی خاص بر عدم مشروعیّت در زمان غیبت اقامه شود؛ که در این صورت، از نظر فتوا، باید در عین این‌که ولایت مطلقه را پذیرفت، نسبت به آن دلیل خاص بر فرض مقبولیّت آن نیز عمل شود؛ امّا با قطع نظر از وجود دلیل خاص، تردیدی در این ملازمه نیست</w:t>
      </w:r>
      <w:r>
        <w:rPr>
          <w:rFonts w:eastAsia="IRNazanin" w:cs="IRNazanin"/>
          <w:color w:val="111111"/>
          <w:sz w:val="28"/>
          <w:szCs w:val="28"/>
          <w:rtl w:val="true"/>
          <w:lang w:bidi="fa-IR"/>
        </w:rPr>
        <w:t>.</w:t>
      </w:r>
      <w:bookmarkStart w:id="22" w:name="pg16919_226769"/>
    </w:p>
    <w:p>
      <w:pPr>
        <w:pStyle w:val="BookText"/>
        <w:rPr/>
      </w:pPr>
      <w:bookmarkEnd w:id="22"/>
      <w:r>
        <w:rPr>
          <w:rFonts w:ascii="IRNazanin" w:hAnsi="IRNazanin" w:eastAsia="IRNazanin"/>
          <w:color w:val="111111"/>
          <w:sz w:val="28"/>
          <w:sz w:val="28"/>
          <w:szCs w:val="28"/>
          <w:rtl w:val="true"/>
          <w:lang w:bidi="fa-IR"/>
        </w:rPr>
        <w:t>البتّه توجّه به این نکته لازم است که عمومیّت و اطلاق ولایت فقیه، به طور قطع شامل اجرای حدود نیز می‌شود و از این نظر، مسئله بالاتر و مهم‌تر از عنوان ملازمه است؛ و به عبارت دیگر، اجرای حدود یکی از مصادیق عنوان عمومی ولایت مطلقه فقیه است؛ و تعبیر به ملازمه، تعبیر مسامحی است</w:t>
      </w:r>
      <w:r>
        <w:rPr>
          <w:rFonts w:eastAsia="IRNazanin" w:cs="IRNazanin"/>
          <w:color w:val="111111"/>
          <w:sz w:val="28"/>
          <w:szCs w:val="28"/>
          <w:rtl w:val="true"/>
          <w:lang w:bidi="fa-IR"/>
        </w:rPr>
        <w:t>.</w:t>
      </w:r>
    </w:p>
    <w:p>
      <w:pPr>
        <w:pStyle w:val="Heading4"/>
        <w:numPr>
          <w:ilvl w:val="3"/>
          <w:numId w:val="1"/>
        </w:numPr>
        <w:rPr/>
      </w:pPr>
      <w:bookmarkStart w:id="23" w:name="__RefHeading___Toc78602_3244359995"/>
      <w:bookmarkStart w:id="24" w:name="_Toc9"/>
      <w:bookmarkEnd w:id="23"/>
      <w:r>
        <w:rPr>
          <w:rtl w:val="true"/>
        </w:rPr>
        <w:t>آرا و اقوال موجود در مسأله</w:t>
      </w:r>
      <w:bookmarkEnd w:id="24"/>
    </w:p>
    <w:p>
      <w:pPr>
        <w:pStyle w:val="BookText"/>
        <w:rPr/>
      </w:pPr>
      <w:r>
        <w:rPr>
          <w:rFonts w:ascii="IRNazanin" w:hAnsi="IRNazanin" w:eastAsia="IRNazanin"/>
          <w:color w:val="111111"/>
          <w:sz w:val="28"/>
          <w:sz w:val="28"/>
          <w:szCs w:val="28"/>
          <w:rtl w:val="true"/>
          <w:lang w:bidi="fa-IR"/>
        </w:rPr>
        <w:t>در این بحث به طور کلّی چهار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نحو مطلق؛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به نحو مطلق؛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موارد جواز، که توضیح آن خواهد آمد؛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توقّف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معتقد به جواز و تفصیل هستند، بر پنج نظریه منشعب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برای فقیه جامع الشرایط به نحو مطلق و عدم جواز اقامه حدود برای غیر فقیه، مگر مولا نسبت به مملوک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کلمات شهید ثانی رحمه الله در مسالک</w:t>
      </w:r>
      <w:r>
        <w:rPr>
          <w:rStyle w:val="FootnoteAnchor"/>
          <w:rtl w:val="true"/>
        </w:rPr>
        <w:footnoteReference w:id="6"/>
      </w:r>
      <w:r>
        <w:rPr>
          <w:rFonts w:ascii="IRNazanin" w:hAnsi="IRNazanin" w:eastAsia="IRNazanin"/>
          <w:color w:val="111111"/>
          <w:sz w:val="28"/>
          <w:sz w:val="28"/>
          <w:szCs w:val="28"/>
          <w:rtl w:val="true"/>
          <w:lang w:bidi="fa-IR"/>
        </w:rPr>
        <w:t>و الروضة البهیّة</w:t>
      </w:r>
      <w:r>
        <w:rPr>
          <w:rStyle w:val="FootnoteAnchor"/>
          <w:rtl w:val="true"/>
        </w:rPr>
        <w:footnoteReference w:id="7"/>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برای فقیه به صورت مطلق و عدم جواز برای غیر فقیه، هرچند که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کلمات مقنعه</w:t>
      </w:r>
      <w:r>
        <w:rPr>
          <w:rStyle w:val="FootnoteAnchor"/>
          <w:rtl w:val="true"/>
        </w:rPr>
        <w:footnoteReference w:id="8"/>
      </w:r>
      <w:r>
        <w:rPr>
          <w:rFonts w:ascii="IRNazanin" w:hAnsi="IRNazanin" w:eastAsia="IRNazanin"/>
          <w:color w:val="111111"/>
          <w:sz w:val="28"/>
          <w:sz w:val="28"/>
          <w:szCs w:val="28"/>
          <w:rtl w:val="true"/>
          <w:lang w:bidi="fa-IR"/>
        </w:rPr>
        <w:t>و مراسم</w:t>
      </w:r>
      <w:r>
        <w:rPr>
          <w:rStyle w:val="FootnoteAnchor"/>
          <w:rtl w:val="true"/>
        </w:rPr>
        <w:footnoteReference w:id="9"/>
      </w:r>
      <w:r>
        <w:rPr>
          <w:rFonts w:ascii="IRNazanin" w:hAnsi="IRNazanin" w:eastAsia="IRNazanin"/>
          <w:color w:val="111111"/>
          <w:sz w:val="28"/>
          <w:sz w:val="28"/>
          <w:szCs w:val="28"/>
          <w:rtl w:val="true"/>
          <w:lang w:bidi="fa-IR"/>
        </w:rPr>
        <w:t>و کتاب کافی</w:t>
      </w:r>
      <w:r>
        <w:rPr>
          <w:rStyle w:val="FootnoteAnchor"/>
          <w:rtl w:val="true"/>
        </w:rPr>
        <w:footnoteReference w:id="10"/>
      </w:r>
      <w:r>
        <w:rPr>
          <w:rFonts w:ascii="IRNazanin" w:hAnsi="IRNazanin" w:eastAsia="IRNazanin"/>
          <w:color w:val="111111"/>
          <w:sz w:val="28"/>
          <w:sz w:val="28"/>
          <w:szCs w:val="28"/>
          <w:rtl w:val="true"/>
          <w:lang w:bidi="fa-IR"/>
        </w:rPr>
        <w:t>نوشتۀ ابوالصلاح حلبی، و مرحوم علّامه در مختلف</w:t>
      </w:r>
      <w:r>
        <w:rPr>
          <w:rStyle w:val="FootnoteAnchor"/>
          <w:rtl w:val="true"/>
        </w:rPr>
        <w:footnoteReference w:id="11"/>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فقط برای موالی و عدم جواز برای غیر آن‌ها مطلقا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سوم به انضمام جواز اقامه حدود برای پدران و شوهران</w:t>
      </w:r>
      <w:r>
        <w:rPr>
          <w:rFonts w:eastAsia="IRNazanin" w:cs="IRNazanin"/>
          <w:color w:val="111111"/>
          <w:sz w:val="28"/>
          <w:szCs w:val="28"/>
          <w:rtl w:val="true"/>
          <w:lang w:bidi="fa-IR"/>
        </w:rPr>
        <w:t>.</w:t>
      </w:r>
      <w:r>
        <w:rPr>
          <w:rStyle w:val="FootnoteAnchor"/>
          <w:rtl w:val="true"/>
        </w:rPr>
        <w:footnoteReference w:id="13"/>
      </w:r>
      <w:bookmarkStart w:id="25" w:name="pg16919_226770"/>
    </w:p>
    <w:p>
      <w:pPr>
        <w:pStyle w:val="BookText"/>
        <w:rPr/>
      </w:pPr>
      <w:bookmarkEnd w:id="25"/>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برای فقیه و آباء و ازواج و موالی و عدم جواز برای غیر این‌ها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برای بررسی اقوال لازم است برخی از عبارات فقها را مورد تأمّل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عباراتی که به صراحت از آن‌ها، جواز اجرای حدود در زمان غیبت استفاده می‌شود را نقل می‌کنیم؛ و سپس به بررسی عبارات شیخ طوسی، ابن ادریس و محقّق حلّی رحمهم الله خواهیم پرداخت</w:t>
      </w:r>
      <w:r>
        <w:rPr>
          <w:rFonts w:eastAsia="IRNazanin" w:cs="IRNazanin"/>
          <w:color w:val="111111"/>
          <w:sz w:val="28"/>
          <w:szCs w:val="28"/>
          <w:rtl w:val="true"/>
          <w:lang w:bidi="fa-IR"/>
        </w:rPr>
        <w:t>.</w:t>
      </w:r>
    </w:p>
    <w:p>
      <w:pPr>
        <w:pStyle w:val="Heading4"/>
        <w:numPr>
          <w:ilvl w:val="3"/>
          <w:numId w:val="1"/>
        </w:numPr>
        <w:rPr/>
      </w:pPr>
      <w:bookmarkStart w:id="26" w:name="__RefHeading___Toc78604_3244359995"/>
      <w:bookmarkStart w:id="27" w:name="_Toc10"/>
      <w:bookmarkEnd w:id="26"/>
      <w:r>
        <w:rPr>
          <w:rtl w:val="true"/>
        </w:rPr>
        <w:t>عبارات فقها در مسئله جواز اجرای حدود در زمان غیبت</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کتاب مقنعه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إقامة الحدود فهو إلی سلطان الاسلام والمنصوب من قبل اللّه تعالی وهم أئمّة الهدی من آل محمد صلی الله علیه و آله أو من نصبوه لذلک من الاُمراء والحکّام وقد فوّضوا النظر فیه إلی فقهاء شیعتهم مع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اقامه حدود از شؤون رئیس و سلطان اسلام و کسی که از ناحیه خداوند متعال منصوب شده است، می‌باشد؛ یعنی ائمه هدی علیهم السلام یا کسانی که از طرف آنان منصوب می‌شوند؛ و ائمّه علیهم السلام این امر را به فقهای شیعه تفویض فرموده‌اند که آنان در صورت امکان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شیخ مفید رحمه الله اوّل کسی است که تصریح نموده فقها در زمان غیبت می‌توانند اقامه حدود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رحمه الله در مراسم می‌نویسد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فوّضوا علیهم السلام إلی الفقهاء إقامة الحدود والأحکام بین الناس بعد أن لا یتعدّوا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للإنسان أن یقیم علی ولده وعبده الحدود إذا کان فقیهاً ولم یخف من</w:t>
      </w:r>
    </w:p>
    <w:p>
      <w:pPr>
        <w:pStyle w:val="BookText"/>
        <w:rPr/>
      </w:pPr>
      <w:r>
        <w:rPr>
          <w:rFonts w:ascii="IRNazanin" w:hAnsi="IRNazanin" w:eastAsia="IRNazanin"/>
          <w:color w:val="111111"/>
          <w:sz w:val="28"/>
          <w:sz w:val="28"/>
          <w:szCs w:val="28"/>
          <w:rtl w:val="true"/>
          <w:lang w:bidi="fa-IR"/>
        </w:rPr>
        <w:t>ذلک علی نفسه والأوّل أثبت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با دقت در کلمات سلّار رحمه الله استفاده می‌شود که مقصود ایشان آن است که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جواز اقامه حدود به نحو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ادلّه، اثبت، مستند آن بسیار محکم است؛ و قول دوّم، یعنی جواز اقامه حدّ بر فرزند و عبد حتّی در زمان حضور امام علیه السلام را، هرچند که مقتضای اطلاق روایت است، غیر اثبت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استناد به روایتی است که چندان نمی‌توان به آن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قول در کلمات برخی دیگر از قدما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شیخ مفید، سلاّر رحمه الله دوّمین شخصی است که به مشروعیّت اقامه حدود در زمان غیبت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رحمه الله در کافی می‌نویسد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الأحکام الشرعیّة والحکم بمقتضی التعبّد فیها من فروض الائمّة علیهم السلام المختصّة بهم دون من عداهم ممّن لم یؤهّلوه لذلک فإن تعذّر تنفیذها بهم علیهم السلام وبالمأهول لها من قبلهم لأحد الأسباب لم یجز لغیر شیعتهم تولّی ذلک ولا التحاکم إلیه ولا التوصّل بحکمه إلی الحقّ ولا تقلیده الحکم مع الاختیار ولا لمن لم یتکامل له شروط النائب عن الإمام فی الحکم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تکاملت هذه الشروط فقد أذن له فی تقلّد الحکم وإن کان مقلّده ظالماً متغلّباً وعلیه متی عرض لذلک أن یتولّاه لکون هذه الولایة أمراً بمعروف و نهیاً عن منکر تعیّن فرضها بالتعریض للولایة علیه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طبق این کلام کسانی که شرایط نیابت از ائمّۀ معصومین علیهم السلام را دارند، در تقلّد حکم و تنفیذ و اجرای آن‌ها از طرف ائمّه علیهم السلام مأذون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در این کلام از اجرای احکام به تنفیذ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از مجموع کلمات ایشان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ولایت در قضا و ولایت در اجرا را از مصادیق امر به معروف و نهی از منکر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رحمه الله در غنیة النزوع ابتدا شرایط قاضی را بیان کرده و در آخر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للحاکم أن یحکم بعلمه فی جمیع الأشیاء من الأموال والحدود والقصاص وغیر ذلک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ایشان در متولّی قضا چند شرط را معتبر دانسته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به حق در حکم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العقل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الرأی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حلم و ورع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قیام به آن‌چه که در اختیار او قرار داده شده، قوّت داشته باشد؛ که اجرای حدود را می‌توان از این شرط ششم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در الجامع للشرائع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ویتولّی الحدود إمام الأصل أو خلیفته أو من یأذنان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امام معصوم علیه السلام یا جانشین او و یا مأذون از طرف این دو، عهده‌دار حدود و اجرای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عبارات به خوبی استفاده می‌شود که اجرای حدود در زمان غیبت جایز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شیخ طوسی</w:t>
      </w:r>
    </w:p>
    <w:p>
      <w:pPr>
        <w:pStyle w:val="BookText"/>
        <w:rPr/>
      </w:pPr>
      <w:r>
        <w:rPr>
          <w:rFonts w:ascii="IRNazanin" w:hAnsi="IRNazanin" w:eastAsia="IRNazanin"/>
          <w:color w:val="111111"/>
          <w:sz w:val="28"/>
          <w:sz w:val="28"/>
          <w:szCs w:val="28"/>
          <w:rtl w:val="true"/>
          <w:lang w:bidi="fa-IR"/>
        </w:rPr>
        <w:t>شیخ طوسی رحمه الله در نهایة آورده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إقامة الحدود فلیس یجوز لأحد إقامتها إلاّ لسلطان الزمان المنصوب من قبل اللّه تعالی أو من نصبه الإمام لإقامتها ولا یجوز لأحد سواهما إقامتها علی حال وقد رخّص فی حال قصور أیدی أئمّة الحقّ وتغلّب الظالمین أن یقیم الإنسان الحدّ علی ولده وأهله وممالیکه إذا لم یخف فی ذلک ضرراً من الظالمین وأمن بوائقهم فمتی لم یأمن ذلک لم یجز له التعرّض لذلک علی حال ومن استخلفه سلطان ظالم علی قوم وجعل إلیه إقامة الحدود جاز له أن یقیمها علیهم علی الکمال ویعتقد أنّه إنّما یفعل ذلک بإذن سلطان الحقّ لا بإذن سلطان الجور ویجب علی المؤمنین معونته وتمکینه من ذلک ما لم یتعدّ الحقّ فی ذلک وما هو مشروع فی شریعة الإسلام فإن تعدّی فیما جعل إلیه الحقّ فی ذلک لم یجز له القیام به ولا لأحد معاونته علی ذلک اللهمّ إلّاأن یخاف فی ذلک علی نفسه فإنّه یجوز له حینئذٍ أن یفعل ذلک فی حال التقیّة ما لم یبلغ قتل النفوس وأمّا قتل النفوس فلا یجوز فیه التقیّة علی حال وأمّا الحکم بین الناس والقضاء بین المختلفین فلا یجوز ذلک أیضاً إلاّ لمن أذن له سلطان</w:t>
      </w:r>
    </w:p>
    <w:p>
      <w:pPr>
        <w:pStyle w:val="BookText"/>
        <w:rPr/>
      </w:pPr>
      <w:r>
        <w:rPr>
          <w:rFonts w:ascii="IRNazanin" w:hAnsi="IRNazanin" w:eastAsia="IRNazanin"/>
          <w:color w:val="111111"/>
          <w:sz w:val="28"/>
          <w:sz w:val="28"/>
          <w:szCs w:val="28"/>
          <w:rtl w:val="true"/>
          <w:lang w:bidi="fa-IR"/>
        </w:rPr>
        <w:t>الحقّ فی ذلک وقد فوّضوا ذلک إلی فقهاء شیعتهم فی حال لا یتمکّنون فیه من تولّیه بنفوسهم فمن تمکّن من إنفاذ حکم أو إصلاح بین الناس أو فصل بین المختلفین فلیفعل ذلک وله بذلک الأجر والثواب</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کلام مرحوم شیخ را می‌توان به صورت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حدود شرعی در زمان حضور معصوم علیه السلام فقط برای امام معصوم علیه السلام و کسی که از طرف او نصب خاص دارد، جایز است؛ و برای غیر این دو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زمانی که ائمّه معصومین علیهم السلام بسط ید ندارند و غلبه با ظالمین است، اجازه داده شده است که انسان بر فرزند، اهل و مملوک خودش حدّ جاری کند؛ مشروط بر این‌که ضرری از طرف ظالمین بر او وارد نشود، و ایمن از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سلطان جائر و ظالمی، کسی را بر قومی نصب کند و امر اقامه حدود را به او واگذار کند، وی می‌تواند حدود را اقامه کند؛ البتّه به اعتقاد این‌که با اذن سلطان حق است نه با اذن سلطان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مؤمنین کمک به او لازم است تا زمانی که از حقّ تعدّی نکند، و آن‌چه را که در شریعت اسلام مشروع است انجام دهد؛ امّا اگر تعدّی کرد، قیام به این امر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هم حق ندارد او را یاری کند؛ مگر این‌که ترس بر نفس داشته باشد و تقیّه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و قضاوت بین مردم فقط برای سلطان حق جایز است که این امر به فقهای شیعه نیز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فقیهی تمکّن از انفاذ حکم یا اصلاح بین مردم و فصل خصومت داشته باشد، باید این کار را انجام دهد؛ و برای او اجر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رحمه الله در نهایه استفاده می‌شود که فقیه ابتدا نمی‌تواند اقامۀ حدود کند و حقّ اقامه حدود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جائر کسی را منصوب نمود، او می‌تواند اجرای حدود کند؛ هرچند فقیه هم نباشد؛ اما این تا زمانی است که تعدّی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قضاوت و اقامه حدود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معقتد است که انسان مجاز است بر فرزند، اهل و مملوک خویش حدّ جاری نماید؛ و این امر در شریعت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آن است که بسیاری از فقها قول جواز اقامه حدود در زمان غیبت را به شیخ طوسی رحمه الله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رحمه الله در کتاب المهذّب البارع این قول را به شیخ رحمه الله در نهایه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تذکره و منتهی تعبیر به جزم نموده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وجزم به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شهید ثانی رحمه الله در مسالک به شیخ طوسی رحمه الله و جماعتی این قول را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عبارت شیخ رحمه الله در نهایه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قول به جواز را به مرحوم شیخ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اجرای حکم بدانیم، در این صورت می‌توان این قول را به شیخ رحمه الله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 باقر شفتی در رساله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المخالف بل المتوقّف فی المسألة غیر ظاهر عدا ما یظهر من العبارة السالفة من شیخ الطائفة فی النهایة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ایشان ابتدا از عبارت شیخ رحمه الله در نهایة مخالفت با جواز اقامه حدود را استفاده نموده‌اند؛ امّا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فوّضوا ذلک إلی فقهاء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هم اجرا و هم حکم، به فقهای شیعه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صورتی صحیح است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و حکم، هر دو، برگردانیم؛ در حالی که ظهور اوّلی آن فقط حکم و قضا است، و شامل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عبارت مرحوم شیخ در مبسوط می‌توان این قول را به روشنی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مبسوط می‌نویسد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أن یقیم الحدّ علی ما ملکت یمینه بغیر إذن الإمام علیه السلام عندنا وعند جماعة أمّا الحدّ لشرب الخمر فله أیضاً إقامته علیهم عندنا لما رواه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الحدود علی ما ملکت أیمانکم و هذا عامّ أمّا القطع بالسرقة فالأولی أن نقول له ذلک لعموم</w:t>
      </w:r>
    </w:p>
    <w:p>
      <w:pPr>
        <w:pStyle w:val="BookText"/>
        <w:rPr/>
      </w:pPr>
      <w:r>
        <w:rPr>
          <w:rFonts w:ascii="IRNazanin" w:hAnsi="IRNazanin" w:eastAsia="IRNazanin"/>
          <w:color w:val="111111"/>
          <w:sz w:val="28"/>
          <w:sz w:val="28"/>
          <w:szCs w:val="28"/>
          <w:rtl w:val="true"/>
          <w:lang w:bidi="fa-IR"/>
        </w:rPr>
        <w:t>الأخبار أمّا القتل بالردّة فله أیضاً لما قدّمناه ومن قال للسیّد إقامة الحدّ علیهم أجراه مجری الحاکم والإمام فکلّ شیء للحاکم أو الإمام به إقامة الحدّ من إقرار وبیّنة و علم فللسیّد مثله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مرحوم شیخ در این عبارت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حاکم شرع نسبت به اجرای حدود دارد، مولا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جواز اقامه حدود برای مولا به عنوان یک استثنا مطرح نیست؛ بلکه مولا را به منزله حاکم قرار داده است؛ و در نتیجه، شیخ رحمه الله باید نسبت به خودِ حاکم، مسأله را مسلّم و قطعی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عبارت شیخ رحمه الله در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بر طبق علم خودش در همه موارد، چه اموال و چه حدود و چه قصاص، حکم کند؛ 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ما یجب به الحدّ فی أرض العدوّ من المسلمین وجب علیه الحدّ إلّاأنّه لا یقام علیه الحدّ فی أرض العدوّ بل یؤخّر إلی أن یرجع إلی دار الاسلام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جواز اجرای حدّ برای حاکم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است که شیخ طوسی رحمه الله در مبسوط و خلاف به صورت روشن معتقد به جواز اقامه حدود در زمان غیبت است؛ و در کتاب نهایه، با توجیه، می‌توان مرحوم شیخ را از طرفداران این نظریه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ابن ادریس رحمه الله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عندی أنّه لا یجوز له أن یقیم الحدود إلاّ علی عبده فحسب، دون ما عداه من الأهل والقرابات لما قد ورد فی العبد من الأخبار واستفاض به النقل بین الخاصّ والعام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سخن، اولین اختلاف ابن ادریس رحمه الله با مرحوم شیخ در این بحث است که ابن ادریس رحمه الله فقط در عبید، اقامه حد را برای مولا جایز می‌داند، امّا نسبت به بقیّه موارد مانند</w:t>
      </w:r>
    </w:p>
    <w:p>
      <w:pPr>
        <w:pStyle w:val="BookText"/>
        <w:rPr/>
      </w:pPr>
      <w:r>
        <w:rPr>
          <w:rFonts w:ascii="IRNazanin" w:hAnsi="IRNazanin" w:eastAsia="IRNazanin"/>
          <w:color w:val="111111"/>
          <w:sz w:val="28"/>
          <w:sz w:val="28"/>
          <w:szCs w:val="28"/>
          <w:rtl w:val="true"/>
          <w:lang w:bidi="fa-IR"/>
        </w:rPr>
        <w:t>اهل و خویشاوندان، اقامۀ حدود را جایز نمی‌داند؛ بر خلاف شیخ رحمه الله که اقامه حدود را در هر سه مورد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رحمه الله در ادامۀ سخن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أنّ من استخلفه سلطان ظالم علی قوم وجعل إلیه إقامة الحدود جاز له أن یقیمها علیهم علی الکمال ویعتقد أنّه إنّما یفعل ذلک بإذن سلطان الحقّ لا بإذن سلطان الجور ویجب علی المؤمنین معونته وتمکینه من ذلک ما لم یتعدّ الحقّ فی ذلک وما هو مشروع فی شریعة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ادریس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أوردها شیخنا أبو جعفر فی نهایته وقد اعتذرنا له فیما یورده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مواضع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یورده إیراداً من طریق الخبر لا اعتقاداً من جهة الفتیا والنظر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ابن ادریس معتقد است شیخ رحمه الله این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سلطان ظالم کسی را برای اقامه حدود نصب نمود، او می‌تواند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روایت نقل نموده است و از نظر فتوا و رأی به آن معتقد نبوده است؛ زیرا، اجماع اصحاب و مسلمین بر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جایز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آیات و ادلّه حدود، ائمّه علیهم السلام و حکّامی هستند که به اذن آنان عمل می‌کنند و غیر از این‌ها صلاحیّت ندارند که متعرّض این امور شوند؛ و با یک خبر واحد نمی‌توان از اجماع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ادریس رحمه الله در انتهای عبارت، نسبت به حکم و قضاوت بین مردم، همان نظریه شیخ رحمه الله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کلام ابن ادریس رحمه الله، شیخ طوسی رحمه الله نیز موافق با اقامه حدود حتّی در موردی که سلطان ظالم هم معیّن کرده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رحمه الله با شیخ طوسی رحمه الله موافق است، مگر در اقامه حدود بر نزدیکان و خویشاوندان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فقها از کلمات ابن ادریس رحمه الله، همین نتیجه را گرفته‌اند که ایشان موافق با اجرای حدود در زمان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در غایة المرام</w:t>
      </w:r>
      <w:r>
        <w:rPr>
          <w:rStyle w:val="FootnoteAnchor"/>
          <w:rtl w:val="true"/>
        </w:rPr>
        <w:footnoteReference w:id="26"/>
      </w:r>
      <w:r>
        <w:rPr>
          <w:rFonts w:ascii="IRNazanin" w:hAnsi="IRNazanin" w:eastAsia="IRNazanin"/>
          <w:color w:val="111111"/>
          <w:sz w:val="28"/>
          <w:sz w:val="28"/>
          <w:szCs w:val="28"/>
          <w:rtl w:val="true"/>
          <w:lang w:bidi="fa-IR"/>
        </w:rPr>
        <w:t>، ابن فهد رحمه الله در المهذّب</w:t>
      </w:r>
    </w:p>
    <w:p>
      <w:pPr>
        <w:pStyle w:val="BookText"/>
        <w:rPr/>
      </w:pPr>
      <w:r>
        <w:rPr>
          <w:rFonts w:ascii="IRNazanin" w:hAnsi="IRNazanin" w:eastAsia="IRNazanin"/>
          <w:color w:val="111111"/>
          <w:sz w:val="28"/>
          <w:sz w:val="28"/>
          <w:szCs w:val="28"/>
          <w:rtl w:val="true"/>
          <w:lang w:bidi="fa-IR"/>
        </w:rPr>
        <w:t>البارع</w:t>
      </w:r>
      <w:r>
        <w:rPr>
          <w:rStyle w:val="FootnoteAnchor"/>
          <w:rtl w:val="true"/>
        </w:rPr>
        <w:footnoteReference w:id="27"/>
      </w:r>
      <w:r>
        <w:rPr>
          <w:rFonts w:ascii="IRNazanin" w:hAnsi="IRNazanin" w:eastAsia="IRNazanin"/>
          <w:color w:val="111111"/>
          <w:sz w:val="28"/>
          <w:sz w:val="28"/>
          <w:szCs w:val="28"/>
          <w:rtl w:val="true"/>
          <w:lang w:bidi="fa-IR"/>
        </w:rPr>
        <w:t>و فاضل مقداد در التنقیح</w:t>
      </w:r>
      <w:r>
        <w:rPr>
          <w:rStyle w:val="FootnoteAnchor"/>
          <w:rtl w:val="true"/>
        </w:rPr>
        <w:footnoteReference w:id="28"/>
      </w:r>
      <w:r>
        <w:rPr>
          <w:rFonts w:ascii="IRNazanin" w:hAnsi="IRNazanin" w:eastAsia="IRNazanin"/>
          <w:color w:val="111111"/>
          <w:sz w:val="28"/>
          <w:sz w:val="28"/>
          <w:szCs w:val="28"/>
          <w:rtl w:val="true"/>
          <w:lang w:bidi="fa-IR"/>
        </w:rPr>
        <w:t>همین مطلب را معقتد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محمّد باقر شفتی در رساله خود این نتیجه را نپذیرفته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این فقها فهمیده‌اند، مطابق با برخی از عبارات وی می‌باشد؛ در حالی که اگر کلمات دیگر او را ملاحظه کنیم، به نتیجه دیگری می‌رسیم؛ و آن این که ایشان از موافقین اجرای حدود در زمان غیبت است، و بر این نظریه اصرار و تأکید نیز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اواخر سرائر فصلی را به عنوان تنفیذ احکام منعقد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آخر سرائر و عبارت دیگری از ایشان به خوبی استفاده می‌کنیم که ابن ادریس رحمه الله با مرحوم شیخ طوسی در مسأله جواز اجرای احکام مخالفتی ندارد؛ و نسبت مخالفت به او مطابق با صواب و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إذا تأمّلت فی العبارات المذکورة تعلم أنّ ما عزوه إلی ابن ادریس من منعه إقامة الحدود من الفقهاء فی هذه الأزمنة غیر مقرون بالصحّة وأنّ الداعی لتلک النسبة الجمود ببعض کلماته من دون تأمّل فی السّابق علیه واللاحق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سپس مطلب مهمتری را به ابن ادریس نسبت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 یظهر من مجموع کلماته الّتی أوردناها فی المقام و غیرها أنّ إصراره فی الجواز فوق کلام المجوّزین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مرحوم ابن ادریس در آخر سرائر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التنفیذ یفتقر إلی معرفة من یصحّ حکمه ویمضی تنفیذه فإذا ثبت ذلک فتنفیذ الأحکام الشرعیّة والحکم بمقتضی التعبّد فیها من فروض الأئمّه علیهم السلام المختصّة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تکاملت هذه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النیابة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 له فی تقلید الحکم وإن کان مقلّده ظالماً متغلّباً وعلیه فمتی عرض لذلک أن یتولّاه لکون هذه الولایة أمراً بمعروف ونهیاً عن منکر تعیّن غرضهما بالتعریض للولایة</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والتمکین من أنفسهم بحدّ أو تأدیب تعیّن علیهم ولا یحلّ لهم الرغبة عنه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این عبارت چند شاهد روشن بر مدّعای مرحوم شفتی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رحمه الله در صدر عبارت تصریح دارد که اگر تنفیذ از جانب امام معصوم علیه السلام متعذّر شد، به کسی باید رجوع شود که او شروط نیابت ائمّه علیهم السلام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علم به حق در حکمی است که به او رجوع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مأذون در حکم و تنفیذ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ظالمی، مأمور به حکم و اجرا می‌شود، در حقیقت نائب از ولی امر علیه السلام است؛ و ایشان اذن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لثبوت الإذن منه ومن آبائه علیهم السلام لمن کان بصفته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 له القعود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نه تنها جواز را قائل است، بلکه وجوب را هم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عبارت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الحقیقة مأهول لذلک بإذن ولاة الأمر علیهم السلام وإخوانه فی الدین مأمورون بالتحاکم إلیه وحمل حقوق الأموال إلیه والتمکین من أنفسهم بحدّ أو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اولاً صلاحیت کسی که دارای شرایط نیابت برای حکم و تنفیذ است، بیان شده؛ و ثانیاً مؤمنین مأمور هستند که به او در مسائل و خصومات رجوع نمایند و اگر او حدّی را لازم دانست، نفوس خودشان را برای آن حدّ یا تأدیب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واضح‌تر، مطلبی است که در آخر کتاب سرائر در مقام استدلال بر این‌که حاکم در حکم خود در همه اشیا و امور، می‌تواند به علم خویش اعتماد کند،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یوجب الحدود فالصحیح من أقوال طائفتنا وذوی التحصیل من فقهاء عصابتنا لا یفرّقون بین الحدود و غیرها من الأحکام الشرعیّات فی أنّ للحاکم النائب من قبل الإمام أن یحکم فیها بعلمه کما أنّ للإمام ذلک مثل ما سلف فی الأحکام الّتی هی غیر الحدود لأنّ جمیع ما دلّ هناک هو الدلیل هاهنا والفرق بین الأمرین مخالف مناقض فی الأدلّة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بین امام و غیر امام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معصوم</w:t>
      </w:r>
    </w:p>
    <w:p>
      <w:pPr>
        <w:pStyle w:val="BookText"/>
        <w:rPr/>
      </w:pPr>
      <w:r>
        <w:rPr>
          <w:rFonts w:ascii="IRNazanin" w:hAnsi="IRNazanin" w:eastAsia="IRNazanin"/>
          <w:color w:val="111111"/>
          <w:sz w:val="28"/>
          <w:sz w:val="28"/>
          <w:szCs w:val="28"/>
          <w:rtl w:val="true"/>
          <w:lang w:bidi="fa-IR"/>
        </w:rPr>
        <w:t>از خطا است، و غیر امام معصوم نیست؛ و اقامه حدود بر غیر امام واجب نیست و از فرائضی است که مختص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رحمه الله در ردّ این 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اقامه حدود از فرائض فقیه نیست، خطای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قوله إقامة الحدود لیست من فروضه فعین الخطأ المحض عند جمیع الاُمّة لأنّ الحکّام جمیعهم هم المعنیّون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ascii="IRNazanin" w:hAnsi="IRNazanin" w:eastAsia="IRNazanin"/>
          <w:color w:val="111111"/>
          <w:sz w:val="28"/>
          <w:sz w:val="28"/>
          <w:szCs w:val="28"/>
          <w:rtl w:val="true"/>
          <w:lang w:bidi="fa-IR"/>
        </w:rPr>
        <w:t>بر اساس این عبارت، ایشان مخاطب در این آیات شریفه را جمیع حکّام، اعم از معصوم و غیرمعصوم می‌داند؛ و در نتیجه، اجرای حدود را فریضه برای جمیع حکّام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علّامه رحمه الله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تذکره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یجوز للفقهاء إقامة الحدود فی حال الغیبة؟ جزم به الشیخان عملاً بهذه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 إلی من بیده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یأتی أنّ للفقهاء الحکم بین الناس فکان إلیهم إقامة الحدود لما فی تعطیل الحدود من الفساد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این عبارت استفاده می‌شود مرحوم علّامه رأی منسوب به شیخ رحمه الله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المطلب نیز مطلب تذکره را آورده است؛ ابتدا نسبت به فتوای شیخ طوسی رحمه الله و شیخ مفید رحمه الله توقف نموده و سپس با فاصله کمی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قوّی عندی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تحریر نیز نظیر مطلب منتهی را دارند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قوّی عندی</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قواعد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إقامة الحدود فإنّها للإمام خاصّة أو من یأذن له ولفقهاء الشیعة فی حال الغیبة ذلک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ارشاد الاذهان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وللفقیه الجامع لشرائط الافتاء إقامتها والحکم بین الناس</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تبصرة المتعلمین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وللفقهاء إقامتها حال الغیبة مع</w:t>
      </w:r>
    </w:p>
    <w:p>
      <w:pPr>
        <w:pStyle w:val="BookText"/>
        <w:rPr/>
      </w:pPr>
      <w:r>
        <w:rPr>
          <w:rFonts w:ascii="IRNazanin" w:hAnsi="IRNazanin" w:eastAsia="IRNazanin"/>
          <w:color w:val="111111"/>
          <w:sz w:val="28"/>
          <w:sz w:val="28"/>
          <w:szCs w:val="28"/>
          <w:rtl w:val="true"/>
          <w:lang w:bidi="fa-IR"/>
        </w:rPr>
        <w:t>الأمن ویجب علی الناس مساعدتهم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این عبارت، علاوه بر این‌که فرموده فقها در اقامه حدود ولایت دارند، مسأله لزوم مساعدت مردم را نیز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مختلف الشیعه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عندی جواز ذلک للفقهاء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 ابن ادریس ادّعی الإجماع فی ذلک مع مخالفة مثل الشیخ و غیره من علمائنا فیه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نظر شهید اول رحمه الله</w:t>
      </w:r>
    </w:p>
    <w:p>
      <w:pPr>
        <w:pStyle w:val="BookText"/>
        <w:rPr/>
      </w:pPr>
      <w:r>
        <w:rPr>
          <w:rFonts w:ascii="IRNazanin" w:hAnsi="IRNazanin" w:eastAsia="IRNazanin"/>
          <w:color w:val="111111"/>
          <w:sz w:val="28"/>
          <w:sz w:val="28"/>
          <w:szCs w:val="28"/>
          <w:rtl w:val="true"/>
          <w:lang w:bidi="fa-IR"/>
        </w:rPr>
        <w:t>شهید اوّل رحمه الله در کتاب دروس در مباحث امر به معروف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والحدود والتعزیرات إلی الإمام ونائبه ولو عموماً فیجوز فی حال الغیبة للفقیه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بما یأتی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مع المکنة وتجب علی العامّة تقویته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ایشان در این عبارت علاوه بر این‌که اقامه حدود را از اختیارات فقیه در زمان غیبت دانسته، مسأله لزوم تقویت بر عموم مردم را نیز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ثانی رحمه الله</w:t>
      </w:r>
    </w:p>
    <w:p>
      <w:pPr>
        <w:pStyle w:val="BookText"/>
        <w:rPr/>
      </w:pPr>
      <w:r>
        <w:rPr>
          <w:rFonts w:ascii="IRNazanin" w:hAnsi="IRNazanin" w:eastAsia="IRNazanin"/>
          <w:color w:val="111111"/>
          <w:sz w:val="28"/>
          <w:sz w:val="28"/>
          <w:szCs w:val="28"/>
          <w:rtl w:val="true"/>
          <w:lang w:bidi="fa-IR"/>
        </w:rPr>
        <w:t>مرحوم محقّق ثانی در حاشیه بر شرائع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إقامتها علی الوجه المعتبر والأمن من الضرر له ولغیره من المؤمنین ومن ثوران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نظر شهید ثانی رحمه 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ثانی در مسالک بعد از قول صاحب شرائع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یجوز للفقهاء إقامة الحدود فی حال غیبة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مذهب الشیخین وجماعة من</w:t>
      </w:r>
    </w:p>
    <w:p>
      <w:pPr>
        <w:pStyle w:val="BookText"/>
        <w:rPr/>
      </w:pPr>
      <w:r>
        <w:rPr>
          <w:rFonts w:ascii="IRNazanin" w:hAnsi="IRNazanin" w:eastAsia="IRNazanin"/>
          <w:color w:val="111111"/>
          <w:sz w:val="28"/>
          <w:sz w:val="28"/>
          <w:szCs w:val="28"/>
          <w:rtl w:val="true"/>
          <w:lang w:bidi="fa-IR"/>
        </w:rPr>
        <w:t>الأصحاب و به روایة عن الصادق علیه السلام وفی طریقها ضعف ولکن روایة عمر بن حنظلة مؤیّدة لذلک، فإنّ إقامة الحدود ضرب من الحکم و فیه مصلحة کلیّة ولطف فی ترک المحارم وحسم لانتشار المفاسد وهو قویّ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نظر فاضل مقداد رحمه الله</w:t>
      </w:r>
    </w:p>
    <w:p>
      <w:pPr>
        <w:pStyle w:val="BookText"/>
        <w:rPr/>
      </w:pPr>
      <w:r>
        <w:rPr>
          <w:rFonts w:ascii="IRNazanin" w:hAnsi="IRNazanin" w:eastAsia="IRNazanin"/>
          <w:color w:val="111111"/>
          <w:sz w:val="28"/>
          <w:sz w:val="28"/>
          <w:szCs w:val="28"/>
          <w:rtl w:val="true"/>
          <w:lang w:bidi="fa-IR"/>
        </w:rPr>
        <w:t>فاضل مقداد رحمه الله در التنقیح الرائع، بعد از این‌که عبارت نافع را آورده و ذکر کرده است که قائل به جواز اقامه حدود در زمان غیبت شیخان هستند؛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نیز همین قول را اختیار نموده و دلیل ایشان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تعطیل الحدود یفضی إلی ارتکاب المحارم و انتشار المفاسد و ذلک مطلوب الترک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عمر بن حنظلة عن الصادق انظروا إلی من کان منکم قد روی حدیثنا ونظر فی حلالنا وحرامنا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یؤیّده العمومات والنظر، أمّا العمومات فقوله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الأنبیاء ومعلوم أنّهم لم یرثوا من المال شیئاً فتکون وراثتهم العلم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تعریف المعرّف فیکون المراد هو الثّانی،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امّتی کأنبیاء بنی إسرائیل و معلوم أنّ أنبیاء بنی إسرائیل لهم اقامة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النظر فهو أنّ المقتضی لإقامة الحدّ قائم فی صورتی حضور الإمام وغیبته ولیست الحکمة عائدة إلی مقیمه قطعاً، فتکون عائدة إلی مستحقّه أو إلی نوع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لابدّ من إقامتها مطلقاً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مرحوم صیمری در غایة المرام و مرحوم ابن فهد در المهذّب البارع فقط دو قول را بدون ترجیح نقل نموده‌اند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غایة المرام در ذیل عبارت شرائع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یجوز للفقهاء العارفین إقامة الحدود حال غیبة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الشیخ وابن الجنید وسلّار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المهذّب البارع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للفقهاء إقامة الحدود علی العموم وهو مذهب الشیخ</w:t>
      </w:r>
    </w:p>
    <w:p>
      <w:pPr>
        <w:pStyle w:val="BookText"/>
        <w:rPr/>
      </w:pPr>
      <w:r>
        <w:rPr>
          <w:rFonts w:ascii="IRNazanin" w:hAnsi="IRNazanin" w:eastAsia="IRNazanin"/>
          <w:color w:val="111111"/>
          <w:sz w:val="28"/>
          <w:sz w:val="28"/>
          <w:szCs w:val="28"/>
          <w:rtl w:val="true"/>
          <w:lang w:bidi="fa-IR"/>
        </w:rPr>
        <w:t>فی النهایة وأبی علی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مرحوم محقّق در شرائع الأحکام در مورد نهی از منکر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افتقر إلی الجرح أو القتل هل یجب؟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وقیل، لا، إلّابإذن الإمام وهو الأظهر ولایجوز لأحد إقامة الحدود إلّاللإمام مع وجوده أو من نصبه لاقامتها ومع عدمه یجوز للمولی إقامة الحدّ علی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یقیم الرجل علی ولده و زوجته؟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للفقهاء العارفین إقامة الحدود فی حال غیبة الإمام علیه السلام کما لهم الحکم بین الناس مع الأمن من ضرر سلطان الوقت ویجب علی الناس مساعدتهم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یتعرّض لإقامة الحدود ولا للحکم بین الناس إلّاعارف بالأحکام مطّلع علی مأخذها عارف بکیفیّة إیقاعها علی الوجوه الشّرعیّة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کتاب المختصر النافع نیز نظیر این مطلب وجود دارد؛ 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الفقهاء الحدود فی زمان الغیبة إذا أمنوا ویجب علی الناس مساعدتهم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اگرچه از عبارت مرحوم محقّق در دو کتاب خویش، مخالفت استفاده می‌شود، امّا بعید نیست که بگوییم چون نسبت به قولی که آنان را با عنوانِ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هیچ‌گونه ردّی ذکر نکرده است، لذا در مجموع، توقف را از کلام ایشان استفاده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سیّد احمد خوانساری در مدارک الأحکام و مرحوم آیت‌اللّه آقای خوئی در مبانی تکملة المنهاج نیز محقّق رحمه الله را از متوقّفین دانسته‌اند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ایشان گرچه در مباحث امر به معروف، تردید و توقّف نموده است، امّا در مباحث حدود از شرائع به جواز قائل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الحاکم إقامة حدود اللّه تعالی بعلمه کحدّ الزنا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در بحث حد لواط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الحاکم فیه بعلمه إماماً کان أو غیره علی الأصحّ</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این عبارت، صریح است در این‌که غیر امام معصوم هم باید</w:t>
      </w:r>
    </w:p>
    <w:p>
      <w:pPr>
        <w:pStyle w:val="BookText"/>
        <w:rPr/>
      </w:pPr>
      <w:r>
        <w:rPr>
          <w:rFonts w:ascii="IRNazanin" w:hAnsi="IRNazanin" w:eastAsia="IRNazanin"/>
          <w:color w:val="111111"/>
          <w:sz w:val="28"/>
          <w:sz w:val="28"/>
          <w:szCs w:val="28"/>
          <w:rtl w:val="true"/>
          <w:lang w:bidi="fa-IR"/>
        </w:rPr>
        <w:t>در قضاوت، بر طبق علم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فقهایی که در این مسأله توقّف نموده، صاحب کشف الرموز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البحث فی الفقهاء فقد قال الشیخان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فوّضوا ذلک إلی الفقهاء ولنا فیه نظر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ایشان هم در این‌که فقها چنین اختیاری را دارند، تأمّل و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نتیجۀ اقوال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قائلین به جواز اقامۀ حدود در زمان غیبت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سلاّر، ابوالصلاح حلبی، ابن زهره، ابن سعید، شیخ طوسی به صورت صریح در کتاب مبسوط و خلاف و در کتاب نهایه با توجیه عبارت و نیز ابن ادریس با توجّه به مجموع کلمات وی، به ویژه عبارات آخر سرائر، ظاهر علّامه در تذکره و تصریح ایشان در تحریر و قواعد و ارشاد و تبصره و مختلف، شهید اول در دروس، محقّق ثانی در حاشیه بر شرائع، شهید ثانی در مسالک، فاضل مقداد در التنقیح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به عدم جواز مرحوم آیت‌اللّه سید احمد خوانساری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توقّف نموده‌اند،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در غایة المرام، ابن فهد در المهذّب البارع، محقّق در شرائع و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اقوال در این بحث، ابتدا لازم است این مطلب مورد توجّه قرارگیرد که آیا جواز اقامه حدود در زمان غیبت محتاج به دلیل است یا اختصاص آن به حضور معصوم، نیازمند دلیل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که بعد از وجود اطلاقات و عموماتی که در مورد حدود وارد شده است، و بعد از پذیرش اصل نیابت فقها از ائمّه معصومین علیهم السلام آن‌چه که به دلیل نیاز دارد، اختصاص این امر به معصوم علیه السلام است؛ و چنان‌چه نتوانیم دلیلی بر اختصاص پیدا کنیم،</w:t>
      </w:r>
      <w:bookmarkStart w:id="28" w:name="pg16919_226784"/>
    </w:p>
    <w:p>
      <w:pPr>
        <w:pStyle w:val="BookText"/>
        <w:rPr/>
      </w:pPr>
      <w:bookmarkEnd w:id="28"/>
      <w:r>
        <w:rPr>
          <w:rFonts w:ascii="IRNazanin" w:hAnsi="IRNazanin" w:eastAsia="IRNazanin"/>
          <w:color w:val="111111"/>
          <w:sz w:val="28"/>
          <w:sz w:val="28"/>
          <w:szCs w:val="28"/>
          <w:rtl w:val="true"/>
          <w:lang w:bidi="fa-IR"/>
        </w:rPr>
        <w:t xml:space="preserve">همین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نبود دلیل بر اختصاص اقامه حدود به 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مشروعیّت این امر در زمان غیبت کفایت می‌کند</w:t>
      </w:r>
      <w:r>
        <w:rPr>
          <w:rFonts w:eastAsia="IRNazanin" w:cs="IRNazanin"/>
          <w:color w:val="111111"/>
          <w:sz w:val="28"/>
          <w:szCs w:val="28"/>
          <w:rtl w:val="true"/>
          <w:lang w:bidi="fa-IR"/>
        </w:rPr>
        <w:t>.</w:t>
      </w:r>
    </w:p>
    <w:p>
      <w:pPr>
        <w:pStyle w:val="Heading4"/>
        <w:numPr>
          <w:ilvl w:val="3"/>
          <w:numId w:val="1"/>
        </w:numPr>
        <w:rPr/>
      </w:pPr>
      <w:bookmarkStart w:id="29" w:name="__RefHeading___Toc78606_3244359995"/>
      <w:bookmarkStart w:id="30" w:name="_Toc11"/>
      <w:bookmarkEnd w:id="29"/>
      <w:r>
        <w:rPr>
          <w:rtl w:val="true"/>
        </w:rPr>
        <w:t>بررسی ادلّۀ قائلین به عدم جواز اجرای حدود در زمان غیبت</w:t>
      </w:r>
      <w:bookmarkEnd w:id="30"/>
    </w:p>
    <w:p>
      <w:pPr>
        <w:pStyle w:val="BookText"/>
        <w:rPr/>
      </w:pPr>
      <w:r>
        <w:rPr>
          <w:rFonts w:ascii="IRNazanin" w:hAnsi="IRNazanin" w:eastAsia="IRNazanin"/>
          <w:color w:val="111111"/>
          <w:sz w:val="28"/>
          <w:sz w:val="28"/>
          <w:szCs w:val="28"/>
          <w:rtl w:val="true"/>
          <w:lang w:bidi="fa-IR"/>
        </w:rPr>
        <w:t>بعد از ذکر اقوال لازم است مهم‌ترین ادلّه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ادلّه کسانی که معتقدند در زمان غیبت، اجرای حدود جایز نیست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ادّعا، مسأله اجماع را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سیّد احمد خوانساری در جامع المدارک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إقامة الحدود فی غیر زمان الحضور وزمان الغیبة فالمعروف عدم جوازها وادّعی الإجماع فی کلام جماعة علی عدم الجواز إلّا للإمام أو المنصوب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صحیح نیست؛ زیرا، همان‌طور که در مباحث پیشین عبارات قدما را ذکر نمودیم، از بسیاری از عبارات به خوبی جواز اجرای حدود در زمان غیبت استفاده می‌شود؛ و حتّی اگر از عبارت شیخ رحمه الله در نهایه، جواز اجرای حدود در زمان غیبت استفاده نشود و آن توجیهی را که قبلاً ذکر نمودیم، پذیرفته نشود، امّا ایشان در کتاب مبسوط و خلاف، به جواز تصریح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کلمات ابن ادریس رحمه الله نیز اجماع اصحاب و مسلمین بر عدم جواز اقامه حدود در زمان غیبت استفاده می‌شود، امّا باید توجّه داشت مرحوم ابن ادریس اگر در برخی عبارات به عدم جواز معتقد شده است، امّا در عبارات دیگر از کتاب سرائر، فتوا به جواز داده است و بر این امر هم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بررسی کلمات ابن ادریس رحمه الله به خوبی روشن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نتیجه گرفت که اجماع در طرف دیگر مسأله است؛ یعنی اجماع فقها بر جواز اقامه حدود در زمان غیبت مطرح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چنان‌چه از مصادیق امر به معروف و نهی از منکر باشد، می‌توان جواز آن را در زمان غیبت پذیرفت؛ در حالی که از مصادیق این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یک عنوان مستقل است، همان‌طور که عنوان اقامه نماز جمعه و عنوان قضا و حکم بین مردم یک عنوان مستقلّی است و ارتباط به امر به معروف و نهی از منکر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اقامه حدود از مصادیق این عنوان باشد، اطلاقات ادلّه لزوم امر به معروف و نهی از منکر در همه زمان‌ها شامل آن هم می‌شود؛ امّا اگر از مصادیق این عنوان نباشد، دلیلی بر</w:t>
      </w:r>
    </w:p>
    <w:p>
      <w:pPr>
        <w:pStyle w:val="BookText"/>
        <w:rPr/>
      </w:pPr>
      <w:r>
        <w:rPr>
          <w:rFonts w:ascii="IRNazanin" w:hAnsi="IRNazanin" w:eastAsia="IRNazanin"/>
          <w:color w:val="111111"/>
          <w:sz w:val="28"/>
          <w:sz w:val="28"/>
          <w:szCs w:val="28"/>
          <w:rtl w:val="true"/>
          <w:lang w:bidi="fa-IR"/>
        </w:rPr>
        <w:t>مشروعیّت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عمل محتاج به دلیل شرعی است و کسی نمی‌تواند احتمال دهد که این عمل محتاج به دلیل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مخدوش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ادلّه جواز اقامه حدود در زمان غیبت روشن خواهیم نمود که این امر، ادلّه واضح و متعدّدی دارد؛ و از آن ادلّه می‌توانیم جواز را به خوبی استفاده نماییم؛ اعمّ از این‌که این عمل از مصادیق امر به معروف و نهی از منکر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ادلّه صرف نظر نمائیم و معتقد باشیم از مصادیق امر به معروف و نهی از منکر است، امّا مجرد این امر برای جواز کافی نیست؛ و چه بسا، اطلاقات ادلّه امر به معروف با ادلّه‌ای از قبیل اجماع و یا غیر آن تقیید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کسی این عمل را از مصادیق امر به معروف و نهی از منکر بداند امّا در عین حال معتقد به جواز نباشد و این مصداق را جایز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عنوان نهی از منکر و اقامه حدود فرق‌های متعددی وجود دارد،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اقامه حدود لازم است استحقاق حدّ شرعی نزد قاضی جامع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 و این امر، بسیار مشکل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نهی از منکر که در تشخیص منکر همین مقدار که ناهی بداند عمل انجام‌شده در شریعت حرام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ممکن است مسأله احتمال تأثیر در فاعل منکر شرط باشد، امّا در برخی از حدود، اجرای آن مستلزم از بین بردن کسی است که حدّ بر او جاری می‌شود؛ و دیگر، موضوعی برای احتمال تأثیر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روایات برای اقامه حدود مطرح شده است با آثاری که برای نهی از منکر ذکر شده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آثار، کشف از اختلاف این دو موضوع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کلمات آمده است که حدود همراه با ایذاء و ایلام و قتل است؛ و این امور برای غیر نبی و امام معصوم علیه السلام و یا کسی که منصوب به نصب خاص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کلمات مرحوم آیت‌اللّه سیّد احمد خوانساری قدس سره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اوّل نزاع و دعوا است و می‌گوییم چرا این امور برای غیر نبی و امام معصوم علیه السلام جایز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این امور و به‌طور کلّی اقامه حدود با نصب خاص هم امکان‌پذیر است، باید بپذیریم که با نصب عام نیز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چنان‌چه معتقد شویم اصل مشروعیّت اقامه حدود نیاز به حضور معصوم علیه السلام دارد و این امر را با دلیلی ثابت نمائیم، در این صورت بحثی وجود ندارد؛ امّا اگر مجرّد ایذاء و ایلام را مانع از جواز اقامه حدود بدانیم،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زمان معصوم علیه السلام معتقد به امکان نصب خاص در این مورد باشیم، لازمۀ آن جواز و امکان اصل مشروعیّت آن در زمان غیبت هم هست؛ و این عناوین نمی‌تواند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خطاب در آیات حدود، پیامبر صلی الله علیه و آله و ائمّه معصومین علیهم السلام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قطب راوندی رحمه الله در فقه القرآن، ذیل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والخطاب وإن کان متوجّهاً إلی الجماعة فالمراد به الأئمّة بلا خلاف لأنّ إقامة الحدود لیس لأحد إلّاالإمام أو من نصبه الإمام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مرحوم طبرسی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خطاب للائمّة علیهم السلام أو من کان منصوباً للأمر من جهتهم لأنّه لیس لأحد أن یقیم الحدود إلاّ الأئمّة علیهم السلام وولاتهم بلا خلاف</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فاضل مقداد رحمه الله نیز در کنز العرفان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والخطاب هناک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علیهم السلام والحکّام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مرحوم فاضل استرآبادی نیز در آیات الأحکام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والخطاب لحکّام الشرع من النبیّ والأئمّة علیهم السلام وولاتهم فیجب علیهم إقامة الحدود علی کلّ امرأة زنت ورجل زنی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آیات شریفه در مقام بیان اصل اجرای حدود و مقدار آن است؛ امّا دیگر در صدد بیان مجری اقامه 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خطاب در آیه به صورت عمومی است و هیچ قرینه‌ای بر این‌که خصوص پیامبر صلی الله علیه و آله و یا اوصیای پیامبر علیهم السلام مراد باشند، وجود ندارد؛ ابن ادریس در سرائر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الحکّام جمیعهم هم المعنیّون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w:t>
      </w:r>
      <w:r>
        <w:rPr>
          <w:rStyle w:val="FootnoteAnchor"/>
          <w:rtl w:val="true"/>
        </w:rPr>
        <w:footnoteReference w:id="59"/>
      </w:r>
      <w:r>
        <w:rPr>
          <w:rFonts w:ascii="IRNazanin" w:hAnsi="IRNazanin" w:eastAsia="IRNazanin"/>
          <w:color w:val="111111"/>
          <w:sz w:val="28"/>
          <w:sz w:val="28"/>
          <w:szCs w:val="28"/>
          <w:rtl w:val="true"/>
          <w:lang w:bidi="fa-IR"/>
        </w:rPr>
        <w:t>و گویا قطب راوندی، طبرسی رحمهما الله و کسانی که خطاب در آیه را مختص به افراد خاصی دانسته‌اند، ابتدا عدم جواز اقامه حدود برای غیر این گروه را مفروض و مسلّم دانسته‌اند و سپس، خطاب را این چنین تفسیر نموده‌اند؛ در حالی که در تفسیر آیه شریفه و یا تحلیل خطاب نمی‌توان این‌گونه عمل کرد؛ و بر فرض که این مطلب مسلّم باشد، باید اطلاق و عموم خطاب را تقیید و تخصیص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ادلّه و قرینه مناسبت حکم و موضوع استفاده می‌شود که خطاب متوجّه کسانی است که صلاحیت حکم و قضا را دارند و چنین گروهی می‌تواند حدود را نیز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مختصّ به گروه خاص است، اما دلیلی نداریم که این گروه خاص، خصوص پیامبر صلی الله علیه و آله و ائمه معصومین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نمی‌توان مخاطب آیه را جمیع حکّام، ولو کسانی که صلاحیت برای حکم ندارند،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که ابن ادریس رحمه الله معتقد شده است صحیح به نظر نمی‌رسد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اگر واقعاً مقصود خداوند متعال گروه خاصی باشد، لازم بود آن را به صورتی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و ذکر اختصاص به گروه و زمان خاص، خودْ دلیل روشنی است که در میان مسلمین در همه زمان‌ها تا روز قیامت باید این حدود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عموم خطاب در این آیات می‌تواند جزء ادلّه قائلین به جواز اجرای حدود در زمان غیبت محسوب شود؛ و می‌توان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مسلمین معاضدت و همراهی در اجرای حدود لازم است و در مباحث پیشین هنگام بیان اقوال ذکر نمودیم</w:t>
      </w:r>
      <w:bookmarkStart w:id="31" w:name="pg16919_226788"/>
    </w:p>
    <w:p>
      <w:pPr>
        <w:pStyle w:val="BookText"/>
        <w:rPr/>
      </w:pPr>
      <w:bookmarkEnd w:id="31"/>
      <w:r>
        <w:rPr>
          <w:rFonts w:ascii="IRNazanin" w:hAnsi="IRNazanin" w:eastAsia="IRNazanin"/>
          <w:color w:val="111111"/>
          <w:sz w:val="28"/>
          <w:sz w:val="28"/>
          <w:szCs w:val="28"/>
          <w:rtl w:val="true"/>
          <w:lang w:bidi="fa-IR"/>
        </w:rPr>
        <w:t>همان‌طور که بر متصدّی اجرای حدود این امر لازم است، بر سائر مردم نیز همراهی و کمک وی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مبنای امام خمینی قدس سره در مباحث اصول، باید این گونه خطابات را به عنوان خطابات عامه و قانونی تفسیر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 مخاطب معیّن و مشخصی مورد نظر نخواهد بود و شارع مقدّس در این گونه خطابات در مقام جعل قانون و تعیین وظیفه برای مخاطب یا گروه خاصی نیست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نتیجه آن‌که تمامی ادلّه کسانی که معتقد به عدم جواز هستند، مخدوش و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پیشین بیان نمودیم همین مقدار که دلیلی بر اختصاص حکم به معصوم علیه السلام یافت نشود، کفایت در جواز مشروعیّت اجرای حدود در زمان غیبت می‌کند؛ لیکن به جهت این‌که مناسب است فقیه به اطمینان بیشتری برسد، ادلّه قائلین به جواز را نیز مورد بررسی و مداقّه قرار می‌دهیم</w:t>
      </w:r>
      <w:r>
        <w:rPr>
          <w:rFonts w:eastAsia="IRNazanin" w:cs="IRNazanin"/>
          <w:color w:val="111111"/>
          <w:sz w:val="28"/>
          <w:szCs w:val="28"/>
          <w:rtl w:val="true"/>
          <w:lang w:bidi="fa-IR"/>
        </w:rPr>
        <w:t>.</w:t>
      </w:r>
    </w:p>
    <w:p>
      <w:pPr>
        <w:pStyle w:val="Heading4"/>
        <w:numPr>
          <w:ilvl w:val="3"/>
          <w:numId w:val="1"/>
        </w:numPr>
        <w:rPr/>
      </w:pPr>
      <w:bookmarkStart w:id="32" w:name="__RefHeading___Toc78608_3244359995"/>
      <w:bookmarkStart w:id="33" w:name="_Toc12"/>
      <w:bookmarkEnd w:id="32"/>
      <w:r>
        <w:rPr>
          <w:rtl w:val="true"/>
        </w:rPr>
        <w:t>بررسی ادلّه قائلین به جواز</w:t>
      </w:r>
      <w:bookmarkEnd w:id="33"/>
    </w:p>
    <w:p>
      <w:pPr>
        <w:pStyle w:val="Heading5"/>
        <w:numPr>
          <w:ilvl w:val="4"/>
          <w:numId w:val="1"/>
        </w:numPr>
        <w:rPr/>
      </w:pPr>
      <w:bookmarkStart w:id="34" w:name="__RefHeading___Toc78610_3244359995"/>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کسانی که معتقد به جواز اجرای حدود در زمان غیبت هستند، به ادلّه‌ای استدلال نموده‌اند؛ و علاوه بر آن‌ها، مویّداتی را نیز بر مدّعای خویش ذکر نموده‌اند که لازم است همه آن‌ها ذکر و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جواز اجرای حدود در زمان غیبت تردید و وسوسه می‌کنند، طعم فقه را نچشیده‌اند و از رموز فقه آگاه نیستند؛ و این مسأله از واضحاتی است که احتیاج به ادلّه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برای این نظریه به ده دلیل استدلال شده است، که در ادامه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36" w:name="__RefHeading___Toc78612_3244359995"/>
      <w:bookmarkStart w:id="37" w:name="_Toc14"/>
      <w:bookmarkEnd w:id="36"/>
      <w:r>
        <w:rPr>
          <w:rtl w:val="true"/>
        </w:rPr>
        <w:t>دلیل اوّل</w:t>
      </w:r>
      <w:r>
        <w:rPr>
          <w:rtl w:val="true"/>
        </w:rPr>
        <w:t xml:space="preserve">: </w:t>
      </w:r>
      <w:r>
        <w:rPr>
          <w:rtl w:val="true"/>
        </w:rPr>
        <w:t>اجماع</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و بلکه اجماع فقها بر جواز اجرای حدود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پیشین کلمات فقها را مورد بررسی قرار دادیم و روشن نمودیم بسیاری از فقها به جواز تصریح</w:t>
      </w:r>
      <w:bookmarkStart w:id="38" w:name="pg16919_226789"/>
    </w:p>
    <w:p>
      <w:pPr>
        <w:pStyle w:val="BookText"/>
        <w:rPr/>
      </w:pPr>
      <w:bookmarkEnd w:id="38"/>
      <w:r>
        <w:rPr>
          <w:rFonts w:ascii="IRNazanin" w:hAnsi="IRNazanin" w:eastAsia="IRNazanin"/>
          <w:color w:val="111111"/>
          <w:sz w:val="28"/>
          <w:sz w:val="28"/>
          <w:szCs w:val="28"/>
          <w:rtl w:val="true"/>
          <w:lang w:bidi="fa-IR"/>
        </w:rPr>
        <w:t>نموده‌اند؛ و اگر از برخی عبارات شیخ طوسی و ابن ادریس رحمهما الله مخالفتی استفاده شود، لیکن از برخی دیگر از کتب مرحوم شیخ و عبارت‌های دیگری از ابن ادریس رحمه الله قول به جواز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اجماع قدما بر این نظر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أجد فیه خلافاً إلّاما یحکی عن ظاهر ابنی زهرة وادریس ولم نتحقّقه بل لعلّ المتحقّق خلافه، إذ قد سمعت سابقاً معقد إجماع الثّانی منهما الّذی یمکن إندراج الفقیه فی الحکّام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فی التنقیح من الحکایة عن سلّار أنّه جوّز الإقامة ما لم یکن قتلاً أو جرحاً کذلک أیضاً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اجرای حدود در زمان غیبت، مخالفی را در بین فقها نیافتم، مگر آن‌چه از ظاهر عبارت ابن‌زهره و ابن ادریس حکایت شده است؛ و تحقیق آن است که از عبارت این دو نیز مخالفت استفاده نمی‌شود؛ زیرا، در معقد اجماع ابن ادریس که ادّعا نمود مخاطب در آیات جمیع حکّام است، فقها نیز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که می‌توان اضافه نمود، این است که تمامی معتقدین به جواز قضاوت و حکم در زمان غیبت، باید ملتزم به جواز اجرای حدود باشند؛ و ما از آن به اجماع ضمنی یا تقدیری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واقع و در تقدیر و در ضمن اجماع بر جواز قضاوت و حکم، چنین اجماعی نیز وجود دارد</w:t>
      </w:r>
      <w:r>
        <w:rPr>
          <w:rFonts w:eastAsia="IRNazanin" w:cs="IRNazanin"/>
          <w:color w:val="111111"/>
          <w:sz w:val="28"/>
          <w:szCs w:val="28"/>
          <w:rtl w:val="true"/>
          <w:lang w:bidi="fa-IR"/>
        </w:rPr>
        <w:t>.</w:t>
      </w:r>
    </w:p>
    <w:p>
      <w:pPr>
        <w:pStyle w:val="Heading5"/>
        <w:numPr>
          <w:ilvl w:val="4"/>
          <w:numId w:val="1"/>
        </w:numPr>
        <w:rPr/>
      </w:pPr>
      <w:bookmarkStart w:id="39" w:name="__RefHeading___Toc78614_3244359995"/>
      <w:bookmarkStart w:id="40" w:name="_Toc15"/>
      <w:bookmarkEnd w:id="39"/>
      <w:r>
        <w:rPr>
          <w:rtl w:val="true"/>
        </w:rPr>
        <w:t>دلیل دوم</w:t>
      </w:r>
      <w:r>
        <w:rPr>
          <w:rtl w:val="true"/>
        </w:rPr>
        <w:t xml:space="preserve">: </w:t>
      </w:r>
      <w:r>
        <w:rPr>
          <w:rtl w:val="true"/>
        </w:rPr>
        <w:t>مقبولۀ عمر بن حنظله</w:t>
      </w:r>
      <w:bookmarkEnd w:id="40"/>
    </w:p>
    <w:p>
      <w:pPr>
        <w:pStyle w:val="Heading6"/>
        <w:numPr>
          <w:ilvl w:val="5"/>
          <w:numId w:val="1"/>
        </w:numPr>
        <w:rPr/>
      </w:pPr>
      <w:bookmarkStart w:id="41" w:name="__RefHeading___Toc78616_3244359995"/>
      <w:bookmarkStart w:id="42" w:name="_Toc16"/>
      <w:bookmarkEnd w:id="41"/>
      <w:r>
        <w:rPr>
          <w:rtl w:val="true"/>
        </w:rPr>
        <w:t>اشاره</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مقبوله عمر بن حنظله دلیل دوّم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به این دلیل برای جواز اقامه حدود در زمان غیبت استدلال نموده، و اقامه حدّ را از مصادیق کلمه حکم موجود در این روایت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مجرّد حکم بدون انفاذ نیست؛ بلکه انفاذ نیز اراده شده که در آن اقامه و اجرا موجود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روایت را مشایخ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صدوق، شیخ طوسی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خودشان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العقل و الجهل باب اختلاف الحدیث</w:t>
      </w:r>
      <w:r>
        <w:rPr>
          <w:rStyle w:val="FootnoteAnchor"/>
          <w:rtl w:val="true"/>
        </w:rPr>
        <w:footnoteReference w:id="63"/>
      </w:r>
      <w:r>
        <w:rPr>
          <w:rFonts w:ascii="IRNazanin" w:hAnsi="IRNazanin" w:eastAsia="IRNazanin"/>
          <w:color w:val="111111"/>
          <w:sz w:val="28"/>
          <w:sz w:val="28"/>
          <w:szCs w:val="28"/>
          <w:rtl w:val="true"/>
          <w:lang w:bidi="fa-IR"/>
        </w:rPr>
        <w:t>و در باب کراهت</w:t>
      </w:r>
    </w:p>
    <w:p>
      <w:pPr>
        <w:pStyle w:val="BookText"/>
        <w:rPr/>
      </w:pPr>
      <w:r>
        <w:rPr>
          <w:rFonts w:ascii="IRNazanin" w:hAnsi="IRNazanin" w:eastAsia="IRNazanin"/>
          <w:color w:val="111111"/>
          <w:sz w:val="28"/>
          <w:sz w:val="28"/>
          <w:szCs w:val="28"/>
          <w:rtl w:val="true"/>
          <w:lang w:bidi="fa-IR"/>
        </w:rPr>
        <w:t>رجوع و مرافعه به قضات جور در کتاب القضاء در فروع کافی</w:t>
      </w:r>
      <w:r>
        <w:rPr>
          <w:rStyle w:val="FootnoteAnchor"/>
          <w:rtl w:val="true"/>
        </w:rPr>
        <w:footnoteReference w:id="64"/>
      </w:r>
      <w:r>
        <w:rPr>
          <w:rFonts w:ascii="IRNazanin" w:hAnsi="IRNazanin" w:eastAsia="IRNazanin"/>
          <w:color w:val="111111"/>
          <w:sz w:val="28"/>
          <w:sz w:val="28"/>
          <w:szCs w:val="28"/>
          <w:rtl w:val="true"/>
          <w:lang w:bidi="fa-IR"/>
        </w:rPr>
        <w:t>نقل نموده است؛ و نیز شیخ صدوق رحمه الله در باب اتّفاق بر عدلین در حکم در ابواب قضایا و احکام من لایحضره الفقیه،</w:t>
      </w:r>
      <w:r>
        <w:rPr>
          <w:rStyle w:val="FootnoteAnchor"/>
          <w:rtl w:val="true"/>
        </w:rPr>
        <w:footnoteReference w:id="65"/>
      </w:r>
      <w:r>
        <w:rPr>
          <w:rFonts w:ascii="IRNazanin" w:hAnsi="IRNazanin" w:eastAsia="IRNazanin"/>
          <w:color w:val="111111"/>
          <w:sz w:val="28"/>
          <w:sz w:val="28"/>
          <w:szCs w:val="28"/>
          <w:rtl w:val="true"/>
          <w:lang w:bidi="fa-IR"/>
        </w:rPr>
        <w:t>و شیخ طوسی رحمه الله در کتاب القضایا و الأحکام</w:t>
      </w:r>
      <w:r>
        <w:rPr>
          <w:rStyle w:val="FootnoteAnchor"/>
          <w:rtl w:val="true"/>
        </w:rPr>
        <w:footnoteReference w:id="66"/>
      </w:r>
      <w:r>
        <w:rPr>
          <w:rFonts w:ascii="IRNazanin" w:hAnsi="IRNazanin" w:eastAsia="IRNazanin"/>
          <w:color w:val="111111"/>
          <w:sz w:val="28"/>
          <w:sz w:val="28"/>
          <w:szCs w:val="28"/>
          <w:rtl w:val="true"/>
          <w:lang w:bidi="fa-IR"/>
        </w:rPr>
        <w:t>این روایت را ذکر نموده‌اند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 حسب آن‌چه که در کتاب کافی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مُحَمَّدِ بْنِ الْحُسَیْنِ عَنْ مُحَمَّدِ بْنِ عِیسَی عَنْ صَفْوَانَ بْنِ یَحْیَی عَنْ دَاوُدَ بْنِ الْحُصَیْنِ عَنْ عُمَرَ بْنِ حَنْظَلَةَ قَالَ سَأَلْتُ أَبَا عَبْدِ اللّهِ علیه السلام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 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w:t>
      </w:r>
      <w:bookmarkStart w:id="43" w:name="pg16919_226791"/>
    </w:p>
    <w:p>
      <w:pPr>
        <w:pStyle w:val="Heading6"/>
        <w:numPr>
          <w:ilvl w:val="5"/>
          <w:numId w:val="1"/>
        </w:numPr>
        <w:rPr/>
      </w:pPr>
      <w:bookmarkStart w:id="44" w:name="__RefHeading___Toc78618_3244359995"/>
      <w:bookmarkStart w:id="45" w:name="_Toc17"/>
      <w:bookmarkEnd w:id="43"/>
      <w:bookmarkEnd w:id="44"/>
      <w:r>
        <w:rPr>
          <w:rtl w:val="true"/>
        </w:rPr>
        <w:t>بررسی سند حدیث</w:t>
      </w:r>
      <w:bookmarkEnd w:id="45"/>
    </w:p>
    <w:p>
      <w:pPr>
        <w:pStyle w:val="BookText"/>
        <w:rPr/>
      </w:pPr>
      <w:r>
        <w:rPr>
          <w:rFonts w:ascii="IRNazanin" w:hAnsi="IRNazanin" w:eastAsia="IRNazanin"/>
          <w:color w:val="111111"/>
          <w:sz w:val="28"/>
          <w:sz w:val="28"/>
          <w:szCs w:val="28"/>
          <w:rtl w:val="true"/>
          <w:lang w:bidi="fa-IR"/>
        </w:rPr>
        <w:t>برخی این روایت را صحیحه، عدّه‌ای موثّقه، تعدادی حسنه، برخی حسن کالموثّق و بعضی نیز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سند آن را به نحو اجمال بررسی نمائیم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و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توثیق هستند؛ و در وثاقت این دو بحثی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وثوق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و وثاقت مهم‌تر است؛ چرا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عبارت نجاشی و علّامه رحمهما الله استفاده می‌شود که موثّق است و بزرگانی مانند مرحوم شهید ثانی در مسالک تصریح به توثیق وی نموده‌اند؛</w:t>
      </w:r>
      <w:r>
        <w:rPr>
          <w:rStyle w:val="FootnoteAnchor"/>
          <w:rtl w:val="true"/>
        </w:rPr>
        <w:footnoteReference w:id="67"/>
      </w:r>
      <w:r>
        <w:rPr>
          <w:rFonts w:ascii="IRNazanin" w:hAnsi="IRNazanin" w:eastAsia="IRNazanin"/>
          <w:color w:val="111111"/>
          <w:sz w:val="28"/>
          <w:sz w:val="28"/>
          <w:szCs w:val="28"/>
          <w:rtl w:val="true"/>
          <w:lang w:bidi="fa-IR"/>
        </w:rPr>
        <w:t xml:space="preserve">امّا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برخی مانند شیخ صدوق، استاد وی ابن ولید، شیخ طوسی و محقّق حلّی رحمهم الله او را 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الفهرست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بن عبید الیقطینی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در مقابل، بزرگانی از رجالیین مانند کشّی رحمه الله در رجال و نجاشی رحمه الله و مرحوم علّامه در خلاصه و نیز در کتاب‌های فقهی خود و مرحوم میرداماد در رواشح و مجلسی رحمه الله در وجیزه او را توثیق نموده‌اند؛ چون منشأ تضعیف کنندگان، کلامی است که از ابن ولید رسیده است، امّا این کلام بر ضعف وی دلالت ندارد؛</w:t>
      </w:r>
      <w:r>
        <w:rPr>
          <w:rStyle w:val="FootnoteAnchor"/>
          <w:rtl w:val="true"/>
        </w:rPr>
        <w:footnoteReference w:id="69"/>
      </w:r>
      <w:r>
        <w:rPr>
          <w:rFonts w:ascii="IRNazanin" w:hAnsi="IRNazanin" w:eastAsia="IRNazanin"/>
          <w:color w:val="111111"/>
          <w:sz w:val="28"/>
          <w:sz w:val="28"/>
          <w:szCs w:val="28"/>
          <w:rtl w:val="true"/>
          <w:lang w:bidi="fa-IR"/>
        </w:rPr>
        <w:t>بلکه دلالت دارد آن‌چه محمّد بن عیسی بن عبید از کتب یونس نقل می‌کند،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ابن ولید در اجازه روایت، لازم می‌دانست که شیخ اجازه تمام کتاب را بر شاگرد خود قرائت کند و او نیز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یونس، محمد بن عیسی سنّ کمی داشته است؛ لذا، اجازه یونس نسبت به او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توثیق کنندگان به مراتب بیش‌تر و آشناتر به رجال هستند، و کلام تضعیف‌کنندگان در مقابل آن، خصوصاً با توضیحی که داده شد،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مراد اشعری باشد و چه عبید بن یقطینی، هر دو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نجاشی رحمه الله او را توثیق نموده،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حصین الأسدی مولاهم کوفی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امّا شیخ طوسی رحمه الله در رجال ضمن بیان اصحاب امام صادق علیه السلام نه مدحی برای او دارد و نه قدحی؛ لیکن به هنگام ذکر اصحاب امام کاظم علیه السلام تصریح می‌کند که او واقفی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الحصین واقفی</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مرحوم علّامه در خلاصه نسبت به او توقف نموده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عندی التوقّف فی روایته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منشأ کلام مرحوم علّامه، کلام شیخ رحمه الله است؛ امّا چون در تقابل کلام شیخ و نجاشی، کلام نجاشی مقدّم است، لذا باید کلام او را اخذ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واقفی بودن منافاتی با ثقه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رحمه الله در رجال در یک مورد او را از اصحاب امام باقر علیه السلام و در مورد دیگر از صاحب امام صادق علیه السلام شمرده است؛ و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حرف واو آورده، و نسبت به او مدح یا ذمّی نیاورده است؛ و نجاشی و علّامه رحمهما الله از او نامی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در اصول رجالیه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شهید ثانی رحمه الله در الرعایة او را توثیق نموده است؛ و نیز از برخی روایات می‌توان وثاقت او را استفاده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وقت نماز ظهر و عصر در کتاب کافی، از امام صادق علیه السلام نسبت به عمر بن حنظله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لا یکذب علینا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این تعبیر به وضوح دلالت بر وثاقت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فرزند شهید ثانی رحمهما الله در کتاب منتقی الجمان از والد خودش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ووجدت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مفردات فوائده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غیر مذکور بجرح ولا تعدیل ولکن الأقوی أنّه ثقة لقول الصادق علیه السلام فی حدیث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یکذب علینا والحال أنّ الحدیث الّذی أشار إلیه ضعیف الطریق فتعلّقه به فی هذا الحکم مع ما علم من انفراده به غریب</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آری، اگر روایت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خلیفه را کافی</w:t>
      </w:r>
    </w:p>
    <w:p>
      <w:pPr>
        <w:pStyle w:val="BookText"/>
        <w:rPr/>
      </w:pPr>
      <w:r>
        <w:rPr>
          <w:rFonts w:ascii="IRNazanin" w:hAnsi="IRNazanin" w:eastAsia="IRNazanin"/>
          <w:color w:val="111111"/>
          <w:sz w:val="28"/>
          <w:sz w:val="28"/>
          <w:szCs w:val="28"/>
          <w:rtl w:val="true"/>
          <w:lang w:bidi="fa-IR"/>
        </w:rPr>
        <w:t>در توثیق بدانیم، می‌توانیم او را نیز توثیق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در تهذیب نقل شده است، حضرت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رسولی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از این روایت، وثاقت عمر بن حنظله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کتاب 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عمر بن حنظله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لا تحملوا علی شیعتنا وارفقوا بهم فإنّ الناس لایحتملون ما تحملون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این روایت مرتبۀ اعتقادی عمر بن حنظله نزد امام صادق علیه السلام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امور، همین که اجلّای روات مانند زراره، ابن ابی عمیر و نظیر او از وی روایت می‌کنند، در وثاقت او کفایت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رضوان اللّه علیه در کتاب البیع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الشواهد الکثیرة المذکورة فی محلّها لو لم تدلّ علی وثاقته فلا أقلّ من دلالتها علی حسنه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صاحب مشارع الأحکام فی تحقیق مسائل الحلال والحرام نیز از این روایت به حسنه 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این روایت از جهت سند معتبر است و عنوان موثّقه و یا حسنه را دارد؛ و برخی مانند صاحب الفوائد المدنیة والشواهد المکیة</w:t>
      </w:r>
      <w:r>
        <w:rPr>
          <w:rStyle w:val="FootnoteAnchor"/>
          <w:rtl w:val="true"/>
        </w:rPr>
        <w:footnoteReference w:id="78"/>
      </w:r>
      <w:r>
        <w:rPr>
          <w:rFonts w:ascii="IRNazanin" w:hAnsi="IRNazanin" w:eastAsia="IRNazanin"/>
          <w:color w:val="111111"/>
          <w:sz w:val="28"/>
          <w:sz w:val="28"/>
          <w:szCs w:val="28"/>
          <w:rtl w:val="true"/>
          <w:lang w:bidi="fa-IR"/>
        </w:rPr>
        <w:t>از آن به صحیحه تعبیر نموده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بسیاری از بزرگان مانند شیخ انصاری و نائینی رحمهما الله در المکاسب والبیع و در منیة الطالب و محقّق اصفهانی قدس سره در بحوث فی الاصول و حاشیه مکاسب، این روایت را مقبوله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روضة المتّقین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یفهم من مقبولة عمر بن حنظلة الّتی علیها مدار العلماء فی الفتوی 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محقّق خوانساری رحمه الله نیز در مشارق</w:t>
      </w:r>
      <w:bookmarkStart w:id="46" w:name="pg16919_226794"/>
    </w:p>
    <w:p>
      <w:pPr>
        <w:pStyle w:val="BookText"/>
        <w:rPr/>
      </w:pPr>
      <w:bookmarkEnd w:id="46"/>
      <w:r>
        <w:rPr>
          <w:rFonts w:ascii="IRNazanin" w:hAnsi="IRNazanin" w:eastAsia="IRNazanin"/>
          <w:color w:val="111111"/>
          <w:sz w:val="28"/>
          <w:sz w:val="28"/>
          <w:szCs w:val="28"/>
          <w:rtl w:val="true"/>
          <w:lang w:bidi="fa-IR"/>
        </w:rPr>
        <w:t>الشموس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هذه الروایة معمول علیها بین الأصحاب عملاً ظاهراً و قبول الخبر بین الأصحاب مع عدم الرادّ له یخرجه إلی کونه حجة فلا یعتدّ إذن بمخالف فیه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مرحوم میرزای قمی نیز در مسأله وجوب اخذ جزیه در زمان غیبت به همین مقبوله تمسّک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أمّا الفقیه العادل النائب عنه بالأدلّة مثل مقبولة عمر بن حنظله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و اجلّا از این روایت به مقبوله 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مرحوم محقّق خوئی در برخی از کتب در این‌که اصحاب این روایت را تلقّی به قبول کرده باشند، تردید دارند؛ امّا همان‌طور که ذکر شد، متقدّمین و متأخّرین بر طبق این روایت عمل نموده‌اند و حتّی در کتاب فقه الرضا از این روایت به مقبوله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جهات، مضمون روایت، وثوق به صدور را ایجاد می‌کند</w:t>
      </w:r>
      <w:r>
        <w:rPr>
          <w:rFonts w:eastAsia="IRNazanin" w:cs="IRNazanin"/>
          <w:color w:val="111111"/>
          <w:sz w:val="28"/>
          <w:szCs w:val="28"/>
          <w:rtl w:val="true"/>
          <w:lang w:bidi="fa-IR"/>
        </w:rPr>
        <w:t>.</w:t>
      </w:r>
    </w:p>
    <w:p>
      <w:pPr>
        <w:pStyle w:val="Heading6"/>
        <w:numPr>
          <w:ilvl w:val="5"/>
          <w:numId w:val="1"/>
        </w:numPr>
        <w:rPr/>
      </w:pPr>
      <w:bookmarkStart w:id="47" w:name="__RefHeading___Toc78620_3244359995"/>
      <w:bookmarkStart w:id="48" w:name="_Toc18"/>
      <w:bookmarkEnd w:id="47"/>
      <w:r>
        <w:rPr>
          <w:rtl w:val="true"/>
        </w:rPr>
        <w:t>بیان استدلال به روایت</w:t>
      </w:r>
      <w:bookmarkEnd w:id="48"/>
    </w:p>
    <w:p>
      <w:pPr>
        <w:pStyle w:val="BookText"/>
        <w:rPr/>
      </w:pPr>
      <w:r>
        <w:rPr>
          <w:rFonts w:ascii="IRNazanin" w:hAnsi="IRNazanin" w:eastAsia="IRNazanin"/>
          <w:color w:val="111111"/>
          <w:sz w:val="28"/>
          <w:sz w:val="28"/>
          <w:szCs w:val="28"/>
          <w:rtl w:val="true"/>
          <w:lang w:bidi="fa-IR"/>
        </w:rPr>
        <w:t>از این حدیث شریف برخی منصب و مشروعیّت قضا در هنگام ترافع و منازعه و پذیرفتن شخصی به عنوان حَکَم را استفاده نموده‌اند؛ و به تعبیر دیگر، مشروعیت حکم و قضا در هنگام مرافعه به حاکم استفاده می‌شود؛ و گروه دوم، مشروعیّت قضا و افتا را به نحو کلّی اعم از این‌که ترافع باشد یا نباشد، استفاده نموده‌اند؛ و گروه سوم، علاوه بر جعل منصب قضا و افتا، از این روایت جعل ولایت عام برای فقها در زمان غیبت را 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اوّل می‌توان به مرحوم محقّق خوئی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المستند فی شرح العروة الوثقی در کتاب الصوم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خفی أن المقبولة وإن کانت واضحة الدلالة علی نصب القاضی ابتداء ولزوم اتباعه فی قضائه حیث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أنهم ملزمون بالرضا به حکماً باعتبار أنّه علیه السلام قد جعله حاکماً علیهم 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بمثابة التعلیل للإلزام المذکور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أنّ النصب المزبور خاص بمورد التنازع والترافع المذکور فی صدر الحدیث، بلا فرق بین الهلال وغیره کما لو استأجر داراً، أو تمتع بامرأة إلی شهر فاختلفا فی انقضاء الشهر</w:t>
      </w:r>
    </w:p>
    <w:p>
      <w:pPr>
        <w:pStyle w:val="BookText"/>
        <w:rPr/>
      </w:pPr>
      <w:r>
        <w:rPr>
          <w:rFonts w:ascii="IRNazanin" w:hAnsi="IRNazanin" w:eastAsia="IRNazanin"/>
          <w:color w:val="111111"/>
          <w:sz w:val="28"/>
          <w:sz w:val="28"/>
          <w:szCs w:val="28"/>
          <w:rtl w:val="true"/>
          <w:lang w:bidi="fa-IR"/>
        </w:rPr>
        <w:t>برؤیة الهلال وعدمه، فترافعا عند الحاکم وقضی بالهلال، فإن حکمه حینئذٍ نافذ بلاإشکال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نفوذ حکمه حتّی فی غیر مورد الترافع کما لو شککنا أنّ هذه اللیلة أوّل رمضان لیجب الصوم أو أوّل شوال لیحرم من غیر أی‌تنازع وتخاصم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المقبولة علی نفوذ حکم الحاکم حینئذٍ إلّابعد ضم مقدمة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وظیفة القضاة لم تکن مقصورة علی ختم المنازعات فحسب، بل کان المتعارف والمتداول لدی قضاة العامة التدخل فی جمیع الشؤون التی تبتلی علی طبق قضائهم فی جمیع البلدان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 یتدخلون فیه بلا ریب، وکان الناس یعملون علی طبق قضائهم فی جمیع البلدان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من شؤون القضاء عند العامة، وثبت إنّ الإمام علیه السلام نصب شخصاً قاضیاً فجمیع تلک المناصب تثبت له بطبیعة الحال فلهذا القاضی ما لقضاة العامة، ومنه الحکم فی الهلال، کما هو المتعارف فی زماننا هذا تبعاً للأزمنة السابقة لما بین الأمرین من الملازمة الخارجیة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ولکنّک خبیر بأن هذه المقدّمة أیضاً غیر بینة ولا مبینة لعدم کونها من الواضحات الوجدانیات، فإن مجرّد تصدّی قضاة العامة لأمر الهلال خارجاً لا یکشف عن کونه من وظائف القضاء فی الشریعة المقدسة، حتّی یدلّ نصب أحد قاضیاً علی کون حکمه فی الهلال ماضیاً بدلالة الالتزامیة، ولعلّهم ابتدعوا هذا المنصب لأنفسهم کسائر بدعهم، فلا یصحّ الاحتجاج بعملهم بوجه بعد أن کانت الملازمة المزبورة خارجیة محضة ولم یثبت کونها شرعیة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دلالت واضحی بر نصب قاضی و لزوم تبعیّت او در مورد تنازع و ترافع دارد؛ و از آن، نفوذ حکم حاکم در مرافعه استفاده می‌شود؛ مثلاً اگر کسی خانه خودش را تا یک ماه اجاره دهد و سپس بین موجر و مستأجر در تمام شدن مدّت اجاره اختلاف شود، و حاکم شرع حکم به رویت هلال و انقضای ماه قبل کند، در این صورت، این حکم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مورد ترافع، از روایت نفوذ حکم حاکم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بپذیریم وظیفه قضات منحصر به مورد مرافعه نیست، بلکه متعارف و متداول نزد قضات عامّه تدخّل در جمیع شوؤنی است که امور مردم بر آن مبتنی است و از این جهت قضات عامه در امر هلال دخالت می‌نمودند و مردم هم بر طبق قضاوت آنان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باطل است؛ و اگر قضات عامه متصدی امر هلال بوده‌اند، این کشف نمی‌کند که این امر از وظایف قضا در شریعت اسلام است و شاید آن‌ها بدعتی در این امر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سپس در آخر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ملخّص الکلام فی المقام أنّ إعطاء الإمام علیه السلام منصب القضاء للعلماء أو لغیرهم لم یثبت بأیّ دلیل لفظی معتبر لیتمسّک بإطلاقه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مسأله قضاوت را به عنوان واجب کفائی و از اموری که حفظ نظام بر آن متوقّف است، دانسته‌اند؛ و قدر متیقّن را فقیه و مجتهد قرار داده‌اند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مناقشه در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خوئی قدس سره گرچه از مقبوله عمر بن حنظله ولایت در قضا به نحو مطلق، و ولایت عام را استفاده نمی‌کنند، لکن هر دو عنوان را از جهت امور حسبیه پذیرفته‌اند؛ امّا با قطع نظر از این مطلب، بر این نظریه اشکال و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نزد فقها آن است که مورد نمی‌تواند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گرچه مورد سؤال مسأله تنازع و مرافعه است، امّا در جواب، جعل منصب حکم و قضاوت به نحو عام ذکر شده است و مورد سؤال نمی‌تواند کلّیت و عموم جواب را تخصیص و یا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جواب امام علیه السلام مورد انکار شدید قرار گرفته، آن است که حکمی که از طرف طاغوت صادر شود، باطل و غیر قابل اخذ است؛ و حکم باید از ناحیه کسانی باشد که متّصف به صفاتی هستند که در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مرافعه و تنازع هیچ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امام علیه السلام استفاده می‌شود که مورد سؤال از مصادیق لزوم رجوع به کسانی است که آگاهی کامل به حلال و حرام داشته، و فقاهت و اجتهاد دارند؛ و در حقیقت، صفاتی که در روایت ذکر شده، همگی شرایط یک مجتهد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رحمه الله در کتاب ذکری</w:t>
      </w:r>
      <w:r>
        <w:rPr>
          <w:rStyle w:val="FootnoteAnchor"/>
          <w:rtl w:val="true"/>
        </w:rPr>
        <w:footnoteReference w:id="83"/>
      </w:r>
      <w:r>
        <w:rPr>
          <w:rFonts w:ascii="IRNazanin" w:hAnsi="IRNazanin" w:eastAsia="IRNazanin"/>
          <w:color w:val="111111"/>
          <w:sz w:val="28"/>
          <w:sz w:val="28"/>
          <w:szCs w:val="28"/>
          <w:rtl w:val="true"/>
          <w:lang w:bidi="fa-IR"/>
        </w:rPr>
        <w:t>سیزده شرط را برای فقیه از این روایت استفاده نموده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مربوط به شیعه دوازده امامی است؛ و حتّی زیدیه یا اسماعیلیه و سایر فرق هم نمی‌توانند متصدّی قضاوت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کتاب الهی، یعنی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سنّت پیامبر صلی الله علیه و آله و ائمّه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به 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به علم 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به لغت و</w:t>
      </w:r>
    </w:p>
    <w:p>
      <w:pPr>
        <w:pStyle w:val="BookText"/>
        <w:rPr/>
      </w:pPr>
      <w:r>
        <w:rPr>
          <w:rFonts w:ascii="IRNazanin" w:hAnsi="IRNazanin" w:eastAsia="IRNazanin"/>
          <w:color w:val="111111"/>
          <w:sz w:val="28"/>
          <w:sz w:val="28"/>
          <w:szCs w:val="28"/>
          <w:rtl w:val="true"/>
          <w:lang w:bidi="fa-IR"/>
        </w:rPr>
        <w:t>نحو، صرف و منطق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به ناسخ، منسوخ، محکم، متشابه، ظاهر و مؤوّل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جرح و تعدیل، و در این امر شهادت اوّلین و قدما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مقتضای لفظ از حیث لغت و عرف و شرع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معنی، هنگامی که لفظ مجرّد از قرینه است و هنگامی که لفظ همراه با قرینه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نسیان نداشته باشد؛ و حفظ او غالب بر نسیان و فراموشی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می‌تواند مصدر برای قضاوت و حکم باشد؛ و هیچ خصوصیّتی برای مرافعه و تنازع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استخفاف به حکم خدا فرقی نمی‌کند که تنازع وجود داشته باشد و یا تنازعی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استفاده می‌شود مراجعه به حاکم طاغوت در همۀ زمان‌ها مورد نهی و تحریم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آیۀ شریفه همین مطلب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مراجعه به طاغوت در همۀ زمان‌ها مورد تحریم قرار گیرد، لازم است نسبت به همۀ زمان‌ها جایگزین مناسبی اندیشه شود که عنوان طاغوت را نداشته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تردیدی نیست که از تعابیر وارد در این روایت و از مجموع جواب یک عنوان عامی استفاده می‌شود که در آن تنازع و مرافعه هیچ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شیخ مرتضی حائری قدس سره در شرح عروه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الإرجاع إلی العارفین بالأحکام وإن کان فی مورد المخاصمة إلّاأنّ الظاهر أنّ المورد من باب الاحتیاج إلی رأی العالم ولیس موجباً للإختصاص ولیس الحکم المفروض فی هذه الروایات منحصراً بالاختلاف فی الموضوعات حتّی یقال بالاختصاص من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التعلیل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 جعل العارف بالأحکام قاضیاً وحاکماً مطلقاً من غیر فرق بین صورة المخاصمة و غیرها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ایشان بر خلاف محقّق خوئی رحمه الله از این روایت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عارف به احکام عنوان قاضی و حاکم را دارد و فرقی بین تنازع و مرافعه به او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دوّم نیز می‌توان از صاحب العناوین الفقهیه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ومشهورة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تقتضی الولایة إلّافی الفتوی والقضاء ولا تدلّ علی کونه ولیاً مطلقاً له التصرّف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تدلّان علی اعتبار حکمهم وفتواهم کما استدلّ بهما الأصحاب مع ما فیهما من البحث والإشکال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ایشان از روایت عمر بن حنظله فقط حجیّت فتوا و قضاوت اعم از این‌که مرافعه‌ای باشد یا نباشد را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 این مطلب را ردّ نموده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تسلیم منصب القضاء والافتاء ممّا یؤذن بتبعیة المناصب بطریق أولی وما ورد فی نصب الأئمّة علیهم السلام بعض أصحابهم قیماً علی أموال الأیتام دلیل علی جواز الولایة فی غیرها لأنّ ولیّ المال یتولّی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مقبولة عمر عامّة للترافع وغیره لقوله علیه السلام فاجعلوه حاکماً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کاشف الغطاء رحمه الله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برای فقیه منصب افتا و قضاوت را جعل نموده باشد، باید به طریق اولی ولایت بر امور دیگر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طریق اولی باید بتواند در امور دیگر هم تصرّف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اولویتی وجود ندارد؛ بلکه باید دید آیا از تعلیل و تعابیر وارد در مقبوله عمر بن حنظله علاوه بر جعل منصب قضاوت، یک ولایت کلّی و مطلق که فقیه بتواند در همه امور مردم تصرّف کند، استفاده می‌شود یا خیر؟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آقای شیخ مرتضی حائری قدس سره، در مباحث خمس، این مطلب که از روایت عمر بن حنظله، سلطنت و ولایت بر جمیع امور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قضائی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را مورد اشکال قرار داده،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یستفاد قطعاً من تلک الروایة الشریفة الولایة المطلقة لهم کولایة الناس علی أموالهم وأنفسهم فیکشف بتلک الولایة أنّ اللّه تعالی والإمام راضیان بتصرّفاتهم علی وفق ما یظنّون من المصلحة فی الأموال کولایة الأب والجدّ علی أموال الصغار وهذا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فحرمة الردّ</w:t>
      </w:r>
    </w:p>
    <w:p>
      <w:pPr>
        <w:pStyle w:val="BookText"/>
        <w:rPr/>
      </w:pPr>
      <w:r>
        <w:rPr>
          <w:rFonts w:ascii="IRNazanin" w:hAnsi="IRNazanin" w:eastAsia="IRNazanin"/>
          <w:color w:val="111111"/>
          <w:sz w:val="28"/>
          <w:sz w:val="28"/>
          <w:szCs w:val="28"/>
          <w:rtl w:val="true"/>
          <w:lang w:bidi="fa-IR"/>
        </w:rPr>
        <w:t>متوقّفة علی أن یکون حکمه علی طبق حکم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جعل الحکومة هو معرفة حلالهم وحرامهم، لا عدالتهم و کفایتهم حتّی یصلح لجعل الحکومة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ایشان معتقدند از این روایت ولایت عام استفاده نمی‌شود و دو قرینه و شاهد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او ولایت کلی به هر صورتی که بخواهد تصرّف کند، ندارد؛ بلکه اگر بر طبق حکم ما حکم کند، ردّ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بر طبق حکم ما حکم نکند، ردّ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جعل حکومت معرفت حلال و حرام است؛ و عدالت و کفایت آنان نقشی در این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فرمایش مرحوم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با آن‌چه در شرح عروه آورده‌اند، مخالف است؛ و مطلب صحیح، همان است که در شرح عروه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آن‌که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ولایت مطلقه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دو شاهد نمی‌تواند مدّعای ایشان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معتقدند ولایت عام برای فقیه وجود دارد و اختصاص به قضاوت ندارد، معتقدند حکم فقیه در هر موردی حکم امام علیه السلام است؛ به این معنی که لزوم تبعیّت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تعبیرات موجود در این روایت دلالت دارد اگر فقیه و حاکم بر حسب ظاهر برطبق موازین ما حکم کند، باید تبعیّت شود؛ هرچند نتیجه مطابق با نظر ائمّه معصومین علیهم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مقدار که در چارچوب و بر طبق معیارهای ائمّه معصومین علیهم السلام حکم کند، باید از آن حکم تبعیّت شود؛ و به عبارت سوم، امام علیه السلام در این روایت صحّت واقعی حکم و قضاوت فقیه را مورد نظر قرار نداده‌اند؛ بلکه صحّت ظاهری و لزوم تبعیّت را مورد توجّه قرار داده‌اند؛ و قائلین به ولایت عامه هیچ‌گاه ادّعای صحّت واقعی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گروه سوم می‌توان از مرحوم کاشف الغطاء و امام خمینی رحمهما الله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خمینی در کتاب الاجتهاد والتقلید در استدلال به مقبوله عمر بن حنظله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یدلّ علی أنّ القضاء بل مطلق الحکومة للفقیه مقبولة عمر بن حنظلة وهی مع</w:t>
      </w:r>
      <w:bookmarkStart w:id="49" w:name="pg16919_226800"/>
    </w:p>
    <w:p>
      <w:pPr>
        <w:pStyle w:val="BookText"/>
        <w:rPr/>
      </w:pPr>
      <w:bookmarkEnd w:id="49"/>
      <w:r>
        <w:rPr>
          <w:rFonts w:ascii="IRNazanin" w:hAnsi="IRNazanin" w:eastAsia="IRNazanin"/>
          <w:color w:val="111111"/>
          <w:sz w:val="28"/>
          <w:sz w:val="28"/>
          <w:szCs w:val="28"/>
          <w:rtl w:val="true"/>
          <w:lang w:bidi="fa-IR"/>
        </w:rPr>
        <w:t>اشتهارها بین الأصحاب والتعویل علیها فی مباحث القضاء مجبورة من حیث السند ولا إشکال فی دلالتها</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و در ادامه، از سه تعبیر وارد در این روایت شرط فقاهت و اجتهاد را برای حاکم و ولیّ استفاده نموده‌اند، و نسبت به آیه‌ای که در این روایت به آن اشاره شده است، توجّه عمیقی نموده 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امانات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هم امانت خلقی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مال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امانت خالقی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احکام 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ردّ امانت آن است که احکام الهی را آن‌طور که هست اجرا کنند؛ و نیز نسبت به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حکم در این آیه، قضاوت نیست؛ بلکه مراد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خطاب به کسانی است که زمام امور مردم را به دست می‌گیرند و خطاب به قضات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یکی از رشته‌ها و فروعات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باید هر امری از امور حکومت بر موازین عدالت باشد؛ همه شؤون حکومت اعمّ از قضاوت و جعل قوانین و اجرای آن‌ها باید بر اساس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است که از مقبوله عمر بن حنظله، اطلاق و عمومیتی استفاده می‌شود و اختصاص به مسأله قضاوت ندارد؛ و این عمومیت، مسأله اجرای احکام را هم در بر می‌گیرد</w:t>
      </w:r>
      <w:r>
        <w:rPr>
          <w:rFonts w:eastAsia="IRNazanin" w:cs="IRNazanin"/>
          <w:color w:val="111111"/>
          <w:sz w:val="28"/>
          <w:szCs w:val="28"/>
          <w:rtl w:val="true"/>
          <w:lang w:bidi="fa-IR"/>
        </w:rPr>
        <w:t>.</w:t>
      </w:r>
    </w:p>
    <w:p>
      <w:pPr>
        <w:pStyle w:val="Heading6"/>
        <w:numPr>
          <w:ilvl w:val="5"/>
          <w:numId w:val="1"/>
        </w:numPr>
        <w:rPr/>
      </w:pPr>
      <w:bookmarkStart w:id="50" w:name="__RefHeading___Toc78622_3244359995"/>
      <w:bookmarkStart w:id="51" w:name="_Toc19"/>
      <w:bookmarkEnd w:id="50"/>
      <w:r>
        <w:rPr>
          <w:rtl w:val="true"/>
        </w:rPr>
        <w:t>تنبیه</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اگر فرض کنیم مقبوله در خصوص قضاوت است و از آن ولایت عامه استفاده نشود، باز می‌گوییم این روایت می‌تواند دلیل برای قائلین به جواز اجرای حدود در زمان غیبت باشد؛ زیرا، اگر قاضی حکم کند امّا نتواند حدود را اجرا کند، همین مطلب استخفاف به قضاوت 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مسأله استخفاف مورد نهی شدید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بر فرض، مسألۀ ملازمه بین مشروعیّت قضا و مشروعیّت اجرای حدود را هم نپذیرد، می‌تواند به تعبیر استخفاف وارد شده در این روایت استناد نماید؛ و جواز و بلکه لزوم اجرای حدود را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52" w:name="pg16919_226801"/>
    </w:p>
    <w:p>
      <w:pPr>
        <w:pStyle w:val="BookText"/>
        <w:rPr/>
      </w:pPr>
      <w:bookmarkEnd w:id="52"/>
      <w:r>
        <w:rPr>
          <w:rFonts w:ascii="IRNazanin" w:hAnsi="IRNazanin" w:eastAsia="IRNazanin"/>
          <w:color w:val="111111"/>
          <w:sz w:val="28"/>
          <w:sz w:val="28"/>
          <w:szCs w:val="28"/>
          <w:rtl w:val="true"/>
          <w:lang w:bidi="fa-IR"/>
        </w:rPr>
        <w:t>تعبیر واضح‌تر،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که ضمانت اجرایی نداشته باشد، امری موهون و بی‌فایده است</w:t>
      </w:r>
      <w:r>
        <w:rPr>
          <w:rFonts w:eastAsia="IRNazanin" w:cs="IRNazanin"/>
          <w:color w:val="111111"/>
          <w:sz w:val="28"/>
          <w:szCs w:val="28"/>
          <w:rtl w:val="true"/>
          <w:lang w:bidi="fa-IR"/>
        </w:rPr>
        <w:t>.</w:t>
      </w:r>
    </w:p>
    <w:p>
      <w:pPr>
        <w:pStyle w:val="Heading6"/>
        <w:numPr>
          <w:ilvl w:val="5"/>
          <w:numId w:val="1"/>
        </w:numPr>
        <w:rPr/>
      </w:pPr>
      <w:bookmarkStart w:id="53" w:name="__RefHeading___Toc78624_3244359995"/>
      <w:bookmarkStart w:id="54" w:name="_Toc20"/>
      <w:bookmarkEnd w:id="53"/>
      <w:r>
        <w:rPr>
          <w:rtl w:val="true"/>
        </w:rPr>
        <w:t>اشکال</w:t>
      </w:r>
      <w:bookmarkEnd w:id="54"/>
    </w:p>
    <w:p>
      <w:pPr>
        <w:pStyle w:val="BookText"/>
        <w:rPr/>
      </w:pPr>
      <w:r>
        <w:rPr>
          <w:rFonts w:ascii="IRNazanin" w:hAnsi="IRNazanin" w:eastAsia="IRNazanin"/>
          <w:color w:val="111111"/>
          <w:sz w:val="28"/>
          <w:sz w:val="28"/>
          <w:szCs w:val="28"/>
          <w:rtl w:val="true"/>
          <w:lang w:bidi="fa-IR"/>
        </w:rPr>
        <w:t>ممکن است کسی</w:t>
      </w:r>
      <w:r>
        <w:rPr>
          <w:rStyle w:val="FootnoteAnchor"/>
          <w:rtl w:val="true"/>
        </w:rPr>
        <w:footnoteReference w:id="90"/>
      </w:r>
      <w:r>
        <w:rPr>
          <w:rFonts w:ascii="IRNazanin" w:hAnsi="IRNazanin" w:eastAsia="IRNazanin"/>
          <w:color w:val="111111"/>
          <w:sz w:val="28"/>
          <w:sz w:val="28"/>
          <w:szCs w:val="28"/>
          <w:rtl w:val="true"/>
          <w:lang w:bidi="fa-IR"/>
        </w:rPr>
        <w:t>توهّم کند مقبوله عمر بن حنظله بر جعل منصب قضاوت در زمان حضور معصوم علیهم السلام دلالت دارد؛ یعنی دلالت دارد که امام صادق علیه السلام افرادی را که متّصف به این شرایط هستند، نسبت به زمان خودشان نصب نموده‌اند</w:t>
      </w:r>
      <w:r>
        <w:rPr>
          <w:rFonts w:eastAsia="IRNazanin" w:cs="IRNazanin"/>
          <w:color w:val="111111"/>
          <w:sz w:val="28"/>
          <w:szCs w:val="28"/>
          <w:rtl w:val="true"/>
          <w:lang w:bidi="fa-IR"/>
        </w:rPr>
        <w:t>.</w:t>
      </w:r>
    </w:p>
    <w:p>
      <w:pPr>
        <w:pStyle w:val="Heading6"/>
        <w:numPr>
          <w:ilvl w:val="5"/>
          <w:numId w:val="1"/>
        </w:numPr>
        <w:rPr/>
      </w:pPr>
      <w:bookmarkStart w:id="55" w:name="__RefHeading___Toc78626_3244359995"/>
      <w:bookmarkStart w:id="56" w:name="_Toc21"/>
      <w:bookmarkEnd w:id="55"/>
      <w:r>
        <w:rPr>
          <w:rtl w:val="true"/>
        </w:rPr>
        <w:t>جواب</w:t>
      </w:r>
      <w:bookmarkEnd w:id="5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اشکال آن است که این جعل، اختصاص به خصوص زمان امام صادق علیه السلام داشته باشد و شامل زمان ائمّه دیگر علیهم السلام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اشکال آن است که حرمت تحاکم و مراجعه به طاغوت نیز منحصر به زمان حضور معصوم علیه السلام باشد و شامل زمان‌های دیگر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 السلام به ویژه با تعلیلی که در آن آمده و نیز با توجّه به خصوصیّات جواب و شرایط مهمّی را که ذکر می‌کنند به عنوان یک قضیّه حقیقیه مطرح است که شامل تمام زمان‌ها تا روز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مقبوله به صورت روشن و واضح، مسأله جواز اجرای حدود در زمان غیبت توسط فقیه جامع الشرایط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اقامه حدود را نوعی و مصداقی از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إقامة الحدود ضرب من الحکم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بنابراین، آن‌چه محقّق خوانساری رحمه الله در جامع المدارک آورده‌اند که مقبوله ظهوری در مسأله اجرای حدود ندارد، مطلب قابل قبولی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رحمه الله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را استفاده</w:t>
      </w:r>
      <w:bookmarkStart w:id="57" w:name="pg16919_226802"/>
    </w:p>
    <w:p>
      <w:pPr>
        <w:pStyle w:val="BookText"/>
        <w:rPr/>
      </w:pPr>
      <w:bookmarkEnd w:id="57"/>
      <w:r>
        <w:rPr>
          <w:rFonts w:ascii="IRNazanin" w:hAnsi="IRNazanin" w:eastAsia="IRNazanin"/>
          <w:color w:val="111111"/>
          <w:sz w:val="28"/>
          <w:sz w:val="28"/>
          <w:szCs w:val="28"/>
          <w:rtl w:val="true"/>
          <w:lang w:bidi="fa-IR"/>
        </w:rPr>
        <w:t>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منصوب خاص ولایت عامه دارد و نسبت به همه اطراف نزاع ولایت دارد، فقیه و مجتهد نیز به همین صورت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مانند شهید ثانی رحمه الله اجرای حدّ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حکم، مجرّد حکم بدون انفاذ و اجرا نیست؛ بلکه مراد انفاذ آن است که در آن اقامه حدود نیز وجود دارد</w:t>
      </w:r>
      <w:r>
        <w:rPr>
          <w:rFonts w:eastAsia="IRNazanin" w:cs="IRNazanin"/>
          <w:color w:val="111111"/>
          <w:sz w:val="28"/>
          <w:szCs w:val="28"/>
          <w:rtl w:val="true"/>
          <w:lang w:bidi="fa-IR"/>
        </w:rPr>
        <w:t>.</w:t>
      </w:r>
    </w:p>
    <w:p>
      <w:pPr>
        <w:pStyle w:val="Heading5"/>
        <w:numPr>
          <w:ilvl w:val="4"/>
          <w:numId w:val="1"/>
        </w:numPr>
        <w:rPr/>
      </w:pPr>
      <w:bookmarkStart w:id="58" w:name="__RefHeading___Toc78628_3244359995"/>
      <w:bookmarkStart w:id="59" w:name="_Toc22"/>
      <w:bookmarkEnd w:id="58"/>
      <w:r>
        <w:rPr>
          <w:rtl w:val="true"/>
        </w:rPr>
        <w:t>دلیل سوم</w:t>
      </w:r>
      <w:r>
        <w:rPr>
          <w:rtl w:val="true"/>
        </w:rPr>
        <w:t xml:space="preserve">: </w:t>
      </w:r>
      <w:r>
        <w:rPr>
          <w:rtl w:val="true"/>
        </w:rPr>
        <w:t>مقبولۀ ابی خدیجه</w:t>
      </w:r>
      <w:bookmarkEnd w:id="59"/>
    </w:p>
    <w:p>
      <w:pPr>
        <w:pStyle w:val="BookText"/>
        <w:rPr/>
      </w:pPr>
      <w:r>
        <w:rPr>
          <w:rFonts w:ascii="IRNazanin" w:hAnsi="IRNazanin" w:eastAsia="IRNazanin"/>
          <w:color w:val="111111"/>
          <w:sz w:val="28"/>
          <w:sz w:val="28"/>
          <w:szCs w:val="28"/>
          <w:rtl w:val="true"/>
          <w:lang w:bidi="fa-IR"/>
        </w:rPr>
        <w:t>دلیل سوّم قائلین به جواز اجرای حدود در زمان غیبت، مشهوره و یا مقبوله ابی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ابوخدیجه دو روایت نقل شده است که در این‌جا آن‌چه را که مرحوم صدوق در من لا یحضره الفقیه نقل نموده است،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بإسناده عن أحمد بن عائذ بن حبیب الأحمسی البجلّی الثقة عن أبی خدیجة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روایت از حیث سند صحیح است؛ و سند مرحوم صدوق به احمد بن عائذ نیز صحیح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از این روایت، جواز و مشروعیّت اجرای حدود در زمان غیبت را استفاده نموده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لیکن مرحوم آیت‌اللّه سیّد احمد خوانساری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تنازع و تخاصم است و ربطی به اجرای حدود ندارد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امّا همان‌طور که در استدلال به مقبوله عمر بن حنظله ذکر کردیم، اگر از این روایت اصل مشروعیّت قضاوت را استفاده نمائیم، به ناچار باید مشروعیّت اجرای حدود را نیز استفاده نماییم؛ و به لحاظ اجرای حدود از شؤون و فروع قضاوت است</w:t>
      </w:r>
      <w:r>
        <w:rPr>
          <w:rFonts w:eastAsia="IRNazanin" w:cs="IRNazanin"/>
          <w:color w:val="111111"/>
          <w:sz w:val="28"/>
          <w:szCs w:val="28"/>
          <w:rtl w:val="true"/>
          <w:lang w:bidi="fa-IR"/>
        </w:rPr>
        <w:t>.</w:t>
      </w:r>
      <w:bookmarkStart w:id="60" w:name="pg16919_226803"/>
    </w:p>
    <w:p>
      <w:pPr>
        <w:pStyle w:val="Heading5"/>
        <w:numPr>
          <w:ilvl w:val="4"/>
          <w:numId w:val="1"/>
        </w:numPr>
        <w:rPr/>
      </w:pPr>
      <w:bookmarkStart w:id="61" w:name="__RefHeading___Toc78630_3244359995"/>
      <w:bookmarkStart w:id="62" w:name="_Toc23"/>
      <w:bookmarkEnd w:id="60"/>
      <w:bookmarkEnd w:id="61"/>
      <w:r>
        <w:rPr>
          <w:rtl w:val="true"/>
        </w:rPr>
        <w:t>دلیل چهارم</w:t>
      </w:r>
      <w:r>
        <w:rPr>
          <w:rtl w:val="true"/>
        </w:rPr>
        <w:t xml:space="preserve">: </w:t>
      </w:r>
      <w:r>
        <w:rPr>
          <w:rtl w:val="true"/>
        </w:rPr>
        <w:t>توقیع شریف</w:t>
      </w:r>
      <w:bookmarkEnd w:id="62"/>
    </w:p>
    <w:p>
      <w:pPr>
        <w:pStyle w:val="BookText"/>
        <w:rPr/>
      </w:pPr>
      <w:r>
        <w:rPr>
          <w:rFonts w:ascii="IRNazanin" w:hAnsi="IRNazanin" w:eastAsia="IRNazanin"/>
          <w:color w:val="111111"/>
          <w:sz w:val="28"/>
          <w:sz w:val="28"/>
          <w:szCs w:val="28"/>
          <w:rtl w:val="true"/>
          <w:lang w:bidi="fa-IR"/>
        </w:rPr>
        <w:t>در روایت توقیع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أحادیثنا فإنّهم حجّتی علیکم وأنا حجّة اللّه علیکم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شدید در این معنا دارد که آن‌چه را امام معصوم علیه السلام در آن حجّت است، فقیه نیز به همان صورت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معصوم علیه السلام در آن حجّت است، اجرای حدود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در برخی از نقل‌ها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مرحوم 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ظهور شدیدتری در عموم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خوانساری در مورد استدلال به این روایت اشکال نموده و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معلومیّة المراد من الحوادث لاحتمال کون اللام للعهد فی کلام السائل واستفادة الولایة العامة من جهة التعبیر بأنّهم خلیفتی علیکم مشکلة لاضطراب المتن فی الروایة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سخن ایشان قابل مناقشه است؛ زیرا، چنان‌چه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نمی‌توان گفت امام معصوم علیه السلام در بخشی از حوادث عنوان حجّت را دارند و همین عمومیّت در تعلیل، احتمال عهد بودن را منتفی می‌کند؛ چرا که در عهد بودن نیاز به تمسّک به این دلیل به نحو عام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این تعبیر آن است که هرچه را که امام معصوم علیه السلام در آن حجّت است، فقیه نیز در آن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تعبیرات مذکور در جواب می‌توان استفاده نمود این احتمال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باشد، غیر صحیح است؛ و نباید به این احتمال توجّه نمود</w:t>
      </w:r>
      <w:r>
        <w:rPr>
          <w:rFonts w:eastAsia="IRNazanin" w:cs="IRNazanin"/>
          <w:color w:val="111111"/>
          <w:sz w:val="28"/>
          <w:szCs w:val="28"/>
          <w:rtl w:val="true"/>
          <w:lang w:bidi="fa-IR"/>
        </w:rPr>
        <w:t>.</w:t>
      </w:r>
    </w:p>
    <w:p>
      <w:pPr>
        <w:pStyle w:val="Heading5"/>
        <w:numPr>
          <w:ilvl w:val="4"/>
          <w:numId w:val="1"/>
        </w:numPr>
        <w:rPr/>
      </w:pPr>
      <w:bookmarkStart w:id="63" w:name="__RefHeading___Toc78632_3244359995"/>
      <w:bookmarkStart w:id="64" w:name="_Toc24"/>
      <w:bookmarkEnd w:id="63"/>
      <w:r>
        <w:rPr>
          <w:rtl w:val="true"/>
        </w:rPr>
        <w:t>دلیل پنجم</w:t>
      </w:r>
      <w:r>
        <w:rPr>
          <w:rtl w:val="true"/>
        </w:rPr>
        <w:t xml:space="preserve">: </w:t>
      </w:r>
      <w:r>
        <w:rPr>
          <w:rtl w:val="true"/>
        </w:rPr>
        <w:t>روایت سلیمان</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من یقیم الحدود، السلطان أو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إلی من إلیه الحکم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شیخ طوسی رحمه الله نیز</w:t>
      </w:r>
    </w:p>
    <w:p>
      <w:pPr>
        <w:pStyle w:val="BookText"/>
        <w:rPr/>
      </w:pPr>
      <w:r>
        <w:rPr>
          <w:rFonts w:ascii="IRNazanin" w:hAnsi="IRNazanin" w:eastAsia="IRNazanin"/>
          <w:color w:val="111111"/>
          <w:sz w:val="28"/>
          <w:sz w:val="28"/>
          <w:szCs w:val="28"/>
          <w:rtl w:val="true"/>
          <w:lang w:bidi="fa-IR"/>
        </w:rPr>
        <w:t>در دو موضع از کتاب تهذیب این روایت را نقل نموده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مشیخه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فیه عن سلیمان بن داود المنقری فقد رویته عن أبی عن سعد بن عبداللّه عن القاسم بن محمّد الاصفهانی عن سلیمان بن داود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جلالت پدر مرحوم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نجاشی در مورد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محمّد القمی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بالمرضی له کتاب النوادر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علّامه رحمه الله در خلاصه از ابن غضائری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یعرف تارة وینکر اخری ویجوز أن یخرج شاهداً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از این تعابیر، در مجموع، عدم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گرچه نمی‌توان عدم عدالت او را استفاده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و ابن داود این شخص را در قسم دوّم کتاب رجالی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حال مجروحین یا کسانی که نسبت به آن‌ها توقف نموده‌اند،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غضائری نیز نقل نموده‌اند که وی این شخص را 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خلاصه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جدّاً لا یلتفت إلیه یوضع کثیراً علی المهمات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البته مرحوم نجاشی او راتوثیق نموده است و نیز از ظاهر عبارت شیخ طوسی رحمه الله در الفهرست عدم ضعف، و بلکه اعتماد بر کتاب او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رجالیون او را عامی المذهب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رجال</w:t>
      </w:r>
      <w:r>
        <w:rPr>
          <w:rStyle w:val="FootnoteAnchor"/>
          <w:rtl w:val="true"/>
        </w:rPr>
        <w:footnoteReference w:id="104"/>
      </w:r>
      <w:r>
        <w:rPr>
          <w:rFonts w:ascii="IRNazanin" w:hAnsi="IRNazanin" w:eastAsia="IRNazanin"/>
          <w:color w:val="111111"/>
          <w:sz w:val="28"/>
          <w:sz w:val="28"/>
          <w:szCs w:val="28"/>
          <w:rtl w:val="true"/>
          <w:lang w:bidi="fa-IR"/>
        </w:rPr>
        <w:t>و مرحوم شیخ طوسی در رجال و الفهرست تصریح به عامی بودن او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برخی روایاتی که در کافی در اصول و روضه وارد شده است خلاف این مطلب استظهار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شیخ طوسی رحمه الله ادّعا نموده است طائفه امامیه بر عمل به روایات او اجماع دارند و کتاب او را مورد اعتماد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این روایت، اگرچه از جهت برخی روات مورد اشکال و ضعف است، امّا چون اصحاب برطبق آن عمل نموده و آن را تلقّی به قبول نموده‌اند، لذا به عنوان معتبر می‌تواند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معصوم علیه السلام در زمان حضور و فقیه جامع‌الشرائط در زمان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به خوبی دلالت بر جواز و مشروعیّت اقامه حدود در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جواب امام علیه السلام استفاده می‌شود اجرای حدود در زمانی که سلطان جائر یا سلطان غیر مشروع حکومت می‌کند، نه با آن سلطان است و نه با قاضی منصوب از طرف او؛ بلکه با کسی است که امر حکم و قضا در اختیار او است؛ و همان امام معصوم علیه السلام در زمان حضور و فقیه در زمان غیبت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خوئی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فقها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محقّق خوانساری در جامع المدارک، ضمن آن‌که سند این حدیث را مخدوش می‌داند،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خبر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التمسّک به لأنّ القاضی له الحکم من طرف المعصوم ولا یقال إلیه الحکم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این مطلب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ایشان استدلال را مبنی بر آن قرار داده‌اند که جواب امام علیه السلام منطبق بر عنوان قاضی موجود در روایت باشد و سپس بگوییم عنوان قاضی در فقیه هم وجود دارد؛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در حقیقت،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نه مربوط به سلطان است و نه مربوط به قاضی منصوب از طرف او؛ بلکه مربوط به کسی است که مشروعیّت حکومت مربوط به او است، و کسانی که صلاحیّت حکومت ندارند، نه خود آنان و نه منصوبین از طرف آنان، صلاحیّت اجرای حدود ندارند</w:t>
      </w:r>
      <w:r>
        <w:rPr>
          <w:rFonts w:eastAsia="IRNazanin" w:cs="IRNazanin"/>
          <w:color w:val="111111"/>
          <w:sz w:val="28"/>
          <w:szCs w:val="28"/>
          <w:rtl w:val="true"/>
          <w:lang w:bidi="fa-IR"/>
        </w:rPr>
        <w:t>.</w:t>
      </w:r>
      <w:bookmarkStart w:id="65" w:name="pg16919_226806"/>
    </w:p>
    <w:p>
      <w:pPr>
        <w:pStyle w:val="BookText"/>
        <w:rPr/>
      </w:pPr>
      <w:bookmarkEnd w:id="6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بپذیریم عنوان حکم در جواب امام علیه السلام همان قضاوت است، امّا این سخن که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فاقد دلیل بوده، و فرقی است بدون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شرع،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قاضی شرع کسی است که به یک اعتبار صلاحیّت صدور حکم 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اعتبار دیگر، به او برای صدور حکم مراجعه می‌شود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روایت کاملاً صحیح و تام است؛ و از نظر دلالت، تردیدی در ظهور آن در مقصود نیست</w:t>
      </w:r>
      <w:r>
        <w:rPr>
          <w:rFonts w:eastAsia="IRNazanin" w:cs="IRNazanin"/>
          <w:color w:val="111111"/>
          <w:sz w:val="28"/>
          <w:szCs w:val="28"/>
          <w:rtl w:val="true"/>
          <w:lang w:bidi="fa-IR"/>
        </w:rPr>
        <w:t>.</w:t>
      </w:r>
    </w:p>
    <w:p>
      <w:pPr>
        <w:pStyle w:val="Heading5"/>
        <w:numPr>
          <w:ilvl w:val="4"/>
          <w:numId w:val="1"/>
        </w:numPr>
        <w:rPr/>
      </w:pPr>
      <w:bookmarkStart w:id="66" w:name="__RefHeading___Toc78634_3244359995"/>
      <w:bookmarkStart w:id="67" w:name="_Toc25"/>
      <w:bookmarkEnd w:id="66"/>
      <w:r>
        <w:rPr>
          <w:rtl w:val="true"/>
        </w:rPr>
        <w:t>دلیل ششم</w:t>
      </w:r>
      <w:r>
        <w:rPr>
          <w:rtl w:val="true"/>
        </w:rPr>
        <w:t xml:space="preserve">: </w:t>
      </w:r>
      <w:r>
        <w:rPr>
          <w:rtl w:val="true"/>
        </w:rPr>
        <w:t>عدم جواز تعطیلی حدود</w:t>
      </w:r>
      <w:bookmarkEnd w:id="67"/>
    </w:p>
    <w:p>
      <w:pPr>
        <w:pStyle w:val="BookText"/>
        <w:rPr/>
      </w:pPr>
      <w:r>
        <w:rPr>
          <w:rFonts w:ascii="IRNazanin" w:hAnsi="IRNazanin" w:eastAsia="IRNazanin"/>
          <w:color w:val="111111"/>
          <w:sz w:val="28"/>
          <w:sz w:val="28"/>
          <w:szCs w:val="28"/>
          <w:rtl w:val="true"/>
          <w:lang w:bidi="fa-IR"/>
        </w:rPr>
        <w:t>از روایات متعدّدی استفاده می‌شود که تعطیل شدن حدود مطلقاً جایز نیست؛ و فرقی بین زمان معصوم علیه السلام و غیر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الوسائل باب وجوب إقامتها بشروطها از پیامبر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نهی صلی الله علیه و آله عن تعطیل الحدود وقال إنّما هلک بنو اسرائیل لأنّهم کانوا یقیمون الحدود علی الوضیع دون الشریف</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این روایت به صورت مطلق، از تعطیلی حدود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امر در هیچ زمانی نباید ترک شود، خصوصاً در ذیل آن اشاره به قوم بنی‌اسرائیل دارند که آن‌ها چون حدود را بر مردمان ضعیف از نظر مالی و اعتباری جاری می‌نمودند، اما بر قشر شریف جاری نمی‌کردند،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می‌شود اجرای حدود نسبت به هر شخص مجرمی، در هر زمانی، هرچند قبل از اسلام، مطلوب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إنّه کتب إلی رفاعة أقم الحدود فی القریب یجتنبها البیعد لاتطل الدماء ولا تعطل الحدود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این روایت، حضرت امیر علیه السلام به یکی از واجباتی که باید در هر زمان انجام شود، امر فرموده‌اند؛ و چنین نیست که بگوییم حضرت با این کلام به صورت خصوصی اجازۀ اقامۀ</w:t>
      </w:r>
    </w:p>
    <w:p>
      <w:pPr>
        <w:pStyle w:val="BookText"/>
        <w:rPr/>
      </w:pPr>
      <w:r>
        <w:rPr>
          <w:rFonts w:ascii="IRNazanin" w:hAnsi="IRNazanin" w:eastAsia="IRNazanin"/>
          <w:color w:val="111111"/>
          <w:sz w:val="28"/>
          <w:sz w:val="28"/>
          <w:szCs w:val="28"/>
          <w:rtl w:val="true"/>
          <w:lang w:bidi="fa-IR"/>
        </w:rPr>
        <w:t>حدود را به رفاعه صادر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من وجب علیه الحدّ أقیم، لیس فی الحدود نظرة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این روایت به صورت مطلق و کلّی آمده است کسی که لازم است بر او حد جاری شود، حتماً باید حدّ بر او اقامه شود و در آن هیچ قیدی نسبت به اجازۀ معصوم علیه السلام وجود ندارد؛ و به عبارت دیگر، چنان‌چه لزوم حدّ نزد قاضی و حاکم ثابت شود، او نیز حقّ تعطیل کردن آن و یا تأخیر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مستفاد از این روایت آن است که تنها شرط مهمّ برای اجرای حدود، اثبات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 آله إنّه نهی عن الشفاعة فی الحدود و قال من شفع فی حدّ من حدود اللّه لیبطله وسعی فی إبطال حدود اللّه تعالی عذّبه اللّه یوم القیامة</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حدود الهی چنان‌چه ثابت شود، باید اجرا شود و حتّی امام معصوم علیه السلام نیز نمی‌تواند آن را تأخیر و یا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امیرالمؤمنین علیه السلام دست مردی از بنی اسد را که استحقاق حدّ داشت، گرفته بودند تا حدّ را بر او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او خدمت حسین بن علی علیهما السلام رسیدند تا او را شفیع قرار دهند و ایشان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امیرالمؤمنین علیه السلام رسیدند و به ایشان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 هر چه را که من مالک باشم، شما همان را از من مطالبه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حضرت این بود که چیزی را که از اختیار من خارج است از من مطالبه ننمایید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خیال نمودند که حضرت او را بخشیده است و دیگر حدّ را جاری نمی‌کنند و با خوشحالی خدمت امام حسین علیه السلام رسیدند و به ایشان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رفیقتان کاری دارید زود بروید سراغ او، وگرنه به زودی حدّ بر او جاری می‌شود و کار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آمدند سراغ او و دیدند امیرالمؤمنین علیه السلام بر او حدّ را جاری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وعده ندادی که این حدّ را جاری نمی‌کنید؟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وعدتکم بما أملکه وهذا شیء للّه‌لستُ أملکه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شما نسبت به آنچه که</w:t>
      </w:r>
    </w:p>
    <w:p>
      <w:pPr>
        <w:pStyle w:val="BookText"/>
        <w:rPr/>
      </w:pPr>
      <w:r>
        <w:rPr>
          <w:rFonts w:ascii="IRNazanin" w:hAnsi="IRNazanin" w:eastAsia="IRNazanin"/>
          <w:color w:val="111111"/>
          <w:sz w:val="28"/>
          <w:sz w:val="28"/>
          <w:szCs w:val="28"/>
          <w:rtl w:val="true"/>
          <w:lang w:bidi="fa-IR"/>
        </w:rPr>
        <w:t>مالک هستم وعده دادم و حدود الهی امری است که من مالک آن نیستم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شریف کافی روایت صحیحی را بدین‌گونه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علی بن حمزة عن أبی بصیر عن عمران بن میثم او صالح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مُجحّ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طهّرک اللّه فإنّ عذاب الدنیا أیسر من عذاب الآخرة الّذی لا ینقطع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زنی خدمت امیرالمؤمنین علیه السلام رسید و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نموده‌ام؛ مرا پاک کنید که تحمّل عذاب دنیا آسان‌تر از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دارای شوهر هستی یا خیر؟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شوهر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زنا، شوهر تو حاضر بود یا این‌که غائب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بود و من به او دسترسی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وضع حمل کن و سپس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وضع حمل آمد، لیکن حضرت تجاهل فرمودند و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سؤال‌های قبلی را مجدّداً مطرح فرمودند؛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دو سال شیر بده و سپس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حضرت به پیشگاه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 مرتبه اقرار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دو سال به امیرالمؤمنین علیه السلام مراجعه کرد و همان خواسته را تکرار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مجدّداً تجاهل نمودند و همان سؤال‌های قبل را تکرار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هنگامی که فرزند تو به حدّ عقل و رشد رسید و توانست خودْ بخورد و بیاشامد و خود را در هنگام سقوط نگه دارد،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امیرالمؤمنین علیه السلام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اقرار سوم این زن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بعد از این جلسه گریه می‌کرد و از محضر امیرالمومنین علیه السلام خارج شد و شخصی به نام عمر بن حریث مخزومی او را دید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و آن زن ماجرا را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مرگ به سراغ من بیاید و من پاک نشده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زن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کفالت فرزند تو را می‌پذیرم و تو خدمت امیرالمؤمنین علیه السلام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مرتبه چهارم مراجعه نمود و وعده آن شخص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تجاهل نمودند و همان سؤال‌های قبلی را تکرار کردند و بعد از جواب آن زن، سر مبارک خویش را به سوی آسمان بلند نمودند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قد ثبت لک علیها أربع شهادات وإنّک قد قلت لنبیّک فیما أخبرته من دینک یا محمّد من عطّل حدّاً من حدودی فقد عاندنی وطلب بذلک مضادّتی اللّهمّ فإنّی غیر معطّل حدودک ولا طالب مضادّتک ولا مضیّع لأحکامک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 پیامبر خودت فرمودی کسی که حدّی از حدود مرا تعطیل کند، با من دشمنی نموده و به این وسیله ضدّیت و مخالفت با من را طلب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مقام تعطیلی حدود تو نیستم و طالب دشمنی و ضدّیت با تو نیستم و نمی‌خواهم تو را ضایع کنم، بلکه مطیع تو و سنّت نبیّ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تعطیل کردن حدود الهی علاوه بر این‌که از محرّمات الهی و بلکه از محرّمات شدید است، ارتکاب آن موجب مخالفت و ضدّیت با خداوند متعال می‌شود؛ نظیر تعبیری که در مورد حرمت ربا وارد شده است که مرتکب آن با خداوند اعلام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تعطیلی حدود الهی باشند، ضدیّت و معاندت با خداوند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ویژه با تشدیدی که در ترک اجرای حدود آمده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اختصاص به زمان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نیز این روایت را به عنوان مؤیّد و شاهد بر مدّعای خود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عموم نسبت به همه زمان‌ها ظهور دارد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نهی از باطل شدن حدود الهی در میان خلق و مردم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یزید کناسی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تبطل حدود اللّه فی خلقه ولا تبطل حقوق المسلمین بینهم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این حدیث به نحو مطلق و به صورت کلی فرموده که</w:t>
      </w:r>
      <w:bookmarkStart w:id="68" w:name="pg16919_226810"/>
    </w:p>
    <w:p>
      <w:pPr>
        <w:pStyle w:val="BookText"/>
        <w:rPr/>
      </w:pPr>
      <w:bookmarkEnd w:id="68"/>
      <w:r>
        <w:rPr>
          <w:rFonts w:ascii="IRNazanin" w:hAnsi="IRNazanin" w:eastAsia="IRNazanin"/>
          <w:color w:val="111111"/>
          <w:sz w:val="28"/>
          <w:sz w:val="28"/>
          <w:szCs w:val="28"/>
          <w:rtl w:val="true"/>
          <w:lang w:bidi="fa-IR"/>
        </w:rPr>
        <w:t>حدود الهی در میان بشر نباید تعطیل و باطل شود، همان طوری که حقوق مسلمین در میان آنها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خلق خدا منحصر به مردم خصوص زمان معصوم علیه السلام نیست</w:t>
      </w:r>
      <w:r>
        <w:rPr>
          <w:rFonts w:eastAsia="IRNazanin" w:cs="IRNazanin"/>
          <w:color w:val="111111"/>
          <w:sz w:val="28"/>
          <w:szCs w:val="28"/>
          <w:rtl w:val="true"/>
          <w:lang w:bidi="fa-IR"/>
        </w:rPr>
        <w:t>.</w:t>
      </w:r>
    </w:p>
    <w:p>
      <w:pPr>
        <w:pStyle w:val="Heading5"/>
        <w:numPr>
          <w:ilvl w:val="4"/>
          <w:numId w:val="1"/>
        </w:numPr>
        <w:rPr/>
      </w:pPr>
      <w:bookmarkStart w:id="69" w:name="__RefHeading___Toc78636_3244359995"/>
      <w:bookmarkStart w:id="70" w:name="_Toc26"/>
      <w:bookmarkEnd w:id="69"/>
      <w:r>
        <w:rPr>
          <w:rtl w:val="true"/>
        </w:rPr>
        <w:t>دلیل هفتم</w:t>
      </w:r>
      <w:r>
        <w:rPr>
          <w:rtl w:val="true"/>
        </w:rPr>
        <w:t xml:space="preserve">: </w:t>
      </w:r>
      <w:r>
        <w:rPr>
          <w:rtl w:val="true"/>
        </w:rPr>
        <w:t>حکمت اجرای حدود</w:t>
      </w:r>
      <w:bookmarkEnd w:id="70"/>
    </w:p>
    <w:p>
      <w:pPr>
        <w:pStyle w:val="BookText"/>
        <w:rPr/>
      </w:pPr>
      <w:r>
        <w:rPr>
          <w:rFonts w:ascii="IRNazanin" w:hAnsi="IRNazanin" w:eastAsia="IRNazanin"/>
          <w:color w:val="111111"/>
          <w:sz w:val="28"/>
          <w:sz w:val="28"/>
          <w:szCs w:val="28"/>
          <w:rtl w:val="true"/>
          <w:lang w:bidi="fa-IR"/>
        </w:rPr>
        <w:t>صاحب جواهر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المقتضی لإقامة الحدود قائم فی صورتی حضور الإمام وغیبته ولیست الحکمة عائدة إلی مقیمه قطعاً فیکون عائدة إلی مستحقّة أو إلی نوع من المکلّفین وعلی التقدیرین لابدّ من إقامته قطعاً بثبوت النیابة لهم فی کثیر من المواضع علی وجه یظهر منه عدم الفرق بین مناصب الإمام أجمع بل یمکن دعوی المفروغیة فیه بین الأصحاب فإنّ کتبهم مملوة بالرجوع إلی الحاکم المراد به نائب الغیبة فی سائر المواضع</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ایشان در این عبارت چند نکتۀ مهمّ را مطرح فرموه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 ملاک در اقامه حدود، هم در زمان حضور معصوم علیه السلام وجود دارد و هم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اجرای حدود مربوط به اقامه‌کننده نیست، بلکه یا مربوط به کسی است که حدّ در مورد او اجرا می‌شود، و یا مربوط به عموم مردم و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فقها در موارد زیادی استفاده می‌شود که بین مناصب امام علیه السلام فرقی وجود ندارد؛ و این امر مفروغ و مسلّم در میان اصحاب است؛ و هنگامی که به کتاب‌های ایشان مراجعه شود، فراوان دیده می‌شود که باید به حاکم مراجعه شود؛ و مراد از حاکم، نائب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حقیقت، از طریق بیان حکمت در اجرای حدود، عمومیّت آن را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نیز نظیر این مطلب را به عنوان دلیل ذکر نموده و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اجرای حدود را مختصّ به زمان حضور امام علیه السلام بدانیم، با این هدف منافات دارد؛ و حضور امام علیه السلام دخالتی در این غایت و حکمت ندارد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اشکال 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خوانساری بر این دلیل اشکال نموده و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دلیل آن است که اقامه حدود شرعیّه در تمام زمان‌ها مطلقاً واجب باشد، بدون این‌که به نصب معصوم علیه السلام نیاز باشد؛ و حتّی نیازی به فقیه جامع الشرایط هم ندارد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به عبارت دیگر، اقامه حدود باید یک واجب مستقل و غیر مشروط باشد و حتّی در فرض عدم دسترسی به مجتهدین واجد شرایط و عدول مؤمنین، فسّاق هم باید بتوانند متصدّی اقامه حدود شرعیّه شوند،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غائبین و محجورین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فرمایش ایشان چند اشکال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در محلّ نزاع آن است که اجرای حدود شرعیّه بعد از تشخیص صحیح آن است؛ و این مربوط به کسانی است که عارف به احکام شرعیّه و حدود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قدرت بر استنباط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این دلیل اقتضا ندارد کسانی که عارف به این امر نیستند، بتوانند آن 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اجرای حدود به مسأله حفظ اموال غائبین و یا سرپرستی محجورین صحیح نیست؛ چرا که حفظ اموال یا سرپرستی محجور محتاج به این نیست که شخص آگاه به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اگر این امور به نحو صحیح انجام نشود، مفسده مهمّی ندارد؛ بر خلاف حدود الهی که اگر ناآشنای به آن‌ها مجری آن شود، مفسده بسیار مهمّی خواهد داشت که می‌توان گفت در این فرض، نقض غرض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تحقّق غرض از اجرای حدود به ناچار باید کسی آن را اقامه کند که آشنای به حلال و حرام و احکام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دلیل هفتم آمده، این است که در تحقّق غرضِ اقامه حدود، حضور معصوم علیه السلام دخالتی ندارد؛ امّا این بدان معنی نیست که هر کسی بتواند متصدّی آن باشد؛ مانند این‌که بگوییم در اقامه نماز جماعت امام معصوم علیه السلام شرطیّت ندارد، لکن این‌گونه نیست که هر کسی بتواند امامت جماعت را عهده‌دار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اجرای حدود باید در اختیار گروه خاصی باشد؛ چرا که در غیر این صورت، هرج و مرج، و نقض غرض لازم می‌آید؛ و از وجود آن، عدم،</w:t>
      </w:r>
      <w:bookmarkStart w:id="71" w:name="pg16919_226812"/>
    </w:p>
    <w:p>
      <w:pPr>
        <w:pStyle w:val="BookText"/>
        <w:rPr/>
      </w:pPr>
      <w:bookmarkEnd w:id="71"/>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بحث در این است که این گروه خاص آیا خصوص امام معصوم علیه السلام و منصوبین از طرف آنان است یا این‌که علاوه بر این‌ها شامل منصوبین به نصب عام نیز می‌شود؟</w:t>
      </w:r>
    </w:p>
    <w:p>
      <w:pPr>
        <w:pStyle w:val="Heading5"/>
        <w:numPr>
          <w:ilvl w:val="4"/>
          <w:numId w:val="1"/>
        </w:numPr>
        <w:rPr/>
      </w:pPr>
      <w:bookmarkStart w:id="72" w:name="__RefHeading___Toc78638_3244359995"/>
      <w:bookmarkStart w:id="73" w:name="_Toc27"/>
      <w:bookmarkEnd w:id="72"/>
      <w:r>
        <w:rPr>
          <w:rtl w:val="true"/>
        </w:rPr>
        <w:t>دلیل هشتم</w:t>
      </w:r>
      <w:r>
        <w:rPr>
          <w:rtl w:val="true"/>
        </w:rPr>
        <w:t xml:space="preserve">: </w:t>
      </w:r>
      <w:r>
        <w:rPr>
          <w:rtl w:val="true"/>
        </w:rPr>
        <w:t>گسترش مفاسد در صورت تعطیلی حدود</w:t>
      </w:r>
      <w:bookmarkEnd w:id="73"/>
    </w:p>
    <w:p>
      <w:pPr>
        <w:pStyle w:val="BookText"/>
        <w:rPr/>
      </w:pPr>
      <w:r>
        <w:rPr>
          <w:rFonts w:ascii="IRNazanin" w:hAnsi="IRNazanin" w:eastAsia="IRNazanin"/>
          <w:color w:val="111111"/>
          <w:sz w:val="28"/>
          <w:sz w:val="28"/>
          <w:szCs w:val="28"/>
          <w:rtl w:val="true"/>
          <w:lang w:bidi="fa-IR"/>
        </w:rPr>
        <w:t>تعطیل شدن حدود به ارتکاب محرّمات الهی و گسترش مفاسد منجر می‌گردد؛ و ترک چنین امری مطلوب شارع، و گسترش آن،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این مطلب را به عنوان مؤیّدی مستقل ذکر نموده است؛ امّا می‌توان آن را به عنوان تکمیل دلیل قبل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برای تحقّق غرض از حدود و یا جلوگیری از انتشار فساد و گسترش جرم، راه‌های عقلایی دیگری نیز وجود دارد و در هر زمانی ممکن است مجازات خاصی را برای آن در نظر گرفت؛ و بنابراین، تحقّق چنین غرض مهمّی متوقّف بر اجرای 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به چند نکته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اموری که در شریعت موضوع برای حدود الهی قرار گرفته است، ممکن است در نظر عقلا، در برخی از زمان‌ها، جرم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مشاهده می‌شود که در برخی کشورها، برخی از فسادهای بسیار مهم، مانند زنا و لواط، جنبۀ قانونی و رسمی دارد و به هیچ وجه جرم تلقی نمی‌شود، مگر در برخی از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مهم ما آن است که لازم است بر همین حدود شرع تکیه شود و در مواردی که شارع مجازاتی را جعل نموده است، همان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شارع متعال غرضی دارد که بدون تحقّق حدود الهی، محقّق نمی‌شود</w:t>
      </w:r>
      <w:r>
        <w:rPr>
          <w:rFonts w:eastAsia="IRNazanin" w:cs="IRNazanin"/>
          <w:color w:val="111111"/>
          <w:sz w:val="28"/>
          <w:szCs w:val="28"/>
          <w:rtl w:val="true"/>
          <w:lang w:bidi="fa-IR"/>
        </w:rPr>
        <w:t>.</w:t>
      </w:r>
    </w:p>
    <w:p>
      <w:pPr>
        <w:pStyle w:val="Heading5"/>
        <w:numPr>
          <w:ilvl w:val="4"/>
          <w:numId w:val="1"/>
        </w:numPr>
        <w:rPr/>
      </w:pPr>
      <w:bookmarkStart w:id="74" w:name="__RefHeading___Toc78640_3244359995"/>
      <w:bookmarkStart w:id="75" w:name="_Toc28"/>
      <w:bookmarkEnd w:id="74"/>
      <w:r>
        <w:rPr>
          <w:rtl w:val="true"/>
        </w:rPr>
        <w:t>دلیل نهم</w:t>
      </w:r>
      <w:r>
        <w:rPr>
          <w:rtl w:val="true"/>
        </w:rPr>
        <w:t xml:space="preserve">: </w:t>
      </w:r>
      <w:r>
        <w:rPr>
          <w:rtl w:val="true"/>
        </w:rPr>
        <w:t>روایات دالّ بر ترغیب اجرای حدود</w:t>
      </w:r>
      <w:bookmarkEnd w:id="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احادیث، روایاتی وجود دارد که بر اصل اجرای حدود ترغیب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نمونه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موثّق، حنان بن سدیر از پدر خویش نقل می‌کند 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یقام فی الأرض أزکی فیها من مطر أربعین لیلة وأیّامها</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حدّ خیر من مطر أربعین صباحاً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نظیر این تعابیر در برخی روایات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لإقامة الحدّ للّه‌أنفع فی الأرض من القطر أربعین صباحاً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 مجموع این روایات استفاده می‌شود اجرای حدّ آثار وضعی و مهمّی نسبت به مردم و جامعه دارد که از باریدن چهل شبانه‌روز باران هم فائده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امری را که این همه فائده برای مجموعه جامعه دارد بگوییم مختصّ به زمان حضور معصوم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ادلّه‌ای که ذکر شد، می‌توانیم این مطلب را به عنوان شاهد و مؤیّدی ذکر کنیم که برحسب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برطبق آن نیز فتوا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مردی، فردی بیگانه را در بستر زوجه خویش در حال زنا ببیند، خود شخصاً می‌تواند هر دو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عدم اشتراط معصوم علیه السلام است و نمی‌توان آن را به عنوان استثنای از شرطیت حضور معصوم علیه السلام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ادلّه که بگذریم، روشن است چنان‌چه در اقامه حدود الهی، معصوم علیه السلام شرطیّت داشت، لازم بود در این امر عظیم به این شرطیت تصریح می‌شد؛ و نیاز به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بعد از آن‌که ادلّه اطلاق واضحی نسبت به اجرای حدود دارد، چنان‌چه این قید از ابتدا مطرح بود، لازم بود که به آن تصریح می‌شد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ادلّه به خوبی اطمینان حاصل می‌شود که اجرای حدود، اختصاص به حضور معصوم علیه السلام ندارد، و مربوط به همه زمان‌ها است؛ گرچه مجری آن باید عارف به احکام و حلال و حرام باشد، یعنی مجتهد جامع الشرایط باشد</w:t>
      </w:r>
      <w:r>
        <w:rPr>
          <w:rFonts w:eastAsia="IRNazanin" w:cs="IRNazanin"/>
          <w:color w:val="111111"/>
          <w:sz w:val="28"/>
          <w:szCs w:val="28"/>
          <w:rtl w:val="true"/>
          <w:lang w:bidi="fa-IR"/>
        </w:rPr>
        <w:t>.</w:t>
      </w:r>
      <w:bookmarkStart w:id="76" w:name="pg16919_226814"/>
    </w:p>
    <w:p>
      <w:pPr>
        <w:pStyle w:val="Heading4"/>
        <w:numPr>
          <w:ilvl w:val="3"/>
          <w:numId w:val="1"/>
        </w:numPr>
        <w:rPr/>
      </w:pPr>
      <w:bookmarkStart w:id="77" w:name="__RefHeading___Toc78642_3244359995"/>
      <w:bookmarkStart w:id="78" w:name="_Toc29"/>
      <w:bookmarkEnd w:id="76"/>
      <w:bookmarkEnd w:id="77"/>
      <w:r>
        <w:rPr>
          <w:rtl w:val="true"/>
        </w:rPr>
        <w:t xml:space="preserve">نقد مقالۀ </w:t>
      </w:r>
      <w:r>
        <w:rPr>
          <w:rtl w:val="true"/>
        </w:rPr>
        <w:t>«</w:t>
      </w:r>
      <w:r>
        <w:rPr>
          <w:rtl w:val="true"/>
        </w:rPr>
        <w:t>نظریۀ اقامۀ حدود</w:t>
      </w:r>
      <w:r>
        <w:rPr>
          <w:rtl w:val="true"/>
        </w:rPr>
        <w:t>»</w:t>
      </w:r>
      <w:bookmarkEnd w:id="78"/>
    </w:p>
    <w:p>
      <w:pPr>
        <w:pStyle w:val="BookText"/>
        <w:rPr/>
      </w:pPr>
      <w:r>
        <w:rPr>
          <w:rFonts w:ascii="IRNazanin" w:hAnsi="IRNazanin" w:eastAsia="IRNazanin"/>
          <w:color w:val="111111"/>
          <w:sz w:val="28"/>
          <w:sz w:val="28"/>
          <w:szCs w:val="28"/>
          <w:rtl w:val="true"/>
          <w:lang w:bidi="fa-IR"/>
        </w:rPr>
        <w:t xml:space="preserve">در خاتمه، مناسب است برخی ازنکات و مناقشاتی که مربوط به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اقامه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قواعد فقه، بخش جزایی، توسط محقّق محترم جناب مستطاب آقای دکتر مصطفی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 را ذکر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محترم در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در بند سوم مطالبی را ذکر نموده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مجموعه‌ای است دارای ابعاد مختلف تربیتی، اخلاقی، اجتماعی، مدیریتی و بالاتر از همه، دارای نظام شرعی و حقوقی است به نام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ابعاد، انسجام و پیوستگی کامل است؛ و برای تربیت انسان‌ها و رشد آنان راه‌های گوناگون اعمال شده، و در کنار آن برای متخلّفین و سرپیچی‌کنندگانی که برای تربیت آن‌ها اتمام حجّت شده، مجازات و عقوبت‌هایی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اجرای همه ابعاد آن باید جمیع شرایط محقّق شود؛ و مهم‌ترین آن‌ها بر حسب اعتقادات حقّه شیعه دوازده امامی، وجود انسان کامل در رأس مدیریت نظام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سه امر آن است که بدون وجود 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شرعیّه با تردید جدّی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مجازات‌ها در شرایطی معنا دارد که مرتکبین جرائم با کمال رضایت قلبی و بدون اندک تردیدی در رأی صادره قبول رنج مجازات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 طهرک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مرتکب عمل شنیع شده است، می‌تواند خویشتن را راضی کند که برای برودت عذاب الهی نزد کسی که او را نمی‌شناسد و نمی‌داند چکاره است و شب را چگونه به صبح رسانده است، اقرار نماید؟ و این احتمال وجود دارد که مرجع قضایی که بر اریکه قضا نشسته است علی‌رغم تخصّص علمی و آگاهی فنّی، خود مبتلا به فساد اعمال باشد و چند صباحی دیگر به همین جرم یا نظائر آن محکوم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مطلب، حدیث مفصّل امیرالمؤمنین علیه السلام که به آن اشاره گردید را ذکر کرده و دو نکته را استفاده نموده‌اند</w:t>
      </w:r>
      <w:r>
        <w:rPr>
          <w:rFonts w:eastAsia="IRNazanin" w:cs="IRNazanin"/>
          <w:color w:val="111111"/>
          <w:sz w:val="28"/>
          <w:szCs w:val="28"/>
          <w:rtl w:val="true"/>
          <w:lang w:bidi="fa-IR"/>
        </w:rPr>
        <w:t>:</w:t>
      </w:r>
      <w:bookmarkStart w:id="79" w:name="pg16919_226815"/>
    </w:p>
    <w:p>
      <w:pPr>
        <w:pStyle w:val="BookText"/>
        <w:rPr/>
      </w:pPr>
      <w:bookmarkEnd w:id="79"/>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معصوم علیه السلام است که می‌تواند شرایط خاص زمان را تشخیص دهد و فقیهان عادی نمی‌توانند چنین تشخیصی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در زمان ما با اجرای حدّ شرعی که برای سیر کردن شکم فرزندانش به علّت زندانی بودن همسرش، تن به عصیان داده، خانواده‌ای را به آغوش فساد و تباهی نمی‌کشیم؟ آیا در این موقع دفع فاسد به افسد نمی‌کنیم؟ امام علی علیه السلام در این خصوص تصمیم گرفت و برای حفظ یک بچه شیرخوار اجرای حدّ ننمود، آیا فقهای عادی مجازند در این موارد تصمیم خاص بگیرند؟</w:t>
      </w:r>
    </w:p>
    <w:p>
      <w:pPr>
        <w:pStyle w:val="BookText"/>
        <w:rPr/>
      </w:pPr>
      <w:r>
        <w:rPr>
          <w:rFonts w:ascii="IRNazanin" w:hAnsi="IRNazanin" w:eastAsia="IRNazanin"/>
          <w:color w:val="111111"/>
          <w:sz w:val="28"/>
          <w:sz w:val="28"/>
          <w:szCs w:val="28"/>
          <w:rtl w:val="true"/>
          <w:lang w:bidi="fa-IR"/>
        </w:rPr>
        <w:t>دوم آن‌که 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 به گردن دارد، حدّ جاری نسازد که به موجب این اصل شرعی، همه صحنه را ترک کردند؛ آیا شرایط زمان ما بهتر است یا شرایط زمان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خاتمه به این پرسش جواب داده‌اند که چنان‌چه اجرای حدود تعطیل گردد با مرتکبین جرائم چه باید کرد؟ و آیا باید آن را رها نمود؟ در پاسخ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باید مجازات حدّ را به مجازات تعزیری تبدیل نمود؛ یعنی حکومت اسلامی با رعایت مصالح زمان، مکان، شخص مرتکب معصیت و سایر جوانب اجتماعی، او را تعزیر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مجازات‌های تعزیری اوّلاً بر حسب زمان و مکان و اوضاع و احوال اجتماعی تغییر می‌یابند؛ و ثانیاً مجازات‌های حدّی مانند اعدام، رجم، قطع ید و امثال آن‌ها تاوان سنگین دارد، به خلاف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بود از کلام ایشان در نظریه‌ی اقامه حدود</w:t>
      </w:r>
      <w:r>
        <w:rPr>
          <w:rFonts w:eastAsia="IRNazanin" w:cs="IRNazanin"/>
          <w:color w:val="111111"/>
          <w:sz w:val="28"/>
          <w:szCs w:val="28"/>
          <w:rtl w:val="true"/>
          <w:lang w:bidi="fa-IR"/>
        </w:rPr>
        <w:t>.</w:t>
      </w:r>
    </w:p>
    <w:p>
      <w:pPr>
        <w:pStyle w:val="Heading4"/>
        <w:numPr>
          <w:ilvl w:val="3"/>
          <w:numId w:val="1"/>
        </w:numPr>
        <w:rPr/>
      </w:pPr>
      <w:bookmarkStart w:id="80" w:name="__RefHeading___Toc78644_3244359995"/>
      <w:bookmarkStart w:id="81" w:name="_Toc30"/>
      <w:bookmarkEnd w:id="80"/>
      <w:r>
        <w:rPr>
          <w:rtl w:val="true"/>
        </w:rPr>
        <w:t>مناقشات</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 کلمات نویسنده محترم روشن می‌شود که ایشان از ابتدا در صدد این بوده‌اند که راهی را طی نمایند که سفره حدود الهی را کاملاً برچینند و شیوه دیگری که مطابق با حقوق بشر رایج است، بگسترانند؛ در حالی که در استنباط فقهی و اجتهاد صحیح مطابق با موازین استدلال، فقیه هیچ‌گاه نباید قبل از پرداختن به ادلّه، نتیجه‌ای را در ذهن خود مفروض و مسلّم بدارد، و به دنبال به دست آوردن آن نظریه از ادلّه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متد اجتهاد جواهری و فقاهت فقیهان اصیل و بزرگی هم‌چون شیخ انصاری و آخوند خراسانی و سیّد یزدی و امثال این‌ها رحمهم الله کاملاً مشهود و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ابتدای کلام، ایشان تصریح می‌کنند این نکته جنبه فقاهتی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از یک نکته غیر فقاهتی می‌خواهید به نتیجه فقهی برسید؟ و آیا چنین امری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مطلب تردیدی نیست که ابعاد مختلف دین اسلام دارای نظامی منسجم و به هم پیوسته است؛ و در این امر نیز تردیدی نیست که حضور انسان کامل در رأس این هرم موجب تحقّق صحیح جمیع این ابعاد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چگونه اثبات می‌کند که اگر انسان کامل حضور نداشت، در اجرای احکام اسلام باید توقف یا تردید حاصل شود؟ اگر بخواهیم این راه را طی کنیم، لازمه‌اش تعطیلی بسیاری از شؤون و احکام اسلامی است؛ از جمله، باید منصب مهمّ قضا و نیز امر به معروف و نهی از منکر و همین‌طور تشکیل حکومت اسلامی را نیز با تردید جدّی مواجه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 باره تمام احکام اجتماعی و سیاسی اسلام را کنار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عبارت ذکر شده، نویسنده محترم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شونده با کمال رضایت قلبی و بدون اندک تردیدی در رأی صادره قبول رنج مجازات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هیچ 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دلیل و شاهدی بر این معنی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ائمّه معصومین علیهم السلام هیچ قرینه و شاهدی بر این مدّعا یافت نمی‌شود و این‌طور نبوده است که همه کسانی که حدود الهی در مورد آنان جاری شده است با کمال رضایت، این حدود را تحمّل نموده‌اند؛ و تعجب آن است که گویا ایشان خیال نموده‌اند اگر در برخی موارد زنی یا شخصی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در همه موارد این‌چنین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جای این سؤال است که چگونه اعتقاد مجازات‌شونده در صحّت و مشروعیّت اجرای حدّ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نه شاهدی از شرع دارد و نه مؤیّدی از عقل و عقلا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سخن که می‌گویند چگونه شخص مرتکب عمل شنیع می‌تواند خویشتن را راضی سازد که برای برودت عذاب الهی نزد کسی که او را نمی‌شناسد و نمی‌داند شب را چگونه به صبح رسانده است، اقرار نماید، جای بسیار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شرایطی که برای قاضی از قبیل عدالت و اجتهاد قرار داده شده، کفایت ظاهری نمی‌کند؟ و اساساً در</w:t>
      </w:r>
    </w:p>
    <w:p>
      <w:pPr>
        <w:pStyle w:val="BookText"/>
        <w:rPr/>
      </w:pPr>
      <w:r>
        <w:rPr>
          <w:rFonts w:ascii="IRNazanin" w:hAnsi="IRNazanin" w:eastAsia="IRNazanin"/>
          <w:color w:val="111111"/>
          <w:sz w:val="28"/>
          <w:sz w:val="28"/>
          <w:szCs w:val="28"/>
          <w:rtl w:val="true"/>
          <w:lang w:bidi="fa-IR"/>
        </w:rPr>
        <w:t>تعزیراتی که ایشان بالاخره قبول نموده‌اند، چگونه این اشکال را حلّ می‌کنند؟ همین اشکال در مورد تعزیرات هم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ضمن مطالب خود به کلامی از امیرالمؤمنین علیه السلام اشاره و استشهاد نموده‌اند 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الحدّ من للّه‌علیه حدّ فمن کان للّه‌حدّ علیه مثل ما له علیها فلا یقیم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مطلب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ایشان آغاز این روایت را مدّ نظر قرار می‌دادند که امیر المؤمنین علیه السلام مسأله حرمت تعطیلی حدود را مطرح فرموده‌اند؛ و خود را از کسانی قرار می‌دهند که غیر معطّلین نسبت به حدود الهی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کسی که بر او حدّ است، می‌تواند حدّ جاری کند یا خیر؟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عدم جواز را مرحوم محقّق در شرائع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 و قول دوّم که کراهت است را مرحوم صاحب ریاض به ظاهر اکثر و بلکه مشهور نسبت داده‌اند و در اثنای کلام، ادّعای اتّفاق بر آن نموده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مرحوم فاضل هندی نیز در کشف اللثام آن را به ظاهر همه فقها نسبت داده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علاوه آن‌که در مسأله، روایات مختلف وجود دارد و نمی‌توان به این روایت امیرالمؤمنین علیه السلام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فقها و بزرگان به صورت فتوا و یا احتیاط، به چنین نظری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محقّق آیت‌اللّه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فالأحوط بملاحظة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إقامة الحدّ ممّن کان علیه حدّ مطلقاً أو خصوص الحدّ المماثل</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هم مفروض و مسلّم باشد، نبودِ آن موجب عدم مشروعیّت اصل اجرای حد در زمان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نویسنده محترم باید دلیلی اقامه نمایند که در زمان غیبت، اجرای حدّ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که ذکر کرده‌اند، اثبات‌کننده این مدّعا نیست، مانند این‌که اگر فرض کنیم در زمانی مجتهد مطلق نباشد و شرط قضاوت را</w:t>
      </w:r>
    </w:p>
    <w:p>
      <w:pPr>
        <w:pStyle w:val="BookText"/>
        <w:rPr/>
      </w:pPr>
      <w:r>
        <w:rPr>
          <w:rFonts w:ascii="IRNazanin" w:hAnsi="IRNazanin" w:eastAsia="IRNazanin"/>
          <w:color w:val="111111"/>
          <w:sz w:val="28"/>
          <w:sz w:val="28"/>
          <w:szCs w:val="28"/>
          <w:rtl w:val="true"/>
          <w:lang w:bidi="fa-IR"/>
        </w:rPr>
        <w:t>اجتهاد مطلق قرار دهیم، این امر به معنای عدم مشروعیّت در زمان غیبت نیست؛ و به عبارت صناعی‌تر، چنان‌چه این شرط را هم بپذیریم، این شرطِ مشروعیّت نیست، بلکه شرط تحقّق عمل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فرقی که میان شرط وجوب و واجب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این می‌شود که در زمان غیبت، اجرای حدود الهی مشروع است و اختصاص به امام معصوم علیه السلام ندارد؛ امّا مجری حدّ باید خود متّصف به این امر باشد که مستحقّ حدّ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محترم به دنبال ذکر حدیث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معصومین علیهم السلام می‌توانند مصالح شخصی و شرایط خاص زمان را این‌گونه تشخیص دهند و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در این خصوص تصمیم گرفت و برای حفظ یک بچّه شیرخوار اجرای حدّ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مطلب باید 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حضرت امیر علیه السلام، فقط به جهت حفظ بچّه شیرخوار نبود، بلکه حضرت در صدد این بود که اصل این جُرم شرعاً اثبات نشود و چهار اقرار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گرچه در روایت شیرخوار بودن بچّه بهانه‌ای برای تأخیر شد و اکنون هم ممکن است فقها همین فتوا را بدهند، امّا این بدان معنی نیست که از ابتدا حضرت به جهت این امر، از اجرای حدّ خودداری فرمودند؛ بلکه چون جهات اثبات‌کننده جُرم شرعاً محقّق نبود، این‌گونه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شهادات و اقرارهای چهارگانه موجود شد، دیگر درنگی در اجرای حدّ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زعم و گمان نویسنده محترم صحیح باشد، در این روایت، عمرو بن حُریث متکفّل سرپرستی آن بچّه شد، در حالی که هیچ عاقلی تردید ندارد که مادر در جهت حفظ و نگهداری و تربیت فرزند اولی از دیگران است؛ و اگر حضرت به دنبال رعایت مصالح و شرایط خاص زمان و مکان بودند، باید این جهت را نیز رعایت می‌کردند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اجرای حدود باتوجّه به شرایط زمان و مکان و رعایت مصالح اشخاص مطرح باشد، باید ملتزم شوید که در زمان حضور معصوم علیه السلام، آن‌ها نیز با توجّه به این اصل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ملتزم می‌شوید که در زمان معصوم علیه السلام، اگر حدّی و استحقاق آن ثابت می‌شد، ائمه علیهم السلام می‌توانستند آن را تعطیل و یا تغییر دهند؟ از نظر فقهی و روایات، جواب</w:t>
      </w:r>
    </w:p>
    <w:p>
      <w:pPr>
        <w:pStyle w:val="BookText"/>
        <w:rPr/>
      </w:pPr>
      <w:r>
        <w:rPr>
          <w:rFonts w:ascii="IRNazanin" w:hAnsi="IRNazanin" w:eastAsia="IRNazanin"/>
          <w:color w:val="111111"/>
          <w:sz w:val="28"/>
          <w:sz w:val="28"/>
          <w:szCs w:val="28"/>
          <w:rtl w:val="true"/>
          <w:lang w:bidi="fa-IR"/>
        </w:rPr>
        <w:t>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در دلیل ششم جواز اجرای حدود در زمان غیبت آوردیم که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وعدتکم بما أملکه وهذا شیء للّه‌لستُ أملکه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حدود الهی مربوط به خداوند متعال است و من نمی‌توانم آن را تعطیل و یا تغییر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خلاصه مطلب آورده‌اند که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موافقین و مخالفین اجرای حدود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استدلال‌های فقهی مستند است؛ و روشن نیست کدام در اکثریت و کدام در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این نوشتار اثبات نمودیم اندیشه بسیاری از متقدّمین و متأخرین بر لزوم اجرای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صاحب جواهر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تعطیل، واجد توجیه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ملزم به توجیه اجتماعی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احکامی وجود دارد که برحسب ظاهر توجیه روشن اجتماعی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کافر 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تشخیص دادید تعطیل شدن حدود در تمام زمان‌ها و در تمام مکان‌ها، واجد توجیه صحیح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اجرای حدود، تعزیرات شرعیّه جایگزین آن خواهد شد که کمّ و کیف آن به تصمیم حاکم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بسیاری از اشکالاتی که در ذهن نویسنده محترم در مورد حدود مطرح است، نسبت به تعزیرات هم مطرح است؛ و گویا همّ نویسنده بر این بوده است که حدودی از قبیل اعدام و رجم را منتفی سازد؛ در حالی که امروزه در برخی از مراکز غربی به این نتیجه رسیده‌اند که در برخی موارد اعدام امری ضروری در جامعه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اشکالاتی که ذکر شد، نمی‌توان مطالب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این نکته را مورد توجّه قرار داد که بعد از این‌که اصل مشروعیّت اجرای حدود در زمان غیبت ثابت باشد، چنان‌چه برخی از آن‌ها با مشکلاتی مواجه شود و شرایط به گونه‌ای شود که بر اجرای آن مفاسد مهم‌تری جاری شود، در این صورت لازم است که فقیه بر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دفع افسد به فاسد عمل نماید؛ همان‌طور که در سایر موارد تزاحم به</w:t>
      </w:r>
      <w:bookmarkStart w:id="82" w:name="pg16919_226820"/>
    </w:p>
    <w:p>
      <w:pPr>
        <w:pStyle w:val="BookText"/>
        <w:rPr/>
      </w:pPr>
      <w:bookmarkEnd w:id="82"/>
      <w:r>
        <w:rPr>
          <w:rFonts w:ascii="IRNazanin" w:hAnsi="IRNazanin" w:eastAsia="IRNazanin"/>
          <w:color w:val="111111"/>
          <w:sz w:val="28"/>
          <w:sz w:val="28"/>
          <w:szCs w:val="28"/>
          <w:rtl w:val="true"/>
          <w:lang w:bidi="fa-IR"/>
        </w:rPr>
        <w:t>این قواعد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عدم مشروعیّت در زمان غیبت به نحو مطلق نیست؛ و به عبارت دیگر، مسأله مشروعیّت اجرای حدود در زمان غیبت به عنوان یک حکم اوّلی مطرح است، امّا با توجّه به عناوین ثانویّه می‌توان و بلکه لازم است آن را تغییر داد و بر طبق آن‌ها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همین مقدار اکتفا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حدود اسلامی اخیراً شبهه‌ها و سؤالاتی مطرح شده است که از سوی بخش شبهه‌شناسی مرکز فقهی ائمّه اطهار علیهم السلام جمع‌آوری گردیده و در آیندۀ نزدیک و در رساله‌ای مفصل‌تر به آن‌ها پاسخ خواهیم داد؛ ان شاء اللّه</w:t>
      </w:r>
      <w:r>
        <w:rPr>
          <w:rFonts w:eastAsia="IRNazanin" w:cs="IRNazanin"/>
          <w:color w:val="111111"/>
          <w:sz w:val="28"/>
          <w:szCs w:val="28"/>
          <w:rtl w:val="true"/>
          <w:lang w:bidi="fa-IR"/>
        </w:rPr>
        <w:t>.</w:t>
      </w:r>
    </w:p>
    <w:p>
      <w:pPr>
        <w:pStyle w:val="Heading3"/>
        <w:numPr>
          <w:ilvl w:val="2"/>
          <w:numId w:val="1"/>
        </w:numPr>
        <w:rPr/>
      </w:pPr>
      <w:bookmarkStart w:id="83" w:name="__RefHeading___Toc78646_3244359995"/>
      <w:bookmarkStart w:id="84" w:name="_Toc31"/>
      <w:bookmarkEnd w:id="83"/>
      <w:r>
        <w:rPr>
          <w:rtl w:val="true"/>
        </w:rPr>
        <w:t>کتاب حاضر</w:t>
      </w:r>
      <w:bookmarkEnd w:id="84"/>
    </w:p>
    <w:p>
      <w:pPr>
        <w:pStyle w:val="BookText"/>
        <w:rPr/>
      </w:pPr>
      <w:r>
        <w:rPr>
          <w:rFonts w:ascii="IRNazanin" w:hAnsi="IRNazanin" w:eastAsia="IRNazanin"/>
          <w:color w:val="111111"/>
          <w:sz w:val="28"/>
          <w:sz w:val="28"/>
          <w:szCs w:val="28"/>
          <w:rtl w:val="true"/>
          <w:lang w:bidi="fa-IR"/>
        </w:rPr>
        <w:t xml:space="preserve">کتابی که پیشِ رو دارید، مباحث مربوط به حدود اسلامی و آیین کیفری اسلام است که مرجع بزرگوار، حضرت آیت‌اللّه العظمی حاج شیخ محمّد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اولیۀ انقلاب شکوهمند اسلامی به جهت ضرورت تبیین هرچه بیشتر مسائل قضایی در بحث‌های خارج فقه خود بر طبق متن کتاب تحریر الوسیله امام خمینی قدس سره در جمع کثیری از فضلا و شاگردان خود در حوزۀ علمیه قم تدریس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آن را به صورت عربی نگارش نموده‌اند، و اکنون به جهت استفادۀ بیشتر به قلم فارسی با همّت استاد ارجمند حوزه، حجة‌الاسلام والمسلمین 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 با سعی و تلاش پژوهشگران مرکز فقهی ائمّه اطهار علیهم السلام و اشراف حضرت مستطاب حجة‌الاسلام والمسلمین فاضل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تقدیر و تشکر از همۀ تلاشگران این عرصه، امید است این کتاب هرچه بیشتر مورد استفادۀ جامعۀ علمی، حوزویان و دانشگاهیان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نیمۀ رجب المرجب </w:t>
      </w:r>
      <w:r>
        <w:rPr>
          <w:rFonts w:eastAsia="IRNazanin" w:cs="IRNazanin"/>
          <w:color w:val="111111"/>
          <w:sz w:val="28"/>
          <w:szCs w:val="28"/>
          <w:lang w:bidi="fa-IR"/>
        </w:rPr>
        <w:t>1432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مرکز فقهی ائمّۀ اطهار علیهم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فاضل لنکرانی</w:t>
      </w:r>
      <w:bookmarkStart w:id="85" w:name="pg16919_226822"/>
    </w:p>
    <w:p>
      <w:pPr>
        <w:pStyle w:val="Heading2"/>
        <w:numPr>
          <w:ilvl w:val="1"/>
          <w:numId w:val="1"/>
        </w:numPr>
        <w:rPr/>
      </w:pPr>
      <w:bookmarkStart w:id="86" w:name="__RefHeading___Toc78648_3244359995"/>
      <w:bookmarkStart w:id="87" w:name="_Toc32"/>
      <w:bookmarkEnd w:id="85"/>
      <w:bookmarkEnd w:id="86"/>
      <w:r>
        <w:rPr>
          <w:rtl w:val="true"/>
        </w:rPr>
        <w:t>پیش گفتار</w:t>
      </w:r>
      <w:r>
        <w:rPr>
          <w:rtl w:val="true"/>
        </w:rPr>
        <w:t>:</w:t>
      </w:r>
      <w:bookmarkEnd w:id="8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والحمدللّه ربّ العالمین وصلّی اللّه علی سیّدنا محمّد وآله الطاهرین</w:t>
      </w:r>
    </w:p>
    <w:p>
      <w:pPr>
        <w:pStyle w:val="BookText"/>
        <w:rPr/>
      </w:pPr>
      <w:r>
        <w:rPr>
          <w:rFonts w:ascii="IRNazanin" w:hAnsi="IRNazanin" w:eastAsia="IRNazanin"/>
          <w:color w:val="111111"/>
          <w:sz w:val="28"/>
          <w:sz w:val="28"/>
          <w:szCs w:val="28"/>
          <w:rtl w:val="true"/>
          <w:lang w:bidi="fa-IR"/>
        </w:rPr>
        <w:t>انسان موجودی است که سعادت و کمال خود را در آزادی مطلق می‌بیند؛ و وجود غریزه افزون‌طلبی در او، سبب شده که به هیچ حدّی محدود نباشد؛ به‌گونه‌ای که اگر شهوت مال بر او غلبه کند، گنجینه‌های زمین او را قانع نمی‌کند؛ و اگر شهوت مقام بر او چیره شود، حکومتِ بر زمین را کافی ندانسته و در پی آن است که پرچم قدرت خود را بر کرات آسمانی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سرکش انسان برای قانع کردن هوس پایان‌ناپذیر او هیچ مرزی نمی‌شناسد و از پایمال کردن و تجاوز به حقوق دیگران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متعال، سازمان وجودی انسان را به‌صورت موجودی اجتماعی آفریده که به‌تنهایی قدرت رفع نیازهای بی‌شمار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باید تن به بعضی از محدودیت‌ها داده، از افزون‌طلبی خود دست بردارد و به حدّ و حدودی از آن اکتفا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خداوند برای هدایت بشر به سعادت و کمال حقیقی، پیامبرانی فرستاد تا انسان را به سعادت و کمالی راهنمایی کنند که به حقّ و حقوق دیگران تجاوز نکرده و همگان از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تمام ادیان الهی و به‌ویژه دین مبین اسلام، دارای قوانینی اجتماعی است که هر دو جنبه مادی و معنوی بشر را تأمین می‌کند؛ و برای هر یک از مواد آن، کیفر و پاداشی مناسب با آن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تعزیرات، قصاص و دیات کیفرهایی هستند که برای تنبیه مجرم و گناهکار وضع شده‌اند، تا جامعه در اثر اجرای آن، در آرامش و اطمینان خاطر، راهِ تکامل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زیادی به حدود الهی اشاره کرده، پای‌بندی به آن را سبب ورود به بهشت و رستگاری، و تعدّی و تجاوز از آن را سبب هلاکت و نابودی انسان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حُدُودُ اللّهِ وَ مَنْ یُطِعِ اللّهَ وَ رَسُولَهُ یُدْخِلْهُ جَنّاتٍ تَجْرِی مِنْ تَحْتِهَا الْأَنْهارُ خالِدِینَ فِیها وَ ذلِکَ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در زمان رسول‌خدا صلی الله علیه و آله و پس از آن، در خلافت ظاهری امیرمؤمنان علیه السلام اجرا می‌شد؛ ولی با چیره شدن بنی‌امیّه، بنی‌عبّاس و حکومت‌های طاغوتی اجرای آن‌ها دست‌خوش تغییر و تحریف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اخیر نیز که کشورهای اسلامی تحت سیطره استعمار و روشنفکران قرار گرفتند، به‌جای قانون الهی، قوانینی که ساخته و پرداخته ذهن انسان‌های ناقص است را اجرا کردند؛ و بشریّت را از مزایای بی‌شمار قوانین الهی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اقامه کردن حدّی از حدود الهی را برای اجتماع و مردم سودمندتر از چهل روز بارندگی دانسته‌اند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 للّه‌أنفع فی الأرض من القطر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حدّ خیر من مطر أربعین صباحاً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با پیروزی شکوهمند انقلاب اسلامی ایران و برقراری نظام جمهوری اسلامی به رهبری قائد عظیم الشأن جهان اسلام، حضرت آیت‌اللّه العظمی امام خمینی قدس سره، بار دیگر احکام و حدود اسلامی از لابلای کتاب‌ها به میدان عمل آمده، حاکمان شرع به اجرای آن</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به‌جهت روشن‌تر شدن مباحث، جمعی از فقیهان و مجتهدان احساس نیاز کرده و تدریس خارج کتاب حدود و قصاص و دیات را شروع کردند؛ ثمره‌ی این درس‌ها کتاب‌های زیادی شد که به‌صورت تألیف و تقریر به جامعه اسلامی عرضه گردید و یکی از بهترین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الشریعه فی شرح 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قلم حضرت آیت‌اللّه العظمی شیخ محمّد فاضل لنکرانی قدس سره و به زبان عربی،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بیشتر دانشجویان و دانش‌پژوهان مراکز دانشگاهی در رشته حقوق و جزای اسلامی نمی‌توانند از کتاب‌های عربی استفاده کنند، در مرکز فقهی ائمّه اطهار علیهم السلام، برای برطرف کردن نیاز مراکز دانشگاهی و کسانی که به دنبال آگاهی از نظرات این فقیه والا مقام‌اند، درس‌های خارج حدود ایشان، که طبق کتاب شریف تحریر الوسیله است، از نوار پیاده شد تا در اختیار علاقمندان قرار گیرد؛ از این‌جانب نیز خواسته شد تا آن نوشته‌ها را تنظیم و به‌صورت نوشتاری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سعی و کوشش ما بر این بوده که تا حدّ امکان، در سخنان استاد بزرگوار دخل و تصرّف نشود، و احادیث و روایات، با سند آن درج، و به نوع آن از صحیح،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شود؛ ترجمه‌ی متون روایات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گردد، و مطالب تکراری حذف و صغرا و کبرای دلیل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تمامی افرادی که در تألیف این مجموعه‌ی گران‌سنگ نقش داشتند، به‌ویژه سرور گرانقدر حضرت آیت‌اللّه حاج آقا 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پیگیری‌های مداوم بر آماده‌سازی آن تأکید داشتند، و برادر عزیز حجّت الاسلام والمسلمین حاج شیخ محمّدرضا فاضل کاشانی که به بررسی و نمونه‌خوانی آن اقدام کرده‌اند، و نیز برادر عزیز حجت‌الاسلام آقای سیّد جواد حسینی‌خواه که ویرایش نهایی این نوشتار را بر عهده داشتند و کلیۀ عزیزانی که در مرکز جهانی فقه ائمه اطهار علیهم السلام نسبت به امور فنی و چاپ این اثر ما را یاری دادند، تشکّر می‌نمایم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ترابی شهرضایی</w:t>
      </w:r>
      <w:bookmarkStart w:id="88" w:name="pg16919_226826"/>
    </w:p>
    <w:p>
      <w:pPr>
        <w:pStyle w:val="Heading2"/>
        <w:numPr>
          <w:ilvl w:val="1"/>
          <w:numId w:val="1"/>
        </w:numPr>
        <w:rPr/>
      </w:pPr>
      <w:bookmarkStart w:id="89" w:name="__RefHeading___Toc78650_3244359995"/>
      <w:bookmarkStart w:id="90" w:name="_Toc33"/>
      <w:bookmarkEnd w:id="88"/>
      <w:bookmarkEnd w:id="89"/>
      <w:r>
        <w:rPr>
          <w:rtl w:val="true"/>
        </w:rPr>
        <w:t>کتاب حدود</w:t>
      </w:r>
      <w:r>
        <w:rPr>
          <w:rtl w:val="true"/>
        </w:rPr>
        <w:t xml:space="preserve">: </w:t>
      </w:r>
      <w:r>
        <w:rPr>
          <w:rtl w:val="true"/>
        </w:rPr>
        <w:t>ودر آن چند فصل است</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78652_3244359995"/>
      <w:bookmarkStart w:id="92" w:name="_Toc34"/>
      <w:bookmarkEnd w:id="91"/>
      <w:r>
        <w:rPr>
          <w:rtl w:val="true"/>
        </w:rPr>
        <w:t>اشاره</w:t>
      </w:r>
      <w:bookmarkStart w:id="93" w:name="pg16919_226828"/>
      <w:bookmarkEnd w:id="92"/>
    </w:p>
    <w:p>
      <w:pPr>
        <w:pStyle w:val="Heading3"/>
        <w:numPr>
          <w:ilvl w:val="2"/>
          <w:numId w:val="1"/>
        </w:numPr>
        <w:rPr/>
      </w:pPr>
      <w:bookmarkStart w:id="94" w:name="__RefHeading___Toc78654_3244359995"/>
      <w:bookmarkStart w:id="95" w:name="_Toc35"/>
      <w:bookmarkEnd w:id="93"/>
      <w:bookmarkEnd w:id="94"/>
      <w:r>
        <w:rPr>
          <w:rtl w:val="true"/>
        </w:rPr>
        <w:t>مقدّمات بحث</w:t>
      </w:r>
      <w:bookmarkEnd w:id="95"/>
    </w:p>
    <w:p>
      <w:pPr>
        <w:pStyle w:val="Heading4"/>
        <w:numPr>
          <w:ilvl w:val="3"/>
          <w:numId w:val="1"/>
        </w:numPr>
        <w:rPr/>
      </w:pPr>
      <w:bookmarkStart w:id="96" w:name="__RefHeading___Toc78656_3244359995"/>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ابتدا لازم است چند امر را به‌عنوان مقدّمه بیان نماییم</w:t>
      </w:r>
      <w:r>
        <w:rPr>
          <w:rFonts w:eastAsia="IRNazanin" w:cs="IRNazanin"/>
          <w:color w:val="111111"/>
          <w:sz w:val="28"/>
          <w:szCs w:val="28"/>
          <w:rtl w:val="true"/>
          <w:lang w:bidi="fa-IR"/>
        </w:rPr>
        <w:t>.</w:t>
      </w:r>
    </w:p>
    <w:p>
      <w:pPr>
        <w:pStyle w:val="Heading4"/>
        <w:numPr>
          <w:ilvl w:val="3"/>
          <w:numId w:val="1"/>
        </w:numPr>
        <w:rPr/>
      </w:pPr>
      <w:bookmarkStart w:id="98" w:name="__RefHeading___Toc78658_3244359995"/>
      <w:bookmarkStart w:id="99" w:name="_Toc37"/>
      <w:bookmarkEnd w:id="98"/>
      <w:r>
        <w:rPr>
          <w:rtl w:val="true"/>
        </w:rPr>
        <w:t>امر اوّل</w:t>
      </w:r>
      <w:r>
        <w:rPr>
          <w:rtl w:val="true"/>
        </w:rPr>
        <w:t xml:space="preserve">: </w:t>
      </w:r>
      <w:r>
        <w:rPr>
          <w:rtl w:val="true"/>
        </w:rPr>
        <w:t>بررسی عنوان بحث</w:t>
      </w:r>
      <w:bookmarkEnd w:id="99"/>
    </w:p>
    <w:p>
      <w:pPr>
        <w:pStyle w:val="BookText"/>
        <w:rPr/>
      </w:pPr>
      <w:r>
        <w:rPr>
          <w:rFonts w:ascii="IRNazanin" w:hAnsi="IRNazanin" w:eastAsia="IRNazanin"/>
          <w:color w:val="111111"/>
          <w:sz w:val="28"/>
          <w:sz w:val="28"/>
          <w:szCs w:val="28"/>
          <w:rtl w:val="true"/>
          <w:lang w:bidi="fa-IR"/>
        </w:rPr>
        <w:t>متنی که در بحث حدود، محور مباحث ماست، باب حدود کتاب شریف تحریر الوسیله امام خمینی رحمه الله می‌باشد؛ لذا، مسائل این باب را به‌همان ترتیبی که حضرت امام رحمه الله نوشته‌اند، مطرح می‌کنیم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عنوان، با مراجعه‌ی به کتب فقهی، می‌بینیم بعضی از فقها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در قواعد الأحکام</w:t>
      </w:r>
      <w:r>
        <w:rPr>
          <w:rStyle w:val="FootnoteAnchor"/>
          <w:rtl w:val="true"/>
        </w:rPr>
        <w:footnoteReference w:id="124"/>
      </w:r>
      <w:r>
        <w:rPr>
          <w:rFonts w:ascii="IRNazanin" w:hAnsi="IRNazanin" w:eastAsia="IRNazanin"/>
          <w:color w:val="111111"/>
          <w:sz w:val="28"/>
          <w:sz w:val="28"/>
          <w:szCs w:val="28"/>
          <w:rtl w:val="true"/>
          <w:lang w:bidi="fa-IR"/>
        </w:rPr>
        <w:t>و تحریر الأحکام،</w:t>
      </w:r>
      <w:r>
        <w:rPr>
          <w:rStyle w:val="FootnoteAnchor"/>
          <w:rtl w:val="true"/>
        </w:rPr>
        <w:footnoteReference w:id="125"/>
      </w:r>
      <w:r>
        <w:rPr>
          <w:rFonts w:ascii="IRNazanin" w:hAnsi="IRNazanin" w:eastAsia="IRNazanin"/>
          <w:color w:val="111111"/>
          <w:sz w:val="28"/>
          <w:sz w:val="28"/>
          <w:szCs w:val="28"/>
          <w:rtl w:val="true"/>
          <w:lang w:bidi="fa-IR"/>
        </w:rPr>
        <w:t>شهید اوّل در لمعه</w:t>
      </w:r>
      <w:r>
        <w:rPr>
          <w:rStyle w:val="FootnoteAnchor"/>
          <w:rtl w:val="true"/>
        </w:rPr>
        <w:footnoteReference w:id="126"/>
      </w:r>
      <w:r>
        <w:rPr>
          <w:rFonts w:ascii="IRNazanin" w:hAnsi="IRNazanin" w:eastAsia="IRNazanin"/>
          <w:color w:val="111111"/>
          <w:sz w:val="28"/>
          <w:sz w:val="28"/>
          <w:szCs w:val="28"/>
          <w:rtl w:val="true"/>
          <w:lang w:bidi="fa-IR"/>
        </w:rPr>
        <w:t xml:space="preserve">و امام راحل رحمه الله در تحریر الوسیله،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ولی مرحوم محقّق حلّی رحمه الله در کتاب شریف شرایع</w:t>
      </w:r>
      <w:r>
        <w:rPr>
          <w:rStyle w:val="FootnoteAnchor"/>
          <w:rtl w:val="true"/>
        </w:rPr>
        <w:footnoteReference w:id="127"/>
      </w:r>
      <w:r>
        <w:rPr>
          <w:rFonts w:ascii="IRNazanin" w:hAnsi="IRNazanin" w:eastAsia="IRNazanin"/>
          <w:color w:val="111111"/>
          <w:sz w:val="28"/>
          <w:sz w:val="28"/>
          <w:szCs w:val="28"/>
          <w:rtl w:val="true"/>
          <w:lang w:bidi="fa-IR"/>
        </w:rPr>
        <w:t>و مختصر النافع</w:t>
      </w:r>
      <w:r>
        <w:rPr>
          <w:rStyle w:val="FootnoteAnchor"/>
          <w:rtl w:val="true"/>
        </w:rPr>
        <w:footnoteReference w:id="128"/>
      </w:r>
      <w:r>
        <w:rPr>
          <w:rFonts w:ascii="IRNazanin" w:hAnsi="IRNazanin" w:eastAsia="IRNazanin"/>
          <w:color w:val="111111"/>
          <w:sz w:val="28"/>
          <w:sz w:val="28"/>
          <w:szCs w:val="28"/>
          <w:rtl w:val="true"/>
          <w:lang w:bidi="fa-IR"/>
        </w:rPr>
        <w:t xml:space="preserve">عنوان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والتعزیرات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دو گروه، بحث از معاصی و گناهانی را که اقتضای تعزیر دارد، در کتاب حدود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عنوان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والتعزیرات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اشکالی وارد نیست؛ لیکن از کسانی که عنوان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مسائل تعزیر را در کتاب حدود مطرح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آنان در جواب این اشکال، به یکی از دو طریق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عنوان در برابر عناوین فقهی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طلاق، بیع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 در این‌صورت، اعمّ بوده و شامل تعزیر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مقابل تعزیر قرار می‌گیرد؛ در این حالت، معنای خاصّ خود را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مسکین و فقیر که اگر با هم ذکر شوند، هرکدام معنایی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أسوءُ حالاً من الفقیر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افتراقِ در معنا، ثمره‌ی عملی هم دارد؛ که اگر کسی چیزی را نذر کرده به مساکین بدهد، شامل فقرا نمی‌شود؛ لیکن اگر این‌ها به تنهایی گفته شوند، عامّ بوده و شامل دیگری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تعزیرات به‌کار ببریم، حدود از تعزیرات جدا می‌شود؛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ارث، بیع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شامل تعزیرات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استعمال بالا در روایات آمده است؛ گاه حدّ یا تعزیر بیان شده، و از آن، معنای عامّ یعنی کیفر و عقوبت گناهان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سکونی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حدّ خیر من مطر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حنان بن سدیر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یقام فی الأرض أزکی فیها من مطر أربعین لیلة وأیّامها؛</w:t>
      </w:r>
      <w:r>
        <w:rPr>
          <w:rStyle w:val="FootnoteAnchor"/>
          <w:rtl w:val="true"/>
        </w:rPr>
        <w:footnoteReference w:id="130"/>
      </w:r>
      <w:r>
        <w:rPr>
          <w:rFonts w:ascii="IRNazanin" w:hAnsi="IRNazanin" w:eastAsia="IRNazanin"/>
          <w:color w:val="111111"/>
          <w:sz w:val="28"/>
          <w:sz w:val="28"/>
          <w:szCs w:val="28"/>
          <w:rtl w:val="true"/>
          <w:lang w:bidi="fa-IR"/>
        </w:rPr>
        <w:t>اجرای یک حدّ در زمین، از چهل روز یا چهل شبانه‌روز بارندگی، سودمندتر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شامل تعزیر نمی‌شود؟ آیا روایت روی حدّ تکیه کرده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این آثار و برکات را دارد امّا تعزیرات ندارد؟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یک معنای گسترده و عامّی دارد که شامل حدود و تعزیرات اصطلاحی</w:t>
      </w:r>
    </w:p>
    <w:p>
      <w:pPr>
        <w:pStyle w:val="BookText"/>
        <w:rPr/>
      </w:pPr>
      <w:r>
        <w:rPr>
          <w:rFonts w:ascii="IRNazanin" w:hAnsi="IRNazanin" w:eastAsia="IRNazanin"/>
          <w:color w:val="111111"/>
          <w:sz w:val="28"/>
          <w:sz w:val="28"/>
          <w:szCs w:val="28"/>
          <w:rtl w:val="true"/>
          <w:lang w:bidi="fa-IR"/>
        </w:rPr>
        <w:t>می‌شود؟ زیرا، همان‌گونه که حدّ برکات معنوی و اجتماعی فراوان برای جامعه دارد، تعزیر نیز همان فایده را دارد و در این راستا، بین این دو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گاه حدّ و تعزیر در مقابل یکدیگر به‌کار می‌رود؛ در این صورت، هر کدام معنای خاصّ خود را دارد؛ مانند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 فی غلام صغیر لم یدرک ابن عشر سنین، زنی بإمرأة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الغلام دون الحدّ وتجلد المرأة الحدّ کاملاً؛</w:t>
      </w:r>
      <w:r>
        <w:rPr>
          <w:rStyle w:val="FootnoteAnchor"/>
          <w:rtl w:val="true"/>
        </w:rPr>
        <w:footnoteReference w:id="131"/>
      </w:r>
      <w:r>
        <w:rPr>
          <w:rFonts w:ascii="IRNazanin" w:hAnsi="IRNazanin" w:eastAsia="IRNazanin"/>
          <w:color w:val="111111"/>
          <w:sz w:val="28"/>
          <w:sz w:val="28"/>
          <w:szCs w:val="28"/>
          <w:rtl w:val="true"/>
          <w:lang w:bidi="fa-IR"/>
        </w:rPr>
        <w:t>از امام صادق علیه السلام در مورد کودک نابالغ ده ساله‌ای که با زنی زنا کرده بود، سؤال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کمتر از حدّ تازیانه می‌زنند و بر زن، حدّ کامل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 الصّبی إذا وقع علی المرأة، ویحدّ الرجل إذا وقع علی الصّبیة؛</w:t>
      </w:r>
      <w:r>
        <w:rPr>
          <w:rStyle w:val="FootnoteAnchor"/>
          <w:rtl w:val="true"/>
        </w:rPr>
        <w:footnoteReference w:id="132"/>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 اگر با زنی زنا کرد، بر او حدّ جاری نمی‌شود؛ ولی به مردی که با دختر نابالغ زنا کند، حدّ می‌زنند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التعزیر کم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عشر سوطاً، ما بین العشرة إلی العشرین؛</w:t>
      </w:r>
      <w:r>
        <w:rPr>
          <w:rStyle w:val="FootnoteAnchor"/>
          <w:rtl w:val="true"/>
        </w:rPr>
        <w:footnoteReference w:id="133"/>
      </w:r>
      <w:r>
        <w:rPr>
          <w:rFonts w:ascii="IRNazanin" w:hAnsi="IRNazanin" w:eastAsia="IRNazanin"/>
          <w:color w:val="111111"/>
          <w:sz w:val="28"/>
          <w:sz w:val="28"/>
          <w:szCs w:val="28"/>
          <w:rtl w:val="true"/>
          <w:lang w:bidi="fa-IR"/>
        </w:rPr>
        <w:t>اسحاق بن عمّار از امام کاظم علیه السلام از مقدار تعزیر پرسید؛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بیش‌از ده تازیانه، مابین ده و بیست تازیانه به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به‌همان معنای خاصّ در مقابل تعزیر است، و طرح مسائل تعزیربه نحو استطرادی است؛ یعنی به جهت این‌که مباحث تعزیرات با مباحث حدود مناسبت‌دارد،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خیلی ضعیف است</w:t>
      </w:r>
      <w:r>
        <w:rPr>
          <w:rFonts w:eastAsia="IRNazanin" w:cs="IRNazanin"/>
          <w:color w:val="111111"/>
          <w:sz w:val="28"/>
          <w:szCs w:val="28"/>
          <w:rtl w:val="true"/>
          <w:lang w:bidi="fa-IR"/>
        </w:rPr>
        <w:t>.</w:t>
      </w:r>
      <w:bookmarkStart w:id="100" w:name="pg16919_226831"/>
    </w:p>
    <w:p>
      <w:pPr>
        <w:pStyle w:val="Heading4"/>
        <w:numPr>
          <w:ilvl w:val="3"/>
          <w:numId w:val="1"/>
        </w:numPr>
        <w:rPr/>
      </w:pPr>
      <w:bookmarkStart w:id="101" w:name="__RefHeading___Toc78660_3244359995"/>
      <w:bookmarkStart w:id="102" w:name="_Toc38"/>
      <w:bookmarkEnd w:id="100"/>
      <w:bookmarkEnd w:id="101"/>
      <w:r>
        <w:rPr>
          <w:rtl w:val="true"/>
        </w:rPr>
        <w:t>امر دوم</w:t>
      </w:r>
      <w:r>
        <w:rPr>
          <w:rtl w:val="true"/>
        </w:rPr>
        <w:t xml:space="preserve">: </w:t>
      </w:r>
      <w:r>
        <w:rPr>
          <w:rtl w:val="true"/>
        </w:rPr>
        <w:t>معنای حدود و تعزیرات</w:t>
      </w:r>
      <w:bookmarkEnd w:id="102"/>
    </w:p>
    <w:p>
      <w:pPr>
        <w:pStyle w:val="BookText"/>
        <w:rPr/>
      </w:pPr>
      <w:r>
        <w:rPr>
          <w:rFonts w:ascii="IRNazanin" w:hAnsi="IRNazanin" w:eastAsia="IRNazanin"/>
          <w:color w:val="111111"/>
          <w:sz w:val="28"/>
          <w:sz w:val="28"/>
          <w:szCs w:val="28"/>
          <w:rtl w:val="true"/>
          <w:lang w:bidi="fa-IR"/>
        </w:rPr>
        <w:t>تعریف 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رحمه الله و جمعی دیگر از فقها</w:t>
      </w:r>
      <w:r>
        <w:rPr>
          <w:rStyle w:val="FootnoteAnchor"/>
          <w:rtl w:val="true"/>
        </w:rPr>
        <w:footnoteReference w:id="13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 لغةً المنع؛ حدّ در لغت برای معنای منع و دفع، و تعزیر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لغوی بیان موارد استعمال است، نه تعیین موضوع له لفظ؛ لذا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حاجز بین دو چیز، منتهای شیء، دفع، منع، ادب کردن گناهکار به‌چیزی که او یا دیگری را از ارتکاب گناه باز دارد، جدا کردن چیزی از چیز دیگر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شده است؛ پس، نمی‌توان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استعمال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این اشکال وارد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معانی مذکور و غیر آن، می‌بینیم تمام آن‌ها به یک معنا،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اگر به حاجب و حاجز بین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به‌جهت این است که حاجب، مانعِ اختلاط و جدا کننده‌ی دو چیز است؛ پس، در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الشیء ومنتهی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به‌خاطر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نقطه‌ای است که وقتی به آن رسیدید، دیگر آن شیء با شما نیست و امتناع دارد که از آن نقطه ادامه یابد؛ لذا، در این‌جا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تأدیب به‌کار برده‌اند؛ به‌علّت این است که تأدیبِ گناهکار مانع می‌شود که او یا دیگران مرتکب آن گناه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دیگر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الشیء عن شیء آخر؛ جدا کردن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گندم از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نیز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معنای تمییز، ممانعت از اختلاط و مخلوط شدن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اسامی بعضی اشیا نیز این مناسبت ملاحظه شده است؛ به‌عنوان مثال،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مشتقّ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آهن، فلز سخت و ممتنعی</w:t>
      </w:r>
    </w:p>
    <w:p>
      <w:pPr>
        <w:pStyle w:val="BookText"/>
        <w:rPr/>
      </w:pPr>
      <w:r>
        <w:rPr>
          <w:rFonts w:ascii="IRNazanin" w:hAnsi="IRNazanin" w:eastAsia="IRNazanin"/>
          <w:color w:val="111111"/>
          <w:sz w:val="28"/>
          <w:sz w:val="28"/>
          <w:szCs w:val="28"/>
          <w:rtl w:val="true"/>
          <w:lang w:bidi="fa-IR"/>
        </w:rPr>
        <w:t>است که در برابر نیروهای دیگر ممانعت و مقاومت دارد، و به آسانی شکل خود را از دست نمی‌دهد و شکل جدید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دربانان خانه‌های بزرگ و قصرها،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چرا که آنان دارای حالت ممانعت هستند و مانع ورود افراد بیگانه می‌شوند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از آن‌چه در تحقیق معنای لغوی گفتیم، روشن شد که توهّم برای حدّ معانی گوناگونی وجود دارد، توهّمی بی‌جا است؛ بلکه تمامی معانی مذکور بازگشت به حالت منع، دفع، امتناع و امثال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قدس سره در تعریف این دو اصطلاح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مطهّر به عقوبت خاصّی گفته می‌شود که در مورد مکلّف به‌سبب ارتکاب برخی از گناهان اجرا می‌شود و شارع مقدّس مقدار و کیفیّت تمام حدود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نیز عقوبت یا اهانتی است که به‌عنوان کیفر بعضی از گناهان مقرّر شده، ولی در اصل شرع یا بیشتر موارد، مقدار معیّنی ندارد؛ بلکه مقدار آن بستگی به نظر حاکم شرع دارد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بین معنای شرعی و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است؛ احتمال دارد این تناسب از جهت مانعیّت حدّ از گسترش گناه باشد؛ زیرا، اجرای صد تازیانه به‌عنوان حدّ شرعیِ زنا بر زناکار، مانع می‌شود که گناهکار بار دیگر این عمل را انجام دهد؛ و نیز حاضران در مجلس حدّ، به فکر گناه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اجرای حدّ یکی از راه‌های جلوگیری از وقوع معصیت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نیز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احتمال اوّل را نفی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تازیانه حدّ شرعی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الزیادة علیه ولا التنقیص منه؛ کسی حقّ ندارد به زانی بیش از صد تازیانه یا کمتر از آن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ناحیه‌ی زیاده و نقیصه جنبه‌ی ممنوعیّت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احتمال، مواردی است که در فقه و روایات</w:t>
      </w:r>
      <w:r>
        <w:rPr>
          <w:rStyle w:val="FootnoteAnchor"/>
          <w:rtl w:val="true"/>
        </w:rPr>
        <w:footnoteReference w:id="137"/>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 مثلاً حدّ کر چه‌مقدار است؟ در شستن وضو، حدّ وجه و یدین چه اندازه است؟</w:t>
      </w:r>
      <w:bookmarkStart w:id="103" w:name="pg16919_226833"/>
    </w:p>
    <w:p>
      <w:pPr>
        <w:pStyle w:val="BookText"/>
        <w:rPr/>
      </w:pPr>
      <w:bookmarkEnd w:id="103"/>
      <w:r>
        <w:rPr>
          <w:rFonts w:ascii="IRNazanin" w:hAnsi="IRNazanin" w:eastAsia="IRNazanin"/>
          <w:color w:val="111111"/>
          <w:sz w:val="28"/>
          <w:sz w:val="28"/>
          <w:szCs w:val="28"/>
          <w:rtl w:val="true"/>
          <w:lang w:bidi="fa-IR"/>
        </w:rPr>
        <w:t>به روایت زیر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زرارة بن أعین أنّه قال لأبی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حدّ الوجه الذی ینبغی أن یوضّأ الذی قال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قال اللّه وأمر اللّه عزّ وجلّ بغسله الذی لا ینبغی لأحد أن یزید علیه ولا ینقص منه، إن زاد علیه لم یوجز، وإن نقص منه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دارت علیه الوسطی والإبهام من قصاص شعر الرأس إلی الذقن، وما جرت علیه الإصبعان من الوجه مستدیراً فهو من الوجه، وما سوی ذلک فلیس من الوجه،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لغوی به‌معنای منع، وحدّ شرعی نیز متناسب با آن است؛ همان‌گونه که تعزیر در لغت به‌معنای تأدیب و در شرع نیز تأدیب خاصّ، یعنی موافق با رأی و نظر حاکم است</w:t>
      </w:r>
      <w:r>
        <w:rPr>
          <w:rFonts w:eastAsia="IRNazanin" w:cs="IRNazanin"/>
          <w:color w:val="111111"/>
          <w:sz w:val="28"/>
          <w:szCs w:val="28"/>
          <w:rtl w:val="true"/>
          <w:lang w:bidi="fa-IR"/>
        </w:rPr>
        <w:t>.</w:t>
      </w:r>
    </w:p>
    <w:p>
      <w:pPr>
        <w:pStyle w:val="Heading4"/>
        <w:numPr>
          <w:ilvl w:val="3"/>
          <w:numId w:val="1"/>
        </w:numPr>
        <w:rPr/>
      </w:pPr>
      <w:bookmarkStart w:id="104" w:name="__RefHeading___Toc78662_3244359995"/>
      <w:bookmarkStart w:id="105" w:name="_Toc39"/>
      <w:bookmarkEnd w:id="104"/>
      <w:r>
        <w:rPr>
          <w:rtl w:val="true"/>
        </w:rPr>
        <w:t>امر سوم</w:t>
      </w:r>
      <w:r>
        <w:rPr>
          <w:rtl w:val="true"/>
        </w:rPr>
        <w:t xml:space="preserve">: </w:t>
      </w:r>
      <w:r>
        <w:rPr>
          <w:rtl w:val="true"/>
        </w:rPr>
        <w:t>فرق بین حدّ و تعزیر</w:t>
      </w:r>
      <w:bookmarkEnd w:id="105"/>
    </w:p>
    <w:p>
      <w:pPr>
        <w:pStyle w:val="Heading5"/>
        <w:numPr>
          <w:ilvl w:val="4"/>
          <w:numId w:val="1"/>
        </w:numPr>
        <w:rPr/>
      </w:pPr>
      <w:bookmarkStart w:id="106" w:name="__RefHeading___Toc78664_3244359995"/>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از روایات زیادی که دو عنوان حدّ و تعزیر در آن‌ها استعمال شده، به صراحت استفاده می‌شود این دو لفظ، دو عنوان و اصلاح شرعی‌اند؛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صفحات گذشته به بعضی از آن روایات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تصوّر این‌که دو عنوان حدّ و تعزیر، دو عنوان فقهی بوده و در اخبار و روایات اثری از آن‌ها دیده نمی‌شود، صحیح نیست؛ برخلاف برخی از عناوینی که فقها آن را اصطلاح کرده‌اند، در روایات، سابقه ندارد؛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و متنجّس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متنجّس به‌چیزی گفته می‌شود که با رطوبت مسریه با اعیان نجسه، ملاقات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وجود دارند، ولی آن‌طور که گفته‌اند، این دو عنوان در روایات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عنوان کتاب حدود و تعزیرات، در مقام فرق بین حدّ و تعزیر، ضابطه‌ای کلّی بیان کرده و پس از آن، وارد اسباب و موجبات هر دو می‌شود؛ و در ادامه، برای هرکدام فصلی مستقلّ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فرق بین این دو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له عقوبة مقدّرة یسمّی حدّاً وما لیس کذلک یسمّی تعزیراً؛</w:t>
      </w:r>
      <w:r>
        <w:rPr>
          <w:rStyle w:val="FootnoteAnchor"/>
          <w:rtl w:val="true"/>
        </w:rPr>
        <w:footnoteReference w:id="139"/>
      </w:r>
      <w:r>
        <w:rPr>
          <w:rFonts w:ascii="IRNazanin" w:hAnsi="IRNazanin" w:eastAsia="IRNazanin"/>
          <w:color w:val="111111"/>
          <w:sz w:val="28"/>
          <w:sz w:val="28"/>
          <w:szCs w:val="28"/>
          <w:rtl w:val="true"/>
          <w:lang w:bidi="fa-IR"/>
        </w:rPr>
        <w:t>به هر عملی که</w:t>
      </w:r>
    </w:p>
    <w:p>
      <w:pPr>
        <w:pStyle w:val="BookText"/>
        <w:rPr/>
      </w:pPr>
      <w:r>
        <w:rPr>
          <w:rFonts w:ascii="IRNazanin" w:hAnsi="IRNazanin" w:eastAsia="IRNazanin"/>
          <w:color w:val="111111"/>
          <w:sz w:val="28"/>
          <w:sz w:val="28"/>
          <w:szCs w:val="28"/>
          <w:rtl w:val="true"/>
          <w:lang w:bidi="fa-IR"/>
        </w:rPr>
        <w:t>برای کیفر و عقوبت آن، مقدار خاصّی معیّن شده باشد، حدّ گویند؛ و در غیر این صورت، آن را تعزیر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مسامحه در این تعریف، واضح است؛ زیرا، هر عملی که کیفر خاصّی دارد، حدّ نیست؛ بلکه به عقوبت مترتّب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زنا عقوبت مقدّری همانند صد تازیانه، یا رجم و یا قتل دارد، شرب خمر مجازات معیّن هشتاد تازیانه دارد؛ و حال آن‌که زنا،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نیستند؛ و بلکه سبب و موجب 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همان عقوبت و کیفر، یعنی تازیانه و رجم و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مسامحه، در تعریف تعزیر نیز هست؛ آن عمل و معصیت، تعزیر نبوده و بلکه سبب تعزیر است؛ چه آن‌که تعزیر عقوبتی است که با رأی و نظر حاکم در مورد مجرم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و صرف‌نظر از تسامحی که در ضابطه محقّق بود، مرحوم شهید ثانی در کتاب نفیس و ارزنده‌ی مسالک</w:t>
      </w:r>
      <w:r>
        <w:rPr>
          <w:rStyle w:val="FootnoteAnchor"/>
          <w:rtl w:val="true"/>
        </w:rPr>
        <w:footnoteReference w:id="140"/>
      </w:r>
      <w:r>
        <w:rPr>
          <w:rFonts w:ascii="IRNazanin" w:hAnsi="IRNazanin" w:eastAsia="IRNazanin"/>
          <w:color w:val="111111"/>
          <w:sz w:val="28"/>
          <w:sz w:val="28"/>
          <w:szCs w:val="28"/>
          <w:rtl w:val="true"/>
          <w:lang w:bidi="fa-IR"/>
        </w:rPr>
        <w:t>در اشکال بر این ضابطه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حدّ جامع افراد هست؛ یعنی به هیچ حدّی برخورد نمی‌کنیم که تقدیر شرعی نداشته باشد؛ لیکن تعریف تعزیر، مانع اغیار نیست و به‌دنبال آن، به تعریف حدّ نیز اشکال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و قاعده‌ی باب تعزیر این است که مقدّر شرعی نداشته باشد و در اکثر موارد، بلکه در نود درصد از آن، اندازه‌ی خاصّی معیّن نشده است؛ لیکن ما به پنج مورد برخورد کرده‌ایم که مقدّر شرعی دارد و در عین حال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تعزیر کامل نیست؛ و در نتیجه، تعریف حدّ نیز مانع اغیار نخواهد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پس از بیان این نقض‌ها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مورد، مواردی را که‌حداقل و حداکثر دارد، می‌توان تعزیر دانست؛ زیرا، اختیارش به‌دست حاکم است که عددی را انتخاب کند؛ ولی بقیّه را که حداقل و حداکثر ندارد، نمی‌شود توجیه کرد</w:t>
      </w:r>
      <w:r>
        <w:rPr>
          <w:rFonts w:eastAsia="IRNazanin" w:cs="IRNazanin"/>
          <w:color w:val="111111"/>
          <w:sz w:val="28"/>
          <w:szCs w:val="28"/>
          <w:rtl w:val="true"/>
          <w:lang w:bidi="fa-IR"/>
        </w:rPr>
        <w:t>.</w:t>
      </w:r>
      <w:bookmarkStart w:id="108" w:name="pg16919_226835"/>
    </w:p>
    <w:p>
      <w:pPr>
        <w:pStyle w:val="Heading5"/>
        <w:numPr>
          <w:ilvl w:val="4"/>
          <w:numId w:val="1"/>
        </w:numPr>
        <w:rPr/>
      </w:pPr>
      <w:bookmarkStart w:id="109" w:name="__RefHeading___Toc78666_3244359995"/>
      <w:bookmarkStart w:id="110" w:name="_Toc41"/>
      <w:bookmarkEnd w:id="108"/>
      <w:bookmarkEnd w:id="109"/>
      <w:r>
        <w:rPr>
          <w:rtl w:val="true"/>
        </w:rPr>
        <w:t>نقض اوّل شهید ثانی رحمه الله بر ضابطه محقّق حلّی رحمه الله</w:t>
      </w:r>
      <w:bookmarkEnd w:id="110"/>
    </w:p>
    <w:p>
      <w:pPr>
        <w:pStyle w:val="BookText"/>
        <w:rPr/>
      </w:pPr>
      <w:r>
        <w:rPr>
          <w:rFonts w:ascii="IRNazanin" w:hAnsi="IRNazanin" w:eastAsia="IRNazanin"/>
          <w:color w:val="111111"/>
          <w:sz w:val="28"/>
          <w:sz w:val="28"/>
          <w:szCs w:val="28"/>
          <w:rtl w:val="true"/>
          <w:lang w:bidi="fa-IR"/>
        </w:rPr>
        <w:t>از مواردی که ایشان به عنوان نقض مطرح می‌فرماید،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المجامع زوجته فی نهار رمضان مقدّر بخمسة وعشرین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مردی با همسرش در روز ماه رمضان در حالی‌که روزه هستند مجامعت کرد،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باید بیست و پنج تازیانه بخورد؛ این بیست و پنج تازیانه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تعزیری داریم که مقدّر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فرع فقهی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محمّد بن بندار، عن إبراهیم بن إسحاق الأحمر، عن عبداللّه بن حمّاد الأنصاری عن المفضّل بن عمر، عن أبی عبداللّه علیه السلام فی رجل أتی امرأته وهی صائمة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استکرها فعلیه کفّارتان، وإن کان طاوعته فعلیه کفّارة وعلیها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أکرهها فعلیه ضرب خمسین سوطاً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طاوعته ضرب خمسة وعشرین سوطاً وضربت خمسة وعشرین سوطاً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روزه‌داری که با همسر روزه‌دار خود مجامعت کرده است، چه حکمی دارد؟</w:t>
      </w:r>
    </w:p>
    <w:p>
      <w:pPr>
        <w:pStyle w:val="BookText"/>
        <w:rPr/>
      </w:pPr>
      <w:r>
        <w:rPr>
          <w:rFonts w:ascii="IRNazanin" w:hAnsi="IRNazanin" w:eastAsia="IRNazanin"/>
          <w:color w:val="111111"/>
          <w:sz w:val="28"/>
          <w:sz w:val="28"/>
          <w:szCs w:val="28"/>
          <w:rtl w:val="true"/>
          <w:lang w:bidi="fa-IR"/>
        </w:rPr>
        <w:t>این مسأله مشتمل بر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کفّاره و دیگری از جهت کیفر شرعی؛ امام صادق علیه السلام در مورد کفّاره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 را به این عمل اکراه کرده، بر گردنش دو کفّاره است؛ و اگر زن با میل و رغبت این کار را انجام داده، هر کدام از آنان کفّاره‌ی مستقلّی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مورد کیفر شرعی این عمل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 همسرش را اکراه کرده باشد، پنجاه تازیانه می‌خورد که نصف حدّ زنا است؛ و اگر زن، با میل و رغبت به این عمل راضی شده باشد، به هرکدام بیست و پنج تازیانه زده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شهید 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می‌شود که در کدام قسمت روایت کلمه‌ی تعزیر</w:t>
      </w:r>
      <w:bookmarkStart w:id="111" w:name="pg16919_226836"/>
    </w:p>
    <w:p>
      <w:pPr>
        <w:pStyle w:val="BookText"/>
        <w:rPr/>
      </w:pPr>
      <w:bookmarkEnd w:id="111"/>
      <w:r>
        <w:rPr>
          <w:rFonts w:ascii="IRNazanin" w:hAnsi="IRNazanin" w:eastAsia="IRNazanin"/>
          <w:color w:val="111111"/>
          <w:sz w:val="28"/>
          <w:sz w:val="28"/>
          <w:szCs w:val="28"/>
          <w:rtl w:val="true"/>
          <w:lang w:bidi="fa-IR"/>
        </w:rPr>
        <w:t>به‌کار رفته است؟ درست است در صورت اکراه، پنجاه تازیانه و در صورت رضایت برای هرکدام بیست و پنج تازیانه مقدّر شده است، امّا امام علیه السلام بر این عقوبت، کلمه‌ی تعزیر را استعمال نکرده تا اشکال ایشان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شهید ثانی رحمه الله مطلب را از این قسمت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خمسین سوطاً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بگوید از این‌که امام علیه السلام پنجاه تازیانه را نصف حدّ فرموده، معلوم می‌شود پنجاه تازیانه حدّ نیست؛ و عقوبتی که حدّ نباشد، عنوان تعزیر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شهید رحمه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طبیعت و جنس بود، بیان شما تمام می‌شد؛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عهد ذهنی است و مقصود از آن، حدّ مخصوصی است که در باب زنا معهود است؛ یعنی صد تازیانه؛ و حال 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و طبیعت باشد، شامل حدّ شرب خمر نیز می‌شد که هشتاد تازیانه دارد؛ در این صورت، پنجاه تازیانه نصف آن 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نصف مطلق حدّ نیست؛ بلکه نصف حدّ خاصّ یعنی 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تناسبی که این مسأله با زنا دارد، به آن پی می‌بریم؛ زیرا، یکی از محرّمات روزه‌ی ماه رمضان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وطی زوجه در روز ماه رمضان حرام است، همان‌گونه که زنا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احتمال دارد این پنجاه تازیانه و یا بیست و پنج تازیانه، حدّ خاصّی باشد که در مورد این گناه خاصّ از طرف شارع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ردّ بیان ما، به روایتی تمسّک شود که در آن از مقدار تعزیر سؤال شده است،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سائل سؤال می‌کند یعنی کمتر از هشتاد تازیانه؟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دون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در این مسأله، بیست و پنج تازیانه کمتر از چهل تازیانه بوده، و در نتیجه، از مصادیق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در صفحات آینده خواهد آمد</w:t>
      </w:r>
      <w:r>
        <w:rPr>
          <w:rFonts w:eastAsia="IRNazanin" w:cs="IRNazanin"/>
          <w:color w:val="111111"/>
          <w:sz w:val="28"/>
          <w:szCs w:val="28"/>
          <w:rtl w:val="true"/>
          <w:lang w:bidi="fa-IR"/>
        </w:rPr>
        <w:t>.</w:t>
      </w:r>
    </w:p>
    <w:p>
      <w:pPr>
        <w:pStyle w:val="Heading5"/>
        <w:numPr>
          <w:ilvl w:val="4"/>
          <w:numId w:val="1"/>
        </w:numPr>
        <w:rPr/>
      </w:pPr>
      <w:bookmarkStart w:id="112" w:name="__RefHeading___Toc78668_3244359995"/>
      <w:bookmarkStart w:id="113" w:name="_Toc42"/>
      <w:bookmarkEnd w:id="112"/>
      <w:r>
        <w:rPr>
          <w:rtl w:val="true"/>
        </w:rPr>
        <w:t>نقض دوم شهید ثانی رحمه الله بر ضابطه محقّق حلّی رحمه الله</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أمةً علی حرّة ودخل بها قبل الإذن ضرب إثنا عشر سوطاً ونصفاً ثُمن حدّ الزانی</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کتاب نکاح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حرّ داشته باشد و بخواهد با کنیزی ازدواج کند، باید از زن حرّه‌اش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بدون استیذان از او با کنیزی ازدواج، و به او دخول کرد، باید تعزیر شود؛ یعنی یک‌هشتم حدّ زانی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 به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رحمه الله می‌خواهد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مقدّر شرعی است؛ پس این تعزیر هم مقدّر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مسأله، مرسله‌ی منصور بن حازم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صالح بن سعید، عن بعض أصحابنا، عن منصور بن حازم،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ذمیّة، علی مسلمة ولم یستأمرها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إثنا عشر سوطاً ونصف، ثُمن حدّ الزانی وهو صاغر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رضیت المرأة الحرّة المسلمة بفعله بعد ما کان فعل؟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یضرب ولا یفرّق بینهما، یبقیان علی النکاح الأوّل</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بدون اجازه گرفتن از زن مسلمانش با زنی ذمّی ازدواج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شوهر و زن ذمّی جدایی انداخته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امام علیه السلام کنایه از بطلان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باطل بودن نکاح، عقوبتی هم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یک هشتم حدّ زناکار بر او زده می‌شود؛ در حالی‌که شوهر تحقیر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قسمت روایت، مربوط به زن ذمّی است؛ در صورتی‌که صاحب مسالک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أمة علی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ادامه‌ی روایت استفاده می‌شود آن زن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راوی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حرّ مسلمان راضی شود، چه‌حکمی دارد؟ از این‌جا معلوم می‌شود نکته‌ی سؤال روی نکاح ذمّی بر مسلمان نیست، بلکه در مورد نکاح امه بر حرّه است؛ وگرنه عنوان کردن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نداشت</w:t>
      </w:r>
      <w:r>
        <w:rPr>
          <w:rFonts w:eastAsia="IRNazanin" w:cs="IRNazanin"/>
          <w:color w:val="111111"/>
          <w:sz w:val="28"/>
          <w:szCs w:val="28"/>
          <w:rtl w:val="true"/>
          <w:lang w:bidi="fa-IR"/>
        </w:rPr>
        <w:t>.</w:t>
      </w:r>
      <w:bookmarkStart w:id="114" w:name="pg16919_226838"/>
    </w:p>
    <w:p>
      <w:pPr>
        <w:pStyle w:val="BookText"/>
        <w:rPr/>
      </w:pPr>
      <w:bookmarkEnd w:id="114"/>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راضی شده، حدّی ندارد؛ بین آنان جدایی انداخته نمی‌شود و به همان نکاح اوّل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روایت از روایت سابق اضافه دارد،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کلام راوی به‌کار رفته است؛ امّا سؤال این است که به چه دلیل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تعزیر قصد شده است؟ ادب معنای عامّی دارد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می‌شود و چنین نیست که هرجا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 مقصود، تعزیر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روشن‌تر، در گذشته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 شرعی است؛ 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شرعی ندارد، پس به همان معنای عامّ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هم استفاده نمی‌شود ادب به‌معنای تعزیر است؛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جمله‌ی اسمیه‌ای که مبتدایش نکره است، یعنی آیا تأدیبی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شهید ثانی رحمه الله نمی‌تواند بر مرحوم محقّق اشکال کند؛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مقدّر شرعی اطلاق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اشکال دو چیز لازم است، و شهید ثانی رحمه الله در مواردِ نقض، اوّلاً، بایستی مقدّری شرعی در روایات اثبات کند؛ و ثانیاً، در همان روایت، بر آن مقدّر شرعی،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می‌گوییم تعزیر در مقابل حدّ را باید اثبات کند، به‌جهت این نکته است که گاه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معنایی اعمّ از حدّ و تعزیر استعمال می‌شود؛ هر 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 به‌معنای اعمّ به‌کار می‌رود؛ به‌خصوص با توجّه به‌معنای لغوی آن که تأدیب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کاملِ تأدیب است</w:t>
      </w:r>
      <w:r>
        <w:rPr>
          <w:rFonts w:eastAsia="IRNazanin" w:cs="IRNazanin"/>
          <w:color w:val="111111"/>
          <w:sz w:val="28"/>
          <w:szCs w:val="28"/>
          <w:rtl w:val="true"/>
          <w:lang w:bidi="fa-IR"/>
        </w:rPr>
        <w:t>.</w:t>
      </w:r>
    </w:p>
    <w:p>
      <w:pPr>
        <w:pStyle w:val="Heading5"/>
        <w:numPr>
          <w:ilvl w:val="4"/>
          <w:numId w:val="1"/>
        </w:numPr>
        <w:rPr/>
      </w:pPr>
      <w:bookmarkStart w:id="115" w:name="__RefHeading___Toc78670_3244359995"/>
      <w:bookmarkStart w:id="116" w:name="_Toc43"/>
      <w:bookmarkEnd w:id="115"/>
      <w:r>
        <w:rPr>
          <w:rtl w:val="true"/>
        </w:rPr>
        <w:t>نقض سوم شهید ثانی رحمه الله بر تعریف و ضابطه محقّق حلّی رحمه الله</w:t>
      </w:r>
      <w:bookmarkEnd w:id="1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دیگری که مرحوم شهید ثانی بیان می‌فرماید این مسأله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المجتمعان تحت إزار واحد مجرّدین، مقدّر بثلاثین إلی تسعة وتسعین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عقوبت و کیفر دو انسانی که برهنه در زیر یک لحاف خوابیده باشند، بدون این‌که مرتکب عمل خلافی شده باشند، بنابر قولی، بین سی تا نودونه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شرع کمتر از سی تازیانه و</w:t>
      </w:r>
    </w:p>
    <w:p>
      <w:pPr>
        <w:pStyle w:val="BookText"/>
        <w:rPr/>
      </w:pPr>
      <w:r>
        <w:rPr>
          <w:rFonts w:ascii="IRNazanin" w:hAnsi="IRNazanin" w:eastAsia="IRNazanin"/>
          <w:color w:val="111111"/>
          <w:sz w:val="28"/>
          <w:sz w:val="28"/>
          <w:szCs w:val="28"/>
          <w:rtl w:val="true"/>
          <w:lang w:bidi="fa-IR"/>
        </w:rPr>
        <w:t>بیشتر از نودونه تازیانه اختیار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قرینه‌ی نقض پنجم، که درباره‌ی اجتماع مرد و زن برهنه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مراد از این نقض، اجتماع دو مرد یا دو پسر یا دو زن باشد، تا تداخلی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شروع اشکال بر عبارت محقّق رحمه الله در شرایع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وردت الروایات بتقدیر بعض أفراده وذلک فی خمسة مواضع</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بنابراین، برای اشکال بایستی به روایات استناد کند و نه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مستند این قول، دو روایت زیر است که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سنان، یعنی عبداللّه، عن أبی عبداللّه علیه السلام فی رجلین یوجدان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غیر سوط واحد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حدیث شانزدهم این باب دارد که در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هفدهم و هجدهم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یونس بن عبدالرّحمن عن ابن سنان 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می‌دهد مراد از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وثاقتش مورد اشکال است؛ وشاید تحقیق، عدم وثاقتش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علیه السلام در مورد حکم دو مردی که آنان را زیر یک لحاف بیابند،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تازیانه بخورند غیر از یک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آن است که باید به آنان نودونه تازیانه بزنند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شهید ثانی رحمه الله اشکال می‌شود که کدام قسمت روایت گفته نودونه تازیانه تعزیر است؟ اگر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 غیر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نودونه تازیانه بخورند، آیا می‌گفتند، این تعزیر است؟ این روایت، مقدار عقوبت عمل را بیان کرده، ولی نگفته که آن عقوبت، تعزیر است؛ همانند آیه‌ی شریفه‌ی الزّانِیَةُ وَ الزّانِی فَاجْلِدُوا کُلَّ واحِدٍ مِنْهُما ،</w:t>
      </w:r>
      <w:r>
        <w:rPr>
          <w:rStyle w:val="FootnoteAnchor"/>
          <w:rtl w:val="true"/>
        </w:rPr>
        <w:footnoteReference w:id="148"/>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مقدار کیفر مرد و زن زناکار را بیان کرده، بدون این‌که اشاره کند این عقوبت به عنوان حدّ است یا 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القاسم بن محمّد، عن عبدالصمد بن بشیر، عن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مع الرّجل 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ثلاثین سوطاً ثلاثین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دون الثقب، اقیم قائماً ثمّ ضرب ضربة بالسیف أخذ السیف منه ما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نامت مع امرأة فی لحاف؟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محرم؟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تضربان ثلاثین سوطاً ثلاثین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ذلک علیه، فقال افّ افّ افّ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امام صادق علیه السلام از آن حضرت راجع به حکم دو مردی که زیر یک لحاف خوابیده‌اند، سؤال کردند؛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برادرند؟ آیا ضرورتی اقتضا کرده؛ مثلاً زمستان سختی است و لحاف هم منحصر به یک لحاف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هرکدام سی ضربه شلّاق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به بعضی از اعمال قبیح زدند؟ امام تفصیل می‌دهد که اگر به حدّ لواط برسد، باید با شمشیر کشته شود؛ واگر کمتر باشد، حکم دیگری دارد که مربوط به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راوی حکم مسأله را درباره‌ی زنان پرسید، و امام علیه السلام نیز همان مطالب را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مرحوم شهید قدس سره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مانند روایت ابن سنان، فقط به بیان مقدار تازیانه اکتفا شده، ولی نگفته است که این عقوبت،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قولی که شهید ثانی رحمه الله نقل کرده، همین دو روایت است؛ در یکی، سی تازیانه و در دیگری</w:t>
      </w:r>
      <w:bookmarkStart w:id="117" w:name="pg16919_226841"/>
    </w:p>
    <w:p>
      <w:pPr>
        <w:pStyle w:val="BookText"/>
        <w:rPr/>
      </w:pPr>
      <w:bookmarkEnd w:id="117"/>
      <w:r>
        <w:rPr>
          <w:rFonts w:ascii="IRNazanin" w:hAnsi="IRNazanin" w:eastAsia="IRNazanin"/>
          <w:color w:val="111111"/>
          <w:sz w:val="28"/>
          <w:sz w:val="28"/>
          <w:szCs w:val="28"/>
          <w:rtl w:val="true"/>
          <w:lang w:bidi="fa-IR"/>
        </w:rPr>
        <w:t>نودونه تازیانه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حاکم شرع مخیّر بین دو مقدار است؛ البته ما الآن درصدد بیان حدّ یا تعزیر این مسأله نیستیم؛ بلکه به دنبال آن هستیم که آیا بر سی یا نودونه تازیانه، تعزیر اطلاق شده است یا نه؟ و به فرض این‌که تعزیر هم اطلاق شده باشد، آیا تعزیر در مقابل حدّ است یا اعمّ از آن؟ پس، این نقض هم وارد نیست</w:t>
      </w:r>
      <w:r>
        <w:rPr>
          <w:rFonts w:eastAsia="IRNazanin" w:cs="IRNazanin"/>
          <w:color w:val="111111"/>
          <w:sz w:val="28"/>
          <w:szCs w:val="28"/>
          <w:rtl w:val="true"/>
          <w:lang w:bidi="fa-IR"/>
        </w:rPr>
        <w:t>.</w:t>
      </w:r>
    </w:p>
    <w:p>
      <w:pPr>
        <w:pStyle w:val="Heading5"/>
        <w:numPr>
          <w:ilvl w:val="4"/>
          <w:numId w:val="1"/>
        </w:numPr>
        <w:rPr/>
      </w:pPr>
      <w:bookmarkStart w:id="118" w:name="__RefHeading___Toc78672_3244359995"/>
      <w:bookmarkStart w:id="119" w:name="_Toc44"/>
      <w:bookmarkEnd w:id="118"/>
      <w:r>
        <w:rPr>
          <w:rtl w:val="true"/>
        </w:rPr>
        <w:t>نقض چهارم شهید ثانی رحمه الله بر کلام محقّق حلّی رحمه الله</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افتضّ بکراً بأصابعه،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من ثلاثین إلی سبعة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ثلاثین إلی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ثلاثین إلی تسعة وتسعین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اگر کسی زن باکره‌ای را به وسیله‌ی انگشت افتضاض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مجرای بول و حیض او را 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تا هفتاد و هفت تازیانه به او زده می‌شود؛ و مرحوم مفید حکم او را از سی تا هشتاد تازیانه بیان کرده است؛ و ابن ادریس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تا نودونه تازیانه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نقض سابق بود، بر این نقض هم وارد است؛ و آن این‌که، ما کاری به اقوال نداریم؛ بلکه باید پنج روایتی را که در این مورد رسیده است،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ابن أبی عمیر، عن ابن سنان، یعنی عبداللّه وغیره، عن أبی عبداللّه علیه السلام 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المهر وتضرب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سؤال از حکم زنی است که با انگشت دستش جاریه‌ی باکره‌ای را افتضاض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مهر جاریه‌ای که بکارتش از بین رفته را بدهد، و بر او حدّ زده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ظهور در صد تازیانه دارد؛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ذکر شده است، و تناسب حکم و موضوع، اقتضا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تازیانه قصد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هشتاد تازیانه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کلمه‌ی تعزیر به‌کار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محبوب، عن ابن سنان،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قضی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امیرمؤمنان علیه السلام به هشتاد تازیانه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کلمه‌ی تعزیر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بن إبراهیم، عن أبیه، عن ابن أبی نجران، عن عبداللّه بن سنان، عن أبی عبداللّه علیه السلام فی امرأة افتضّت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المهر وتجلد ثمانین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این روایت،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مهر جاریه را بدهد و هشتاد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روایت نمی‌گوید به هشتاد تازیانه، تعزیر شود؛ این عقوبت با هشتاد تازیانه‌ای که برای حدّ شرب مسکر است،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در کدام قسمت روایت تعزیر دارد؟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رحمه الله، صاحب وسائل الشیعة، سه روایت از عبداللّه بن سنان از امام صادق علیه السلام نقل کرده است که به گفته‌ی مرحوم آیت‌اللّه بروجردی رحمه الله، اینها سه روایت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ابن سنان سه مرتبه این مسأله را سؤال کرده باشد، بلکه یک بار مسأله را پرسیده و امام علیه السلام نیز جواب داده‌اند؛ ابن سنان هم آن را مکرّر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همه‌ی این‌ها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در چنین مواردی، اختلاف در نقل پیش می‌آید که ثمره‌ی آن در باب تعارض ظاهر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علیّ بن محبوب، عن أحمد بن محمّد، عن</w:t>
      </w:r>
      <w:bookmarkStart w:id="120" w:name="pg16919_226843"/>
    </w:p>
    <w:p>
      <w:pPr>
        <w:pStyle w:val="BookText"/>
        <w:rPr/>
      </w:pPr>
      <w:bookmarkEnd w:id="120"/>
      <w:r>
        <w:rPr>
          <w:rFonts w:ascii="IRNazanin" w:hAnsi="IRNazanin" w:eastAsia="IRNazanin"/>
          <w:color w:val="111111"/>
          <w:sz w:val="28"/>
          <w:sz w:val="28"/>
          <w:szCs w:val="28"/>
          <w:rtl w:val="true"/>
          <w:lang w:bidi="fa-IR"/>
        </w:rPr>
        <w:t>محمّد بن یحیی، عن طلحة بن زید، عن جعفر، عن أبیه،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اغتصب أمة فافتضّها فعلیه عشر قیمتها، وإن کانت حرّة فعلیه الصداق</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این روایت نیز اصلاً صحبت از تازیانه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دو نوع روایت داشتیم؛ یک دسته از آن‌ها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دسته‌ی دیگر هشتاد تازیانه را گفته است که حکمش در آینده می‌آید؛ ولی سخنی از تعزیر نیست</w:t>
      </w:r>
      <w:r>
        <w:rPr>
          <w:rFonts w:eastAsia="IRNazanin" w:cs="IRNazanin"/>
          <w:color w:val="111111"/>
          <w:sz w:val="28"/>
          <w:szCs w:val="28"/>
          <w:rtl w:val="true"/>
          <w:lang w:bidi="fa-IR"/>
        </w:rPr>
        <w:t>.</w:t>
      </w:r>
    </w:p>
    <w:p>
      <w:pPr>
        <w:pStyle w:val="Heading5"/>
        <w:numPr>
          <w:ilvl w:val="4"/>
          <w:numId w:val="1"/>
        </w:numPr>
        <w:rPr/>
      </w:pPr>
      <w:bookmarkStart w:id="121" w:name="__RefHeading___Toc78674_3244359995"/>
      <w:bookmarkStart w:id="122" w:name="_Toc45"/>
      <w:bookmarkEnd w:id="121"/>
      <w:r>
        <w:rPr>
          <w:rtl w:val="true"/>
        </w:rPr>
        <w:t>نقض پنجم شهید ثانی رحمه الله بر کلام محقّق حلّی رحمه الله</w:t>
      </w:r>
      <w:bookmarkEnd w:id="12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والمرأة یوجدان فی لحاف واحد وإزار مجرّدین، یعزّران من عشرة إلی تسعین؛ قاله المفید رحمه الله وأطلق الشیخ رحمه الله التعزیر، وقال فی الخلاف، روی أصحابنا فی الحدّ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زن و مردی که نامحرم باشند و در لحاف واحد یا ازاری، عریان یافت شوند، باید از ده تا نودونه تازیانه تعزیر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شیخ مفید رحمه الله گفته است؛ و شیخ طوسی رحمه الله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خلاف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در این مسأله،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زانی که صد تازیانه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بیان اقوال در مسأله است؛ ولی باید به روایات آن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عیسی، عن یونس، عن مفضّل بن صالح، عن زید الشحّام، عن أبی عبداللّه علیه السلام فی الرجل والمرأة یوجدان فی اللحاف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یجلدان مأة غیر سوط</w:t>
      </w:r>
      <w:r>
        <w:rPr>
          <w:rFonts w:eastAsia="IRNazanin" w:cs="IRNazanin"/>
          <w:color w:val="111111"/>
          <w:sz w:val="28"/>
          <w:szCs w:val="28"/>
          <w:rtl w:val="true"/>
          <w:lang w:bidi="fa-IR"/>
        </w:rPr>
        <w:t>.</w:t>
      </w:r>
      <w:r>
        <w:rPr>
          <w:rStyle w:val="FootnoteAnchor"/>
          <w:rtl w:val="true"/>
        </w:rPr>
        <w:footnoteReference w:id="1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الحسین بن سعید، عن حمّاد، عن حریز، عن</w:t>
      </w:r>
    </w:p>
    <w:p>
      <w:pPr>
        <w:pStyle w:val="BookText"/>
        <w:rPr/>
      </w:pPr>
      <w:r>
        <w:rPr>
          <w:rFonts w:ascii="IRNazanin" w:hAnsi="IRNazanin" w:eastAsia="IRNazanin"/>
          <w:color w:val="111111"/>
          <w:sz w:val="28"/>
          <w:sz w:val="28"/>
          <w:szCs w:val="28"/>
          <w:rtl w:val="true"/>
          <w:lang w:bidi="fa-IR"/>
        </w:rPr>
        <w:t>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وجد رجلاً وامرأة فی لحاف واحد، فضرب کلّ واحد منهما مأة سوط إلّاسوطاً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امام صادق علیه السلام در حدیث زید شحّام، درباره‌ی مرد و زنی در زیر یک لحاف یافت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 تازیانه به استثنای یکی بخورند؛ یعنی به هرکدام نودونه تازیانه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حریز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چنین مرد و زنی نودونه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شهید ثانی رحمه الله این است که در کدام قسمت روایت کلمه‌ی تعزیر آمده است؟ آیا اگر حدّ کمتر از صد تازیانه شد، تعزیر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پنج موردی که شهید ثانی رحمه الله به عنوان اشکال بر مرحوم محقّق رحمه الله آورده بود را ملاحظه فرمودید که فقط در یکی از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سائل بود و نه در بیان امام علیه السلام؛ علاوه بر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شرعی برای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شهید رحمه الله این است که در هر یک از مواضع پنج‌گانه، روایتی که وارد شده، برای بیان تعزیر، مقدار معیّنی را گفته است؛ ولی ما در هیچ‌یک از آن‌ها کلمه‌ی تعزیر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احتمال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سره با توجّه به روایت حمّاد بن عثمان این مطلب را استفاده کرده باشد که در هر موردی که مقدار مجازات، کمتر از چهل تازیانه معیّن شده باشد،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احتمال، حدیث حمّاد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 عن محمّد بن الحسن، عن الصفّار، عن العبّاس بن معروف، عن علیّ بن مهزیار، عن محمّد بن یحیی، عن حمّاد بن عثمان،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التعزیر؟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دون أربعین، فإنّها حدّ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ذاک؟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قدر ما یراه الوالی من ذنب الرجل وقوّة بدنه</w:t>
      </w:r>
      <w:r>
        <w:rPr>
          <w:rFonts w:eastAsia="IRNazanin" w:cs="IRNazanin"/>
          <w:color w:val="111111"/>
          <w:sz w:val="28"/>
          <w:szCs w:val="28"/>
          <w:rtl w:val="true"/>
          <w:lang w:bidi="fa-IR"/>
        </w:rPr>
        <w:t>.</w:t>
      </w:r>
      <w:r>
        <w:rPr>
          <w:rStyle w:val="FootnoteAnchor"/>
          <w:rtl w:val="true"/>
        </w:rPr>
        <w:footnoteReference w:id="15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بابی که این حدیث در وسائل الشیعه، در آن باب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به‌معنای لغوی آن یعنی میزان و مقدار تعزیر است، نه حدّ در مقابل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به حسب ظاهر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از امام صادق علیه السلام سؤال کرده مقدار تعزیر به‌طور کلّی چه مقدار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فکر کرد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را که حدّ شرب خمر است، اراده کرده‌اند؛ از این‌رو،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کمتر از هشتاد تازیانه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مقصوم کمتر از چهل تازیانه می‌باشد؛ زیرا چهل تازیانه حدّ مملوک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ذهن حمّاد آمده که این مقدار یعنی کمتر از چهل، کلّیت ندارد، و لذا، سؤال کرد که مقدار آن به چه میزان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نظر حاکم دارد؛ وی باید دو جهتِ مرتبه‌ی گناه و نیروی بدنی مجرم را در نظر گرفته، سپس حکم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 ثانی قدس سره با توجّه به این روایت، موارد فوق را از مصادیق تعزیر دانسته است، دو اشکال بر ایشان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نقض‌های پنج‌گانه فقط در مورد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حقّ با ایشان است؛ ولی در موارد دیگر که مقدار عقوبت بین سی تا نودونه تازیانه بود، اگر حاکم عددی بیش از چهل انتخاب کند، با روایت حمّاد بن عثمان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مقدار تعزیر فقط همین روایت را داشتیم، ممکن بود از اشکالاتمان بر مرحوم شهید رحمه الله صرف‌نظر کنیم؛ لیکن روایت منحصر به این حدیث نیست، و دو روایت دیگر نیز داریم که از نظر سند و دلالت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لوالٍ یؤمن باللّه والیوم الآخر أن یجلد أکثر من عشرة أسواط إلّافی حدّ، واُذن فی أدب المملوک من ثلاثة إلی خمسة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نکته‌ی رجالی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رحمه الله دو نوع روایت مرسل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مرسلاتی است که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این روایاتِ مرسل، معتبر نیست؛ مگر در بعضی از موارد، مانند مراسیل ابن ابی‌عمیر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مرسلاتی است که صدوق رحمه الله به نحو جزم و یقین به معصوم علیه السلام اسناد می‌دهد؛</w:t>
      </w:r>
    </w:p>
    <w:p>
      <w:pPr>
        <w:pStyle w:val="BookText"/>
        <w:rPr/>
      </w:pPr>
      <w:r>
        <w:rPr>
          <w:rFonts w:ascii="IRNazanin" w:hAnsi="IRNazanin" w:eastAsia="IRNazanin"/>
          <w:color w:val="111111"/>
          <w:sz w:val="28"/>
          <w:sz w:val="28"/>
          <w:szCs w:val="28"/>
          <w:rtl w:val="true"/>
          <w:lang w:bidi="fa-IR"/>
        </w:rPr>
        <w:t>به‌عنوان مثال،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فاصله‌ی زیادی که بین شیخ صدوق رحمه الله و رسول‌خدا صلی الله علیه و آله یا دیگر معصومین علیهم السلام هست، مسلّم است که او نمی‌تواند حدیث را از معصومین علیهم السلام شنیده باشد و بدون واسطه نقل کند؛ بنابراین، از این اسناد جزمی استفاده می‌شود تمام وسائط نزد مرحوم صدوق معتبر بوده‌اند؛ وگرنه با عدم ثبوت صدور حدیث از معصوم علیه السلام، اگر آن را به نحو جزم و یقین به معصوم علیه السلام نسبت دهد، با وثاقتش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اسناد جزمی صدوق رحمه الله کشف می‌شود وی به وثاقت راویانی که واسطه‌ی بین او و معصوم علیه السلام بوده‌اند، اعتقاد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ارسال که توثیق سند ملازم با آن است، یک توثیق اجمالی به‌شمار می‌آید و معتبر است؛ زیرا، در توثیق سند لازم نیست راویان واقع در سند را یکی پس از دیگری بیاورد و توثیق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ما، این‌گونه مرسلات معتبر است؛ زیرا، توثیقات صدوق رحمه الله را مانند توثیقات نجاشی رحمه الله معتبر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والی که در مسیر اسلام است و به خدا و روز قیامت ایمان دارد، جایز نیست در غیر حدّ، بیش از ده تازیانه بزند؛ و در ادب و تعزیر کردن مملوک این عدد نصف می‌شود؛ یعنی حداکثر تا پنج تازیانه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هر عقوبتی که از ده تازیانه بالاتر باشد، حدّ است و نه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مواردِ نقضِ صاحب مسالک رحمه الله بیش از ده تازیانه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یونس،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التعزیر کم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عشر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العشرة إلی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موسی بن جعفر علیهما السلام سؤال می‌کند مقدار تعزیر چه اندازه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مابین ده و بیست تازیانه تفسیر کرد؛ یعنی حداقل آن ده و حداکثر آن بیست تازیانه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نقض صاحب مسالک رحمه الله غیر از یک مورد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بود، بیشتر از بیست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با همدیگر متعارض‌اند؛ لیکن از یک جهت اشتراک دارند که</w:t>
      </w:r>
    </w:p>
    <w:p>
      <w:pPr>
        <w:pStyle w:val="BookText"/>
        <w:rPr/>
      </w:pPr>
      <w:r>
        <w:rPr>
          <w:rFonts w:ascii="IRNazanin" w:hAnsi="IRNazanin" w:eastAsia="IRNazanin"/>
          <w:color w:val="111111"/>
          <w:sz w:val="28"/>
          <w:sz w:val="28"/>
          <w:szCs w:val="28"/>
          <w:rtl w:val="true"/>
          <w:lang w:bidi="fa-IR"/>
        </w:rPr>
        <w:t>هر سه حدّ و تعزیر را در مقابل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حمّاد مقدار تعزیر را کمتر از چهل، و مرسله‌ی صدوق آن را کمتر از ده، و معتبره‌ی اسحاق بن عمّار بین ده و بیست تازیانه بیان کرده است؛ یعنی در کمیّت و مقدار با هم متعارض بوده، و جمع بین آن‌ها ممکن نیست؛ و هیچ‌کدام نیز ترجیحی بر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روایت را از این حیث که متعارض‌اند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حمّاد، ضابطه و قانونی وجود دارد که دو روایت دیگر فاقد آن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التعزیر علی ما یراه الوالی من ذنب الرجل وقوّة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قانون کلّی را اخذ می‌کنیم؛ و در نتیجه، به‌همان قاعده‌ای که مرحوم محقّق در شرایع فرموده بود، می‌رسیم که مقدار تعزیر به نظر و رأی حاکم بستگی دارد و هیچ‌گونه مقدّر شرعی در این باب وجود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عقوبتی که به نظر حاکم وابسته نبود و بلکه مقدّر شرعی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هیچ‌یک از اشکالات مرحوم صاحب مسالک بر مرحوم محقّق حلّی وارد نیست</w:t>
      </w:r>
      <w:r>
        <w:rPr>
          <w:rFonts w:eastAsia="IRNazanin" w:cs="IRNazanin"/>
          <w:color w:val="111111"/>
          <w:sz w:val="28"/>
          <w:szCs w:val="28"/>
          <w:rtl w:val="true"/>
          <w:lang w:bidi="fa-IR"/>
        </w:rPr>
        <w:t>.</w:t>
      </w:r>
      <w:bookmarkStart w:id="123" w:name="pg16919_226848"/>
    </w:p>
    <w:p>
      <w:pPr>
        <w:pStyle w:val="Heading3"/>
        <w:numPr>
          <w:ilvl w:val="2"/>
          <w:numId w:val="1"/>
        </w:numPr>
        <w:rPr/>
      </w:pPr>
      <w:bookmarkStart w:id="124" w:name="__RefHeading___Toc78676_3244359995"/>
      <w:bookmarkStart w:id="125" w:name="_Toc46"/>
      <w:bookmarkEnd w:id="123"/>
      <w:bookmarkEnd w:id="124"/>
      <w:r>
        <w:rPr>
          <w:rtl w:val="true"/>
        </w:rPr>
        <w:t>فصل اوّل</w:t>
      </w:r>
      <w:r>
        <w:rPr>
          <w:rtl w:val="true"/>
        </w:rPr>
        <w:t xml:space="preserve">: </w:t>
      </w:r>
      <w:r>
        <w:rPr>
          <w:rtl w:val="true"/>
        </w:rPr>
        <w:t>حدّ زنا</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78678_3244359995"/>
      <w:bookmarkStart w:id="127" w:name="_Toc47"/>
      <w:bookmarkEnd w:id="126"/>
      <w:r>
        <w:rPr>
          <w:rtl w:val="true"/>
        </w:rPr>
        <w:t>اشاره</w:t>
      </w:r>
      <w:bookmarkStart w:id="128" w:name="pg16919_226850"/>
      <w:bookmarkEnd w:id="127"/>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الزنا الموجب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الزنا الموجب للحدّ بإدخال الإنسان ذکره الأصلی فی فرج امرأة محرّمة علیه أصالة من غیر عقد نکاح دائماً أو منقطعاً ولا ملک من الفاعل للقابلة ولا تحلیل ولا شبهة مع شرائط یأتی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یتحقّق الزنا بدخول الخنثی ذکره الغیر الأصلی ولا بالدخول المحرّم غیر الأصلی کالدخول حال الحیض والصوم والإعتکاف ولا مع الشبهة موضوعاً أو حکماً</w:t>
      </w:r>
      <w:r>
        <w:rPr>
          <w:rFonts w:eastAsia="IRNazanin" w:cs="IRNazanin"/>
          <w:color w:val="111111"/>
          <w:sz w:val="28"/>
          <w:szCs w:val="28"/>
          <w:rtl w:val="true"/>
          <w:lang w:bidi="fa-IR"/>
        </w:rPr>
        <w:t>.</w:t>
      </w:r>
    </w:p>
    <w:p>
      <w:pPr>
        <w:pStyle w:val="Heading4"/>
        <w:numPr>
          <w:ilvl w:val="3"/>
          <w:numId w:val="1"/>
        </w:numPr>
        <w:rPr/>
      </w:pPr>
      <w:bookmarkStart w:id="129" w:name="__RefHeading___Toc78680_3244359995"/>
      <w:bookmarkStart w:id="130" w:name="_Toc48"/>
      <w:bookmarkEnd w:id="129"/>
      <w:r>
        <w:rPr>
          <w:rtl w:val="true"/>
        </w:rPr>
        <w:t>شرایط تحقّق زنای موجب حدّ</w:t>
      </w:r>
      <w:bookmarkEnd w:id="130"/>
    </w:p>
    <w:p>
      <w:pPr>
        <w:pStyle w:val="Heading5"/>
        <w:numPr>
          <w:ilvl w:val="4"/>
          <w:numId w:val="1"/>
        </w:numPr>
        <w:rPr/>
      </w:pPr>
      <w:bookmarkStart w:id="131" w:name="__RefHeading___Toc78682_3244359995"/>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اوّلین بابی که مرحوم امام قدس سره در کتاب حدود ذکر می‌کنند، باب 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هم با الف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الف ممدوده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حرمت زنا از مسائلی است که نیاز به اقامه‌ی دلیل ندارد؛ و تمام ادیان عالَم، زنا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نسب و قرابت، فرع حرمت زنا است؛ و اگر بین زنا و نکاح فرقی نیست، چه لزومی دارد سراغ نکاح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مستفاد از قول معصوم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این است که جعل و مشروعیّت نکاح در بین اقوام مختلف، به‌معنای ممنوعیّت و حرمت زنا نزد آنان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زنا، از احکام ضروری دین اسلام است؛ زیرا، هرکسی که با اسلام سر و کار داشته باشد، حرمت زنا را می‌داند؛ لذا، بر منکر آن، احکام منکر ضروریِ دین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حرمتش از ضروریات دین نباشد، لااقل از ضروریات فقه است؛ یعنی در فقه اسلام، بدون هیچ شکّ و شبهه‌ای، زنا یکی از گناهان کبیره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اقامه‌ی دلیل از کتاب و سنّت بر اثبات حرمت زنا نیست</w:t>
      </w:r>
      <w:r>
        <w:rPr>
          <w:rFonts w:eastAsia="IRNazanin" w:cs="IRNazanin"/>
          <w:color w:val="111111"/>
          <w:sz w:val="28"/>
          <w:szCs w:val="28"/>
          <w:rtl w:val="true"/>
          <w:lang w:bidi="fa-IR"/>
        </w:rPr>
        <w:t>.</w:t>
      </w:r>
      <w:bookmarkStart w:id="133" w:name="pg16919_226851"/>
    </w:p>
    <w:p>
      <w:pPr>
        <w:pStyle w:val="Heading5"/>
        <w:numPr>
          <w:ilvl w:val="4"/>
          <w:numId w:val="1"/>
        </w:numPr>
        <w:rPr/>
      </w:pPr>
      <w:bookmarkStart w:id="134" w:name="__RefHeading___Toc78684_3244359995"/>
      <w:bookmarkStart w:id="135" w:name="_Toc50"/>
      <w:bookmarkEnd w:id="133"/>
      <w:bookmarkEnd w:id="134"/>
      <w:r>
        <w:rPr>
          <w:rtl w:val="true"/>
        </w:rPr>
        <w:t>توضیح مسأله‌ی اوّل و دوم</w:t>
      </w:r>
      <w:bookmarkEnd w:id="135"/>
    </w:p>
    <w:p>
      <w:pPr>
        <w:pStyle w:val="BookText"/>
        <w:rPr/>
      </w:pPr>
      <w:r>
        <w:rPr>
          <w:rFonts w:ascii="IRNazanin" w:hAnsi="IRNazanin" w:eastAsia="IRNazanin"/>
          <w:color w:val="111111"/>
          <w:sz w:val="28"/>
          <w:sz w:val="28"/>
          <w:szCs w:val="28"/>
          <w:rtl w:val="true"/>
          <w:lang w:bidi="fa-IR"/>
        </w:rPr>
        <w:t>تحقّق زنایِ موجب حدّ، به ادخال آلتِ مردانگی در فَرْج زن اجنبیه‌ای است که بر این مرد حرمت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اصلی در مقابل حرمت عرضی، مثل حرمت وطیِ زن بر شوهرش به سبب حائض بودن او، یا در روز ماه رمضان و یا در حال اعتکاف است؛ بنابراین، حرمت اصلی درصورتی است که زن بالذات بر مرد حرام باشد؛ یعنی عقد نکاح دائم یا موقّتی نباشد، و اگر موطوئه، کنیز است، فاعل، مالک او نباشد؛ زیرا، چنین ملکیّتی، سبب حلّیت وطی برای مالک می‌شود؛ امّا اگر زنی، عبد مملوکی داشته باشد، وطی عبد با مالکش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کنیز، تحلیلی نیز نباید باشد؛ یعنی مولا کنیز خود را به اجنبی تحلیل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شبهه‌ای نیز نباشد؛ خواه شبهه‌ی حکمی، مثلاً خیال می‌کرده در اسلام نکاح با خواهر زن جایز است، و به‌همین جهت، با او ازدواج کرده است؛ و یا شبهه‌ی موضوعی، مثلاً با زنی به اعتقاد این‌که همسرش است، وطی کند و بعداً معلوم شود که زوجه‌ی او نبوده است</w:t>
      </w:r>
      <w:r>
        <w:rPr>
          <w:rFonts w:eastAsia="IRNazanin" w:cs="IRNazanin"/>
          <w:color w:val="111111"/>
          <w:sz w:val="28"/>
          <w:szCs w:val="28"/>
          <w:rtl w:val="true"/>
          <w:lang w:bidi="fa-IR"/>
        </w:rPr>
        <w:t>.</w:t>
      </w:r>
    </w:p>
    <w:p>
      <w:pPr>
        <w:pStyle w:val="Heading5"/>
        <w:numPr>
          <w:ilvl w:val="4"/>
          <w:numId w:val="1"/>
        </w:numPr>
        <w:rPr/>
      </w:pPr>
      <w:bookmarkStart w:id="136" w:name="__RefHeading___Toc78686_3244359995"/>
      <w:bookmarkStart w:id="137" w:name="_Toc51"/>
      <w:bookmarkEnd w:id="136"/>
      <w:r>
        <w:rPr>
          <w:rtl w:val="true"/>
        </w:rPr>
        <w:t>تحقیق عبارت‌های دو مسأله</w:t>
      </w:r>
      <w:bookmarkEnd w:id="137"/>
    </w:p>
    <w:p>
      <w:pPr>
        <w:pStyle w:val="BookText"/>
        <w:rPr/>
      </w:pPr>
      <w:r>
        <w:rPr>
          <w:rFonts w:ascii="IRNazanin" w:hAnsi="IRNazanin" w:eastAsia="IRNazanin"/>
          <w:color w:val="111111"/>
          <w:sz w:val="28"/>
          <w:sz w:val="28"/>
          <w:szCs w:val="28"/>
          <w:rtl w:val="true"/>
          <w:lang w:bidi="fa-IR"/>
        </w:rPr>
        <w:t>در عبارت این دو مسأله، نکاتی وجود دارد که باید در آن‌ها 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الزنا الموجب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نسبت زنا با زنای موجب حدّ، عموم و خصوص مطلق است؛ یعنی در بعضی از موارد، زنا صادق است، امّا حدّ زنا مترتّب نمی‌شود؛ 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صغیره، یا مجنونه و یا مکرَهه تجاوز شود، نسبت به آنان، زنای موجب حدّ نیست؛ یا اگر زن و مردی را بر زنا اکراه کردند، وطی فرد مکرَه حرمت شرعی و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قیدی احترازی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تحریر الوسیله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بإدخال ذکره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مرحوم محقّق در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Style w:val="FootnoteAnchor"/>
          <w:rtl w:val="true"/>
        </w:rPr>
        <w:footnoteReference w:id="160"/>
      </w:r>
      <w:r>
        <w:rPr>
          <w:rFonts w:ascii="IRNazanin" w:hAnsi="IRNazanin" w:eastAsia="IRNazanin"/>
          <w:color w:val="111111"/>
          <w:sz w:val="28"/>
          <w:sz w:val="28"/>
          <w:szCs w:val="28"/>
          <w:rtl w:val="true"/>
          <w:lang w:bidi="fa-IR"/>
        </w:rPr>
        <w:t xml:space="preserve">هرچند در این مقام، فرقی بین دو عبارت نیست، امّا معنای ولوج و دخول یکسان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اگر</w:t>
      </w:r>
    </w:p>
    <w:p>
      <w:pPr>
        <w:pStyle w:val="BookText"/>
        <w:rPr/>
      </w:pPr>
      <w:r>
        <w:rPr>
          <w:rFonts w:ascii="IRNazanin" w:hAnsi="IRNazanin" w:eastAsia="IRNazanin"/>
          <w:color w:val="111111"/>
          <w:sz w:val="28"/>
          <w:sz w:val="28"/>
          <w:szCs w:val="28"/>
          <w:rtl w:val="true"/>
          <w:lang w:bidi="fa-IR"/>
        </w:rPr>
        <w:t xml:space="preserve">زید به خانه داخل شد،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 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 در جایی است که ظرف ولوج احاطه‌ی کامل به چیزی داشته باشد؛ مثلاً، وقتی انسان به زیر آب می‌رود، شاید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وَلَج الإنسان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بالغ، عاقل، صغیر و مجنون می‌شود؛ در حالی‌که در مسائل بعد، بلوغ، عقل و اختیار را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اشکال کند شما که در مقام بیان ضابطه و تعریف هستید، چرا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مطلق ذکر کردید؛ و آن را به بلوغ، عقل و اختیار مقیّد نکردید؟</w:t>
      </w:r>
    </w:p>
    <w:p>
      <w:pPr>
        <w:pStyle w:val="BookText"/>
        <w:rPr/>
      </w:pPr>
      <w:r>
        <w:rPr>
          <w:rFonts w:ascii="IRNazanin" w:hAnsi="IRNazanin" w:eastAsia="IRNazanin"/>
          <w:color w:val="111111"/>
          <w:sz w:val="28"/>
          <w:sz w:val="28"/>
          <w:szCs w:val="28"/>
          <w:rtl w:val="true"/>
          <w:lang w:bidi="fa-IR"/>
        </w:rPr>
        <w:t>از جانب ایشان می‌توان دو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مسأله‌ی اوّل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شرائط یأتی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بلکه به کلّ مسأله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بیان می‌کنند شرایط دیگری هم برای تحقّق زنا وجود دارد که در آینده آن‌ها را بیان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مسأله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 الإنسان ذکره الأصلی فی فرج امرأة محرّمة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بر مرد حرمت فعلی داشته باشد؛ که اگر بلوغ، عقل و اختیار نباشد، حرمت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بالغ، عاقل و 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تحریر الوسیله به‌دنبال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عبارت مشهور فقها و شرایع</w:t>
      </w:r>
      <w:r>
        <w:rPr>
          <w:rStyle w:val="FootnoteAnchor"/>
          <w:rtl w:val="true"/>
        </w:rPr>
        <w:footnoteReference w:id="161"/>
      </w:r>
      <w:r>
        <w:rPr>
          <w:rFonts w:ascii="IRNazanin" w:hAnsi="IRNazanin" w:eastAsia="IRNazanin"/>
          <w:color w:val="111111"/>
          <w:sz w:val="28"/>
          <w:sz w:val="28"/>
          <w:szCs w:val="28"/>
          <w:rtl w:val="true"/>
          <w:lang w:bidi="fa-IR"/>
        </w:rPr>
        <w:t>نیست، برای خارج کردن خنثای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انسانی است که هم آلت رجولیّت و هم انوثیّت دارد، و از راه‌های مقرّر در شرع نمی‌توان مذکّر یا مؤنّث بودن او را تشخیص داد؛ و از سویی، او را طبیعت سومی در مقابل مرد و زن هم ندانیم؛ یعنی او در حقیقت یا مرد است و یا زن؛ لیکن نمی‌توانیم آن را تشخیص 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خنثای مشکل با چنین آلتی زنا کرد، چون نمی‌دانیم واقعاً مرد است تا این عضو، آلت رجولیّت او باشد، و یا واقعاً زن بوده و این عضو،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زنای موجب حدّ</w:t>
      </w:r>
    </w:p>
    <w:p>
      <w:pPr>
        <w:pStyle w:val="BookText"/>
        <w:rPr/>
      </w:pPr>
      <w:r>
        <w:rPr>
          <w:rFonts w:ascii="IRNazanin" w:hAnsi="IRNazanin" w:eastAsia="IRNazanin"/>
          <w:color w:val="111111"/>
          <w:sz w:val="28"/>
          <w:sz w:val="28"/>
          <w:szCs w:val="28"/>
          <w:rtl w:val="true"/>
          <w:lang w:bidi="fa-IR"/>
        </w:rPr>
        <w:t xml:space="preserve">نسبت به او مشکوک است؛ به‌همین جهت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خارج کردن این شخص و توضیح این مطلب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قید را نیاورده‌اند نیز خنثای مشکل را خارج می‌دانند، لیکن تکیه‌ی آنان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مضاف به ضمیر است، و در خنثای مشکل نمی‌دانیم که این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 نه؟</w:t>
      </w:r>
    </w:p>
    <w:p>
      <w:pPr>
        <w:pStyle w:val="BookText"/>
        <w:rPr/>
      </w:pPr>
      <w:r>
        <w:rPr>
          <w:rFonts w:ascii="IRNazanin" w:hAnsi="IRNazanin" w:eastAsia="IRNazanin"/>
          <w:color w:val="111111"/>
          <w:sz w:val="28"/>
          <w:sz w:val="28"/>
          <w:szCs w:val="28"/>
          <w:rtl w:val="true"/>
          <w:lang w:bidi="fa-IR"/>
        </w:rPr>
        <w:t>پس، هر دو گروه، زنای خنثای مشکل را موجب حدّ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عبارت گروهی از فقها به‌روشنی خروج او را می‌رساند؛ و عبارت دیگران، با مقداری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قید را باید توضیحی دانست و نه احترازی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مرد در تحقّق زنای موجب حدّ، باید مباشرت در ادخال داشته باشد؟ به‌بیان دیگر،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مباشرت دارد یا اعمّ است از جایی که مردی خود را در اختیار زنی گذاشته و زن مباشر این عمل شود؟</w:t>
      </w:r>
    </w:p>
    <w:p>
      <w:pPr>
        <w:pStyle w:val="BookText"/>
        <w:rPr/>
      </w:pPr>
      <w:r>
        <w:rPr>
          <w:rFonts w:ascii="IRNazanin" w:hAnsi="IRNazanin" w:eastAsia="IRNazanin"/>
          <w:color w:val="111111"/>
          <w:sz w:val="28"/>
          <w:sz w:val="28"/>
          <w:szCs w:val="28"/>
          <w:rtl w:val="true"/>
          <w:lang w:bidi="fa-IR"/>
        </w:rPr>
        <w:t>این فرع فقهی، قابل تأمّل و مورد ابتلا در باب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این تعبیر، عمومیّت استفاده می‌شود؛ زیرا، ملاکِ حدّ، لذّت و خواست نامشروع است؛ و در این ملاک، فرقی نیست بین این‌که مباشر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 عبارت، جمود داشته باشیم و عرف را کنار بزنیم، عبارت، ظهور در مباشرت دارد؛ لیکن نباید فهم عرفی که از این عبارت، اطلاق را می‌فهمد،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نکته‌ای که ایشان در عبارت متعرّض آن نشده، و مسأله‌ای مبتلا به است و مصادیق خارجی دارد، این است که آیا زنای موجب 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الإنسان ذَکَره مجرّداً عن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و یا اعمّ است؟ یعنی اگر بر آن حجاب و پوششی همانند کاپوت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مرتکب عمل شنیع شوند، آیا زنا صادق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صورت را می‌گیرد؛ لیکن ممکن است به‌کسانی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برده‌اند، اشکال شود با وجود حجاب، احاطه‌ای پیدا نمی‌شود و زنای موجب حدّ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اشکال وارد نیست؛ زیرا، ضابطه‌ی اصلی در تحقق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الإنسان ذَکَره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به‌نظر عرف، هم با پوشش و هم بدون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ما در مقام پیدا کردن ضابطه هستیم و نه تطبیق حکمت‌های</w:t>
      </w:r>
    </w:p>
    <w:p>
      <w:pPr>
        <w:pStyle w:val="BookText"/>
        <w:rPr/>
      </w:pPr>
      <w:r>
        <w:rPr>
          <w:rFonts w:ascii="IRNazanin" w:hAnsi="IRNazanin" w:eastAsia="IRNazanin"/>
          <w:color w:val="111111"/>
          <w:sz w:val="28"/>
          <w:sz w:val="28"/>
          <w:szCs w:val="28"/>
          <w:rtl w:val="true"/>
          <w:lang w:bidi="fa-IR"/>
        </w:rPr>
        <w:t>تحریم زنا، تا گفته شود با وجود حجاب و مانع، حکمت حرمت زنا که اختلاط میاه و نَسَب است، محقّق نمی‌گردد؛ همان‌گونه که در مورد زن یائسه و یا عقیم، زنا صدق می‌کند با این‌که حکمت حرمت زنا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فرج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اصلی است یا اعمّ از آن منظور است؟ در مورد فاعل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قیدی توضیحی یا احترازی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بایستی این‌جا نیز این قید را بیاورد تا زنای با خنثای مشکل خارج شود؛ زیرا، اگر مردی آلت رجولیّت را در آلت انوثیّت خنثای مشکل داخل کرد، صدق زنای موجب حدّ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نیز نیازی به این قید نیست؛ چه آن‌که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وصف انوثیّت برای مدخولٌ بها مفروعٌ عنه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ادخال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صدق زنا و حدّ می‌شود؟</w:t>
      </w:r>
    </w:p>
    <w:p>
      <w:pPr>
        <w:pStyle w:val="BookText"/>
        <w:rPr/>
      </w:pPr>
      <w:r>
        <w:rPr>
          <w:rFonts w:ascii="IRNazanin" w:hAnsi="IRNazanin" w:eastAsia="IRNazanin"/>
          <w:color w:val="111111"/>
          <w:sz w:val="28"/>
          <w:sz w:val="28"/>
          <w:szCs w:val="28"/>
          <w:rtl w:val="true"/>
          <w:lang w:bidi="fa-IR"/>
        </w:rPr>
        <w:t>مرحوم ابن حمزه قدس سره صاحب وسیله از فقهای متقدّم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المسألة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قول اوّل، زنای موجب حدّ را می‌پذیرد؛ و در حقیقت، فرقی بین وطی در قُبُل و دُبُر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قول دوم آن را لواط دانسته، امّا متعرّض حدّ آن نشده است که آیا حدّ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شخصی جاری می‌شود، یا مجازات دیگری 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مستفاد از عبارت شیخ مفید قدس سره در مقنعه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الموجب للحدّ وطی ما حرّم اللّه تعالی وطئه من النساء بغیر عقد مشروع، إذا کان الوطی فی الفرج خاصّة دون ما سواه</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شیخ طوسی رحمه الله در نهایه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الموجب للحدّ هو وطی مَن حرّمه اللّه من غیر عقد ولا شبهة عقد ویکون بالفرج خاصّة</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وطی در دُبُر، مصداق زنای موجب حدّ نیست؛ چرا که زنا را فقط به وطی در فرج مقیّد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دو عبارت، بیانگر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اخراج دخول در بین دو ران یا در دهان و مانند آن است، نه برای اخراج وطی در دُبُر؛ زیرا، ادخال و وطی معنای وسیعی دارد که شامل موارد مذکور نیز می‌شود، و از سوی دیگر، لفظ فرج اعمّ از قُبُل و دُبُر بوده و اختصاص داشتن این</w:t>
      </w:r>
    </w:p>
    <w:p>
      <w:pPr>
        <w:pStyle w:val="BookText"/>
        <w:rPr/>
      </w:pPr>
      <w:r>
        <w:rPr>
          <w:rFonts w:ascii="IRNazanin" w:hAnsi="IRNazanin" w:eastAsia="IRNazanin"/>
          <w:color w:val="111111"/>
          <w:sz w:val="28"/>
          <w:sz w:val="28"/>
          <w:szCs w:val="28"/>
          <w:rtl w:val="true"/>
          <w:lang w:bidi="fa-IR"/>
        </w:rPr>
        <w:t>واژه به قُبُل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نیز صدق زنای موجب حدّ را اعمّ از وطی در دُبُر و قُبُل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ادلّه‌ی دو طرف را که در لابلای کتاب‌ها به‌صورت پراکنده دیده می‌شود،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ادلّه‌ی طرفین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مستند مشهور این است که در لسان روایاتی که در باب حدّ زنا رسیده و برخی از آن‌ها صحیح است، عناوینی می‌بینیم که اختصاص به وطی در قُبُل ندارد؛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رجل حراماً کما یأتی حلالاً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 یا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اتیان، فجور، مواقعه، مجامعه و</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روایات به‌کار رفته که بر وطی در دُبُر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غیر مشهور از فقها، یکی از دو مطلب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زنای موجب حدّ بر وطی در دُبُر مشتبه است، و به مقتضای حدیث نبوی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تدرء الحدود بالشبهات</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است و شبهات موضوعی و حکمی را به دلیل جمع محلّی به الف و لام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دلیل آن است که استناد به حدیث نبوی در صورتی صحیح است که امر دائر باشد بین زنا و عمل دیگری که بدون حدّ است؛ پس، در بحث ما، که امر بین زنا و لواط که هر دو حدّ دارند، دائر است، نمی‌توان به حدیث نبوی برای سقوط حدّ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دختر باکره‌ای نسبت زنا داده شد، فقها گفته‌اند دو نفر قابله‌ی عادل، آن دختر را معاینه می‌کنند، اگر بکارت او زایل نشده بود، شهادت می‌دهند که نسبت زنا غیرواقعی بوده است؛ زیرا، ممکن است وطی در دُبُر بوده، و از این‌رو، بکارتش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استفاده می‌شود که دایره‌ی زنا گسترده نیست و شامل وطی در دُبُر نمی‌شود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دلیل آن است که اگر عنوانی را موضوع مسأله‌ای قرار دادند، معلوم می‌شود</w:t>
      </w:r>
    </w:p>
    <w:p>
      <w:pPr>
        <w:pStyle w:val="BookText"/>
        <w:rPr/>
      </w:pPr>
      <w:r>
        <w:rPr>
          <w:rFonts w:ascii="IRNazanin" w:hAnsi="IRNazanin" w:eastAsia="IRNazanin"/>
          <w:color w:val="111111"/>
          <w:sz w:val="28"/>
          <w:sz w:val="28"/>
          <w:szCs w:val="28"/>
          <w:rtl w:val="true"/>
          <w:lang w:bidi="fa-IR"/>
        </w:rPr>
        <w:t>که آن عنوان نقش دارد،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باکره‌ای متهم به زنا شد، یعنی مسأله از جهت دخول به قُبُل و بقای بکارت او مطرح است؛ و اگر وطی در دُبُر باشد، فرقی بین باکره و غیر او نیست؛ در این صورت، قرار دادن عنوان باکره به عنوان موضوع مسأله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ظاهر روایات آمده و مشهور با شهرتی عظیم به آن فتوا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در کتب فتوایی مختصر نیز به آن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وطی در قُبُل و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باید عبارت تحریر الوسیله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فرج امرأة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توسعه داد؛ همان‌گونه که در مسأله‌ی سوم به آن تصریح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علیه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خارج کردن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حرمتی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زوجه‌ی دائم یا موقّت، کنیز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حرمت فعلی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مجنون و مکره؛ زیرا، حرمت در حق آنان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ذاتاً حلال است، ولی به‌واسطه‌ی عارضی حرام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در ایّام حیض، یا در زمان اعتکاف، یا روزه‌ی واجب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حالات، حرمت، عرضی است، نه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چه دلیلی بر خروج موارد حرمت عرضی از حدّ موجب زنا داریم؟</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موجب حدّ، عملی است که در عرف زنا شمرده شود؛ و در صورتِ حرمت عرضی، به‌نظر عرف، زنا صادق نیست تا چه رسد به زنای موجب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وطی حائض، ظاهر روایات ثبوت کفّاره است؛ و مقدار آن بستگی به وقوع عمل در اوّل یا وسط یا پایان ایّام عادت دارد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لسان ادلّه‌ای که اثبات کفّاره می‌کند، حاکی از این است که حدّی نیست؛ و این عمل حرام به واسطه‌ی آن کفّاره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نشنیده‌ایم که در موردی، هم حدّ باشد و هم کفّاره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در حالت اعتکاف، عرفاً زنا نیست تا حدّ داشته باشد، بلکه کفّاره برای آن ثابت است که جبرانِ حرمت می‌کند، و دلیل خاصّی هم بر ثبوت حدّ در این مورد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فقط در مورد وطیِ در حال صیام، روایت مفضّل بن عمر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به این روایت اشاره شد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صورتی که هر دو صائم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در همان مورد باید به آن عمل شود؛ ولی بحث ما در مطلق حرمتِ عرضی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قیودی که پس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مسأله آمده، این سؤال هست که آیا احترازی‌اند یا توضیحی؟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مقام بیان ضابطه هستند، باید احترازی باشند؛ لیکن، مطلب تازه‌ای به ما نمی‌دهد؛ زیرا،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عقد نکاح دائماً أو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 من الفاعل للقابلة ولا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علیه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اگر عقد نکاح دائم یا منقطع باشد، زن بر مرد بالذات حلال است؛ و اگر حرمتی از ناحیه‌ی حیض یا صوم یا اعتکاف باشد، عرضی است؛ در مورد کنیز نیز، مالک او، مالک وطی‌اش هست؛ و فرقی نمی‌کند واطی، مالکِ کنیز باشد یا مالک منفعت او که از جمله‌ی منافعش، وطی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 گذشته اشاره کردیم اگر زنی مالکِ عبد باشد، آن عبد با وی محرم نبوده و نمی‌تواند با او مقاربت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امه نیز از موارد جواز و اباحه‌ی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قیود مذکور، مطلب جدیدی را افاده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آخر مسأله آمده، هر چند انواع شبهه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شبهه‌ی ملکیّت، شبهه‌ی تحلیل، شبهه‌ی عقد نکاح دائم و متعه، شبهه‌ی موضوعی و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آخر آوردن این قید نیز بیان همین نکته است، لیکن تمام موارد شبهه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نیازی به این قید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تحلیل موضوعی عبارت است از این‌که مالک کنیزی را بر کسی تحلیل کند و بعد معلوم شود در تطبیق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شبهه‌ی تحلیل حکمی نیز آن است که مولایی از غیر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تحلیل به هر لفظی صحیح است،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ملکی موضوعی آن است که مولا کنیزی بخرد و در مصداقِ</w:t>
      </w:r>
    </w:p>
    <w:p>
      <w:pPr>
        <w:pStyle w:val="BookText"/>
        <w:rPr/>
      </w:pPr>
      <w:r>
        <w:rPr>
          <w:rFonts w:ascii="IRNazanin" w:hAnsi="IRNazanin" w:eastAsia="IRNazanin"/>
          <w:color w:val="111111"/>
          <w:sz w:val="28"/>
          <w:sz w:val="28"/>
          <w:szCs w:val="28"/>
          <w:rtl w:val="true"/>
          <w:lang w:bidi="fa-IR"/>
        </w:rPr>
        <w:t>تحویل گرفته، اشتباه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ملکی حکمی هم این است که به عقد بیع یا اجاره‌ی فاسد به خیال این‌که صحیح است، کنیز را به ملک خود منتقل کند و به همین صورت، شبهه‌ی موضوعی و حکمی عقد دائم و متعه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تصویر موارد شبهه، فقها در تعریف شبهه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یوجب ظنّ الإباحة؛ چیزی است که ظنّ به اباحه‌ی عمل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مقام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باب وضو، اثبات نشد که اصل اولی عدم حجّیت گمان است، این شخص خیال می‌کند ظنّ به اباحه دارد، به چه دلیلی این ظنّ حجّت است؟</w:t>
      </w:r>
    </w:p>
    <w:p>
      <w:pPr>
        <w:pStyle w:val="BookText"/>
        <w:rPr/>
      </w:pPr>
      <w:r>
        <w:rPr>
          <w:rFonts w:ascii="IRNazanin" w:hAnsi="IRNazanin" w:eastAsia="IRNazanin"/>
          <w:color w:val="111111"/>
          <w:sz w:val="28"/>
          <w:sz w:val="28"/>
          <w:szCs w:val="28"/>
          <w:rtl w:val="true"/>
          <w:lang w:bidi="fa-IR"/>
        </w:rPr>
        <w:t>از این اشکال در تعجّب‌ام؛ زیرا، مستشکل بین موارد استعمالِ ظنّ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گاه ظنّ را در مقابل شک و یقین به‌کار می‌برند و در این صورت، اصل، عدم حجّیت مظنّه است؛ و گاه ظنّ، به معنای اعتقاد جزمی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 اَلَّذِینَ یَظُنُّونَ أَنَّهُمْ مُلاقُوا رَبِّهِمْ وَ أَنَّهُمْ إِلَیْهِ راجِعُونَ </w:t>
      </w:r>
      <w:r>
        <w:rPr>
          <w:rStyle w:val="FootnoteAnchor"/>
          <w:rtl w:val="true"/>
        </w:rPr>
        <w:footnoteReference w:id="171"/>
      </w:r>
      <w:r>
        <w:rPr>
          <w:rFonts w:ascii="IRNazanin" w:hAnsi="IRNazanin" w:eastAsia="IRNazanin"/>
          <w:color w:val="111111"/>
          <w:sz w:val="28"/>
          <w:sz w:val="28"/>
          <w:szCs w:val="28"/>
          <w:rtl w:val="true"/>
          <w:lang w:bidi="fa-IR"/>
        </w:rPr>
        <w:t>در این‌جا، ظنّ به‌معنای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شبهه، ظنّ‌ِ در مقابلِ یقین نیست تا حجّت نباشد، بلکه به‌معنای اعتقاد جزمی است؛ معمولاً کسی که در بستر شوهر می‌خوابد، زنِ اوست؛ مرد به اعتقاد این‌که زوجه‌ی خودش است، با وی وطی می‌کند، و بعد معلوم می‌شود همسرش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با این زن، به‌نظرِ شوهر حلال است نه حرام؛ زیرا، با وجودِ قطع و یقینِ مرد به حلّیت وطی، حرمت، در حقّ او فعلیّت و تنجّز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قطع در صورت عدم اصابه‌ی به واقع، مُعذّریت و عدم تنجّز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وطیِ به شبهه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با این قید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نیازی به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تعریفی که در این مسأله برای زنای موجب حدّ ارائه شد، تعریف جامع افراد نیست؛ زیرا،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 الإنسان ذَکَره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زنای زن نمی‌شود؛ در حالی‌که ممکن است عملِ وطی نسبت به مرد مصداق زنا نباشد ولی همان</w:t>
      </w:r>
    </w:p>
    <w:p>
      <w:pPr>
        <w:pStyle w:val="BookText"/>
        <w:rPr/>
      </w:pPr>
      <w:r>
        <w:rPr>
          <w:rFonts w:ascii="IRNazanin" w:hAnsi="IRNazanin" w:eastAsia="IRNazanin"/>
          <w:color w:val="111111"/>
          <w:sz w:val="28"/>
          <w:sz w:val="28"/>
          <w:szCs w:val="28"/>
          <w:rtl w:val="true"/>
          <w:lang w:bidi="fa-IR"/>
        </w:rPr>
        <w:t>عمل، در حقّ زن، زنا باشد؛ مانند موردی که زن می‌دانستنه فلان مرد شوهرش نیست، امّا مرد به خیال این‌که زن همسرش است، با او وطی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بر تمام تعاریفی که فقط زنای مرد را تعریف کرده‌اند،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باید اعمّ باشد و شامل زنای موجب حدّ نسبت به هر 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کردن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 زن برای وطی کردن مردی که بالأصالة با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دفع می‌شود</w:t>
      </w:r>
      <w:r>
        <w:rPr>
          <w:rFonts w:eastAsia="IRNazanin" w:cs="IRNazanin"/>
          <w:color w:val="111111"/>
          <w:sz w:val="28"/>
          <w:szCs w:val="28"/>
          <w:rtl w:val="true"/>
          <w:lang w:bidi="fa-IR"/>
        </w:rPr>
        <w:t>.</w:t>
      </w:r>
      <w:bookmarkStart w:id="138" w:name="pg16919_226860"/>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الدخول المعتبر فی ثبوت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الدخول بغیبوبة الحشفة قُبُلاً أو 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عادم الحشفة یکفی صدق الدخول عرفاً ولو لم یکن بمقدار الحشفة، والأحوط فی إجراء الحدّ حصوله بمقدارها، بل یُدرء بما دونها</w:t>
      </w:r>
      <w:r>
        <w:rPr>
          <w:rFonts w:eastAsia="IRNazanin" w:cs="IRNazanin"/>
          <w:color w:val="111111"/>
          <w:sz w:val="28"/>
          <w:szCs w:val="28"/>
          <w:rtl w:val="true"/>
          <w:lang w:bidi="fa-IR"/>
        </w:rPr>
        <w:t>.</w:t>
      </w:r>
    </w:p>
    <w:p>
      <w:pPr>
        <w:pStyle w:val="Heading4"/>
        <w:numPr>
          <w:ilvl w:val="3"/>
          <w:numId w:val="1"/>
        </w:numPr>
        <w:rPr/>
      </w:pPr>
      <w:bookmarkStart w:id="139" w:name="__RefHeading___Toc78688_3244359995"/>
      <w:bookmarkStart w:id="140" w:name="_Toc52"/>
      <w:bookmarkEnd w:id="139"/>
      <w:r>
        <w:rPr>
          <w:rtl w:val="true"/>
        </w:rPr>
        <w:t>شرایط دخول در ثبوت حدّ زنا</w:t>
      </w:r>
      <w:bookmarkEnd w:id="140"/>
    </w:p>
    <w:p>
      <w:pPr>
        <w:pStyle w:val="Heading5"/>
        <w:numPr>
          <w:ilvl w:val="4"/>
          <w:numId w:val="1"/>
        </w:numPr>
        <w:rPr/>
      </w:pPr>
      <w:bookmarkStart w:id="141" w:name="__RefHeading___Toc78690_3244359995"/>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توضیح مسأله‌ی سوم</w:t>
      </w:r>
    </w:p>
    <w:p>
      <w:pPr>
        <w:pStyle w:val="BookText"/>
        <w:rPr/>
      </w:pPr>
      <w:r>
        <w:rPr>
          <w:rFonts w:ascii="IRNazanin" w:hAnsi="IRNazanin" w:eastAsia="IRNazanin"/>
          <w:color w:val="111111"/>
          <w:sz w:val="28"/>
          <w:sz w:val="28"/>
          <w:szCs w:val="28"/>
          <w:rtl w:val="true"/>
          <w:lang w:bidi="fa-IR"/>
        </w:rPr>
        <w:t>دخولی که موجب حدّ است، به غیبوبت حشفه در قُبُل یا دُبُر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مردی که ختنه‌گاه ندارد، کافی است که از نظر عرف، دخول صدق کند هرچند که به اندازه‌ی حشفه نباشد؛ و احتیاط در اجرای حدّ آن است که دخول به اندازه‌ی حشفه باشد؛ بلکه در دخول کمتر از مقدار حشفه، حدّ ساقط می‌شود؛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شامل سه مطلب است</w:t>
      </w:r>
      <w:r>
        <w:rPr>
          <w:rFonts w:eastAsia="IRNazanin" w:cs="IRNazanin"/>
          <w:color w:val="111111"/>
          <w:sz w:val="28"/>
          <w:szCs w:val="28"/>
          <w:rtl w:val="true"/>
          <w:lang w:bidi="fa-IR"/>
        </w:rPr>
        <w:t>:</w:t>
      </w:r>
    </w:p>
    <w:p>
      <w:pPr>
        <w:pStyle w:val="Heading5"/>
        <w:numPr>
          <w:ilvl w:val="4"/>
          <w:numId w:val="1"/>
        </w:numPr>
        <w:rPr/>
      </w:pPr>
      <w:bookmarkStart w:id="143" w:name="__RefHeading___Toc78692_3244359995"/>
      <w:bookmarkStart w:id="144" w:name="_Toc54"/>
      <w:bookmarkEnd w:id="143"/>
      <w:r>
        <w:rPr/>
        <w:t>1</w:t>
      </w:r>
      <w:r>
        <w:rPr>
          <w:rtl w:val="true"/>
        </w:rPr>
        <w:t xml:space="preserve"> - </w:t>
      </w:r>
      <w:r>
        <w:rPr>
          <w:rtl w:val="true"/>
        </w:rPr>
        <w:t>عدم فرق بین دخول در قُبُل و دُبُر</w:t>
      </w:r>
      <w:bookmarkEnd w:id="144"/>
    </w:p>
    <w:p>
      <w:pPr>
        <w:pStyle w:val="BookText"/>
        <w:rPr/>
      </w:pPr>
      <w:r>
        <w:rPr>
          <w:rFonts w:ascii="IRNazanin" w:hAnsi="IRNazanin" w:eastAsia="IRNazanin"/>
          <w:color w:val="111111"/>
          <w:sz w:val="28"/>
          <w:sz w:val="28"/>
          <w:szCs w:val="28"/>
          <w:rtl w:val="true"/>
          <w:lang w:bidi="fa-IR"/>
        </w:rPr>
        <w:t>در رابطه با این موضوع در مسأله‌ی اوّل به‌طور گسترده و کافی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مشهور با شهرت عظیمی به عدم فرق بین این دو قائل هستند و وطی در دُبُر را به لواط ملحق نمی‌کنند</w:t>
      </w:r>
      <w:r>
        <w:rPr>
          <w:rFonts w:eastAsia="IRNazanin" w:cs="IRNazanin"/>
          <w:color w:val="111111"/>
          <w:sz w:val="28"/>
          <w:szCs w:val="28"/>
          <w:rtl w:val="true"/>
          <w:lang w:bidi="fa-IR"/>
        </w:rPr>
        <w:t>.</w:t>
      </w:r>
    </w:p>
    <w:p>
      <w:pPr>
        <w:pStyle w:val="Heading5"/>
        <w:numPr>
          <w:ilvl w:val="4"/>
          <w:numId w:val="1"/>
        </w:numPr>
        <w:rPr/>
      </w:pPr>
      <w:bookmarkStart w:id="145" w:name="__RefHeading___Toc78694_3244359995"/>
      <w:bookmarkStart w:id="146" w:name="_Toc55"/>
      <w:bookmarkEnd w:id="145"/>
      <w:r>
        <w:rPr/>
        <w:t>2</w:t>
      </w:r>
      <w:r>
        <w:rPr>
          <w:rtl w:val="true"/>
        </w:rPr>
        <w:t xml:space="preserve"> - </w:t>
      </w:r>
      <w:r>
        <w:rPr>
          <w:rtl w:val="true"/>
        </w:rPr>
        <w:t>حکم واجد حشفه</w:t>
      </w:r>
      <w:bookmarkEnd w:id="1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زنای موجب حدّ، چه‌مقدار از آلت باید ادخال شود؛ تمام آلت یا بعضی از حشفه یا به مقدار حشفه؟ هر سه احتمال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روایاتی که درباره‌ی واجد الحشفة و عادم الحشفة رسیده است، احتمال اوّل و دوم نفی، و احتمال سوم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صحیح و معتبر بوده و فقها بر طبق آن فتوا داده‌اند، ملاک وجوب 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التقای ختانین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ختانین با هم تماس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w:t>
      </w:r>
    </w:p>
    <w:p>
      <w:pPr>
        <w:pStyle w:val="BookText"/>
        <w:rPr/>
      </w:pPr>
      <w:r>
        <w:rPr>
          <w:rFonts w:ascii="IRNazanin" w:hAnsi="IRNazanin" w:eastAsia="IRNazanin"/>
          <w:color w:val="111111"/>
          <w:sz w:val="28"/>
          <w:sz w:val="28"/>
          <w:szCs w:val="28"/>
          <w:rtl w:val="true"/>
          <w:lang w:bidi="fa-IR"/>
        </w:rPr>
        <w:t xml:space="preserve">حشفه ادخال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روایات، مطلب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روایت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منصور بن حازم،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إذا التقی الختانان فقد وجب الجلد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عبید اللّه بن علیّ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عبداللّه علیه السلام عن الرجل یصیب المرأة فلا ینزل أعلیه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الختان الختان فقد وجب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یوجب الغسل والحدّ یجب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المهر والغسل</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ملاک در وجوب و ترتّب حدّ را تماس و التقای ختانین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صحیحه‌ی حلبی از امام صادق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زنی جماع کرده و انزال نشده، آیا غسل بر او واجب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همیشه می‌فرمود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در تکرار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ختان با ختان تماس گرفت، غسل واجب می‌شود؛ و امیرمؤمنان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 ختانین موجب غسل نباشد و حال آن‌که حدّ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تماس ختانین، به گردن مرد مهریه و غسل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دو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 شدن غسل و ثبوت مهر و ترتّب حدّ، لازم نیست زیادتر از مسّ ختانین دخول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این مقدار، امور مذکوره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هر دو طرف قضیه را متعرّض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سخن از مراتب دخول و وجوب غسل بوده، ولی امیرمؤمنان علیه السلام آن را به مطلبی که مسلّم بوده، یعنی وجوب حدّ در صورت التقای ختانین تشبیه کرده‌اند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حمّاد، عن ربعی بن</w:t>
      </w:r>
    </w:p>
    <w:p>
      <w:pPr>
        <w:pStyle w:val="BookText"/>
        <w:rPr/>
      </w:pPr>
      <w:r>
        <w:rPr>
          <w:rFonts w:ascii="IRNazanin" w:hAnsi="IRNazanin" w:eastAsia="IRNazanin"/>
          <w:color w:val="111111"/>
          <w:sz w:val="28"/>
          <w:sz w:val="28"/>
          <w:szCs w:val="28"/>
          <w:rtl w:val="true"/>
          <w:lang w:bidi="fa-IR"/>
        </w:rPr>
        <w:t>عبداللّه،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أصحاب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الرجل یأتی أهله فیخالطها ولا ینزل؟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لعلیّ علیه السلام ما تقول یا أبا الحسن؟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علیه الحدّ والرّجم ولا توجبون علیه صاعاً من الماء؟ إذا التقی الختانان فقد وجب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المهاجرون ودعوا ما قالت الأنصار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اصحاب پیامبر صلی الله علیه و آله را جمع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دخولی که همراه با انزال نباشد موجب غسل می‌شود؟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برابر آب؛ یعنی اگر منی خارج شد،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التقای ختانین، غسل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 از امیرمؤمنان علیه السلام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حدّ و رجم را جاری می‌سازید ولی صاعی از آب را روا نمی‌دارید؟ هنگامی که دو ختنه‌گاه با هم برخورد کنند، غسل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علیه السلام مفروغٌ به بودن وجوب حدّ در صورت التقای ختانین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راجع به قُبُل تمام است، زیرا برای مرد و زن ختان هست، امّا در مورد وطی در دُبُر که ختان نیست، چه می‌گویید؟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بین وجوب غسل و ثبوت حدّ ملازمه است؛ با هر دخولی که غسل واجب شود، در صورت وجود شرایط، حدّ نیز ثابت می‌گردد؛ لذا، اگر به مقدار حشفه در دُبُر دخول شود، غسل واجب است؛ پس، حدّ نیز واجب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صدد بیان دخولی است که به سبب آن غسل واجب می‌شود، و کاری به مدخولٌ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این‌که اگر مردی ختنه نشده و به مقدار حشفه دخول کرده باشد، عرفاً زنا صادق است؛ با این‌که ختان ندارد تا التقای ختانین صدق کند</w:t>
      </w:r>
      <w:r>
        <w:rPr>
          <w:rFonts w:eastAsia="IRNazanin" w:cs="IRNazanin"/>
          <w:color w:val="111111"/>
          <w:sz w:val="28"/>
          <w:szCs w:val="28"/>
          <w:rtl w:val="true"/>
          <w:lang w:bidi="fa-IR"/>
        </w:rPr>
        <w:t>.</w:t>
      </w:r>
      <w:bookmarkStart w:id="147" w:name="pg16919_226863"/>
    </w:p>
    <w:p>
      <w:pPr>
        <w:pStyle w:val="Heading5"/>
        <w:numPr>
          <w:ilvl w:val="4"/>
          <w:numId w:val="1"/>
        </w:numPr>
        <w:rPr/>
      </w:pPr>
      <w:bookmarkStart w:id="148" w:name="__RefHeading___Toc78696_3244359995"/>
      <w:bookmarkStart w:id="149" w:name="_Toc56"/>
      <w:bookmarkEnd w:id="147"/>
      <w:bookmarkEnd w:id="148"/>
      <w:r>
        <w:rPr/>
        <w:t>3</w:t>
      </w:r>
      <w:r>
        <w:rPr>
          <w:rtl w:val="true"/>
        </w:rPr>
        <w:t xml:space="preserve"> - </w:t>
      </w:r>
      <w:r>
        <w:rPr>
          <w:rtl w:val="true"/>
        </w:rPr>
        <w:t>حکم مقطوع الحشفة</w:t>
      </w:r>
      <w:bookmarkEnd w:id="149"/>
    </w:p>
    <w:p>
      <w:pPr>
        <w:pStyle w:val="BookText"/>
        <w:rPr/>
      </w:pPr>
      <w:r>
        <w:rPr>
          <w:rFonts w:ascii="IRNazanin" w:hAnsi="IRNazanin" w:eastAsia="IRNazanin"/>
          <w:color w:val="111111"/>
          <w:sz w:val="28"/>
          <w:sz w:val="28"/>
          <w:szCs w:val="28"/>
          <w:rtl w:val="true"/>
          <w:lang w:bidi="fa-IR"/>
        </w:rPr>
        <w:t>در تحقّق زنای موجب حدّ برای فردی که مقطوع الحشفه است،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به ادخال مجموع آلت محقّق می‌شود؛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ظهور عرفی در ادخال مجموع آلت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ظهور، نسبت به واجد حشفه، به واسطه‌ی روایات التقای ختانین دست بر می‌داریم؛ امّا نسبت به عادم حشفه، آن را اخذ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 این وجه را احد الوجهین در مسأله قرار داده است</w:t>
      </w:r>
      <w:r>
        <w:rPr>
          <w:rFonts w:eastAsia="IRNazanin" w:cs="IRNazanin"/>
          <w:color w:val="111111"/>
          <w:sz w:val="28"/>
          <w:szCs w:val="28"/>
          <w:rtl w:val="true"/>
          <w:lang w:bidi="fa-IR"/>
        </w:rPr>
        <w:t xml:space="preserve">. </w:t>
      </w:r>
      <w:r>
        <w:rPr>
          <w:rStyle w:val="FootnoteAnchor"/>
        </w:rPr>
        <w:footnoteReference w:id="17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کفایتِ ادخال مسمّای ذَکَر و مسّ آن، هرچند به اندازه‌ی حشفه نباشد؛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الختانان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واجد حشفه است و این روایات فاقد حشفه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معنای عرفی ادخال اخذ کنیم که به مسمّای دخول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انگشتم را در گوشم فرو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مقدار کمی از انگشت را داخل گوش کرده‌اید، کسی اشکال نکرده و جمله‌تان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مسمّایِ دخول ذَکَر، وطی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متن تحریر، به این وجه تمایل نشان داده، اگرچه در مقام اجرای حدّ، به واسطه‌ی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الحدّ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کرده‌اند و ظاهر عبارتشان تفکیک بین ثبوت غُسل و مهر با اجرای حدّ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فقها،</w:t>
      </w:r>
      <w:r>
        <w:rPr>
          <w:rStyle w:val="FootnoteAnchor"/>
          <w:rtl w:val="true"/>
        </w:rPr>
        <w:footnoteReference w:id="176"/>
      </w:r>
      <w:r>
        <w:rPr>
          <w:rFonts w:ascii="IRNazanin" w:hAnsi="IRNazanin" w:eastAsia="IRNazanin"/>
          <w:color w:val="111111"/>
          <w:sz w:val="28"/>
          <w:sz w:val="28"/>
          <w:szCs w:val="28"/>
          <w:rtl w:val="true"/>
          <w:lang w:bidi="fa-IR"/>
        </w:rPr>
        <w:t>در عادم حشفه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اندازه‌ی حشفه دخول کرده باشد تا حدّ زنا ثابت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بین مجموع ذَکَر و مسمّای آن؛ زیرا، روایاتی که دخول را به التقای ختانین دانسته‌اند، در مقام این نیستند که برای دخول یک معنای شرعی و تعبّدی درست کنند، بلکه در مقام بیان زنای معهود عرفی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اندازه دخول واقع شود تا زنا صدق کند؛ و فرقی بین واجد حشفه و عادم آن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که مختار مشهور است و امام قدس سره نیز در مقام اجرای حدّ، بنا بر احتیاط آن را پذیرفته‌اند، اقربِ از وجوه دیگر است</w:t>
      </w:r>
      <w:r>
        <w:rPr>
          <w:rFonts w:eastAsia="IRNazanin" w:cs="IRNazanin"/>
          <w:color w:val="111111"/>
          <w:sz w:val="28"/>
          <w:szCs w:val="28"/>
          <w:rtl w:val="true"/>
          <w:lang w:bidi="fa-IR"/>
        </w:rPr>
        <w:t>.</w:t>
      </w:r>
      <w:bookmarkStart w:id="150" w:name="pg16919_226864"/>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الزانیة والزانی فی ثبوت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ثبوت الحدّ علی کلّ من الزانی والزانیة البلوغ، فلا حدّ علی الصغیر والصغیرة، والعقل، فلا حدّ علی المجنونة بلا شبهة ولا علی المجنون علی الأصحّ، والعلم بالتحریم حال وقوع الفعل منه إجتهاداً أو تقلیداً، فلا حدّ علی الجاهل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الحکم یدرأ عنه الحدّ، وکذا لو غفل عنه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والإختیار، فلا حدّ علی المکره والمکرهة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تحقّق الإکراه فی طرف الرجل کما یتحقّق فی طرف المرأة</w:t>
      </w:r>
      <w:r>
        <w:rPr>
          <w:rFonts w:eastAsia="IRNazanin" w:cs="IRNazanin"/>
          <w:color w:val="111111"/>
          <w:sz w:val="28"/>
          <w:szCs w:val="28"/>
          <w:rtl w:val="true"/>
          <w:lang w:bidi="fa-IR"/>
        </w:rPr>
        <w:t>.</w:t>
      </w:r>
    </w:p>
    <w:p>
      <w:pPr>
        <w:pStyle w:val="Heading4"/>
        <w:numPr>
          <w:ilvl w:val="3"/>
          <w:numId w:val="1"/>
        </w:numPr>
        <w:rPr/>
      </w:pPr>
      <w:bookmarkStart w:id="151" w:name="__RefHeading___Toc78698_3244359995"/>
      <w:bookmarkStart w:id="152" w:name="_Toc57"/>
      <w:bookmarkEnd w:id="151"/>
      <w:r>
        <w:rPr>
          <w:rtl w:val="true"/>
        </w:rPr>
        <w:t>شرایط زن و مرد زناکار در ثبوت حدّ زنا</w:t>
      </w:r>
      <w:bookmarkEnd w:id="152"/>
    </w:p>
    <w:p>
      <w:pPr>
        <w:pStyle w:val="Heading5"/>
        <w:numPr>
          <w:ilvl w:val="4"/>
          <w:numId w:val="1"/>
        </w:numPr>
        <w:rPr/>
      </w:pPr>
      <w:bookmarkStart w:id="153" w:name="__RefHeading___Toc78700_3244359995"/>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امام قدس سره در این مسأله چهار چیز را در ثبوت حدّ برای زناکار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عبارتی را که در مسأله‌ی اوّل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شرائط یأتی بیانها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تفصیل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چهار شرط از تعریف زنای موجب حدّ نیز فهمیده می‌شود؛ لذا، این مسأله جنبه‌ی توضیحی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نام آن‌ها به‌طور مستقلّ این است که در بعضی از فروع این شروط، مخالفت‌هایی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ثبوت حدّ بر هر یک از زانی و زانیه بلوغ شرط است؛ پس، بر صغیر و صغیره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از شرایط ثبوت حدّ است؛ به‌همین جهت، بر زن مجنونه اگر زنا داد، بدون هیچ شکّ و شبهه‌ای حدّی نیست؛ و بر مجنون، اگر زنا کرد، بنا بر قول صحیح‌تر حدّی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اجتهادی یا تقلیدی به حرمت زنا در حین عمل، شرط دیگر ثبوت حدّ است؛ بنابراین، نسبت به جاهل، حدّی نمی‌باشد؛ و اگر حکم را فراموش کرده، حدّ در مورد او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اگر در حال عمل، از حکم،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نیز اختیار است؛ لذا، بر مرد یا زنی که اکراه بر زنا می‌شوند،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ممکن است مرد را اکراه کرد، همان‌گونه که در مورد زن امکان دارد</w:t>
      </w:r>
      <w:r>
        <w:rPr>
          <w:rFonts w:eastAsia="IRNazanin" w:cs="IRNazanin"/>
          <w:color w:val="111111"/>
          <w:sz w:val="28"/>
          <w:szCs w:val="28"/>
          <w:rtl w:val="true"/>
          <w:lang w:bidi="fa-IR"/>
        </w:rPr>
        <w:t>.</w:t>
      </w:r>
      <w:bookmarkStart w:id="155" w:name="pg16919_226865"/>
    </w:p>
    <w:p>
      <w:pPr>
        <w:pStyle w:val="Heading5"/>
        <w:numPr>
          <w:ilvl w:val="4"/>
          <w:numId w:val="1"/>
        </w:numPr>
        <w:rPr/>
      </w:pPr>
      <w:bookmarkStart w:id="156" w:name="__RefHeading___Toc78702_3244359995"/>
      <w:bookmarkStart w:id="157" w:name="_Toc59"/>
      <w:bookmarkEnd w:id="155"/>
      <w:bookmarkEnd w:id="156"/>
      <w:r>
        <w:rPr>
          <w:rtl w:val="true"/>
        </w:rPr>
        <w:t>شرط اوّل</w:t>
      </w:r>
      <w:r>
        <w:rPr>
          <w:rtl w:val="true"/>
        </w:rPr>
        <w:t xml:space="preserve">: </w:t>
      </w:r>
      <w:r>
        <w:rPr>
          <w:rtl w:val="true"/>
        </w:rPr>
        <w:t>بلوغ</w:t>
      </w:r>
      <w:bookmarkEnd w:id="157"/>
    </w:p>
    <w:p>
      <w:pPr>
        <w:pStyle w:val="BookText"/>
        <w:rPr/>
      </w:pPr>
      <w:r>
        <w:rPr>
          <w:rFonts w:ascii="IRNazanin" w:hAnsi="IRNazanin" w:eastAsia="IRNazanin"/>
          <w:color w:val="111111"/>
          <w:sz w:val="28"/>
          <w:sz w:val="28"/>
          <w:szCs w:val="28"/>
          <w:rtl w:val="true"/>
          <w:lang w:bidi="fa-IR"/>
        </w:rPr>
        <w:t>برای تحقّق زنای موجب حدّ، بالغ بودن زانی و زانیه شرط نیست، بلکه بلوغ در کسی که حدّ بر او جاری می‌شود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ملازمه‌ای بین ثبوت حدّ و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جماعی نسبت به یک طرف زنای موجب حدّ باشد و نسبت به طرف دیگر نباشد؛ مانند مردی که زنی را به زنا اکراه می‌کند؛ یا اگر بالغی با صغیری وطی کند، بر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اجرا می‌شود، ولی بر طرف دیگر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روایاتی که از معصومین علیهم السلام رسیده، اعتبار بلوغ از نظر فتوا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ابن محبوب، عن أبی أیّوب الخزّاز،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إذا بلغت تسع سنین ذهب عنها الیُتْم وزوّجت واُقیمت علیها الحدود التامّة لها وعلیها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ودخل بأهله وهو غیر مدرک، أتقام علیه الحدود علی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الکاملة التی یؤخذ بها الرجال فلا، ولکن یجلد فی الحدود کلّها علی مبلغ سنّه، ولا تبطل حدود اللّه فی خلقه، ولا تبطل حقوق المسلمین بینهم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زمانی که به سنّ نُه سالگی رسید، از یتیمی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مالش استقلال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دخول به او مانعی ندارد؛ و حدود خدا نسبت به او جاری می‌شود، خواه به نفع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 قذف که به نفع دختر است؛ زیرا، برای حفظ موقعیّت و عفّت او این حدّ وضع شده است، و قاذف او باید حدّ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خواه به ضرر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 زنا در صورتی که دختر زنا دهد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کناسی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حدود نسبت به پسر غیربالغی که پدرش برای او زن گرفته و با همسرش جماع کرده است، اجرا می‌شود؟</w:t>
      </w:r>
      <w:bookmarkStart w:id="158" w:name="pg16919_226866"/>
    </w:p>
    <w:p>
      <w:pPr>
        <w:pStyle w:val="BookText"/>
        <w:rPr/>
      </w:pPr>
      <w:bookmarkEnd w:id="158"/>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کاملی که گریبان مردها را می‌گیرد، درباره‌ی او اجرا نمی‌شود؛ بلکه اگر کار غیرمشروعی انجام داد، به تناسب سنّش به او تازیانه می‌زنند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نقل دیگری از حدیث آمده که حال بچّه تا پانزده سالگی چنین است؛ و هنگامی‌که به این سن رسید، مرد شده و حدود کامل در حقّ او جاری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خدا در میان مردم نباید هیچ‌گاه تعطیل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امام علیه السلام حدودی است که به نفع مردم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نتیجه، این صحیحه بر عدم ثبوت حدّ کامل بر دختر و پسر، قبل از بلوغ آن‌ها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أحمد بن یحیی، عن أبی عبداللّه، عن علیّ بن الحسین، عن حمّاد بن عیسی، عن جعفر بن محمّد،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مجنون حتّی یُفیق، ولا علی صبیّ حتّی یدرک ولا علی النائم حتّی یستیقظ</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مجنون تا از حالت جنونش خارج نشده، و بر کودک تا بالغ نشده، و بر فرد خواب تا بیدار نشده،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فتوا، در مورد پسر و دختر کوچک،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غیر از این دو صحیحه، روایات دیگری هم باشد که ذکر همه‌ی آن‌ها نیاز نیست</w:t>
      </w:r>
      <w:r>
        <w:rPr>
          <w:rFonts w:eastAsia="IRNazanin" w:cs="IRNazanin"/>
          <w:color w:val="111111"/>
          <w:sz w:val="28"/>
          <w:szCs w:val="28"/>
          <w:rtl w:val="true"/>
          <w:lang w:bidi="fa-IR"/>
        </w:rPr>
        <w:t>.</w:t>
      </w:r>
    </w:p>
    <w:p>
      <w:pPr>
        <w:pStyle w:val="Heading5"/>
        <w:numPr>
          <w:ilvl w:val="4"/>
          <w:numId w:val="1"/>
        </w:numPr>
        <w:rPr/>
      </w:pPr>
      <w:bookmarkStart w:id="159" w:name="__RefHeading___Toc78704_3244359995"/>
      <w:bookmarkStart w:id="160" w:name="_Toc60"/>
      <w:bookmarkEnd w:id="159"/>
      <w:r>
        <w:rPr>
          <w:rtl w:val="true"/>
        </w:rPr>
        <w:t>شرط دوم</w:t>
      </w:r>
      <w:r>
        <w:rPr>
          <w:rtl w:val="true"/>
        </w:rPr>
        <w:t xml:space="preserve">: </w:t>
      </w:r>
      <w:r>
        <w:rPr>
          <w:rtl w:val="true"/>
        </w:rPr>
        <w:t>عقل</w:t>
      </w:r>
      <w:bookmarkEnd w:id="160"/>
    </w:p>
    <w:p>
      <w:pPr>
        <w:pStyle w:val="BookText"/>
        <w:rPr/>
      </w:pPr>
      <w:r>
        <w:rPr>
          <w:rFonts w:ascii="IRNazanin" w:hAnsi="IRNazanin" w:eastAsia="IRNazanin"/>
          <w:color w:val="111111"/>
          <w:sz w:val="28"/>
          <w:sz w:val="28"/>
          <w:szCs w:val="28"/>
          <w:rtl w:val="true"/>
          <w:lang w:bidi="fa-IR"/>
        </w:rPr>
        <w:t>همان‌گونه که در عبارت تحریر الوسیله آمده، در مورد عقل دو بحث لازم است بیان شود؛ یکی در مورد زن دیوانه، اگر زنا داد؛ و دیگری مرد مجنون، اگر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زن دیوانه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روایات و فتوا، مسلّم است اگر زن دیوانه‌ای زنا داد، حدّ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دو روایت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العامّة والخاصّة أنّ مجنونة فجر بها رجل وقامت البیّنة علیها، فأمر عمر بجلدها الحدّ، فمرّ بها علیّ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مجنونة آل فلان تقتل؟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فجر بها فهرب وقامت البیّنة علیها فأمر عمر بجلدها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إلیه وقولوا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هذه مجنونة آل فلان، وأنّ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المجنون حتّی یفیق وأنّها مغلوبة علی عقلها ونفسها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فردّوها إلیه، فدرأ عنها الحدّ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کتاب ارشاد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این داستان را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امر مسلّمی بوده که روایت آن از هر دو طایفه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این‌که مردی به زن دیوانه‌ای تجاوز کرد و بیّنه بر ثبوت زنا قائم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به او صد تازیانه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آن زن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دیوانه مربوط به فلان قبیله است، چه کرده که باید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می‌شود که با این‌که مسأله‌ی تازیانه مطرح بوده، چرا امام علیه السلام کشتن را پیش کشید؟ شاید امام علیه السلام می‌دانسته اگر این زن حدّ بخورد، می‌میرد؛ علاوه بر این‌که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امام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او زنا کرده و گریخته و بر زنای این زن بیّنه قائم شده است؛ عمر نیز دستور داده او را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و به عمر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این زن، دیوانه‌ی فلان قبیله است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دیوانه تا قبل از آن‌که جنونش برطرف شود، برداشته شده است؟ این زن مالکِ امر خودش نیست و نمی‌تواند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برگردانیدند و حدّ را از او برداشت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العلاء بن رزین، عن محمّد بن مسلم، عن أحدهما علیهما السلام فی امرأة مجنونة زنت، أنّها لا تملک أمرها، لیس علیها شیء</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روایت، هم‌چون روایات باب شکّ بین سه و چهار است، که هیچ‌کس احتمال نمی‌دهد مربوط به شکّ مردها باشد و شکّ زنان 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تعبیرات، عمومیّت استفاده می‌شود؛ همان‌گونه که عرف، حکم صبی را به صبیّه تعمیم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محمّد بن مسلم درباره‌ی زن دیوانه‌ای که زنا داد، از امام پرسید؛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نمی‌تواند خود را کنترل کند و عقلش مغلوب است؛ پس، حدّی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زنای مرد دیوانه</w:t>
      </w:r>
    </w:p>
    <w:p>
      <w:pPr>
        <w:pStyle w:val="BookText"/>
        <w:rPr/>
      </w:pPr>
      <w:r>
        <w:rPr>
          <w:rFonts w:ascii="IRNazanin" w:hAnsi="IRNazanin" w:eastAsia="IRNazanin"/>
          <w:color w:val="111111"/>
          <w:sz w:val="28"/>
          <w:sz w:val="28"/>
          <w:szCs w:val="28"/>
          <w:rtl w:val="true"/>
          <w:lang w:bidi="fa-IR"/>
        </w:rPr>
        <w:t>مشهور فقها او را مانند مجنونه می‌دانند؛ و امام رحمه الله نیز در متن تحریر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جاری نمی‌شود؛ لیکن در مقابل مشهور، بزرگانی مانند شیخ مفید،</w:t>
      </w:r>
      <w:r>
        <w:rPr>
          <w:rStyle w:val="FootnoteAnchor"/>
          <w:rtl w:val="true"/>
        </w:rPr>
        <w:footnoteReference w:id="181"/>
      </w:r>
      <w:r>
        <w:rPr>
          <w:rFonts w:ascii="IRNazanin" w:hAnsi="IRNazanin" w:eastAsia="IRNazanin"/>
          <w:color w:val="111111"/>
          <w:sz w:val="28"/>
          <w:sz w:val="28"/>
          <w:szCs w:val="28"/>
          <w:rtl w:val="true"/>
          <w:lang w:bidi="fa-IR"/>
        </w:rPr>
        <w:t>شیخ طوسی،</w:t>
      </w:r>
      <w:r>
        <w:rPr>
          <w:rStyle w:val="FootnoteAnchor"/>
          <w:rtl w:val="true"/>
        </w:rPr>
        <w:footnoteReference w:id="182"/>
      </w:r>
      <w:r>
        <w:rPr>
          <w:rFonts w:ascii="IRNazanin" w:hAnsi="IRNazanin" w:eastAsia="IRNazanin"/>
          <w:color w:val="111111"/>
          <w:sz w:val="28"/>
          <w:sz w:val="28"/>
          <w:szCs w:val="28"/>
          <w:rtl w:val="true"/>
          <w:lang w:bidi="fa-IR"/>
        </w:rPr>
        <w:t>شیخ صدوق،</w:t>
      </w:r>
      <w:r>
        <w:rPr>
          <w:rStyle w:val="FootnoteAnchor"/>
          <w:rtl w:val="true"/>
        </w:rPr>
        <w:footnoteReference w:id="183"/>
      </w:r>
      <w:r>
        <w:rPr>
          <w:rFonts w:ascii="IRNazanin" w:hAnsi="IRNazanin" w:eastAsia="IRNazanin"/>
          <w:color w:val="111111"/>
          <w:sz w:val="28"/>
          <w:sz w:val="28"/>
          <w:szCs w:val="28"/>
          <w:rtl w:val="true"/>
          <w:lang w:bidi="fa-IR"/>
        </w:rPr>
        <w:t>قاضی ابن برّاج،</w:t>
      </w:r>
      <w:r>
        <w:rPr>
          <w:rStyle w:val="FootnoteAnchor"/>
          <w:rtl w:val="true"/>
        </w:rPr>
        <w:footnoteReference w:id="184"/>
      </w:r>
      <w:r>
        <w:rPr>
          <w:rFonts w:ascii="IRNazanin" w:hAnsi="IRNazanin" w:eastAsia="IRNazanin"/>
          <w:color w:val="111111"/>
          <w:sz w:val="28"/>
          <w:sz w:val="28"/>
          <w:szCs w:val="28"/>
          <w:rtl w:val="true"/>
          <w:lang w:bidi="fa-IR"/>
        </w:rPr>
        <w:t>و ابن سعید رحمهم الله</w:t>
      </w:r>
      <w:r>
        <w:rPr>
          <w:rStyle w:val="FootnoteAnchor"/>
          <w:rtl w:val="true"/>
        </w:rPr>
        <w:footnoteReference w:id="185"/>
      </w:r>
      <w:r>
        <w:rPr>
          <w:rFonts w:ascii="IRNazanin" w:hAnsi="IRNazanin" w:eastAsia="IRNazanin"/>
          <w:color w:val="111111"/>
          <w:sz w:val="28"/>
          <w:sz w:val="28"/>
          <w:szCs w:val="28"/>
          <w:rtl w:val="true"/>
          <w:lang w:bidi="fa-IR"/>
        </w:rPr>
        <w:t>معتقدند بایستی حدّ کامل به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ادلّه‌ی هر دو نظر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قول مشهور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روایت ارشاد، درباره‌ی زن دیوانه است، امّا امام علیه السلام به کلام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شمول روایت، نسبت به مجنون مسلّم است، و به قرینه‌ی استشهاد امام علیه السلام، آن را نسبت به مجنونه تعمیم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هر دو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صحیحه‌ی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درباره‌ی صبی بود و ذکر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 مجنون حتّی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این روایت نیز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عن أبی أیّوب،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مجنوناً قذف رجلاً لم أر علیه شیئاً، ولو قذفه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حدّ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به‌خاطر پدر علی بن ابراهیم، بین صحیح و حسن مردّد است؛ به‌هر حال،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حدّهای ضرری ندارند، حدّهای نفعی نیز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دومی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تفسیر این کلام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مجنونی مردی را قذف کرد، نباید حدّ قذف بخورد؛ و اگر او را نیز قذف کردند، حدّی بر قاذف، به نفع مجنون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این روایت، در باب قذف وارد شده است، ولی امام علیه السلام در آن، به یک ضابطه‌ی کلّی اشاره می‌کند،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حدّ ضرری ندارند، حدّ نفعی نیز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نکره‌ی در سیاق نفی، افاده‌ی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از مصادیق این قاعده‌ی کلّی است، پس هیچ حدّ ضرری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حدّ نیز زنا است؛ نتیجه این می‌شود که حدّ زنا در حقّ مجنون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قول غیر مشهور</w:t>
      </w:r>
    </w:p>
    <w:p>
      <w:pPr>
        <w:pStyle w:val="BookText"/>
        <w:rPr/>
      </w:pPr>
      <w:r>
        <w:rPr>
          <w:rFonts w:ascii="IRNazanin" w:hAnsi="IRNazanin" w:eastAsia="IRNazanin"/>
          <w:color w:val="111111"/>
          <w:sz w:val="28"/>
          <w:sz w:val="28"/>
          <w:szCs w:val="28"/>
          <w:rtl w:val="true"/>
          <w:lang w:bidi="fa-IR"/>
        </w:rPr>
        <w:t>دلیل قول مشهور فقط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عمرو بن عثمان، عن إبراهیم بن الفضل،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المجنون أو المعتوه جُلد الحدّ وإن کان محصناً رجم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 المجنون والمجنونة والمعتوه والمعتوهة؟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إنّما تؤتی والرجل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یزنی إذا عقل کیف یأتی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المرأة إنّما تستکره ویفعل بها وهی لا تعقل ما یفعل بها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این روایت را از اعتبار ساقط می‌دانند؛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رجالی توثیق و مدحی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دفاع از سند روایت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کتاب رجالش که از ارکان کتب رجالی شیعه است و در آن، اصحاب امامان علیهم السلام را جداگانه ذکر می‌کند، در شمار اصحاب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ابراهیم بن الفضل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w:t>
      </w:r>
      <w:r>
        <w:rPr>
          <w:rStyle w:val="FootnoteAnchor"/>
          <w:rtl w:val="true"/>
        </w:rPr>
        <w:footnoteReference w:id="189"/>
      </w:r>
      <w:r>
        <w:rPr>
          <w:rFonts w:ascii="IRNazanin" w:hAnsi="IRNazanin" w:eastAsia="IRNazanin"/>
          <w:color w:val="111111"/>
          <w:sz w:val="28"/>
          <w:sz w:val="28"/>
          <w:szCs w:val="28"/>
          <w:rtl w:val="true"/>
          <w:lang w:bidi="fa-IR"/>
        </w:rPr>
        <w:t>بنابراین، راوی مذکور در این سند، مردّد بین این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اردبیلی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یکی از موارد حدیثِ ابراهیم بن الفضل الهاشمی را همین روایت شمرده است؛ و در نتیجه، راوی از حالت تردید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توثیق ابراهیم بن الفضل هاشمی نیز وجوه زیر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صاحب جامع‌الرواة اشاره‌ای به تضعیف او نمی‌کند، ممدوح بودنش استفاده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الفضل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بهبهانی که متخصّص مسائل رجالی است، از این نکته استفاده کرده و او را توثیق می‌کند؛ زیرا، روایت کردن جعفر بن بشیر از کسی را نشانه‌ی ثقه بودن او می‌داند</w:t>
      </w:r>
      <w:r>
        <w:rPr>
          <w:rFonts w:eastAsia="IRNazanin" w:cs="IRNazanin"/>
          <w:color w:val="111111"/>
          <w:sz w:val="28"/>
          <w:szCs w:val="28"/>
          <w:rtl w:val="true"/>
          <w:lang w:bidi="fa-IR"/>
        </w:rPr>
        <w:t>.</w:t>
      </w:r>
      <w:r>
        <w:rPr>
          <w:rStyle w:val="FootnoteAnchor"/>
        </w:rPr>
        <w:footnoteReference w:id="191"/>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این روایت، برخلاف قواعد فقهی است؛ زیرا، اسلام، مجنون را به هیچ تکلیفی مکلّف نکرده، ولی در این روایت بر مجنون حدّ ثابت شده است؛ و چنین روایتی مورد استناد بزرگانی همانند شیخ مفید، شیخ طوسی، قاضی ابن برّاج و ابن سعید و شیخ صدوق رحمهم الله واقع شده است؛ که از این استناد، کشف می‌شود سند روایت برای آنان معتبر بوده، وگرنه چگونه به روایت ضعیف فتوا داده‌اند؟ چه فرقی است بین این‌که شیخ مفید رحمه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ثقه است یا به حدیثی عمل کند که برخلاف قاعده است؟ از عمل او، وثاقت‌راوی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ما، اشکالات زیر بر وجوه فوق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مرحوم اردبیلی فهمیده راوی این حدیث، ابراهیم بن الفضل الهاشمی است، نه ابو اسحاق ابراهیم بن الفضل المدنی؟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تعرّض صاحب جامع الرواة به مدح و ذمّ او چگونه حُسن کشف می‌شود؟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بزرگان قوم به این روایت، معارض است با اعراض مشهور از فتوا دادن به آن؛ به‌عبارت دیگر، مشهور این توثیق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دلالت روایت در فرق بین مجنون و مجنونه صریح و روشن است و قابل مناقشه نیست، معلوم می‌شود اشکال مشهور بر سند آن بوده و نه بر دلالتش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استنباط مرحوم وحید بهبهانی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نیست روایت کردن جعفر بن بشیر از ابراهیم بن فضل الهاشمی از جهت ثقه بودن اوست یا از جهت موثوق الصدور بودن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اعتبار روایت در نظر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آن‌که این روایت، مخالفت صریح با روایات گذشته دارد، حداقل شکّ می‌کنیم آیا بر مجنون حدّی ثابت است یا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الحدود تدرء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حدّ را از او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نوعی از مجنون است و شاید مقصود، مجنون ادواری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 یا معتوه زنا کند، باید تازیانه بخورد؛ و اگر محصن است، باید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زن و مرد دیوانه یا معتوه از سوی راوی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فرقش این است که زن حالت مفعولی و مرد حالت فاعلی دارد؛ کسی که فاعل است، در صورتی زنا می‌کند که می‌فهمد، و تعقّل می‌کند که چگونه دفع شهوت کند؛ امّا زن این‌گونه نیست، او را بر این کار اکراه می‌کنند و چه‌بسا لذّت نمی‌برد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تعلیل در روایت نبود، دلالت آن تمام بود؛ امّا با وجود این تعلیل، اشکال می‌شود از این تعلیل چه چیزی قصد شده است؟ آیا هرگاه مجنون راه دفع شهوت را بداند،</w:t>
      </w:r>
      <w:bookmarkStart w:id="161" w:name="pg16919_226872"/>
    </w:p>
    <w:p>
      <w:pPr>
        <w:pStyle w:val="BookText"/>
        <w:rPr/>
      </w:pPr>
      <w:bookmarkEnd w:id="161"/>
      <w:r>
        <w:rPr>
          <w:rFonts w:ascii="IRNazanin" w:hAnsi="IRNazanin" w:eastAsia="IRNazanin"/>
          <w:color w:val="111111"/>
          <w:sz w:val="28"/>
          <w:sz w:val="28"/>
          <w:szCs w:val="28"/>
          <w:rtl w:val="true"/>
          <w:lang w:bidi="fa-IR"/>
        </w:rPr>
        <w:t>کشف می‌شود که او مجنون نیست؟ از این‌رو، صاحب وسائل رحمه الله این روایت را بر مجنونی که مرتبه‌ای از عقل و ادراک را تمییز داشته باشد،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توجیه، روایت ربطی به بحث ما ندارد؛ زیرا، بحث ما در مجنونی است که تمام مراتب عقل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روایت این است که در عالم هرکسی زنا کند، معقول نبوده و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زانی بودن مساوی با عاقل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روشن است؛ زیرا، مجنون بدتر از حیوان نیست که راه خاموش کردن شهوت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فقط در جهات انسانیّت، عقل ندارد؛ امّا در جهت حیوانی،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اطفای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ندارد؛ به‌همان گونه‌ای که غذا خوردن را برای رفع گرسنگی، درک می‌کند، دفع شهوت را نیز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تعبیری که در روایت برای فرق بین مجنون و مجنونه گفته شده،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مطلب گذشته، از تعلیلی که در روایت صحیحه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تملک أمرها؛ کسی که جنون دارد نمی‌تواند خودش را کنترل کند و مالک امر خودش نیست، پس بر او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لا یملک أمره لیس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اختصاص به مجنونه ندارد، و با کمال وضوح، در باب مجنون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گذشته، ناچاریم قول مشهور را بپذیریم؛ همان‌گونه که امام رحمه الله در تحریر الوسیله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صحیح‌تر، بر مجنون، حدّی نیست</w:t>
      </w:r>
      <w:r>
        <w:rPr>
          <w:rFonts w:eastAsia="IRNazanin" w:cs="IRNazanin"/>
          <w:color w:val="111111"/>
          <w:sz w:val="28"/>
          <w:szCs w:val="28"/>
          <w:rtl w:val="true"/>
          <w:lang w:bidi="fa-IR"/>
        </w:rPr>
        <w:t>.</w:t>
      </w:r>
    </w:p>
    <w:p>
      <w:pPr>
        <w:pStyle w:val="Heading5"/>
        <w:numPr>
          <w:ilvl w:val="4"/>
          <w:numId w:val="1"/>
        </w:numPr>
        <w:rPr/>
      </w:pPr>
      <w:bookmarkStart w:id="162" w:name="__RefHeading___Toc78706_3244359995"/>
      <w:bookmarkStart w:id="163" w:name="_Toc61"/>
      <w:bookmarkEnd w:id="162"/>
      <w:r>
        <w:rPr>
          <w:rtl w:val="true"/>
        </w:rPr>
        <w:t>شرط سوم</w:t>
      </w:r>
      <w:r>
        <w:rPr>
          <w:rtl w:val="true"/>
        </w:rPr>
        <w:t xml:space="preserve">: </w:t>
      </w:r>
      <w:r>
        <w:rPr>
          <w:rtl w:val="true"/>
        </w:rPr>
        <w:t>علم به تحریم زنا در حال وقوع فعل</w:t>
      </w:r>
      <w:bookmarkEnd w:id="163"/>
    </w:p>
    <w:p>
      <w:pPr>
        <w:pStyle w:val="BookText"/>
        <w:rPr/>
      </w:pPr>
      <w:r>
        <w:rPr>
          <w:rFonts w:ascii="IRNazanin" w:hAnsi="IRNazanin" w:eastAsia="IRNazanin"/>
          <w:color w:val="111111"/>
          <w:sz w:val="28"/>
          <w:sz w:val="28"/>
          <w:szCs w:val="28"/>
          <w:rtl w:val="true"/>
          <w:lang w:bidi="fa-IR"/>
        </w:rPr>
        <w:t>امام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عمل، زانی یا زانیه باید علم اجتهادی یا تقلیدی به حرمت زنا داشته باشد تا حدّ بر او ثابت شود؛ بنابراین، حدّی بر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را می‌دانسته و فراموش کرده، یا در حین عمل از حکم غفلت داشته، حدّ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امام مشتمل بر مطالبی است که باید به آن‌ها توجّه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در این‌جا، قطع و یقین نیست، بلکه مقصود از آن، حجّت بر تحریم است و لازم نیست این حجّت از امارات باشد؛ بلکه شامل هر حجّت شرعی بر تحریم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یا بیّنه، یا خبر واحد و یا اصل عملی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تحریم؛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قبلاً بر او حرام بوده و نمی‌داند آیا او را عقد کرده یا نه؟ مقتضای استصحاب، عدم زوجیّت و بقای حرمت وطی با این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تعمیم،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تقلیداً أو إجتهاداً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الوسیله است؛ زیرا، اگر مجتهد یقین به حکم هم پیدا کند، برای مقلّد او هیچ‌گاه یقین به حکم پیدا نمی‌شود؛ بلکه مقلّد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من به حرمت زنا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این‌جا اعم از علم تفصیلی و علم اجمالی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تفصیل بداند فلان زن بر او حرام است و با او وطی کند، حدّ ثابت می‌شود؛ و اگر به اجمال بداند یکی از دو زن بر او حرام است و با هر دو وطی کند، باز حدّ ثابت است؛ زیرا، فرقی بین علم اجمالی در این باب و ابواب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در دَوَران بین خمر و غیرخمر اقتضای اجتناب از هر دو را دارد، در این‌جا نیز حکم واقعی معلوم بالإجمال گریبانِ مکلّف را می‌گیرد و بر او تنجّز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حکم عقل، اجتناب از هر دو لازم است؛ و اگر اجتناب نکرد و مصادف با حرام واقعی نشد، آثار حرام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علم،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و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در این‌جا خصوصیّتی نیز وجود ندارد تا علم را به علم تفصیلی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علم در مقابل جهل به‌کار می‌رود، لیکن از بیان امام رحمه الله در تقریر مسأله می‌فهمیم در این‌جا علم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توجّه و التفات به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مقصود از آن، علم در مقابل جهل، نسیان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ثبوت حدّ، نه تنها باید علم به تحریم داشته باشد، بلکه در حین عمل نیز نسبت به حکم، فراموشی یا غفلتی به او دست نداده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تخصیص، حدیث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آن‌چه مجهول باشد، در شبهات حکمیّه یا موضوعیّه، موضوع برای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در هر جهل و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 اگر جاهل مقصّر باشد و راهی برای سؤال کردن و به‌دست آوردن حکم الهی داشته باشد، حدیث رفع در حقّ او</w:t>
      </w:r>
    </w:p>
    <w:p>
      <w:pPr>
        <w:pStyle w:val="BookText"/>
        <w:rPr/>
      </w:pP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مواردی داریم که اگر شخص، جاهلِ مقصّر باشد، معذور نیست و حجّت گریبان او را می‌گیرد؛ که در آینده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نسیان، حدیث رفع دلالت بر عدم ثبوت حدّ دارد؛ صورت غفلت نیز مشمول ما لا یعلمون و جهل است؛ زیرا، غافل کسی است که توجّه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غیرمتوجّه که به عدم توجّه خود نیز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دلیل خاصّی نداریم؛ و ادلّه‌ی عامّه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دو روایت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درباره‌ی دخالت علم به تحریم در ثبوت حدّ زنا؛ و دیگری درباره‌ی معذور نبودن جاهل 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الحسن بن محبوب، عن علیّ بن رئاب، عن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امرأة تزوّجت فی عدّتها بجهالة منها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علیها شیئاً ویفرّق بینها وبین الّذی تزوّج بها، ولا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قد عرفت أنّ ذلک محرّم علیها ثمّ تقدّمت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تزوّجته فی عدّة لزوجها الّذی طلّقها، علیها الرجعة، فإنّی أری أنّ علیها الرجم، فإن کانت تزوّجته فی عدّة لیس لزوجها علیها فیها الرجعة، فإنّی أری أنّ علیها حدّ الزانی ویفرّق بینها وبین الّذی تزوّجها ولا تحلّ له أبداً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و ظاهراً حمران، برادر زراره و از فرزندان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می‌کند درباره‌ی زنی که در عدّه با مردی ازدواج کرده و جاهل به تحریم ازدواج در عدّه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حرمت تکلیفی بر آن زن نیست؛ لیکن، حرمت وضعی پیدا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 این مرد، حرام ابدی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عالم به تحریم بود و به این کار اقدام کرد،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در عدّه طلاق رجعی بوده است، باید سنگسار شود؛ و اگر در عدّه طلاق بائن بوده است، حدّ زانی بر او زده می‌شود، و بین او و آن مرد جدایی</w:t>
      </w:r>
    </w:p>
    <w:p>
      <w:pPr>
        <w:pStyle w:val="BookText"/>
        <w:rPr/>
      </w:pPr>
      <w:r>
        <w:rPr>
          <w:rFonts w:ascii="IRNazanin" w:hAnsi="IRNazanin" w:eastAsia="IRNazanin"/>
          <w:color w:val="111111"/>
          <w:sz w:val="28"/>
          <w:sz w:val="28"/>
          <w:szCs w:val="28"/>
          <w:rtl w:val="true"/>
          <w:lang w:bidi="fa-IR"/>
        </w:rPr>
        <w:t>می‌اندازند، و بر یکدیگر حرام ابدی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إبراهیم، عن أبیه، عن الحسن بن محبوب، عن أبی أیّوب،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امرأة تزوّجت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تزوّجت فی عدّة طلاق لزوجها علیها الرجعة فإنّ علیها الرجم، وإن کانت تزوّجت فی عدّة لیس لزوجها علیها الرجعة، فإنّ علیها حدّ الزانی غیر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تزوّجت فی عدّة بعد موت زوجها من قبل انقضاء أربعة أشهر وعشرة أیّام، فلا رجم علیها وعلیها ضرب مأة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ذلک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إلّاوهی تعلم أنّ علیها عدّة طلاق أو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 نساء الجاهلیّة یعرفنّ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عدّة ولا تدری کم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علیها العدّة لزمتها الحجّة، فتسأل حتّی تعلم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به‌جهت وجود ابراهیم بن هاشم در سندش، بین صحیحه و حسنه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حدیث سخنی از علم نیست، لکن از ذیل آن استفاده می‌شود که مربوط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کناسی از حکم زنی که در عدّه ازدواج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نکاحش در عدّه طلاق رجعی باشد، حدّش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ازدواج او در عدّه طلاق بائن، یا عدّه وفات باشد، حدّ او صد ضربه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کناسی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جاهل به حکم باشد 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باشد حدّی بر او نیست؛ لکن، امام علیه السلام عنوان جهل را انکار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زن مسلمانی حکم عدّه را نداند؟ حتّی زنان جاهلیّت آن را می‌دانستند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عدّه دارد، ولی نمی‌داند چه‌مقدار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w:t>
      </w:r>
      <w:bookmarkStart w:id="164" w:name="pg16919_226876"/>
    </w:p>
    <w:p>
      <w:pPr>
        <w:pStyle w:val="BookText"/>
        <w:rPr/>
      </w:pPr>
      <w:bookmarkEnd w:id="164"/>
      <w:r>
        <w:rPr>
          <w:rFonts w:ascii="IRNazanin" w:hAnsi="IRNazanin" w:eastAsia="IRNazanin"/>
          <w:color w:val="111111"/>
          <w:sz w:val="28"/>
          <w:sz w:val="28"/>
          <w:szCs w:val="28"/>
          <w:rtl w:val="true"/>
          <w:lang w:bidi="fa-IR"/>
        </w:rPr>
        <w:t>داشت همین علم گریبان او را می‌گیرد؛ باید سؤال کند تا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می‌شود اگر کسی جاهل مقصّر بود، حکم عالِم بر او مترتّب است</w:t>
      </w:r>
      <w:r>
        <w:rPr>
          <w:rFonts w:eastAsia="IRNazanin" w:cs="IRNazanin"/>
          <w:color w:val="111111"/>
          <w:sz w:val="28"/>
          <w:szCs w:val="28"/>
          <w:rtl w:val="true"/>
          <w:lang w:bidi="fa-IR"/>
        </w:rPr>
        <w:t>.</w:t>
      </w:r>
    </w:p>
    <w:p>
      <w:pPr>
        <w:pStyle w:val="Heading5"/>
        <w:numPr>
          <w:ilvl w:val="4"/>
          <w:numId w:val="1"/>
        </w:numPr>
        <w:rPr/>
      </w:pPr>
      <w:bookmarkStart w:id="165" w:name="__RefHeading___Toc78708_3244359995"/>
      <w:bookmarkStart w:id="166" w:name="_Toc62"/>
      <w:bookmarkEnd w:id="165"/>
      <w:r>
        <w:rPr>
          <w:rtl w:val="true"/>
        </w:rPr>
        <w:t>شرط چهارم</w:t>
      </w:r>
      <w:r>
        <w:rPr>
          <w:rtl w:val="true"/>
        </w:rPr>
        <w:t xml:space="preserve">: </w:t>
      </w:r>
      <w:r>
        <w:rPr>
          <w:rtl w:val="true"/>
        </w:rPr>
        <w:t>اختیار</w:t>
      </w:r>
      <w:bookmarkEnd w:id="166"/>
    </w:p>
    <w:p>
      <w:pPr>
        <w:pStyle w:val="Heading6"/>
        <w:numPr>
          <w:ilvl w:val="5"/>
          <w:numId w:val="1"/>
        </w:numPr>
        <w:rPr/>
      </w:pPr>
      <w:bookmarkStart w:id="167" w:name="__RefHeading___Toc78710_3244359995"/>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امام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ثبوت حدّ بر زناکار، مختار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زن یا مردی که به این عمل وادار شود،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در این قسمت، باید مورد بررسی قرار گیرد</w:t>
      </w:r>
      <w:r>
        <w:rPr>
          <w:rFonts w:eastAsia="IRNazanin" w:cs="IRNazanin"/>
          <w:color w:val="111111"/>
          <w:sz w:val="28"/>
          <w:szCs w:val="28"/>
          <w:rtl w:val="true"/>
          <w:lang w:bidi="fa-IR"/>
        </w:rPr>
        <w:t>:</w:t>
      </w:r>
    </w:p>
    <w:p>
      <w:pPr>
        <w:pStyle w:val="Heading6"/>
        <w:numPr>
          <w:ilvl w:val="5"/>
          <w:numId w:val="1"/>
        </w:numPr>
        <w:rPr/>
      </w:pPr>
      <w:bookmarkStart w:id="169" w:name="__RefHeading___Toc78712_3244359995"/>
      <w:bookmarkStart w:id="170" w:name="_Toc64"/>
      <w:bookmarkEnd w:id="169"/>
      <w:r>
        <w:rPr>
          <w:rtl w:val="true"/>
        </w:rPr>
        <w:t>مطلب اوّل</w:t>
      </w:r>
      <w:r>
        <w:rPr>
          <w:rtl w:val="true"/>
        </w:rPr>
        <w:t xml:space="preserve">: </w:t>
      </w:r>
      <w:r>
        <w:rPr>
          <w:rtl w:val="true"/>
        </w:rPr>
        <w:t>حدیث رفع، دلیل سقوط حدّ</w:t>
      </w:r>
      <w:bookmarkEnd w:id="170"/>
    </w:p>
    <w:p>
      <w:pPr>
        <w:pStyle w:val="BookText"/>
        <w:rPr/>
      </w:pPr>
      <w:r>
        <w:rPr>
          <w:rFonts w:ascii="IRNazanin" w:hAnsi="IRNazanin" w:eastAsia="IRNazanin"/>
          <w:color w:val="111111"/>
          <w:sz w:val="28"/>
          <w:sz w:val="28"/>
          <w:szCs w:val="28"/>
          <w:rtl w:val="true"/>
          <w:lang w:bidi="fa-IR"/>
        </w:rPr>
        <w:t>دلیل سقوط حدّ در صورت اکراه، همان دلیل عامّ، یعنی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به واسطه‌ی این حدیث، رفع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 علیه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است؛ حکم فعلی که مکلّف بر آن استکراه شود و از روی اکراه انجام دهد،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رفع را به عمل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جمله گویا در اصول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عمل در خارج واقع نشده است؛ با این‌که عمل در خارج آمده، امّا گویا از نظر شارع و دیدگاه او موجود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حکم تکلیفی و حرمت آن مرفوع است، ثبوت حدّ نیز مرفوع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عامّ، برای نفی حکم از مکرَه کافی است، لیکن به دو روایت در این‌باره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أحمد بن محمّد، عن ابن محبوب، عن أبی أیّوب،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اتی بامرأة مع رجل فجر بها، فقالت استکرهنی واللّه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سئل هؤلاء عن ذلک،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وقد واللّه فعله أمیرالمؤمنین علیه السلام</w:t>
      </w:r>
      <w:r>
        <w:rPr>
          <w:rFonts w:eastAsia="IRNazanin" w:cs="IRNazanin"/>
          <w:color w:val="111111"/>
          <w:sz w:val="28"/>
          <w:szCs w:val="28"/>
          <w:rtl w:val="true"/>
          <w:lang w:bidi="fa-IR"/>
        </w:rPr>
        <w:t>.</w:t>
      </w:r>
      <w:r>
        <w:rPr>
          <w:rStyle w:val="FootnoteAnchor"/>
          <w:rtl w:val="true"/>
        </w:rPr>
        <w:footnoteReference w:id="19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زناکاری را نزد امیرمؤمنان علیه السلام آوردند،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درست است که این زنا محقّق شده، لیکن این مرد مرا به این عمل اجبار کرده</w:t>
      </w:r>
    </w:p>
    <w:p>
      <w:pPr>
        <w:pStyle w:val="BookText"/>
        <w:rPr/>
      </w:pPr>
      <w:r>
        <w:rPr>
          <w:rFonts w:ascii="IRNazanin" w:hAnsi="IRNazanin" w:eastAsia="IRNazanin"/>
          <w:color w:val="111111"/>
          <w:sz w:val="28"/>
          <w:sz w:val="28"/>
          <w:szCs w:val="28"/>
          <w:rtl w:val="true"/>
          <w:lang w:bidi="fa-IR"/>
        </w:rPr>
        <w:t>و من به آن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حدّ را از او ساقط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به دو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اکراه حدّ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ادّعای اکراه کند، ادّعایش پذیرفته می‌شود؛ 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باقر علیه السلام از امثال ابوحنیفه‌ها گلایه‌ای می‌کند که اگر از اینان بپرسید این زن ادّعای استکراه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پذیرفته نیست؛ در حالی‌که امیرمؤمنان علیه السلام آن را پذیرفت و در عمل آن را پیاده کرد و حدّ را از او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الحسین بن سعید، عن فضالة، عن العلاء، عن محمّد، عن أحدهما علیهما السلام فی امرأة زنت وهی مجنونة،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تملک أمرها ولیس علیها رجم ولا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أقرّت علی نفسها أنّه استکرهها رجل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السائبة لا تملک نفسها، فلو شاء قتلها، لیس علیها جلد ولا نفی ولا رجم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محمّد بن مسلم سؤال از زن دیوانه‌ای است که زنا داده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امر خودش نیست، بر او رجم و تبعیدی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حکم زنی را پرسید که خودش اقرار کرده است مردی او را برای انجام عمل غیرمشروع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همانند شتر سائبه</w:t>
      </w:r>
      <w:r>
        <w:rPr>
          <w:rStyle w:val="FootnoteAnchor"/>
          <w:rtl w:val="true"/>
        </w:rPr>
        <w:footnoteReference w:id="198"/>
      </w:r>
      <w:r>
        <w:rPr>
          <w:rFonts w:ascii="IRNazanin" w:hAnsi="IRNazanin" w:eastAsia="IRNazanin"/>
          <w:color w:val="111111"/>
          <w:sz w:val="28"/>
          <w:sz w:val="28"/>
          <w:szCs w:val="28"/>
          <w:rtl w:val="true"/>
          <w:lang w:bidi="fa-IR"/>
        </w:rPr>
        <w:t>است که رها شده و قابل استفاده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به او تشبیه شده است؛ زیرا، او هیچ تسلّطی بر خود ندارد؛ و اگر مقاومتی می‌کرد، مرد مکرِه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زنی با این خصوصیّات، تازیانه، سنگسار و تبعید نیست</w:t>
      </w:r>
      <w:r>
        <w:rPr>
          <w:rFonts w:eastAsia="IRNazanin" w:cs="IRNazanin"/>
          <w:color w:val="111111"/>
          <w:sz w:val="28"/>
          <w:szCs w:val="28"/>
          <w:rtl w:val="true"/>
          <w:lang w:bidi="fa-IR"/>
        </w:rPr>
        <w:t>.</w:t>
      </w:r>
      <w:bookmarkStart w:id="171" w:name="pg16919_226878"/>
    </w:p>
    <w:p>
      <w:pPr>
        <w:pStyle w:val="BookText"/>
        <w:rPr/>
      </w:pPr>
      <w:bookmarkEnd w:id="171"/>
      <w:r>
        <w:rPr>
          <w:rFonts w:ascii="IRNazanin" w:hAnsi="IRNazanin" w:eastAsia="IRNazanin"/>
          <w:color w:val="111111"/>
          <w:sz w:val="28"/>
          <w:sz w:val="28"/>
          <w:szCs w:val="28"/>
          <w:rtl w:val="true"/>
          <w:lang w:bidi="fa-IR"/>
        </w:rPr>
        <w:t>روایت از نظر دلالت روشن و صریح است؛ اگرچه در باب هیجده از ابواب حدّ زنا، روایات دیگری نیز هست، امّا برای اثبات مقام اوّل، همین دو روایت کافی است</w:t>
      </w:r>
      <w:r>
        <w:rPr>
          <w:rFonts w:eastAsia="IRNazanin" w:cs="IRNazanin"/>
          <w:color w:val="111111"/>
          <w:sz w:val="28"/>
          <w:szCs w:val="28"/>
          <w:rtl w:val="true"/>
          <w:lang w:bidi="fa-IR"/>
        </w:rPr>
        <w:t>.</w:t>
      </w:r>
    </w:p>
    <w:p>
      <w:pPr>
        <w:pStyle w:val="Heading6"/>
        <w:numPr>
          <w:ilvl w:val="5"/>
          <w:numId w:val="1"/>
        </w:numPr>
        <w:rPr/>
      </w:pPr>
      <w:bookmarkStart w:id="172" w:name="__RefHeading___Toc78714_3244359995"/>
      <w:bookmarkStart w:id="173" w:name="_Toc65"/>
      <w:bookmarkEnd w:id="172"/>
      <w:r>
        <w:rPr>
          <w:rtl w:val="true"/>
        </w:rPr>
        <w:t>مطلب دوم</w:t>
      </w:r>
      <w:r>
        <w:rPr>
          <w:rtl w:val="true"/>
        </w:rPr>
        <w:t xml:space="preserve">: </w:t>
      </w:r>
      <w:r>
        <w:rPr>
          <w:rtl w:val="true"/>
        </w:rPr>
        <w:t>در باب زنا، چه اکراهی موجب سقوط حدّ می‌شود؟</w:t>
      </w:r>
      <w:bookmarkEnd w:id="173"/>
    </w:p>
    <w:p>
      <w:pPr>
        <w:pStyle w:val="BookText"/>
        <w:rPr/>
      </w:pPr>
      <w:r>
        <w:rPr>
          <w:rFonts w:ascii="IRNazanin" w:hAnsi="IRNazanin" w:eastAsia="IRNazanin"/>
          <w:color w:val="111111"/>
          <w:sz w:val="28"/>
          <w:sz w:val="28"/>
          <w:szCs w:val="28"/>
          <w:rtl w:val="true"/>
          <w:lang w:bidi="fa-IR"/>
        </w:rPr>
        <w:t xml:space="preserve">فقها این بحث را کمتر متعرّض شده‌اند، و از میان کلماتشان مطلب روشنی به‌دست نمی‌آید که معیّن کند اندازه اکراهی که موجب حلال شدن حرام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حرام حدّ داشته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w:t>
      </w:r>
    </w:p>
    <w:p>
      <w:pPr>
        <w:pStyle w:val="BookText"/>
        <w:rPr/>
      </w:pPr>
      <w:r>
        <w:rPr>
          <w:rFonts w:ascii="IRNazanin" w:hAnsi="IRNazanin" w:eastAsia="IRNazanin"/>
          <w:color w:val="111111"/>
          <w:sz w:val="28"/>
          <w:sz w:val="28"/>
          <w:szCs w:val="28"/>
          <w:rtl w:val="true"/>
          <w:lang w:bidi="fa-IR"/>
        </w:rPr>
        <w:t>آیا تهدید به دو سیلی یا ضرر مختصر مالی یا فلان اذیّت بدنی و امثال آن مجوّز ارتکاب زنا می‌شود؟ مثلاً اگر به کسی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اندازه‌ی ده‌هزار تومان به تو ضرر می‌زنیم، یا باید با فلان زن شوهردار زنا کنی؛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آبرویت را می‌ریزیم و به تو تهمت می‌زنیم، یا فلان عمل نامشروع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وقع عن 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انجام آن جایز است؟</w:t>
      </w:r>
    </w:p>
    <w:p>
      <w:pPr>
        <w:pStyle w:val="BookText"/>
        <w:rPr/>
      </w:pPr>
      <w:r>
        <w:rPr>
          <w:rFonts w:ascii="IRNazanin" w:hAnsi="IRNazanin" w:eastAsia="IRNazanin"/>
          <w:color w:val="111111"/>
          <w:sz w:val="28"/>
          <w:sz w:val="28"/>
          <w:szCs w:val="28"/>
          <w:rtl w:val="true"/>
          <w:lang w:bidi="fa-IR"/>
        </w:rPr>
        <w:t>آیا اکراه در باب معاملات با اکراه در باب محرّمات یکی است، یا با هم تفاوت دارد؟ ظاهراً تفاوتی روشن بین دو باب وجود دارد؛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اگر شخصی را به انجام عقد یا ایقاعی مجبور کنند، با کمی تهدید اکراه محقّق می‌شود و رکن صحّت معامله که طیب نفس است، مفقود، و معامله محکوم به بطلان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خانه‌اش را از ترس سیلی خوردن، یا بی‌احترامی و امثال آن بفروشد، در باطنش هیچ رضایت خاطر و طیب نفس وجود ندارد و مصداق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پس، با کم‌ترین مراتب اکراه،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البیع الإکراهی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بطلان می‌شود؛ چه آن‌که ملاک بطلان، عدم طیب نفس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محرّمات، اعمّ از این‌که بر آن‌ها حدّی مترتب شود یا نه، آیا با چنین تهدیدهایی می‌توان آن‌ها را مرتکب شد؟ مثلاً کسی را تهدید کنند یا باید علیه انقلاب یا امام خمینی رحمه الله سخن بگویی و یا به تو دو سیلی می‌زنیم، آیا این تهدید مجوّز انجام این کار هست؟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بحرام لأنّه وقع مکرهاً علیه، والحرام عن إکراه لا یکون بمحرّم؛ یا مسأله این‌طور نیست و اکراه بایستی به درجه‌ای از قوّت برسد که بتواند</w:t>
      </w:r>
      <w:bookmarkStart w:id="174" w:name="pg16919_226879"/>
    </w:p>
    <w:p>
      <w:pPr>
        <w:pStyle w:val="BookText"/>
        <w:rPr/>
      </w:pPr>
      <w:bookmarkEnd w:id="174"/>
      <w:r>
        <w:rPr>
          <w:rFonts w:ascii="IRNazanin" w:hAnsi="IRNazanin" w:eastAsia="IRNazanin"/>
          <w:color w:val="111111"/>
          <w:sz w:val="28"/>
          <w:sz w:val="28"/>
          <w:szCs w:val="28"/>
          <w:rtl w:val="true"/>
          <w:lang w:bidi="fa-IR"/>
        </w:rPr>
        <w:t>در مقابل حرام الهی مقاومت کند و حرمت آن را کنار بزند؟</w:t>
      </w:r>
    </w:p>
    <w:p>
      <w:pPr>
        <w:pStyle w:val="BookText"/>
        <w:rPr/>
      </w:pPr>
      <w:r>
        <w:rPr>
          <w:rFonts w:ascii="IRNazanin" w:hAnsi="IRNazanin" w:eastAsia="IRNazanin"/>
          <w:color w:val="111111"/>
          <w:sz w:val="28"/>
          <w:sz w:val="28"/>
          <w:szCs w:val="28"/>
          <w:rtl w:val="true"/>
          <w:lang w:bidi="fa-IR"/>
        </w:rPr>
        <w:t>در روایت دومی که خواندیم، اشعاری به این مطلب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مثل السائبة، لا تملک أمرها، ولو شاء قتلها؛</w:t>
      </w:r>
      <w:r>
        <w:rPr>
          <w:rStyle w:val="FootnoteAnchor"/>
          <w:rtl w:val="true"/>
        </w:rPr>
        <w:footnoteReference w:id="199"/>
      </w:r>
      <w:r>
        <w:rPr>
          <w:rFonts w:ascii="IRNazanin" w:hAnsi="IRNazanin" w:eastAsia="IRNazanin"/>
          <w:color w:val="111111"/>
          <w:sz w:val="28"/>
          <w:sz w:val="28"/>
          <w:szCs w:val="28"/>
          <w:rtl w:val="true"/>
          <w:lang w:bidi="fa-IR"/>
        </w:rPr>
        <w:t>اگر اراده‌ی مردِ مجرم تعلّق می‌گرفت، ممکن بود آن زن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مسأله‌ی قتل را مطرح 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او را کتک می‌زد و یا به او بهتانی می‌زد؟ به نظر ما، طرح مسأله‌ی قتل، اشعار به این دارد که هر اکراهی نمی‌تواند عمل حرام را حلال کرده و جلوی حدّ زنا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مذاق متشرّعه بر این معنا دلیل است که با تهدید به یک سیلی و امثال آن، چنین عمل حرامی حلال نمی‌شود؛ چشم بسته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عمومیّت دارد و همه‌ی آثار آن‌چه مستکره علیه است را بر می‌دارد؛ بلکه در باب محرّمات، تهدید و توعید خاصّی لازم بوده و مطلق اکراه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فقها که اکراه در این باب را با باب معاملات یکی گرفته‌اند، و به‌معنای وسیع، آن را در هر دو باب پیاده می‌کنند، مقبول ما نیست؛ بلکه در باب محرّمات و زنا باید تهدید به‌حدّی باشد که انسان به واسطه‌ی اهمیّت آن بتواند حرمت شرعی را کنار گذاشته و مرتکب آن عمل شود</w:t>
      </w:r>
      <w:r>
        <w:rPr>
          <w:rFonts w:eastAsia="IRNazanin" w:cs="IRNazanin"/>
          <w:color w:val="111111"/>
          <w:sz w:val="28"/>
          <w:szCs w:val="28"/>
          <w:rtl w:val="true"/>
          <w:lang w:bidi="fa-IR"/>
        </w:rPr>
        <w:t>.</w:t>
      </w:r>
    </w:p>
    <w:p>
      <w:pPr>
        <w:pStyle w:val="Heading6"/>
        <w:numPr>
          <w:ilvl w:val="5"/>
          <w:numId w:val="1"/>
        </w:numPr>
        <w:rPr/>
      </w:pPr>
      <w:bookmarkStart w:id="175" w:name="__RefHeading___Toc78716_3244359995"/>
      <w:bookmarkStart w:id="176" w:name="_Toc66"/>
      <w:bookmarkEnd w:id="175"/>
      <w:r>
        <w:rPr>
          <w:rtl w:val="true"/>
        </w:rPr>
        <w:t>مطلب سوم</w:t>
      </w:r>
      <w:r>
        <w:rPr>
          <w:rtl w:val="true"/>
        </w:rPr>
        <w:t xml:space="preserve">: </w:t>
      </w:r>
      <w:r>
        <w:rPr>
          <w:rtl w:val="true"/>
        </w:rPr>
        <w:t>بررسی عمومیّت اکراهِ بر زنا، نسبت به مرد و زن</w:t>
      </w:r>
      <w:bookmarkEnd w:id="176"/>
    </w:p>
    <w:p>
      <w:pPr>
        <w:pStyle w:val="BookText"/>
        <w:rPr/>
      </w:pPr>
      <w:r>
        <w:rPr>
          <w:rFonts w:ascii="IRNazanin" w:hAnsi="IRNazanin" w:eastAsia="IRNazanin"/>
          <w:color w:val="111111"/>
          <w:sz w:val="28"/>
          <w:sz w:val="28"/>
          <w:szCs w:val="28"/>
          <w:rtl w:val="true"/>
          <w:lang w:bidi="fa-IR"/>
        </w:rPr>
        <w:t>اکراه در زن متصوّر است؛ زنی را تهدید کنند که اگر حاضر به این عمل شنیع نشوی، تو را به قتل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روایات متعدّدی نیز در اکراه زن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اساسی این است که آیا اکراه بر زنا در مردان تصوّر می‌شود یا 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در کتاب شریف شرایع، هنگامی که مسأله را عنوان می‌کند،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این است که در مورد مرد نیز اکراه تصوّر می‌شود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شبهه‌ی در این مسأله از بیان ابن زهره رحمه الله در غنیه پیدا شده که به‌طور جزم و قطع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در مورد مرد محقّق نمی‌شود؛ زیرا، بین مرد و زن در باب زنا تفاوت روشنی</w:t>
      </w:r>
    </w:p>
    <w:p>
      <w:pPr>
        <w:pStyle w:val="BookText"/>
        <w:rPr/>
      </w:pPr>
      <w:r>
        <w:rPr>
          <w:rFonts w:ascii="IRNazanin" w:hAnsi="IRNazanin" w:eastAsia="IRNazanin"/>
          <w:color w:val="111111"/>
          <w:sz w:val="28"/>
          <w:sz w:val="28"/>
          <w:szCs w:val="28"/>
          <w:rtl w:val="true"/>
          <w:lang w:bidi="fa-IR"/>
        </w:rPr>
        <w:t>است؛ در مرد باید یک میل نفسانی شدید باشد تا به‌دنبال آن، هیجان و تحریک و پس از آن، انتشار عضو حاصل شود که بتواند مواقعه کند؛ اگر این مبادی و مقدّمات نباشد؛ زنا از مرد سر نمی‌زند؛ و این مقدّمات، با اکراه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نفسانی به این عمل نداشته باشد، چگونه می‌توان با اکراه او را به این عمل متمایل کرد؟</w:t>
      </w:r>
    </w:p>
    <w:p>
      <w:pPr>
        <w:pStyle w:val="BookText"/>
        <w:rPr/>
      </w:pPr>
      <w:r>
        <w:rPr>
          <w:rFonts w:ascii="IRNazanin" w:hAnsi="IRNazanin" w:eastAsia="IRNazanin"/>
          <w:color w:val="111111"/>
          <w:sz w:val="28"/>
          <w:sz w:val="28"/>
          <w:szCs w:val="28"/>
          <w:rtl w:val="true"/>
          <w:lang w:bidi="fa-IR"/>
        </w:rPr>
        <w:t>علاوه بر این، حقیقت اکراه این است که کسی را که نمی‌خواهد عملی انجام دهد و از آن متنفّر بوده و به هیچ عنوان به انجام آن راضی نیست، به آن کار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زنا متنفّر است، چگونه با اکراه، در وجودش میل نفسانی ایجاد می‌شود تا به‌دنبالش هیجان و تحریک و انتشار عضو بیاید که بر آن کار قدرت داشته باشد؟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را بر زنا اکراه کردند و عمل زنا از او سر زد، می‌فهمیم اکراهی نبوده؛ و بلکه این شخص با اراده و میل نفسانی خود به این عمل مبادرت ورزیده است؛ وگرنه با مبغوضیّت این عمل و عدم اراده‌ی آن، چگونه زنا محقّق می‌گردد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صاحب جواهر رحمه الله بر بیان ابن زهره رحمه الله دو نقض وارد می‌کند؛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زنا، التقای ختانین کافی است که با عدم انتشار عضو نیز محقّق می‌شود؛ و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میل نفسانی مثلاً در رابطه‌ی با زوجه‌اش در او پیدا شود و او را اکراه کنند که آن را در مورد زن اجنبی پیاده کند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این جواب‌های نقضی بماند؛ امّا جواب حقیقی همان است که مرحوم محقّق قدس سره فرموده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مبغوض دارد و نمی‌خواهد،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ذاتاً مبغوض اوست که اراده‌اش به آن تعلّق نمی‌گیرد، و یک‌بار هم ممکن است ذاتاً به آن علاقه داشته و مطابق با غرائز او نیز باشد، لیکن شارع مقدّس و تعهّد در مقابل مذهب، مانع از انجام دادن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جوان متدیّن و متعهّد روی غریزه‌ی شهوت و جهات حیوانی کمال علاقه به دیدن نامحرم دارد، لیکن به لحاظ تعهّد و تدیّنش با نفس مبارزه کرده، این عمل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را وادار کنند به نامحرم نگاه کند، آیا می‌توانیم بگوییم چون ذاتاً مایل به این عمل است، اکراه در حقّ او متصوّر نیست؟</w:t>
      </w:r>
    </w:p>
    <w:p>
      <w:pPr>
        <w:pStyle w:val="BookText"/>
        <w:rPr/>
      </w:pPr>
      <w:r>
        <w:rPr>
          <w:rFonts w:ascii="IRNazanin" w:hAnsi="IRNazanin" w:eastAsia="IRNazanin"/>
          <w:color w:val="111111"/>
          <w:sz w:val="28"/>
          <w:sz w:val="28"/>
          <w:szCs w:val="28"/>
          <w:rtl w:val="true"/>
          <w:lang w:bidi="fa-IR"/>
        </w:rPr>
        <w:t>در باب زنا نیز همین‌گونه است؛ اگر در مقابل چنین جوانی یک زن اجنبی را عریان کنند، به اقتضای غریزه‌ی شهوی کمال علاقه به مقاربت دارد، لیکن اگر اکراهی در کار نباشد، ممکن نیست دست به زنا بزند؛ امّا وقتی او را به قتل تهدید کردند، با وجود میل نفسانی ذاتی، اگر این عمل از او سر زند، اکراه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اکراه، نبودن میل و رغبت ذاتی در نفس نسبت به آن عمل نیست؛ بلکه به لحاظ شرع، همین اندازه که عمل، مبغوض او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صدق امتثال نواهی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را از زنا نهی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فقهی نگفته است باید تنفّر ذاتی از زنا داشته باشد؛ لذا، اگر این کار را به‌لحاظ حرمتش انجام ندهد، اطاعت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تمایل ذاتی بیشتر باشد، رادعیّت شرع قوی‌تر است؛ وگرنه کسی که هیچ تمایلی به حرام ندارد، نهی نیز در او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تحت تأثیر نهی الهی واقع می‌شود که علاقه‌ی کامل به انجام منهیٌّ عنه داشته باشد، امّا نهی شرعی علّت می‌شود که این عمل در خارج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اکراه بر زنا در مرد نیز معقول بوده و فرقی بین مرد و زن در اکراه نیست؛ همان‌گونه که امام رحمه الله نیز در تحریر الوسیله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تحقّق الإکراه فی طرف الرجل کما یتحقّق فی طرف المرأة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باب اکراه، یک روایت نسبت به مرد هم وارد نشده، ولی از روایاتی که درباره‌ی اکراه زن رسیده است، عمومیّت استفاده می‌شود و هیچ خصوصیّتی برای زن نیست</w:t>
      </w:r>
      <w:r>
        <w:rPr>
          <w:rFonts w:eastAsia="IRNazanin" w:cs="IRNazanin"/>
          <w:color w:val="111111"/>
          <w:sz w:val="28"/>
          <w:szCs w:val="28"/>
          <w:rtl w:val="true"/>
          <w:lang w:bidi="fa-IR"/>
        </w:rPr>
        <w:t>.</w:t>
      </w:r>
      <w:bookmarkStart w:id="177" w:name="pg16919_226882"/>
    </w:p>
    <w:p>
      <w:pPr>
        <w:pStyle w:val="Heading6"/>
        <w:numPr>
          <w:ilvl w:val="5"/>
          <w:numId w:val="1"/>
        </w:numPr>
        <w:rPr/>
      </w:pPr>
      <w:bookmarkStart w:id="178" w:name="__RefHeading___Toc78718_3244359995"/>
      <w:bookmarkStart w:id="179" w:name="_Toc67"/>
      <w:bookmarkEnd w:id="177"/>
      <w:bookmarkEnd w:id="178"/>
      <w:r>
        <w:rPr>
          <w:rtl w:val="true"/>
        </w:rPr>
        <w:t>حکم التحریم بالمحارم مع الجهل بالحرمة وتعریف الوطی بالشبهة</w:t>
      </w:r>
      <w:bookmarkEnd w:id="17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تزوّج امرأة محرّمة علیه کالاُمّ والمرضعة وذات البعل وزوجة الأب والإبن فوطأ مع الجهل بالتحریم فلا 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حدّ مع الشبهة، بأن اعتقد فاعله الجواز ولم یکن کذلک، أو جهل بالواقع جهالة مغتفرة کما هو لو أخبرت المرأة بکونها خلیّة وکانت ذات بعل، أو قامت البیّنة علی موت الزوج أو طلاقه، أو شکّ فی حصول الرضاع المحرّم وکان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حصول الشبهة مع الظنّ غیر المعتبر فضلاً عن مجرّد الإحتمال، فلو جهل الحکم ولکن کان ملتفتاً واحتمل الحرمة ولم یسأل، فالظاهر عدم کونه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جاهلاً قاصراً أو مقصّراً غیر ملتفت إلی الحکم والسؤال، فالظاهر کونه شبهة دارئة</w:t>
      </w:r>
      <w:r>
        <w:rPr>
          <w:rFonts w:eastAsia="IRNazanin" w:cs="IRNazanin"/>
          <w:color w:val="111111"/>
          <w:sz w:val="28"/>
          <w:szCs w:val="28"/>
          <w:rtl w:val="true"/>
          <w:lang w:bidi="fa-IR"/>
        </w:rPr>
        <w:t>.</w:t>
      </w:r>
    </w:p>
    <w:p>
      <w:pPr>
        <w:pStyle w:val="Heading4"/>
        <w:numPr>
          <w:ilvl w:val="3"/>
          <w:numId w:val="1"/>
        </w:numPr>
        <w:rPr/>
      </w:pPr>
      <w:bookmarkStart w:id="180" w:name="__RefHeading___Toc78720_3244359995"/>
      <w:bookmarkStart w:id="181" w:name="_Toc68"/>
      <w:bookmarkEnd w:id="180"/>
      <w:r>
        <w:rPr>
          <w:rtl w:val="true"/>
        </w:rPr>
        <w:t>حکم ازدواج با محارم در صورت جهل به حرمت</w:t>
      </w:r>
      <w:bookmarkEnd w:id="181"/>
    </w:p>
    <w:p>
      <w:pPr>
        <w:pStyle w:val="Heading5"/>
        <w:numPr>
          <w:ilvl w:val="4"/>
          <w:numId w:val="1"/>
        </w:numPr>
        <w:rPr/>
      </w:pPr>
      <w:bookmarkStart w:id="182" w:name="__RefHeading___Toc78722_3244359995"/>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این مسأله درباره‌ی شبهه و فروعات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فرع آن درباره‌ی ازدواج و مقاربت با زنانی است که در شرع نکاح با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مادرش، یا مادر رضاعی، یا زن شوهردار، یا زن‌پدر و یا عروس خود ازدواج و پس از آن وطی کرده، در حالی‌که جاهل به تحریم این نکاح بود و هیچ احتمال خلافی در این رابطه نمی‌داد، حدّی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تزویج با علم به حرمت بوده و یا احتمال حرمتی می‌داده که باید به‌دنبال آن می‌رفت و سؤال می‌کرد امّا نرفته، در این صورت، باید حدّ بخورد</w:t>
      </w:r>
      <w:r>
        <w:rPr>
          <w:rFonts w:eastAsia="IRNazanin" w:cs="IRNazanin"/>
          <w:color w:val="111111"/>
          <w:sz w:val="28"/>
          <w:szCs w:val="28"/>
          <w:rtl w:val="true"/>
          <w:lang w:bidi="fa-IR"/>
        </w:rPr>
        <w:t>.</w:t>
      </w:r>
    </w:p>
    <w:p>
      <w:pPr>
        <w:pStyle w:val="Heading5"/>
        <w:numPr>
          <w:ilvl w:val="4"/>
          <w:numId w:val="1"/>
        </w:numPr>
        <w:rPr/>
      </w:pPr>
      <w:bookmarkStart w:id="184" w:name="__RefHeading___Toc78724_3244359995"/>
      <w:bookmarkStart w:id="185" w:name="_Toc70"/>
      <w:bookmarkEnd w:id="184"/>
      <w:r>
        <w:rPr>
          <w:rtl w:val="true"/>
        </w:rPr>
        <w:t>دلیل طرح این مسأله</w:t>
      </w:r>
      <w:bookmarkEnd w:id="185"/>
    </w:p>
    <w:p>
      <w:pPr>
        <w:pStyle w:val="Heading6"/>
        <w:numPr>
          <w:ilvl w:val="5"/>
          <w:numId w:val="1"/>
        </w:numPr>
        <w:rPr/>
      </w:pPr>
      <w:bookmarkStart w:id="186" w:name="__RefHeading___Toc78726_3244359995"/>
      <w:bookmarkStart w:id="187" w:name="_Toc71"/>
      <w:bookmarkEnd w:id="186"/>
      <w:r>
        <w:rPr>
          <w:rtl w:val="true"/>
        </w:rPr>
        <w:t>اشاره</w:t>
      </w:r>
      <w:bookmarkEnd w:id="1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از جمله مرحوم محقّق در شرایع</w:t>
      </w:r>
      <w:r>
        <w:rPr>
          <w:rStyle w:val="FootnoteAnchor"/>
          <w:rtl w:val="true"/>
        </w:rPr>
        <w:footnoteReference w:id="203"/>
      </w:r>
      <w:r>
        <w:rPr>
          <w:rFonts w:ascii="IRNazanin" w:hAnsi="IRNazanin" w:eastAsia="IRNazanin"/>
          <w:color w:val="111111"/>
          <w:sz w:val="28"/>
          <w:sz w:val="28"/>
          <w:szCs w:val="28"/>
          <w:rtl w:val="true"/>
          <w:lang w:bidi="fa-IR"/>
        </w:rPr>
        <w:t>و امام رحمه الله در تحریر الوسیلة در بحث وطی به شبهه این فرع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طرح آن مخالفت کردن با ابو 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داده است که اگر کسی با محارمش ازدواج کند، نفس این عقد، شبهه‌ی از بین بَرنده‌ی حدّ است؛</w:t>
      </w:r>
    </w:p>
    <w:p>
      <w:pPr>
        <w:pStyle w:val="BookText"/>
        <w:rPr/>
      </w:pPr>
      <w:r>
        <w:rPr>
          <w:rFonts w:ascii="IRNazanin" w:hAnsi="IRNazanin" w:eastAsia="IRNazanin"/>
          <w:color w:val="111111"/>
          <w:sz w:val="28"/>
          <w:sz w:val="28"/>
          <w:szCs w:val="28"/>
          <w:rtl w:val="true"/>
          <w:lang w:bidi="fa-IR"/>
        </w:rPr>
        <w:t>هرچند که وی عالم باشد نکاح با محارم حرام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توجیه کلام ابوحنیفه توسط صاحب جواهر رحمه الله به این‌که مقصودش فاعلی است که احتمال حرمت و عدم آن را بدهد، وگرنه با علم به حرمت، خلاف ضرورت دین است،</w:t>
      </w:r>
      <w:r>
        <w:rPr>
          <w:rStyle w:val="FootnoteAnchor"/>
          <w:rtl w:val="true"/>
        </w:rPr>
        <w:footnoteReference w:id="205"/>
      </w:r>
      <w:r>
        <w:rPr>
          <w:rFonts w:ascii="IRNazanin" w:hAnsi="IRNazanin" w:eastAsia="IRNazanin"/>
          <w:color w:val="111111"/>
          <w:sz w:val="28"/>
          <w:sz w:val="28"/>
          <w:szCs w:val="28"/>
          <w:rtl w:val="true"/>
          <w:lang w:bidi="fa-IR"/>
        </w:rPr>
        <w:t>وجهی ندارد؛ زیرا، ابو حنیفه تصریح دارد که اگر عالِم به حرمت هم باشد، نفس عقد سبب می‌شود که وطی او زنا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کلام مرحوم شیخ طوسی در کتاب خلاف</w:t>
      </w:r>
      <w:r>
        <w:rPr>
          <w:rStyle w:val="FootnoteAnchor"/>
          <w:rtl w:val="true"/>
        </w:rPr>
        <w:footnoteReference w:id="2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النکاح علی ذات محرم له کاُمّه وبنته واُخته وخالته وعمّته من نسب أو رضاع أو امرأة ابنه أو أبیه أو تزوّج بخامسة أو امرأة لها زوج ووطئها، أو وطیء امرأة بعد أن بانت باللعان أو بالطلاق الثلاث مع العلم بالتحریم، فعلیه القتل فی وطی ذات محرم والحدّ فی وطی الأجنبیّة، وبه قال الشافعی إلّاأنّه لا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 لا حدّ فی شیء من هذا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امرأة لیزنی بها فزنی بها لا حدّ علیه، فإن استأجرها للخدمة فوطئها فعلیه الحدّ؛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با یکی از محارم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دختر، خواهر، خاله، عمّه، نسبی باشند یا رضاعی، یا با زن‌پدر یا عروس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پنجم و یا زن شوهرداری عقد بخواند و با او وطی کند، و یا با زنی وطی کند که بر او به واسطه‌ی لعان</w:t>
      </w:r>
      <w:r>
        <w:rPr>
          <w:rStyle w:val="FootnoteAnchor"/>
          <w:rtl w:val="true"/>
        </w:rPr>
        <w:footnoteReference w:id="207"/>
      </w:r>
      <w:r>
        <w:rPr>
          <w:rFonts w:ascii="IRNazanin" w:hAnsi="IRNazanin" w:eastAsia="IRNazanin"/>
          <w:color w:val="111111"/>
          <w:sz w:val="28"/>
          <w:sz w:val="28"/>
          <w:szCs w:val="28"/>
          <w:rtl w:val="true"/>
          <w:lang w:bidi="fa-IR"/>
        </w:rPr>
        <w:t>یا طلاق سوم حرام شده است، در وطی با محارم باید کشته شود، و در غیر آن باید حدّ بخورد؛ شافعی نیز همانند ما فتوا داده، لیکن تفصیلی بین محرم و اجنبی نداده است</w:t>
      </w:r>
      <w:r>
        <w:rPr>
          <w:rFonts w:eastAsia="IRNazanin" w:cs="IRNazanin"/>
          <w:color w:val="111111"/>
          <w:sz w:val="28"/>
          <w:szCs w:val="28"/>
          <w:rtl w:val="true"/>
          <w:lang w:bidi="fa-IR"/>
        </w:rPr>
        <w:t>.</w:t>
      </w:r>
      <w:bookmarkStart w:id="188" w:name="pg16919_226884"/>
    </w:p>
    <w:p>
      <w:pPr>
        <w:pStyle w:val="BookText"/>
        <w:rPr/>
      </w:pPr>
      <w:bookmarkEnd w:id="188"/>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این موارد، حدّ ثابت نیست؛ بلکه فراتر از این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زنی را برای زنا اجاره کند، حدّ ندارد؛ امّا اگر برای خدمات اجاره کرده باشد و با او مواقعه کند، حدّ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عقیده‌ی علمای شیعه این عقد هیچ نقش مؤثّری در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یک‌بار صورت جهل به تحریم را که حدّ ندارد، مطرح کرده‌اند و بار دیگر، صورت علم به تحریم را که در آن حدّ ثابت است،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این مسأله برای بیان حکم واقعی و عدم دخل عقد در تحلیل و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در دو مقام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این‌که دلیل بر سقوط حدّ در موارد شبهه چیست؟ مقام دوم نیز به‌معنای شبهه و شناخت مصادیق آن مربوط است</w:t>
      </w:r>
      <w:r>
        <w:rPr>
          <w:rFonts w:eastAsia="IRNazanin" w:cs="IRNazanin"/>
          <w:color w:val="111111"/>
          <w:sz w:val="28"/>
          <w:szCs w:val="28"/>
          <w:rtl w:val="true"/>
          <w:lang w:bidi="fa-IR"/>
        </w:rPr>
        <w:t>.</w:t>
      </w:r>
    </w:p>
    <w:p>
      <w:pPr>
        <w:pStyle w:val="Heading6"/>
        <w:numPr>
          <w:ilvl w:val="5"/>
          <w:numId w:val="1"/>
        </w:numPr>
        <w:rPr/>
      </w:pPr>
      <w:bookmarkStart w:id="189" w:name="__RefHeading___Toc78728_3244359995"/>
      <w:bookmarkStart w:id="190" w:name="_Toc72"/>
      <w:bookmarkEnd w:id="189"/>
      <w:r>
        <w:rPr>
          <w:rtl w:val="true"/>
        </w:rPr>
        <w:t>مقام اوّل</w:t>
      </w:r>
      <w:r>
        <w:rPr>
          <w:rtl w:val="true"/>
        </w:rPr>
        <w:t xml:space="preserve">: </w:t>
      </w:r>
      <w:r>
        <w:rPr>
          <w:rtl w:val="true"/>
        </w:rPr>
        <w:t>ادلّه‌ی سقوط حدّ در موارد شبهه</w:t>
      </w:r>
      <w:bookmarkEnd w:id="190"/>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شبهه، زنا صدق نمی‌کند؛ زیرا، اجرای حدّ و پیاده کردن قانون الزّانِیَةُ وَ الزّانِی فَاجْلِدُوا کُلَّ واحِدٍ مِنْهُما مِائَةَ جَلْدَةٍ </w:t>
      </w:r>
      <w:r>
        <w:rPr>
          <w:rStyle w:val="FootnoteAnchor"/>
          <w:rtl w:val="true"/>
        </w:rPr>
        <w:footnoteReference w:id="208"/>
      </w:r>
      <w:r>
        <w:rPr>
          <w:rFonts w:ascii="IRNazanin" w:hAnsi="IRNazanin" w:eastAsia="IRNazanin"/>
          <w:color w:val="111111"/>
          <w:sz w:val="28"/>
          <w:sz w:val="28"/>
          <w:szCs w:val="28"/>
          <w:rtl w:val="true"/>
          <w:lang w:bidi="fa-IR"/>
        </w:rPr>
        <w:t>بر احراز صدق عنوان زانی و زانیه توقّف دارد؛ از دیگر سو، زنا نیز دارای یک حقیقت شرعی نیست، و بلکه یک ماهیّت عرفی و عقلایی است که برای فهمیدن معنای آن باید به عرف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موارد اشتباه را زنا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با زنی به خیال این‌که زوجه‌ی خودش هست، وطی کرد و بعد معلوم شود که همسرش نبوده است، عرف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است؛ به‌خصوص که در باب زنا، از این عمل به فجور و فاحشه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به‌چنین فردی نیز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الرجل قد فجر بهذه المرأة أو إنّه أتی بفاحشة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ما، این دلیل کلیّت ندارد تا تمام موارد شبهه را فرا گیرد؛ هرچند اجمال آن نیز مقبول است؛ زیرا، یکی از موارد شبهه، جاهل مقصّر است که در پایان مسأله،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کسی که در تحصیل مقدّمات کوتاهی کرده، لیکن در موقع عمل هیچ احتمال خلافی نمی‌داده، می‌توان گفت زنا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نیازی به</w:t>
      </w:r>
    </w:p>
    <w:p>
      <w:pPr>
        <w:pStyle w:val="BookText"/>
        <w:rPr/>
      </w:pPr>
      <w:r>
        <w:rPr>
          <w:rFonts w:ascii="IRNazanin" w:hAnsi="IRNazanin" w:eastAsia="IRNazanin"/>
          <w:color w:val="111111"/>
          <w:sz w:val="28"/>
          <w:sz w:val="28"/>
          <w:szCs w:val="28"/>
          <w:rtl w:val="true"/>
          <w:lang w:bidi="fa-IR"/>
        </w:rPr>
        <w:t>این دلیل نداریم؛ زیرا، روایات متعدّدی در این باب داریم که همه‌ی آن‌ها دلالت بر سقوط حدّ در موارد شبهه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ادرؤوا الحدود بالشبهات، ولا شفاعة ولا کفالة ولا یمین فی حدّ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مرسلات صدوق رحمه الله است که به‌صورت قطعی مطلب را به پیامبر اکرم صلی الله علیه و آله نسبت می‌دهد؛ و به واسطه‌ی اعتمادی که به راویان آن داشته، واسطه‌ها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گفتیم چنین مرسلاتی نزد ما معتبر و صحیح است؛ ما این روایت را به این علّت معتبر می‌دانیم، نه به دلیلی که از صاحب ریاض رحمه الله</w:t>
      </w:r>
      <w:r>
        <w:rPr>
          <w:rStyle w:val="FootnoteAnchor"/>
          <w:rtl w:val="true"/>
        </w:rPr>
        <w:footnoteReference w:id="210"/>
      </w:r>
      <w:r>
        <w:rPr>
          <w:rFonts w:ascii="IRNazanin" w:hAnsi="IRNazanin" w:eastAsia="IRNazanin"/>
          <w:color w:val="111111"/>
          <w:sz w:val="28"/>
          <w:sz w:val="28"/>
          <w:szCs w:val="28"/>
          <w:rtl w:val="true"/>
          <w:lang w:bidi="fa-IR"/>
        </w:rPr>
        <w:t>نقل می‌کنند مبنی بر آن‌که می‌گفته این روایت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جمع محلّی به الف و لام هستند که دلالت بر عموم دارد؛ بنابراین، معنای روایت، ادرؤوا کلّ حدّ بکلّ شبهة می‌شود؛ خواه حدّ زنا، یا حدّ سرقت، یا حدّ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شبهه‌ی حکمیّه باشد یا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شفاعت جریان ندارد؛ کسی نمی‌تواند شفیع شود تا حدّ بر دیگری جاری نشود؛ هم‌چنین در حدّ، کفالت معنا ندارد؛ امکان این نیست که شخصی کفیل مجرم شود تا حدّ او چند روزی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حدّ، یمین و قسم راه ندارد و آن‌چه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أنکر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مربوط به باب حدود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بإسناده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دخل فی الإسلام وأقرّ به، ثمّ شرب الخمر وزنی وأکل الربا ولم یتبیّن له شیء من الحلال والحرام، لم أقم علیه الحدّ إذا کان جاهلاً، إلّاأن تقوم علیه البیّنة أنّه قرأ السورة التی فیها الزنا والخمر وأکل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جهل ذلک</w:t>
      </w:r>
    </w:p>
    <w:p>
      <w:pPr>
        <w:pStyle w:val="BookText"/>
        <w:rPr/>
      </w:pPr>
      <w:r>
        <w:rPr>
          <w:rFonts w:ascii="IRNazanin" w:hAnsi="IRNazanin" w:eastAsia="IRNazanin"/>
          <w:color w:val="111111"/>
          <w:sz w:val="28"/>
          <w:sz w:val="28"/>
          <w:szCs w:val="28"/>
          <w:rtl w:val="true"/>
          <w:lang w:bidi="fa-IR"/>
        </w:rPr>
        <w:t>أعلمته وأخبرته، فإن رکبه بعد ذلک جلدته وأقمت علیه الحدّ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مسلمان شد و شهادتین را گفت، آن‌گاه شراب خورده، زنا کرد و ربا گرفت، در حالی‌که هنوز به مسائل حلال و حرام آشنا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اثر کمبود وقت و یا نبودن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حدّ جاری نمی‌کنم، مگر این‌که دو شاهد عادل شهادت دهند سوره‌هایی که در آن از حرمت زنا و شرب خمر و اکل ربا سخن رفته را قرائت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روایت مربوط به کسی است که با لغت عربی آشنایی دارد؛ ولی در حقیقت، مقصود این است که اگر دلیلی بر آگاه بودن شخص به حرمت این امور قائم شد، حدّ درباره‌اش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مسأله است او را آگاه می‌کنم؛ و پس از آن، اگر مرتکب آن گناه شد، به او تازیانه می‌زنم و بر او حدّ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دلالت روایت وجود دارد، مربوط به اکل ربا است که برای آن حدّی نداریم؛ لیکن این اشکال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در این‌جا به معنایِ اعمّ‌ِ از تعزیر استعمال شده است؛ بنابراین، دلالت آن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محمّد بن عیسی بن عبید، عن یونس،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رجل دعوناه إلی جملة الإسلام فأقرّ به، ثمّ شرب الخمر وزنی وأکل الربا ولم یتبیّن له شیء من الحلال والحرام، اقیم علیه الحدّ إذا جهله؟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إلّاأن تقوم علیه بیّنة أنّه قد کان أقرّ بتحریمها</w:t>
      </w:r>
      <w:r>
        <w:rPr>
          <w:rFonts w:eastAsia="IRNazanin" w:cs="IRNazanin"/>
          <w:color w:val="111111"/>
          <w:sz w:val="28"/>
          <w:szCs w:val="28"/>
          <w:rtl w:val="true"/>
          <w:lang w:bidi="fa-IR"/>
        </w:rPr>
        <w:t>.</w:t>
      </w:r>
      <w:r>
        <w:rPr>
          <w:rStyle w:val="FootnoteAnchor"/>
          <w:rtl w:val="true"/>
        </w:rPr>
        <w:footnoteReference w:id="21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علیه السلام درباره‌ی مردی می‌پرسد که به اسلام گرویده و به آن اعتراف و اقرار کرده است، آن‌گاه شرب خمر، زنا و</w:t>
      </w:r>
    </w:p>
    <w:p>
      <w:pPr>
        <w:pStyle w:val="BookText"/>
        <w:rPr/>
      </w:pPr>
      <w:r>
        <w:rPr>
          <w:rFonts w:ascii="IRNazanin" w:hAnsi="IRNazanin" w:eastAsia="IRNazanin"/>
          <w:color w:val="111111"/>
          <w:sz w:val="28"/>
          <w:sz w:val="28"/>
          <w:szCs w:val="28"/>
          <w:rtl w:val="true"/>
          <w:lang w:bidi="fa-IR"/>
        </w:rPr>
        <w:t>اکل ربا از او سر زده، ولی حلال و حرام برایش بیان نشده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چنین انسانی حدّ جاری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آن‌که بیّنه قائم شود او اقرار به تحریم آن در اسلام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قائم شود بر قرائت آیه‌ی تحریم،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اقرار او به این‌که در اسلام زنا حرام است، دلیلی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سومی که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الحدود کتاب وسائل الشیعه وجود دارد نیز به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چند روایت در مورد شبهه‌ی حکمیّه است، یعنی بر شخصی که جاهل به حرمت است و فکر نمی‌کرده زنا حرام باشد، حدّ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إسماعیل بن مرار، عن یونس،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تزوّجها رجل فوجد لها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الجلد وعلیها الرجم، لأنّه تقدّم بعلم وتقدّمت هی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وکفّارته إن لم یقدّم إلی الإمام أن یتصدّق بخمسة أصیع دقیقاً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از زنی که با مردی ازدواج کرد و بعد، آن مرد فهمید که زن شوهر دارد؛ ظاهر عبارت این است که مرد نمی‌دانسته این زن شوهر دارد و بعد از ازدواج معلوم شده که شوهردار است؛ امّا جواب امام علیه السلام بیان‌گر این است که زن و مرد هر دو می‌دانسته‌اند که زن شوهردار است، لیکن مرد همسر دیگری نداشته و محصن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 بلکه به‌معنای مواجه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درباره‌ی حکم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بایستی سنگسار شود؛ زیرا، شوهردار بوده؛ و مرد تازیانه بخورد، چون زن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حدّ نیز اقدام کردن هر دو به کار حرام از روی آگاهی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علّت، استفاده می‌شود اگر علم و آگاهی کنار برود و به‌جای آن شبهه و جهل بنشیند، حدّ ساقط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کفّاره‌ای که روایت متضمّن آن است، در بحث کفّارات باید صحبت کرد؛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نزد امام علیه السلام مطرح نشد تا حدّ جاری شود و بخواهند کفّاره</w:t>
      </w:r>
    </w:p>
    <w:p>
      <w:pPr>
        <w:pStyle w:val="BookText"/>
        <w:rPr/>
      </w:pPr>
      <w:r>
        <w:rPr>
          <w:rFonts w:ascii="IRNazanin" w:hAnsi="IRNazanin" w:eastAsia="IRNazanin"/>
          <w:color w:val="111111"/>
          <w:sz w:val="28"/>
          <w:sz w:val="28"/>
          <w:szCs w:val="28"/>
          <w:rtl w:val="true"/>
          <w:lang w:bidi="fa-IR"/>
        </w:rPr>
        <w:t xml:space="preserve">بدهند، باید پنج صاع، که هر صاع تقریباً 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آرد به فقیر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شبهه‌ی موضوعیّه وارد شده است؛ زیرا، حکم کلّی حرمت ازدواج با زن شوهردار را می‌داند، ولی در شوهردار بودن زن شبهه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موسی بن القاسم، عن عبد الصّمد بن بشیر،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أعجمیاً دخل المسجد یلبّی وعلیه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لأبی عبداللّه علیه السلام إنّی کنت رجلاً أعمل بیدی واجتمعت لی نفقة فحیث أحجّ لم أسأل أحداً عن شیء، وأفتونی هؤلاء أن أشقّ قمیصی وأنزعه من قبل رجلی وإنّ حجّی فاسد، وإنّ علیّ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لبست قمیصک أبعد ما لبّیت أم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فأخرجه من رأسک، فإنّه لیس علیک بدنة ولیس علیک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بالبیت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رکعتین عند مقام إبراهیم واسع بین الصفا والمروة، وقصّر من شعرک، فإذا کان یوم الترویة فاغتسل واهّل بالحجّ واصنع، کما یصنع الناس</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صحیحه در یک داستان مفصّلی مردی اعجمی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عوام و بی‌اطّلاع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عمره تلبیه‌گویان لباس پوشیده، وارد مسجدالحرام شد؛ وی مرتکب دو خلاف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تلبیه را قبل از ورود به مکه باید قطع می‌کرد؛ ودیگر این‌که، لباس دوخته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مسجدالحرام نزد امام صادق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جمع کردم وقتی خواستم حجّ کنم از کسی سؤال نکردم که چگونه باید حجّ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 سؤال بار نبود، یا به این نکته توجّه نداشته بود با این‌که راه، باز بوده؛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را درنظر داشته باشید تا جواب امام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اهل تسنّن مراجعه کردم، آنان می‌گویند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را پاره کن و از طرف پا بیرون بیاور، حَجّت فاسد و یک شتر باید کفّاره بدهی</w:t>
      </w:r>
      <w:r>
        <w:rPr>
          <w:rFonts w:eastAsia="IRNazanin" w:cs="IRNazanin"/>
          <w:color w:val="111111"/>
          <w:sz w:val="28"/>
          <w:szCs w:val="28"/>
          <w:rtl w:val="true"/>
          <w:lang w:bidi="fa-IR"/>
        </w:rPr>
        <w:t>.</w:t>
      </w:r>
      <w:bookmarkStart w:id="191" w:name="pg16919_226889"/>
    </w:p>
    <w:p>
      <w:pPr>
        <w:pStyle w:val="BookText"/>
        <w:rPr/>
      </w:pPr>
      <w:bookmarkEnd w:id="191"/>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لباس را پوشیدی، بعد از تلبیه و احرام یا قبل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و با همین پیراهن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سر پیراهن را بیرون بیاور؛ بر تو کفّاره واجب نیست؛ و در سال آینده نیز حجّ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کاری را از روی جهالت و نادانی انجام دهد،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آن دستور می‌دهد وی اعمال عمره و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اختصاص به باب حجّ ندارد؛ در باب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حجّش باطل نیست و کفّاره به عهده‌ی او نمی‌آید؛ این مطلب در باب حدود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نیز معنای عامّی دارد و شامل شبهات موضوعیّه و حکمیّه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أسأل أحداً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چیست؟ آیا می‌توانسته سؤال کند ولی امتناع کرده، یا راهی برای سؤال نداشته است؟ به نظر می‌رسد با این‌که بیشتر مردم آن زمان گرفتار علمای اهل تسنّن بودند، راه آنان راه واقعی نبوده است؛ بنابراین، معنای جمله این است که راه سؤال از آن کسی که احکام واقعی را نشان بدهد و روشن کند، 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با جواب امام علیه السلام نیز تطبیق می‌کند</w:t>
      </w:r>
      <w:r>
        <w:rPr>
          <w:rFonts w:eastAsia="IRNazanin" w:cs="IRNazanin"/>
          <w:color w:val="111111"/>
          <w:sz w:val="28"/>
          <w:szCs w:val="28"/>
          <w:rtl w:val="true"/>
          <w:lang w:bidi="fa-IR"/>
        </w:rPr>
        <w:t>.</w:t>
      </w:r>
    </w:p>
    <w:p>
      <w:pPr>
        <w:pStyle w:val="Heading6"/>
        <w:numPr>
          <w:ilvl w:val="5"/>
          <w:numId w:val="1"/>
        </w:numPr>
        <w:rPr/>
      </w:pPr>
      <w:bookmarkStart w:id="192" w:name="__RefHeading___Toc78730_3244359995"/>
      <w:bookmarkStart w:id="193" w:name="_Toc73"/>
      <w:bookmarkEnd w:id="192"/>
      <w:r>
        <w:rPr>
          <w:rtl w:val="true"/>
        </w:rPr>
        <w:t>مقام دوم</w:t>
      </w:r>
      <w:r>
        <w:rPr>
          <w:rtl w:val="true"/>
        </w:rPr>
        <w:t xml:space="preserve">: </w:t>
      </w:r>
      <w:r>
        <w:rPr>
          <w:rtl w:val="true"/>
        </w:rPr>
        <w:t>معنای شبهه و مصادیق آن</w:t>
      </w:r>
      <w:bookmarkEnd w:id="193"/>
    </w:p>
    <w:p>
      <w:pPr>
        <w:pStyle w:val="BookText"/>
        <w:rPr/>
      </w:pPr>
      <w:r>
        <w:rPr>
          <w:rFonts w:ascii="IRNazanin" w:hAnsi="IRNazanin" w:eastAsia="IRNazanin"/>
          <w:color w:val="111111"/>
          <w:sz w:val="28"/>
          <w:sz w:val="28"/>
          <w:szCs w:val="28"/>
          <w:rtl w:val="true"/>
          <w:lang w:bidi="fa-IR"/>
        </w:rPr>
        <w:t>در گذشته، اشاره‌ی مختصری به معنای شبهه کردیم؛ و اکنون به تفصیل درباره‌ی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شبهه، سه احتمال و بلکه سه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رحمه الله در تعریف شبهه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 ظنّ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چیزی که موجب می‌شود فاعل ظنّ به اباحه پیدا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درصد حلّیت عمل را تصوّر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توجیه این کلام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ظنّ، قطع است؛ لیکن چون قطعی است برخلاف واقع، از آن تعبیر به ظنّ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با کلام بعضی از فقها سازگار نیست که ظنّ را نه در مقابل یقین، بلکه به معنایی که شامل یقین هم بشود، گرفته و عبارت را بر ظاهرش باقی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گروهی بر آنان اشکال کرده‌اند که اگر مراد از ظنّ، ظنّ</w:t>
      </w:r>
    </w:p>
    <w:p>
      <w:pPr>
        <w:pStyle w:val="BookText"/>
        <w:rPr/>
      </w:pPr>
      <w:r>
        <w:rPr>
          <w:rFonts w:ascii="IRNazanin" w:hAnsi="IRNazanin" w:eastAsia="IRNazanin"/>
          <w:color w:val="111111"/>
          <w:sz w:val="28"/>
          <w:sz w:val="28"/>
          <w:szCs w:val="28"/>
          <w:rtl w:val="true"/>
          <w:lang w:bidi="fa-IR"/>
        </w:rPr>
        <w:t>غیرمعتبر است، به یک امر غیرمعتبر نمی‌توان حدّ را ساقط کرد؛ و اگر مراد، ظنّ معتبر است، دیگر در محدوده‌ی شبهه داخل نیست؛ زیرا، اگر بر زوجیّت زن، بیّنه قائم شد، دیگر جهل و شبهه‌ای باقی نمی‌ماند؛ و اگر مراد، اعمّ از ظنّ معتبر و غیرمعتبر باشد، باز هر دو اشکال بر می‌گردد؛ زیرا، با ظنّ معتبر شبهه‌ای نیست و با ظنّ غیرمعتبر هم نمی‌توان حدّ را ساقط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شبهه، ظنّ به اباحه لازم نیست؛ بلکه همین که عالِم به حرمت نباشد، کافی است؛ خواه احتمالِ اباحه راجح باشد، یا متساوی و یا مرجوح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الوطی بالشبهة، الوط‌ء الذی لیس بمستحقّ مع عدم 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به شبهه عملی است که در واقع حرام است، امّا علم به حرمت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ظنّ به حرمت داشته و احتمال حلّیت بدهد، شبهه بوده، و جای سقوط حدّ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سید بحرالعلوم رحمه الله در کتاب مصابیح است؛ مرحوم صاحب جواهر</w:t>
      </w:r>
      <w:r>
        <w:rPr>
          <w:rStyle w:val="FootnoteAnchor"/>
          <w:rtl w:val="true"/>
        </w:rPr>
        <w:footnoteReference w:id="217"/>
      </w:r>
      <w:r>
        <w:rPr>
          <w:rFonts w:ascii="IRNazanin" w:hAnsi="IRNazanin" w:eastAsia="IRNazanin"/>
          <w:color w:val="111111"/>
          <w:sz w:val="28"/>
          <w:sz w:val="28"/>
          <w:szCs w:val="28"/>
          <w:rtl w:val="true"/>
          <w:lang w:bidi="fa-IR"/>
        </w:rPr>
        <w:t>از ایشان نقل می‌کند و امام راحل رحمه الله از مرحوم سید بحرالعلوم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احتمال، کفایت نمی‌کند، بلکه گمان هم کافی نیست و شبهه در موارد خاصّی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 الّذی لیس بمستحقّ فی نفس الأمر مع اعتقاد فاعله الإستحقاق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در واقع حلال نیست، امّا فاعلش به حلّیت آن اعتقاد جزمی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صدر عنه بجهالة مغتفرة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روی جهل صادر شده است، امّا جهلی است که پشتوانه‌ی شرعی دارد و شارع اجازه‌ی عمل به آن جهل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چند مثال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اشتبه علیه ما یحلّ من النساء بما یحرم منهنّ مع عدم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شبهه‌ی غیرمحصوره‌ای باشد، مثلاً یک مرد هزار زن صیغه‌ای دارد که یکی از آنان حرام باشد؛ در شبهات غیرمحصوره وجوب اجتناب نیست، بنابراین، اگر با یکی از آنان وطی کرد و بعد از وطی معلوم شد این زن حرام بوده است، حدّ ساقط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عوّل علی إخبار المرأة بعدم الزوج أو انقضاء العدّة أو علی شهادة العدلین</w:t>
      </w:r>
      <w:bookmarkStart w:id="194" w:name="pg16919_226891"/>
    </w:p>
    <w:p>
      <w:pPr>
        <w:pStyle w:val="BookText"/>
        <w:rPr/>
      </w:pPr>
      <w:bookmarkEnd w:id="194"/>
      <w:r>
        <w:rPr>
          <w:rFonts w:ascii="IRNazanin" w:hAnsi="IRNazanin" w:eastAsia="IRNazanin"/>
          <w:color w:val="111111"/>
          <w:sz w:val="28"/>
          <w:sz w:val="28"/>
          <w:szCs w:val="28"/>
          <w:rtl w:val="true"/>
          <w:lang w:bidi="fa-IR"/>
        </w:rPr>
        <w:t>بطلاق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اخبار زن به شوهر نداشتن، یا انقضای عدّه، یا بر شهادت دو عادل به طلاق دادن زوج، اعتماد کرد و پس از آن خلافش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عمل وطی از روی جهالتی است که در شرع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 ارتفاع التکلیف بسبب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موردی است که تکلیف از فاعل به سببی غیرحرام مرفوع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تکلیف به سبب امر حرامی مرتفع می‌شود،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شراب می‌خورد که عقلش از بین می‌رود و در حال مستی زنا می‌کند؛ در این فرض، حدّ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شخص در عالم خواب زنا می‌کند؛ که در حال خواب،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کلام سید بحرالعلوم رحمه الله این است که اگر در موردی ظنّ غیرمعتبر به حلّیت پیدا شود، از مصادیق شبهه نیست و هم‌چنین است مواردی که ظنّ به حرمت دارد و احتمال حلّیت می‌دهد</w:t>
      </w:r>
      <w:r>
        <w:rPr>
          <w:rFonts w:eastAsia="IRNazanin" w:cs="IRNazanin"/>
          <w:color w:val="111111"/>
          <w:sz w:val="28"/>
          <w:szCs w:val="28"/>
          <w:rtl w:val="true"/>
          <w:lang w:bidi="fa-IR"/>
        </w:rPr>
        <w:t>.</w:t>
      </w:r>
    </w:p>
    <w:p>
      <w:pPr>
        <w:pStyle w:val="Heading6"/>
        <w:numPr>
          <w:ilvl w:val="5"/>
          <w:numId w:val="1"/>
        </w:numPr>
        <w:rPr/>
      </w:pPr>
      <w:bookmarkStart w:id="195" w:name="__RefHeading___Toc78732_3244359995"/>
      <w:bookmarkStart w:id="196" w:name="_Toc74"/>
      <w:bookmarkEnd w:id="195"/>
      <w:r>
        <w:rPr>
          <w:rtl w:val="true"/>
        </w:rPr>
        <w:t>تحقیق در معنای شبهه</w:t>
      </w:r>
      <w:bookmarkEnd w:id="196"/>
    </w:p>
    <w:p>
      <w:pPr>
        <w:pStyle w:val="BookText"/>
        <w:rPr/>
      </w:pPr>
      <w:r>
        <w:rPr>
          <w:rFonts w:ascii="IRNazanin" w:hAnsi="IRNazanin" w:eastAsia="IRNazanin"/>
          <w:color w:val="111111"/>
          <w:sz w:val="28"/>
          <w:sz w:val="28"/>
          <w:szCs w:val="28"/>
          <w:rtl w:val="true"/>
          <w:lang w:bidi="fa-IR"/>
        </w:rPr>
        <w:t>از میان این سه احتمال یا سه قول، کدام به واقع نزدیک‌تر است؟ اگر بگوییم شبهه آن چیزی است که عمل را حلال کرده و یا حداقل، فاعل آن معذور بوده و استحقاق عقوبت و مؤاخذه ندارد، کلام مرحوم سید بحرالعلوم 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سه صورت، یا تکلیف نداشت، یا جهالت مغتفره بود و شارع اجازه‌ی ارتکاب داده و فاعل به استناد حجیّت قول زن یا بیّنه وارد عمل شده، و یا قطع به حلّیت داشته که قطع حجّت و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هیچ‌یک از این موارد، جای سؤال و مؤاخذه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چند اشکال وجود دارد؛ اشکال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شبهه این معنا باشد، دیگر احتیاجی به روایات سقوط حدّ به شبهه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شما یکی از شرایط زنا را حرمت فعلی داشتن زن بر مرد دانستید و در هر سه صورت، حرمت فعلی نداریم؛ زیرا، با وجود قطع به حلّیت، جای حرمت نیست؛ همان‌گونه که با اعتماد بر بیّنه، زنا صادق نیست و در صورت خواب یا 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نیست، و با عدم تکلیف، حدّ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سقوط حدّ، دیگر نیازی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w:t>
      </w:r>
    </w:p>
    <w:p>
      <w:pPr>
        <w:pStyle w:val="BookText"/>
        <w:rPr/>
      </w:pPr>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تمسّک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قول، ملازمه‌ی بین ثبوت تکلیف و ثبوت حدّ است؛ یعنی هرجا تکلیف فعلی بود، حدّ هست؛ و هرجا فعلیّت تکلیف مرتفع شد، حدّ نیز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ملازمه مردود است؛ زیرا، دایره‌ی ثبوت حدّ از ثبوت تکلیف تنگ‌تر است؛ چه آن‌که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افاده‌ی مطلب زایدی است، یعنی می‌خواهد بگوید شارع در مسأله حدّ احتیاط را رعایت کرده و دایره‌ی حدّ محدود است به‌گونه‌ای که با شبهه حدّ ساقط می‌شود؛ نه این‌که بین ثبوت حدّ و ثبوت تکلیف ملازمه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ملازمه‌ی بین این دو به امور زیر تأیید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ثبوت حدّ، علم به تحریم بود که دایره‌ی علم را به حجّت معتبر شرعی و اصل عملی معتبر و علم اجمالی توسعه دادیم؛ معنای اعتبار این شرط، عدم ثبوت حدّ در صورت عدم علم به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صرف عدم علم به تحریم، حدّ ساقط است؛ امّا این‌که برای سقوط حدّ از فاعل باید علاوه بر علم به عدم حرمت، قطع به حلّیت یا حجّت بر حلّیت وطی هم داشته باشد، سؤال این است که از کجا استفاده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امام علیه السلام در روایت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بعلم وتقدّمت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چون مرد و زن با علم، اقدام به عمل کرده‌اند، باید حدّ بخورند؛ پس، هرجا علم نباشد حدّ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رحمه الله یک صورت از جاهل مقصّر را استثنا کرده‌اند، و آن موردی است که شخص در تحصیل مقدّمات قصور کرده، ولی در حین عمل، غفلتِ از حکم و سؤالِ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از ایشان این است که آیا این جاهل مقصّر معذور است یا نه؟ معذور بودن با مقصّر بودن جمع نمی‌شود؛ پس، معلوم می‌شود شبهه‌ی در باب معذور بودن و سقوط تکلیف، غیر از شبهه‌ی در باب حدّ و سقوط آن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شارع در معنای شبهه در باب سقوط حدّ توسعه داده تا دایره‌ی حدّ را</w:t>
      </w:r>
    </w:p>
    <w:p>
      <w:pPr>
        <w:pStyle w:val="BookText"/>
        <w:rPr/>
      </w:pPr>
      <w:r>
        <w:rPr>
          <w:rFonts w:ascii="IRNazanin" w:hAnsi="IRNazanin" w:eastAsia="IRNazanin"/>
          <w:color w:val="111111"/>
          <w:sz w:val="28"/>
          <w:sz w:val="28"/>
          <w:szCs w:val="28"/>
          <w:rtl w:val="true"/>
          <w:lang w:bidi="fa-IR"/>
        </w:rPr>
        <w:t xml:space="preserve">محدود کند، همان‌گونه که برای اثبات زنا چهار شاهد عادل 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لازم است؛ یعنی ضمن این‌که تهدید می‌کند نمی‌خواهد آبروی نوع مردم ریخته شود،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نمی‌خواهد بگوید با هر شبهه‌ای که رافع تکلیف است، حدّ ساقط می‌شود؛ زیرا، سالبه به انتفای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روی تفضّل و عنایتی که به مردم داشته، نمی‌خواهد در تمام موارد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جایی که ظنّ غیرمعتبر به اباحه دارد و دلیل بر تحریم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ظنّ غیرمعتبر برای تکلیف به درد نمی‌خورد،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سقوط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می‌توان پا را از این فراتر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اباحه نیز در سقوط حدّ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نظر تکلیف، کسی که احتمال حرمت و اباحه را می‌دهد و بر هیچ‌کدام دلیل قائم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دوم یا لااقل قول مرحوم صاحب ریاض</w:t>
      </w:r>
      <w:r>
        <w:rPr>
          <w:rStyle w:val="FootnoteAnchor"/>
          <w:rtl w:val="true"/>
        </w:rPr>
        <w:footnoteReference w:id="219"/>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صحیحه‌ی یزید کناسی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العدّة ولا تدری کم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علیها العدّة لزمتها الحجّة فتسأل حتّی تعلم؛</w:t>
      </w:r>
      <w:r>
        <w:rPr>
          <w:rStyle w:val="FootnoteAnchor"/>
          <w:rtl w:val="true"/>
        </w:rPr>
        <w:footnoteReference w:id="220"/>
      </w:r>
      <w:r>
        <w:rPr>
          <w:rFonts w:ascii="IRNazanin" w:hAnsi="IRNazanin" w:eastAsia="IRNazanin"/>
          <w:color w:val="111111"/>
          <w:sz w:val="28"/>
          <w:sz w:val="28"/>
          <w:szCs w:val="28"/>
          <w:rtl w:val="true"/>
          <w:lang w:bidi="fa-IR"/>
        </w:rPr>
        <w:t>زن می‌دانسته که عدّه دارد ولی به مقدار آن جاهل بوده و در این حالت ازدواج کرده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گریبانش را می‌گیرد؛ باید سؤال کند تا حکم را بفهمد و اگر بدون پرسش شوهر کند حدّ بر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احتمال حلّیت و حرمت می‌داده، شوهر کرده و شما حدّ را بر او جاری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 که این‌جا فقط احتمال تنها نیست، بلکه او علم به حرمت داشته و اکنون نیز استصحاب حرمت و بقای عدّه دارد؛ استصحاب حجّت شرعی است و تا یقین به خروج از عدّه پیدا نکند، حق ازدواج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این‌که، مراد صاحب ریاض رحمه الله از ظنّ، اعمّ از معتبر و غیرمعتبر است، و ظنّ به‌معنای قطع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مطالب، به فروعات مسأله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ابتدای مسأله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عبارت مصابیح است، مبنی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معتقد به حلّیت باشد در حالی‌که چنین نباشد، یا جاهل به واقع باشد جهالتی که بخشیده شده است، مثلاً زن اعلام می‌کند که شوهر ندارد در حالی که شوهردار است، یا بیّنه بر موت شوهر یا طلاق زن قائم شد و خلاف آن کشف شد، یا شکّ در حصول رضاع محرم دارد و با استصحاب عدم تحقّق رضاع ازدواج کرد، بعد معلوم شد محرم رضاعی او است، در تمام این موارد، وطی به شبهه بوده و حدّ ساقط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ظنّ غیرمعتبر یا فقط احتمال حلّیت بدهد، سقوط حدّ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جاهل به حکم باشد و احتمال حرمت بدهد و ملتفت باشد و سؤال نکند، ظاهراً شبهه نیست؛ ولی اگر جاهل قاصر یا مقصّر غیر ملتفت به حکم و سؤال باشد، ظاهراً شبهه‌ی از بین برنده‌ی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صورتی که جاهل بوده و احتمال حرمت بدهد و با التفات سؤال نکند، باز حدّ ساقط است؛ هرچند از نظر تکلیف معذور نیست</w:t>
      </w:r>
      <w:r>
        <w:rPr>
          <w:rFonts w:eastAsia="IRNazanin" w:cs="IRNazanin"/>
          <w:color w:val="111111"/>
          <w:sz w:val="28"/>
          <w:szCs w:val="28"/>
          <w:rtl w:val="true"/>
          <w:lang w:bidi="fa-IR"/>
        </w:rPr>
        <w:t>.</w:t>
      </w:r>
      <w:bookmarkStart w:id="197" w:name="pg16919_226895"/>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الزواج مع المحارم عالماً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عقد علی محرّمة علیه کالمحارم ونحوها مع علمه بالحرمة لم یسقط الحدّ، وکذا لو استأجرها للوط‌ء مع علمه بعدم الصحّة، فالحدّ ثابت خلافاً للمحکیّ عن بعض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یشترط فی الحدّ کون المسألة إجماعیّة، فلو کانت اختلافیّة لکن ادّی اجتهاده أو تقلیده إلی الحرمة 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خالف اجتهاد الوالی لاجتهاد المرتکب وقال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الحرمة، فهل له إجراء الحدّ أم لا؟ الأشبه الثانی، کما أنّه لو کان بالعکس لا حدّ علیه</w:t>
      </w:r>
      <w:r>
        <w:rPr>
          <w:rFonts w:eastAsia="IRNazanin" w:cs="IRNazanin"/>
          <w:color w:val="111111"/>
          <w:sz w:val="28"/>
          <w:szCs w:val="28"/>
          <w:rtl w:val="true"/>
          <w:lang w:bidi="fa-IR"/>
        </w:rPr>
        <w:t>.</w:t>
      </w:r>
    </w:p>
    <w:p>
      <w:pPr>
        <w:pStyle w:val="Heading4"/>
        <w:numPr>
          <w:ilvl w:val="3"/>
          <w:numId w:val="1"/>
        </w:numPr>
        <w:rPr/>
      </w:pPr>
      <w:bookmarkStart w:id="198" w:name="__RefHeading___Toc78734_3244359995"/>
      <w:bookmarkStart w:id="199" w:name="_Toc75"/>
      <w:bookmarkEnd w:id="198"/>
      <w:r>
        <w:rPr>
          <w:rtl w:val="true"/>
        </w:rPr>
        <w:t>حکم ازدواج با محارم با علم به حرمت</w:t>
      </w:r>
      <w:bookmarkEnd w:id="199"/>
    </w:p>
    <w:p>
      <w:pPr>
        <w:pStyle w:val="BookText"/>
        <w:rPr/>
      </w:pPr>
      <w:r>
        <w:rPr>
          <w:rFonts w:ascii="IRNazanin" w:hAnsi="IRNazanin" w:eastAsia="IRNazanin"/>
          <w:color w:val="111111"/>
          <w:sz w:val="28"/>
          <w:sz w:val="28"/>
          <w:szCs w:val="28"/>
          <w:rtl w:val="true"/>
          <w:lang w:bidi="fa-IR"/>
        </w:rPr>
        <w:t>در این مسأله چند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حرمت ازدواج با محارم علم داشته باشد و آنان را برای خود عقد کند، یا زنی را با علم به بطلان اجاره برای وطی اجاره کند، حدّ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این فرع برای بیان مخالفت با ابو حنیفه است که به تفصیل، کلامش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فقها این فرع را با فرع قبل مطرح کرده‌اند، این است که بیان کنند خواندنِ عقد نقشی در سقوط حدّ ندارد؛ بلکه در صورت علم به حرمت، حدّ، ثابت بوده؛ و در صورت جهل به آن، حدّ، ساقط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لازم نیست که مسأله‌ی حرمت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بحث به جهت کلامی است که مرحوم علّامه در کتاب نکاح، در مورد وطی به شبهه فرموده است؛ مبنی بر آن‌که زنای موجب حدّ در جایی است که حرمت زن از طریق اجماع مسلّم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محارم که از واضحات فقه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لازمه‌ی جمود بر ظاهر کلام علّامه رحمه الله، این است که در مواردی که مسأله اختلافی است، حدّی ثابت نباشد؛ مثلاً اگر نظر مجتهدی بر حرمت زنی بود در حالی‌که قول به عدم</w:t>
      </w:r>
    </w:p>
    <w:p>
      <w:pPr>
        <w:pStyle w:val="BookText"/>
        <w:rPr/>
      </w:pPr>
      <w:r>
        <w:rPr>
          <w:rFonts w:ascii="IRNazanin" w:hAnsi="IRNazanin" w:eastAsia="IRNazanin"/>
          <w:color w:val="111111"/>
          <w:sz w:val="28"/>
          <w:sz w:val="28"/>
          <w:szCs w:val="28"/>
          <w:rtl w:val="true"/>
          <w:lang w:bidi="fa-IR"/>
        </w:rPr>
        <w:t>حرمت نیز در مسأله وجود دارد، در صورتی‌که آن مجتهد یا مقلّدین او با آن زن وطی کردند، حدّ از آنان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مقصود مرحوم علّامه ظاهر عبارت نباشد، بلکه مراد ایشان آن است که اگر مردی با زنی وطی کرد، باید کیفیّت مسأله را دید، اگر حرمت مرد و زن اجماعی باشد، بدون تردید، برای این مرد و زن عذری نبوده و مرد و زن موجب حدّ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اختلافی باشد، نمی‌توان بدون سؤال از فاعل و مفعول، او را حدّ زد؛ زیرا، ممکن است نظر خودش یا مجتهدش بر عدم حرمت این وطی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 به او حد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تفکیکی که مرحوم علّامه بین مسائل اجتماعی و اختلافی دارد، به لحاظ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ظاهر کلام ایشان غلط‌انداز است؛ و برای این‌که کسی تحت تأثیر این کلام واقع نشود، امام راحل رحمه الله 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یشترط فی الحدّ کون المسألة اجماعیّة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لازم نیست در ثبوت حدّ مسأله اجماعی باشد، بلکه اگر اجتهاد فاعل یا مفعول و یا اجتهاد بر حرمت باشد، حدّ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مناسبت، دو فرع بعدی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به‌نظر فاعل و عقیده‌ی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عقیده‌ی اجتهادی یا تقلیدی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زنا باشد، ولی والی و حاکم شرع آن عمل را زنا ندانند، آیا مجری حدود با اعتقاد به این‌که عمل فاعل حرام نیست، می‌تواند به استناد این‌که فاعل آن عمل را حرام و موجب حدّ می‌داند، بر زانی حدّ جاری کند؟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پس از طرح دو احتمال، احتمال دوم را بر احتمال اوّل ترجیح می‌دهد؛ زیرا، به عقیده‌ی مجری حدّ، عمل فاعل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اجرای حدّ را مشروع نمی‌داند؛ و در این صورت، چگونه می‌تواند حدّ را اجرا کند؟ به‌عبارت روشن‌تر، اجرای حدّ، فعل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این عمل، مجوّز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جایی‌که وطی به‌نظر حاکم شرع حلال است، چه مجوّزی برای اجرای حدّ دارد؟ از این‌رو، امام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حکم به قواعد و ضوابطی که در دست ما است، عدم اجرای حدّ توسط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فرع سوم است؛ یعنی حاکم معتقد به حرمت، و فاعل، عقیده‌ی اجتهادی یا تقلیدی به حلّیت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دو احتمال وجود ندارد و به‌طور قاطع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فاعل، حجّت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تقلیداً یا اجتهاداً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فعل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حتّی به نظر مرحوم بحرالعلوم که دایره‌ی شبهه را خیلی محدود کرد، از مصادیق روشن شبهه است؛ فرقی نیست بین این‌که بیّنه‌ای بر حلّیت زنا قائم شود و با اعتماد بر آن، مرد، مرتکب وطی شود، در حالی‌که حاکم می‌داند بیّنه اشتباه کرده است؛ در این شبهه‌ی موضوعیّه، حاکم حق اجرای حدّ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شبهه‌ی حکمیّه نیز فتوای مجتهد برای خود و مقلّدش حجّت شرعی است؛ اگر مخالف با واقع بود، جهالت مغتفر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در فرع سوم دو احتمال راه داشت، در این فرع، احتمال ثبوت حدّ به‌هیچ وجه جا ندارد</w:t>
      </w:r>
      <w:r>
        <w:rPr>
          <w:rFonts w:eastAsia="IRNazanin" w:cs="IRNazanin"/>
          <w:color w:val="111111"/>
          <w:sz w:val="28"/>
          <w:szCs w:val="28"/>
          <w:rtl w:val="true"/>
          <w:lang w:bidi="fa-IR"/>
        </w:rPr>
        <w:t>.</w:t>
      </w:r>
      <w:bookmarkStart w:id="200" w:name="pg16919_226898"/>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حدّ الزنا مع توهّم حلّیة الوطی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یسقط الحدّ فی کلّ موضع یتوهّم الحلّ کمن وجد علی فراشه امرأة فتوهّم أنّها زوجته فوطأها، فلو تشبّهت امرأة نفسها بالزوجة فوطأها فعلیها الحدّ دون واطئها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یقام علیها الحدّ جهراً وعلیه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غیرمعوّل علیها</w:t>
      </w:r>
      <w:r>
        <w:rPr>
          <w:rFonts w:eastAsia="IRNazanin" w:cs="IRNazanin"/>
          <w:color w:val="111111"/>
          <w:sz w:val="28"/>
          <w:szCs w:val="28"/>
          <w:rtl w:val="true"/>
          <w:lang w:bidi="fa-IR"/>
        </w:rPr>
        <w:t>.</w:t>
      </w:r>
    </w:p>
    <w:p>
      <w:pPr>
        <w:pStyle w:val="Heading4"/>
        <w:numPr>
          <w:ilvl w:val="3"/>
          <w:numId w:val="1"/>
        </w:numPr>
        <w:rPr/>
      </w:pPr>
      <w:bookmarkStart w:id="201" w:name="__RefHeading___Toc78736_3244359995"/>
      <w:bookmarkStart w:id="202" w:name="_Toc76"/>
      <w:bookmarkEnd w:id="201"/>
      <w:r>
        <w:rPr>
          <w:rtl w:val="true"/>
        </w:rPr>
        <w:t>سقوط حدّ زنا در موارد توهّم حلّیت وطی</w:t>
      </w:r>
      <w:bookmarkEnd w:id="202"/>
    </w:p>
    <w:p>
      <w:pPr>
        <w:pStyle w:val="Heading5"/>
        <w:numPr>
          <w:ilvl w:val="4"/>
          <w:numId w:val="1"/>
        </w:numPr>
        <w:rPr/>
      </w:pPr>
      <w:bookmarkStart w:id="203" w:name="__RefHeading___Toc78738_3244359995"/>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امام رحمه الله در این مسأله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شخص توهّم حلّیت وطی داشته باشد، حدّ ساقط می‌شود؛ مثل این‌که شخصی بر فراش خود زنی را ببیند و با خیال این‌که همسرش هست، با او وطی کند؛ البته ممکن است زن نیز توهّم کند آن مرد شوهر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خود را شبیه به همسر مردی کرد و مرد به‌خیال این‌که آن زن همسرش هست، با او وطی کرد، زن باید حدّ بخورد ولی بر فاعل حدّی نیست؛ هرچند روایتی دلالت دارد که بر زن آشکارا و بر مرد مخفیانه حدّ جاری می‌شود؛ لیکن روایت، ضعیف و غیر قابل اعتماد است</w:t>
      </w:r>
      <w:r>
        <w:rPr>
          <w:rFonts w:eastAsia="IRNazanin" w:cs="IRNazanin"/>
          <w:color w:val="111111"/>
          <w:sz w:val="28"/>
          <w:szCs w:val="28"/>
          <w:rtl w:val="true"/>
          <w:lang w:bidi="fa-IR"/>
        </w:rPr>
        <w:t>.</w:t>
      </w:r>
    </w:p>
    <w:p>
      <w:pPr>
        <w:pStyle w:val="Heading5"/>
        <w:numPr>
          <w:ilvl w:val="4"/>
          <w:numId w:val="1"/>
        </w:numPr>
        <w:rPr/>
      </w:pPr>
      <w:bookmarkStart w:id="205" w:name="__RefHeading___Toc78740_3244359995"/>
      <w:bookmarkStart w:id="206" w:name="_Toc78"/>
      <w:bookmarkEnd w:id="205"/>
      <w:r>
        <w:rPr>
          <w:rtl w:val="true"/>
        </w:rPr>
        <w:t>علّت طرح مسأله</w:t>
      </w:r>
      <w:bookmarkEnd w:id="206"/>
    </w:p>
    <w:p>
      <w:pPr>
        <w:pStyle w:val="BookText"/>
        <w:rPr/>
      </w:pPr>
      <w:r>
        <w:rPr>
          <w:rFonts w:ascii="IRNazanin" w:hAnsi="IRNazanin" w:eastAsia="IRNazanin"/>
          <w:color w:val="111111"/>
          <w:sz w:val="28"/>
          <w:sz w:val="28"/>
          <w:szCs w:val="28"/>
          <w:rtl w:val="true"/>
          <w:lang w:bidi="fa-IR"/>
        </w:rPr>
        <w:t xml:space="preserve">امام رحمه الله در این مسأله عنوانی کلّی را مورد حکم قرار می‌دهند؛ یعنی در هر موردی که با اعتقاد به حلّیت، وطی صورت گیرد، حدّ ساقط است؛ هرچند آن اعتقاد برخلاف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شبهه‌ی حکمیه یا در شبهه‌ی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روشن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می‌توان اشکال کرد شما در مسأله‌ی پنجم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لا حدّ مع الشبهة بأن اعتقد فاعله الجواز ولم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حلّیت باشد، همان‌گونه که لفظ توهّم را به‌جای اعتقاد استعمال می‌کنند، چنان‌چه ظنّ را در موارد زیادی از آیات و روایات به‌جای یقین به‌کار می‌برند، این فرع تکرار همان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توهّم اصطلاحی در مقابل شک یا ظنّ یا اعمّ از این‌ها باشد،</w:t>
      </w:r>
    </w:p>
    <w:p>
      <w:pPr>
        <w:pStyle w:val="BookText"/>
        <w:rPr/>
      </w:pPr>
      <w:r>
        <w:rPr>
          <w:rFonts w:ascii="IRNazanin" w:hAnsi="IRNazanin" w:eastAsia="IRNazanin"/>
          <w:color w:val="111111"/>
          <w:sz w:val="28"/>
          <w:sz w:val="28"/>
          <w:szCs w:val="28"/>
          <w:rtl w:val="true"/>
          <w:lang w:bidi="fa-IR"/>
        </w:rPr>
        <w:t>باز هم اشکال می‌شود که در آن‌جا فرمودید ظنّ غیرمعتبر و احتمالِ به حلّیت به‌درد نمی‌خورد؛ بنابراین، این فرع مناقض با مسأله‌ی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حلّیت است، نه توهّم به‌معنای وسیع که شامل ظنّ غیرمعتبر و احتمال مرجوح شود؛ و علّت این‌که از آن به توهّم تعبیر شده، مخالف با واقع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روشن‌تر، اگر مطلبی که به آن اذعان دارد مطابق با واقع باشد، به آن اعتقاد گویند و اگر مخالف با واقع باشد، معمولاً از کلمه‌ی توهّم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تکرار مسأله آن است که در یکی از فروض این قاعده‌ی کلّی، روایتی برخلاف قاعده رسیده است و شاید برخی از فقهای متقدّم نیز به آن عمل کرده باشند؛ ولی دیگران از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سند آن روایت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توجّه به این مطلب، مسأله را جداگانه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باید روایت را ذکر کرده و آن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عن بعض أصحابه، عن إبراهیم بن محمّد الثقفی، عن إبراهیم بن یحیی الدوری، عن هشام بن بشیر، عن أبی بشیر، عن أبی روح، إنّ امرأة تشبّهت بأمة لرجل وذلک لیلاً فواقعها وهو یری أنّها جاریته، فرفع إلی عمر فأرسل إلی علیّ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 الرجل حدّاً فی السرّ واضرب المرأة حدّاً فی العلانیة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محمّد بن احمد بن یحیی از برخی اصحابش نقل می‌کند که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مرسل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ثقه است، لیکن راویان بعد از او، مجهول الحال هستند؛ از این‌رو، روایت به ارسال و ضعف سند مبتلا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شبی خود را شبیه کنیز مردی کرد و آن مرد صد در صد معتقد بود که آن زن، کنیز خودش هست؛ لذا، با او مواقعه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نزد عمر آورده و او حکم</w:t>
      </w:r>
      <w:bookmarkStart w:id="207" w:name="pg16919_226900"/>
    </w:p>
    <w:p>
      <w:pPr>
        <w:pStyle w:val="BookText"/>
        <w:rPr/>
      </w:pPr>
      <w:bookmarkEnd w:id="207"/>
      <w:r>
        <w:rPr>
          <w:rFonts w:ascii="IRNazanin" w:hAnsi="IRNazanin" w:eastAsia="IRNazanin"/>
          <w:color w:val="111111"/>
          <w:sz w:val="28"/>
          <w:sz w:val="28"/>
          <w:szCs w:val="28"/>
          <w:rtl w:val="true"/>
          <w:lang w:bidi="fa-IR"/>
        </w:rPr>
        <w:t>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را از حضرت علی علیه السلام سؤال کردند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مخفیانه و زن را آشکارا حدّ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توجیه برای این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مخفیانه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انشایی صوری بوده است، مصلحتی در انشای این حکم بوده و امام علیه السلام خواسته او را محرمانه ببرند و تازیانه نزنند؛ امّا به‌جهت رعایت مصلحتی، این‌گونه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از او ساقط است، بهانه به دست اهل فحشا و منکر می‌افتاد و دنبال زنا 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می‌کردیم زن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راهی به آنان نشان ندهد، این‌گونه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مسائل به‌صورت واقعی نباید در اختیار مردم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حقّ این است که ما احتیاجی به توجیه کردن روایت نداریم؛ زیرا، با روایت مرسلِ ضعیف و خلاف قاعده، چه حکمی اثبات می‌شود؟</w:t>
      </w:r>
      <w:r>
        <w:rPr>
          <w:rFonts w:eastAsia="IRNazanin" w:cs="IRNazanin"/>
          <w:color w:val="111111"/>
          <w:sz w:val="28"/>
          <w:szCs w:val="28"/>
          <w:rtl w:val="true"/>
          <w:lang w:bidi="fa-IR"/>
        </w:rPr>
        <w:t>!</w:t>
      </w:r>
    </w:p>
    <w:p>
      <w:pPr>
        <w:pStyle w:val="Heading5"/>
        <w:numPr>
          <w:ilvl w:val="4"/>
          <w:numId w:val="1"/>
        </w:numPr>
        <w:rPr/>
      </w:pPr>
      <w:bookmarkStart w:id="208" w:name="__RefHeading___Toc78742_3244359995"/>
      <w:bookmarkStart w:id="209" w:name="_Toc79"/>
      <w:bookmarkEnd w:id="208"/>
      <w:r>
        <w:rPr>
          <w:rtl w:val="true"/>
        </w:rPr>
        <w:t xml:space="preserve">مقدار تعمیم </w:t>
      </w:r>
      <w:r>
        <w:rPr>
          <w:rtl w:val="true"/>
        </w:rPr>
        <w:t>«</w:t>
      </w:r>
      <w:r>
        <w:rPr>
          <w:rtl w:val="true"/>
        </w:rPr>
        <w:t>سقوط حدّ در موارد توهّم حلّیت وطی</w:t>
      </w:r>
      <w:r>
        <w:rPr>
          <w:rtl w:val="true"/>
        </w:rPr>
        <w:t>»</w:t>
      </w:r>
      <w:bookmarkEnd w:id="209"/>
    </w:p>
    <w:p>
      <w:pPr>
        <w:pStyle w:val="Heading6"/>
        <w:numPr>
          <w:ilvl w:val="5"/>
          <w:numId w:val="1"/>
        </w:numPr>
        <w:rPr/>
      </w:pPr>
      <w:bookmarkStart w:id="210" w:name="__RefHeading___Toc78744_3244359995"/>
      <w:bookmarkStart w:id="211" w:name="_Toc80"/>
      <w:bookmarkEnd w:id="210"/>
      <w:r>
        <w:rPr>
          <w:rtl w:val="true"/>
        </w:rPr>
        <w:t>الف</w:t>
      </w:r>
      <w:r>
        <w:rPr>
          <w:rtl w:val="true"/>
        </w:rPr>
        <w:t xml:space="preserve">: </w:t>
      </w:r>
      <w:r>
        <w:rPr>
          <w:rtl w:val="true"/>
        </w:rPr>
        <w:t>نکاح اهل کتاب</w:t>
      </w:r>
      <w:bookmarkEnd w:id="211"/>
    </w:p>
    <w:p>
      <w:pPr>
        <w:pStyle w:val="BookText"/>
        <w:rPr/>
      </w:pPr>
      <w:r>
        <w:rPr>
          <w:rFonts w:ascii="IRNazanin" w:hAnsi="IRNazanin" w:eastAsia="IRNazanin"/>
          <w:color w:val="111111"/>
          <w:sz w:val="28"/>
          <w:sz w:val="28"/>
          <w:szCs w:val="28"/>
          <w:rtl w:val="true"/>
          <w:lang w:bidi="fa-IR"/>
        </w:rPr>
        <w:t>شکّی نیست نکاح اهل کتاب به مقتضای قواعد اسلامی باطل است؛ زیرا، در علم اصول تحقیق شده است فرقی بین مسلم و کافر نبوده، و احکام اسلام نسبت به همه‌ی مردم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به نماز مکلّفیم، آنان نیز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در باب بیع و سایر معاملات داریم، قواعدی عامّ نسبت به همه‌ی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خصوصیّات نکاح برای همه‌ی مردم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نکاح آنان فاقد شرایط مقرّر در اسلام باشد، باطل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نکته‌ی بالا، علّت عدم ترتّب آثار زنا بر نکاح کفّار و الحاق فرزندان به والدین کافر چیست؟ آیا شارع نکاح آن‌ها را امضا کرده، یا به علّت این‌که وطی آنان، وطی به شبهه است، آثار زنا بر آن مترتّب نشده و فرزندان به والدین ملحق می‌گردد؟ آیا این اختلاف ثمره‌ای دارد؟</w:t>
      </w:r>
    </w:p>
    <w:p>
      <w:pPr>
        <w:pStyle w:val="BookText"/>
        <w:rPr/>
      </w:pPr>
      <w:r>
        <w:rPr>
          <w:rFonts w:ascii="IRNazanin" w:hAnsi="IRNazanin" w:eastAsia="IRNazanin"/>
          <w:color w:val="111111"/>
          <w:sz w:val="28"/>
          <w:sz w:val="28"/>
          <w:szCs w:val="28"/>
          <w:rtl w:val="true"/>
          <w:lang w:bidi="fa-IR"/>
        </w:rPr>
        <w:t>ثمره‌ی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وطی به شبهه وارد شویم، باید بین جاهل قاصر و مقصّر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کفّار، از ابتدای بلوغ، به دین خود معتقد و هیچ تردید و شکّ و شبهه‌ای در حقّانیت آن ندارند، آنان جاهل قاصرند؛ و گروهی احتمال حقّانیّت اسلام را می‌دهند لیکن تفحّص نکرده و به‌دنبال تحقیق و بررسی دین حقّ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بین این دو فرق گذاشت؛ زیرا، اولی به تمام معنا شبهه دارد؛ امّا دومی احتمال حقّانیت اسلام را می‌داده، عقل او را به تفحّص ملزم می‌کند؛ لیکن از فرمان عقل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جاهل مقصّر بوده و مشمول قول امام علیه السلام در صحیحه یزید کناسی می‌شود که نسبت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لزمتها الحجّة فتسأل حتّی تعلم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بنابراین، وطی او، وطی به شبهه نیست و فرزندش به وی ملحق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راه اوّل، یعنی از طریق روایات وارد شویم و لحوق ولد و حلّیت وطی را به‌خاطر شبهه بودن ندانیم، بلکه بگوییم شارع مقدّس براساس مصالحی که می‌داند، نکاح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واجد شرایط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این است که شارع گاه در غیر باب نکاح، احکامی دارد که در حقّ مسلمانان جاری نیست؛ امّا در حقّ کفّار نافذ است؛ مثلاً اگر فردی از اهل کتاب بخواهد به مسلمانی خمر بفروشد یا از او بخرد، شارع حکم به بطلان بیع کرده، ولی بیع خمر بین اهل کتاب را نافذ و صحیح دانسته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نیست، بلکه در مقام تصویب نکاح آنان است؛ یعنی شما مسلمانان بر نکاح آنان آثار نکاح صحیح را مترتّب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نمی‌خواهد خبر بدهد، بلکه وظیفه‌ی مسلمانان را در برابر آنان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بین جاهل قاصر و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این‌که مسلمان نمی‌تواند با زنی از اهل کتاب که شوهردار است، ازدواج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آنان باطل و وطی به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w:t>
      </w:r>
      <w:bookmarkStart w:id="212" w:name="pg16919_226902"/>
    </w:p>
    <w:p>
      <w:pPr>
        <w:pStyle w:val="BookText"/>
        <w:rPr/>
      </w:pPr>
      <w:bookmarkEnd w:id="212"/>
      <w:r>
        <w:rPr>
          <w:rFonts w:ascii="IRNazanin" w:hAnsi="IRNazanin" w:eastAsia="IRNazanin"/>
          <w:color w:val="111111"/>
          <w:sz w:val="28"/>
          <w:sz w:val="28"/>
          <w:szCs w:val="28"/>
          <w:rtl w:val="true"/>
          <w:lang w:bidi="fa-IR"/>
        </w:rPr>
        <w:t>مطالب و بلکه دلیل بر آن‌چه گفتیم،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محمّد بن أحمد بن یحیی، عن أحمد بن محمّد، عن الوشّاء، عن علی بن أبی حمزة،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قوم یعرفون النکاح من السفاح فنکاحهم جایز</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ظاهراً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و جمعیّتی که یک حساب برای نکاح و یک حساب برای زنا باز کرده باشند، نکاحشان جایز است‌و جواز در این‌جا به‌معنای تجویز نیست، بلکه به‌معنای امضا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نکاح نزد خودشان مُمضی است، نیازی به بیان امام علیه السلام نداشت؛ بنابراین، مقصود، مُمضی بودن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ربطی به شبهه ندارد؛ بلکه نکاح آنان یک حکم ثانوی است که طبق مصالحی رسول خدا صلی الله علیه و آله تصویب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روایات،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تصویب است و نه اخبار،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مطالب را در باب نکاح اهل خلاف می‌گوییم</w:t>
      </w:r>
      <w:r>
        <w:rPr>
          <w:rFonts w:eastAsia="IRNazanin" w:cs="IRNazanin"/>
          <w:color w:val="111111"/>
          <w:sz w:val="28"/>
          <w:szCs w:val="28"/>
          <w:rtl w:val="true"/>
          <w:lang w:bidi="fa-IR"/>
        </w:rPr>
        <w:t>.</w:t>
      </w:r>
    </w:p>
    <w:p>
      <w:pPr>
        <w:pStyle w:val="Heading6"/>
        <w:numPr>
          <w:ilvl w:val="5"/>
          <w:numId w:val="1"/>
        </w:numPr>
        <w:rPr/>
      </w:pPr>
      <w:bookmarkStart w:id="213" w:name="__RefHeading___Toc78746_3244359995"/>
      <w:bookmarkStart w:id="214" w:name="_Toc81"/>
      <w:bookmarkEnd w:id="213"/>
      <w:r>
        <w:rPr>
          <w:rtl w:val="true"/>
        </w:rPr>
        <w:t>ب</w:t>
      </w:r>
      <w:r>
        <w:rPr>
          <w:rtl w:val="true"/>
        </w:rPr>
        <w:t xml:space="preserve">: </w:t>
      </w:r>
      <w:r>
        <w:rPr>
          <w:rtl w:val="true"/>
        </w:rPr>
        <w:t>نکاح اهل خلاف</w:t>
      </w:r>
      <w:bookmarkEnd w:id="214"/>
    </w:p>
    <w:p>
      <w:pPr>
        <w:pStyle w:val="BookText"/>
        <w:rPr/>
      </w:pPr>
      <w:r>
        <w:rPr>
          <w:rFonts w:ascii="IRNazanin" w:hAnsi="IRNazanin" w:eastAsia="IRNazanin"/>
          <w:color w:val="111111"/>
          <w:sz w:val="28"/>
          <w:sz w:val="28"/>
          <w:szCs w:val="28"/>
          <w:rtl w:val="true"/>
          <w:lang w:bidi="fa-IR"/>
        </w:rPr>
        <w:t>با اهل‌سنّت در یک سری از مسائل اختلاف داریم که در این بحث نقش ندارند، مثلاً آنان در هنگام نکاح حضور عدلین را لازم می‌دانند، ولی ما معتبر نمی‌دانیم؛ لیکن یک‌سری از شرایط هست که در این بحث دخالت دارد، همانند حضور عدلین در طلاق که به‌نظر ما از شرایط طلاق صحیح است و آنان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سُنّی زنش را بدون حضور دو شاهد عادل طلاق داد، به‌نظر ما این طلاق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مردی با این زن مطلّقه ازدواج و وطی کند، آیا از راه وطی به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سُنّی معتقد است این زن بر او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تحقّق زنا و لحوق ولد می‌شود یا از راه دیگر؟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مطلب این است که مسأله ربطی به باب شبهه ندارد؛ بلکه از طریق یک قاعده‌ی کلّی به‌نام قاعده الزام که پشتوانه‌ی آن، روایات است، چنین حکمی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قاعده به‌حدّی توسعه دارد که حتّی مرد شیعی نیز بر طبق آن مجاز است با زن سنّی‌ای که در یک مجلس سه‌طلاقه شده و طلاقش باطل است، ازدواج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تعبیر کردن به قاعده الزام، ورود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ما ألزموا به أنفسهم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به آن‌چه خود را ملزم می‌دانند، آنان را الزام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به طلاق معتقدند، شما هم به همان صورت رفتار کنید؛ یعنی حکم طلاق صحیح و نکاح صحیح را بر آنان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سُنّی با این زن مطلّقه ازدواج کرد، ازدواجش را صحیح بدانید، حتّی اگر خودتان نیز با او ازدواج کردید به مقتضای این قاعده مانعی ندارد؛ خواه مفاد قاعده‌ی الزام جعل اباحه‌ی ظاهریه باشد یا حلّیت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اجرای حدّ و الحاق فرزند از باب وطی به شبهه نیست</w:t>
      </w:r>
      <w:r>
        <w:rPr>
          <w:rFonts w:eastAsia="IRNazanin" w:cs="IRNazanin"/>
          <w:color w:val="111111"/>
          <w:sz w:val="28"/>
          <w:szCs w:val="28"/>
          <w:rtl w:val="true"/>
          <w:lang w:bidi="fa-IR"/>
        </w:rPr>
        <w:t>.</w:t>
      </w:r>
      <w:bookmarkStart w:id="215" w:name="pg16919_226904"/>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حدّ الزنا فی حقّ المدّعی للشبهة مع إمکانها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الحدّ بدعوی کلّ ما یصلح أن یکون شبهة بالنظر إلی المدّعی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ادّعی الشبهة أحدهما أو هما مع إمکانها إلّابالنسبة إلی أحدهما سقط عنه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بدعوی الزوجیّة ما لم یعلم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یکلّف الیمین ولا البیّنة</w:t>
      </w:r>
      <w:r>
        <w:rPr>
          <w:rFonts w:eastAsia="IRNazanin" w:cs="IRNazanin"/>
          <w:color w:val="111111"/>
          <w:sz w:val="28"/>
          <w:szCs w:val="28"/>
          <w:rtl w:val="true"/>
          <w:lang w:bidi="fa-IR"/>
        </w:rPr>
        <w:t>.</w:t>
      </w:r>
    </w:p>
    <w:p>
      <w:pPr>
        <w:pStyle w:val="Heading4"/>
        <w:numPr>
          <w:ilvl w:val="3"/>
          <w:numId w:val="1"/>
        </w:numPr>
        <w:rPr/>
      </w:pPr>
      <w:bookmarkStart w:id="216" w:name="__RefHeading___Toc78748_3244359995"/>
      <w:bookmarkStart w:id="217" w:name="_Toc82"/>
      <w:bookmarkEnd w:id="216"/>
      <w:r>
        <w:rPr>
          <w:rtl w:val="true"/>
        </w:rPr>
        <w:t>سقوط حدّ زنا در حقّ مدّعیِ شبهه</w:t>
      </w:r>
      <w:bookmarkEnd w:id="217"/>
    </w:p>
    <w:p>
      <w:pPr>
        <w:pStyle w:val="BookText"/>
        <w:rPr/>
      </w:pPr>
      <w:r>
        <w:rPr>
          <w:rFonts w:ascii="IRNazanin" w:hAnsi="IRNazanin" w:eastAsia="IRNazanin"/>
          <w:color w:val="111111"/>
          <w:sz w:val="28"/>
          <w:sz w:val="28"/>
          <w:szCs w:val="28"/>
          <w:rtl w:val="true"/>
          <w:lang w:bidi="fa-IR"/>
        </w:rPr>
        <w:t>این مسأله احتیاج به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مباحثه گذشته روایتی خواندیم که اگر مرد یا زنی را بر زنا مجبور کردند، حدّ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 آن را احراز کند، بحثی نیست؛ امّا اگر مرد یا زن ادّعای اکراه کند، روایت صحیحه‌ی ابو عبیده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اکراه رافع حدّ زنا است، بلکه ادّعای اکراه را نیز پذیرفته و حدّ را ساقط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أحمد بن محمّد، عن ابن محبوب، عن أبی أیّوب،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اتی بامرأة مع رجل فجر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استکرهنی واللّه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سئل هؤلاء عن ذلک،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وقد واللّه فعله أمیر المؤمنین علیه السلام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مسأله‌ی اکراه و ادّعای اکراه، از نظر فتوا و دلیل روشن است که حدّ، ساقط می‌شود و کسی در آن مخالفت نکرده و جای اشکال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نیز حدّ جاری می‌شود؛ یکی در جایی که ادّعای شبهه است و نه ادّعای اکراه؛ و دیگری در موردی که قاضی علم به کذبِ مدّعی اکراه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 که اگر قاضی علم به کذب ندارد و امکان راستگویی مدّعی هست، آیا به صرف ادّعای شبهه، حدّ ساقط می‌شود؟ به چه دلیل؟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راه برای سقوط حدّ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228"/>
      </w:r>
      <w:r>
        <w:rPr>
          <w:rFonts w:ascii="IRNazanin" w:hAnsi="IRNazanin" w:eastAsia="IRNazanin"/>
          <w:color w:val="111111"/>
          <w:sz w:val="28"/>
          <w:sz w:val="28"/>
          <w:szCs w:val="28"/>
          <w:rtl w:val="true"/>
          <w:lang w:bidi="fa-IR"/>
        </w:rPr>
        <w:t>و غیر ایشان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جاری می‌شود؛ و همان روایت مرحوم صدوق از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صحیح نیست؛ زیرا، برای مترتّب کردن هر حکمی باید موضوع آن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موضوع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احراز شود؛ و به مجرّد ادّعای شبهه، شبهه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ادّعای شبهه مواجه هستیم، ادّعایی که نمی‌دانیم صادق است یا کاذب، اگر مطابق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این‌جا احراز موضوع نداریم تا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صحیحه‌ی ابو عبیده رسیده بود، الغای خصوصیّت کرده و آن را تعمیم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ادّعای زن در مورد اکراه را پذیرفتند؛ مسأله‌ی اکراه خصوصیّتی ندارد، بلکه می‌توان از روایت یک عنوان سِعی و معنای کلّی استفاده کرد؛ یعنی هرکدام از مرد یا زن جهتی را ادّعا کنند که موجب رفع و زوال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اکراه یا شبهه یا ادّعای زوجیّت یا ملک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و حدّ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نیز مشکل است؛ زیرا، چه‌بسا خصوصیّتی در اکراه هست که امیرمؤمنان علیه السلام دعوای مدّعی اکراه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تمام مواردی که ادّعای آن موجب سقوط حدّ می‌شود را به گردن روایت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الغای خصوصیّت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بتوانیم قید رجولیّت را الغا کرده و آن را تعمیم دهیم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مسأله این است که سراغ دلیل حدّ برویم؛ همان‌گونه که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که احراز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شود، در اجرای دلیل حدّ نیز باید زنای واجد شرایط ثبوت حدّ را احراز کنیم؛ یعنی احراز شود واجد شبهه، ملکیّت،</w:t>
      </w:r>
    </w:p>
    <w:p>
      <w:pPr>
        <w:pStyle w:val="BookText"/>
        <w:rPr/>
      </w:pPr>
      <w:r>
        <w:rPr>
          <w:rFonts w:ascii="IRNazanin" w:hAnsi="IRNazanin" w:eastAsia="IRNazanin"/>
          <w:color w:val="111111"/>
          <w:sz w:val="28"/>
          <w:sz w:val="28"/>
          <w:szCs w:val="28"/>
          <w:rtl w:val="true"/>
          <w:lang w:bidi="fa-IR"/>
        </w:rPr>
        <w:t>زوجیّت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حاکم بتواند دلیل حدّ را پیاده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اگر یقین به کذب مدّعی شبهه داریم، بحثی در لزوم اجرای حدّ نیست، ولی اگر مردّد هستیم که آیا شخص صادق است یا کاذب، موضوع حدّ محرز نیست و بلکه محتمل است؛ پس، حدّ ساقط می‌شود و جای یمین و بیّنه نیز نیست</w:t>
      </w:r>
      <w:r>
        <w:rPr>
          <w:rFonts w:eastAsia="IRNazanin" w:cs="IRNazanin"/>
          <w:color w:val="111111"/>
          <w:sz w:val="28"/>
          <w:szCs w:val="28"/>
          <w:rtl w:val="true"/>
          <w:lang w:bidi="fa-IR"/>
        </w:rPr>
        <w:t>.</w:t>
      </w:r>
      <w:bookmarkStart w:id="218" w:name="pg16919_226907"/>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الإحسان الذی یجب معه الرجم باستجماع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بأهله فی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الدبر لا یوجبه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عقد وخلا بها خلوة تامّة، أو جامعها فیما بین الفخذین، أو بما دون الحشفة، أو ما دون قدرها فی المقطوعة مع الشکّ فی حصول الدخول لم یکن محصناً ولا المرأة 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اشتراط الإنزال، فلو التقی الختانان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سلامة الخصیتین</w:t>
      </w:r>
      <w:r>
        <w:rPr>
          <w:rFonts w:eastAsia="IRNazanin" w:cs="IRNazanin"/>
          <w:color w:val="111111"/>
          <w:sz w:val="28"/>
          <w:szCs w:val="28"/>
          <w:rtl w:val="true"/>
          <w:lang w:bidi="fa-IR"/>
        </w:rPr>
        <w:t>.</w:t>
      </w:r>
    </w:p>
    <w:p>
      <w:pPr>
        <w:pStyle w:val="Heading4"/>
        <w:numPr>
          <w:ilvl w:val="3"/>
          <w:numId w:val="1"/>
        </w:numPr>
        <w:rPr/>
      </w:pPr>
      <w:bookmarkStart w:id="219" w:name="__RefHeading___Toc78750_3244359995"/>
      <w:bookmarkStart w:id="220" w:name="_Toc83"/>
      <w:bookmarkEnd w:id="219"/>
      <w:r>
        <w:rPr>
          <w:rtl w:val="true"/>
        </w:rPr>
        <w:t>شرایط تحقّق احصان</w:t>
      </w:r>
      <w:bookmarkEnd w:id="220"/>
    </w:p>
    <w:p>
      <w:pPr>
        <w:pStyle w:val="Heading5"/>
        <w:numPr>
          <w:ilvl w:val="4"/>
          <w:numId w:val="1"/>
        </w:numPr>
        <w:rPr/>
      </w:pPr>
      <w:bookmarkStart w:id="221" w:name="__RefHeading___Toc78752_3244359995"/>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شرایطی که تاکنون از آن‌ها بحث شد، شرایط اصل ثبوت حدّ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دارای انواعی بوده و یک نوع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حدّ، در صورتی اجرا می‌شود که شرایط و خصوصیّاتی اضافه‌تر از آن‌چه گذشت، در زانی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فرد 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زنای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شرایط تحقّق احصان گفته شده است</w:t>
      </w:r>
      <w:r>
        <w:rPr>
          <w:rFonts w:eastAsia="IRNazanin" w:cs="IRNazanin"/>
          <w:color w:val="111111"/>
          <w:sz w:val="28"/>
          <w:szCs w:val="28"/>
          <w:rtl w:val="true"/>
          <w:lang w:bidi="fa-IR"/>
        </w:rPr>
        <w:t>.</w:t>
      </w:r>
    </w:p>
    <w:p>
      <w:pPr>
        <w:pStyle w:val="Heading5"/>
        <w:numPr>
          <w:ilvl w:val="4"/>
          <w:numId w:val="1"/>
        </w:numPr>
        <w:rPr/>
      </w:pPr>
      <w:bookmarkStart w:id="223" w:name="__RefHeading___Toc78754_3244359995"/>
      <w:bookmarkStart w:id="224" w:name="_Toc85"/>
      <w:bookmarkEnd w:id="223"/>
      <w:r>
        <w:rPr>
          <w:rtl w:val="true"/>
        </w:rPr>
        <w:t>احصان در لغت</w:t>
      </w:r>
      <w:bookmarkEnd w:id="224"/>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چیزی است که انسان را محفوظ داشته و مانع توجّه دشمنان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یحفظ الإنسان ویمنعه عن 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قلعه‌های محکمی که در گذشته بود و عدّه‌ای در آن‌ها زندگی می‌کردند و به سبب آن‌ها از دشمنان محفوظ بودند، حصن گفته می‌شد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کلمه‌ی محصن یا محصنة را برای زن به‌کار می‌بریم، می‌توان آن را به فتح صاد یا کسر آن قرائت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لازم است و هم متعدّی؛ و به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وجود یک جهت و خصوصیّتی در زن، مانع از انحراف و زنای او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بالذات عفیف و نجیب و یا دارای یک شخصیّت فامیلی</w:t>
      </w:r>
      <w:bookmarkStart w:id="225" w:name="pg16919_226908"/>
    </w:p>
    <w:p>
      <w:pPr>
        <w:pStyle w:val="BookText"/>
        <w:rPr/>
      </w:pPr>
      <w:bookmarkEnd w:id="225"/>
      <w:r>
        <w:rPr>
          <w:rFonts w:ascii="IRNazanin" w:hAnsi="IRNazanin" w:eastAsia="IRNazanin"/>
          <w:color w:val="111111"/>
          <w:sz w:val="28"/>
          <w:sz w:val="28"/>
          <w:szCs w:val="28"/>
          <w:rtl w:val="true"/>
          <w:lang w:bidi="fa-IR"/>
        </w:rPr>
        <w:t xml:space="preserve">و امثال آن است؛ این‌جا احصان معنای لازم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المحصِنة أی المرأة العفیفة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دیگر، وجود شوهر مانع انحراف او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المحصَنة لأنّه أحصنتها الزوج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شوهر حالت احصان را در او ایجاد کرده است</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226" w:name="__RefHeading___Toc78756_3244359995"/>
      <w:bookmarkStart w:id="227" w:name="_Toc86"/>
      <w:bookmarkEnd w:id="226"/>
      <w:r>
        <w:rPr>
          <w:rtl w:val="true"/>
        </w:rPr>
        <w:t>موارد استعمال احصان در قرآن</w:t>
      </w:r>
      <w:bookmarkEnd w:id="227"/>
    </w:p>
    <w:p>
      <w:pPr>
        <w:pStyle w:val="Heading6"/>
        <w:numPr>
          <w:ilvl w:val="5"/>
          <w:numId w:val="1"/>
        </w:numPr>
        <w:rPr/>
      </w:pPr>
      <w:bookmarkStart w:id="228" w:name="__RefHeading___Toc78758_3244359995"/>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مرحوم صاحب مسالک پس از بیان معنای لغوی احصان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در قرآن و شرع به معانی مختلفی به‌کار رفته است؛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لِتُحْصِنَکُمْ مِنْ بَأْسِکُمْ </w:t>
      </w:r>
      <w:r>
        <w:rPr>
          <w:rStyle w:val="FootnoteAnchor"/>
          <w:rtl w:val="true"/>
        </w:rPr>
        <w:footnoteReference w:id="231"/>
      </w:r>
      <w:r>
        <w:rPr>
          <w:rFonts w:ascii="IRNazanin" w:hAnsi="IRNazanin" w:eastAsia="IRNazanin"/>
          <w:color w:val="111111"/>
          <w:sz w:val="28"/>
          <w:sz w:val="28"/>
          <w:szCs w:val="28"/>
          <w:rtl w:val="true"/>
          <w:lang w:bidi="fa-IR"/>
        </w:rPr>
        <w:t>از ناراحتی‌های شما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 مُحَصَّنَةٍ </w:t>
      </w:r>
      <w:r>
        <w:rPr>
          <w:rStyle w:val="FootnoteAnchor"/>
          <w:rtl w:val="true"/>
        </w:rPr>
        <w:footnoteReference w:id="232"/>
      </w:r>
      <w:r>
        <w:rPr>
          <w:rFonts w:ascii="IRNazanin" w:hAnsi="IRNazanin" w:eastAsia="IRNazanin"/>
          <w:color w:val="111111"/>
          <w:sz w:val="28"/>
          <w:sz w:val="28"/>
          <w:szCs w:val="28"/>
          <w:rtl w:val="true"/>
          <w:lang w:bidi="fa-IR"/>
        </w:rPr>
        <w:t>که محصنه را صفت برای قریه قرار داده است، یعنی روستاهایی که حالت قلعه و حصن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احصان به‌معنای اسلام نیز آمده و در عین حال، تناسبش با معنای لغوی محفوظ است؛ زیرا، اسلام یک حالت حفاظت و تعهّدی برای انسان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احصان در آیه‌ی شریفه فَإِذا أُحْصِنَّ فَإِنْ أَتَیْنَ بِفاحِشَةٍ فَعَلَیْهِنَّ نِصْفُ ما عَلَی الْمُحْصَناتِ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فاحشه‌ای شدند، باید عذاب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به‌معنای اسلام در برابر کفر، و برخی دیگر آن را به بلوغ و عقل در مقابل جنون و صغر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احصان به‌معنای حرّیت نیز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حرّیت مانع انحراف می‌شود؛ زیرا، در حرّ شخصیّتی است که در عبد و کنیز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أَتَیْنَ بِفاحِشَةٍ فَعَلَیْهِنَّ نِصْفُ ما عَلَی الْمُحْصَناتِ مِنَ الْعَذابِ </w:t>
      </w:r>
      <w:r>
        <w:rPr>
          <w:rStyle w:val="FootnoteAnchor"/>
          <w:rtl w:val="true"/>
        </w:rPr>
        <w:footnoteReference w:id="234"/>
      </w:r>
      <w:r>
        <w:rPr>
          <w:rFonts w:ascii="IRNazanin" w:hAnsi="IRNazanin" w:eastAsia="IRNazanin"/>
          <w:color w:val="111111"/>
          <w:sz w:val="28"/>
          <w:sz w:val="28"/>
          <w:szCs w:val="28"/>
          <w:rtl w:val="true"/>
          <w:lang w:bidi="fa-IR"/>
        </w:rPr>
        <w:t>اگر کنیزان مرتکب فحشا شدند، کیفر آنان نصف کیفر زنان آزاد و حرائر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احصان به‌معنای تزویج و شوهر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النِّساءِ إِلاّ</w:t>
      </w:r>
      <w:bookmarkStart w:id="230" w:name="pg16919_226909"/>
    </w:p>
    <w:p>
      <w:pPr>
        <w:pStyle w:val="BookText"/>
        <w:rPr/>
      </w:pPr>
      <w:bookmarkEnd w:id="230"/>
      <w:r>
        <w:rPr>
          <w:rFonts w:ascii="Amiri" w:hAnsi="Amiri" w:eastAsia="Amiri" w:cs="Amiri"/>
          <w:color w:val="111111"/>
          <w:sz w:val="28"/>
          <w:sz w:val="28"/>
          <w:szCs w:val="28"/>
          <w:rtl w:val="true"/>
          <w:lang w:bidi="ar-SA"/>
        </w:rPr>
        <w:t xml:space="preserve">ما مَلَکَتْ أَیْمانُکُمْ </w:t>
      </w:r>
      <w:r>
        <w:rPr>
          <w:rStyle w:val="FootnoteAnchor"/>
          <w:rtl w:val="true"/>
        </w:rPr>
        <w:footnoteReference w:id="235"/>
      </w:r>
      <w:r>
        <w:rPr>
          <w:rFonts w:ascii="IRNazanin" w:hAnsi="IRNazanin" w:eastAsia="IRNazanin"/>
          <w:color w:val="111111"/>
          <w:sz w:val="28"/>
          <w:sz w:val="28"/>
          <w:szCs w:val="28"/>
          <w:rtl w:val="true"/>
          <w:lang w:bidi="fa-IR"/>
        </w:rPr>
        <w:t>مقصود از محصنات در این آیه شریفه زنان شوهردار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آیه‌ی الَّذِینَ یَرْمُونَ الْمُحْصَناتِ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 عفیف را قذف کرده و به آنان نسبت زنا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به‌معنای عفّت و پاکدامنی از زنا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مقصود از محصنات زنان شوهردار نیست؛ بلکه نفس نسبتِ زنا دادن به زن، قذف است و باید حدّ قذف بر قاذف جاری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احصان به‌معنای اصابه‌ی در نکاح و دخول نیز در آیه مُحْصِنِینَ غَیْرَ مُسافِحِینَ </w:t>
      </w:r>
      <w:r>
        <w:rPr>
          <w:rStyle w:val="FootnoteAnchor"/>
          <w:rtl w:val="true"/>
        </w:rPr>
        <w:footnoteReference w:id="237"/>
      </w:r>
      <w:r>
        <w:rPr>
          <w:rFonts w:ascii="IRNazanin" w:hAnsi="IRNazanin" w:eastAsia="IRNazanin"/>
          <w:color w:val="111111"/>
          <w:sz w:val="28"/>
          <w:sz w:val="28"/>
          <w:szCs w:val="28"/>
          <w:rtl w:val="true"/>
          <w:lang w:bidi="fa-IR"/>
        </w:rPr>
        <w:t>به کار رفته است؛ محصن یعنی شوهری که به همسرش دخول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در این آیه به معنای وطی حلال در برابر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به حرام و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صاحب مسالک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أحصنت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لازم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أحصنها زوجُها وهی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متعدّی و مفعولی دارد</w:t>
      </w:r>
      <w:r>
        <w:rPr>
          <w:rFonts w:eastAsia="IRNazanin" w:cs="IRNazanin"/>
          <w:color w:val="111111"/>
          <w:sz w:val="28"/>
          <w:szCs w:val="28"/>
          <w:rtl w:val="true"/>
          <w:lang w:bidi="fa-IR"/>
        </w:rPr>
        <w:t>.</w:t>
      </w:r>
      <w:r>
        <w:rPr>
          <w:rStyle w:val="FootnoteAnchor"/>
          <w:rtl w:val="true"/>
        </w:rPr>
        <w:footnoteReference w:id="238"/>
      </w:r>
    </w:p>
    <w:p>
      <w:pPr>
        <w:pStyle w:val="Heading6"/>
        <w:numPr>
          <w:ilvl w:val="5"/>
          <w:numId w:val="1"/>
        </w:numPr>
        <w:rPr/>
      </w:pPr>
      <w:bookmarkStart w:id="231" w:name="__RefHeading___Toc78760_3244359995"/>
      <w:bookmarkStart w:id="232" w:name="_Toc88"/>
      <w:bookmarkEnd w:id="231"/>
      <w:r>
        <w:rPr>
          <w:rtl w:val="true"/>
        </w:rPr>
        <w:t>شرط اوّل</w:t>
      </w:r>
      <w:r>
        <w:rPr>
          <w:rtl w:val="true"/>
        </w:rPr>
        <w:t xml:space="preserve">: </w:t>
      </w:r>
      <w:r>
        <w:rPr>
          <w:rtl w:val="true"/>
        </w:rPr>
        <w:t>وطی در قُبُل اهل</w:t>
      </w:r>
      <w:bookmarkEnd w:id="232"/>
    </w:p>
    <w:p>
      <w:pPr>
        <w:pStyle w:val="BookText"/>
        <w:rPr/>
      </w:pPr>
      <w:r>
        <w:rPr>
          <w:rFonts w:ascii="IRNazanin" w:hAnsi="IRNazanin" w:eastAsia="IRNazanin"/>
          <w:color w:val="111111"/>
          <w:sz w:val="28"/>
          <w:sz w:val="28"/>
          <w:szCs w:val="28"/>
          <w:rtl w:val="true"/>
          <w:lang w:bidi="fa-IR"/>
        </w:rPr>
        <w:t>اگر مردی با زن حلال خود وطی در قُبُل کند، و پس از آن، انحرافی از او سر زند، زنای او مقرون به احصان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جوان مجرّدی با زن شوهرداری زنا کرد، نسبت به مرد زنای عادی بوده و نسبت به زن، اگر شرایط دیگر باشد، زنای محصنه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زنی را به عقد خود درآورده، و در دوران عقد و نامزدی باشند، اگرچه استمتاعات را برده، ولی چون وطی صحیح واقع نشده، حتّی اگر تمکین از دخول داشته، امّا به جهت رعایت مسائل عرفی مواقعه نکرده باشد، زنای او مقرون به احصان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وطی صحیح، همان دخول حشفه و به مقدار آن در مقطوع الحشفه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این‌جا سه مطلب بیان می‌فرماید</w:t>
      </w:r>
      <w:r>
        <w:rPr>
          <w:rFonts w:eastAsia="IRNazanin" w:cs="IRNazanin"/>
          <w:color w:val="111111"/>
          <w:sz w:val="28"/>
          <w:szCs w:val="28"/>
          <w:rtl w:val="true"/>
          <w:lang w:bidi="fa-IR"/>
        </w:rPr>
        <w:t>:</w:t>
      </w:r>
      <w:bookmarkStart w:id="233" w:name="pg16919_226910"/>
    </w:p>
    <w:p>
      <w:pPr>
        <w:pStyle w:val="Heading6"/>
        <w:numPr>
          <w:ilvl w:val="5"/>
          <w:numId w:val="1"/>
        </w:numPr>
        <w:rPr/>
      </w:pPr>
      <w:bookmarkStart w:id="234" w:name="__RefHeading___Toc78762_3244359995"/>
      <w:bookmarkStart w:id="235" w:name="_Toc89"/>
      <w:bookmarkEnd w:id="233"/>
      <w:bookmarkEnd w:id="234"/>
      <w:r>
        <w:rPr>
          <w:rtl w:val="true"/>
        </w:rPr>
        <w:t>مطلب اوّل</w:t>
      </w:r>
      <w:r>
        <w:rPr>
          <w:rtl w:val="true"/>
        </w:rPr>
        <w:t xml:space="preserve">: </w:t>
      </w:r>
      <w:r>
        <w:rPr>
          <w:rtl w:val="true"/>
        </w:rPr>
        <w:t>دخالت داشتن وطی در مفهوم احصان</w:t>
      </w:r>
      <w:bookmarkEnd w:id="235"/>
    </w:p>
    <w:p>
      <w:pPr>
        <w:pStyle w:val="BookText"/>
        <w:rPr/>
      </w:pPr>
      <w:r>
        <w:rPr>
          <w:rFonts w:ascii="IRNazanin" w:hAnsi="IRNazanin" w:eastAsia="IRNazanin"/>
          <w:color w:val="111111"/>
          <w:sz w:val="28"/>
          <w:sz w:val="28"/>
          <w:szCs w:val="28"/>
          <w:rtl w:val="true"/>
          <w:lang w:bidi="fa-IR"/>
        </w:rPr>
        <w:t>به چه دلیل در تحقّق احصان باید دخولی قبل از زنا واقع شده باشد؟ روایات متعدّدی درباره‌ی مرد و زن وجود دارد که اگر مرد به همسرش دخول نکرده باشد و زنا کند، یا زن مدخولٌ بها واقع نشده باشد و زنا بدهد، زنای آنان محصنه نیست و نمی‌توان آن مرد یا زن را رجم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أحمد بن محمّد، عن الحسین بن سعید، عن فضالة بن أیّوب،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یزنی قبل أن یدخل بأهله، أیرجم؟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تمام معنا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سؤال می‌کند، آیا مردی که قبل از دخول به اهلش زنا کرده باشد، سنگسار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مراد وطی زوجه‌ی دائمی است یا شامل متعه و کنیز و تحلیل هم می‌شود؟ در ادامه، درباره‌ی این موضوع بحث و پاسخ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الحسین بن سعید، عن النضر،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الرجل یزنی ولم یدخل بأهله، أیحصن؟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بالأمة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با اسناد خود از محمّد بن مسلم نقل می‌کند که او از امام باقر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تا به‌حال به اهل خود دخول نکرده، اگر زنا کند، محصن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به کنیز نیز دخول کند، باز احصان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مربوط به مرد بود، دو روایت نیز برای زن می‌آوریم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علیّ بن الحکم، عن العلاء بن رزین،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w:t>
      </w:r>
      <w:bookmarkStart w:id="236" w:name="pg16919_226911"/>
    </w:p>
    <w:p>
      <w:pPr>
        <w:pStyle w:val="BookText"/>
        <w:rPr/>
      </w:pPr>
      <w:bookmarkEnd w:id="236"/>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إحصانهنّ أن یدخل بهنّ أما علیهنّ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یونس، عن أبی بصیر، عن أبی عبداللّه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إحصانهنّ إذا دخل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أرأیت إن لم یدخل بهنّ وأحدثن ما علیهنّ من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فقه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شبیه هم هستند؛ اولی از محمّد بن مسلم و دومی از ابو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آیه‌ی شریفه‌ی فَإِذا أُحْصِنَّ سؤال کرده‌اند؛ و 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زنان به این است که شوهرانشان به آنان دخول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دخولی واقع نشده باشد، و زنا بدهند، آیا حدّی بر آنان 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هست، ولی سنگسار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در تحقّق احصان دخول لازم است؛ و فروضی که ضمن این شرط آمده، مستدل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عقد کرده و با او خلوت کامل داشته، یا بین فخذین او دخول کرد، یا به کمتر از حشفه یا به کمتر از اندازه‌ی حشفه در مقطوع الحشفه اکتفا شده باشد، یا شکّ در دخول کرد، این زن و مرد محصن و محصنه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حصول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چرا که در غیر این صورت، عبارت معنا نمی‌دهد؛ زیرا، اگر کمتر از حشفه داخل شده باشد، حدّی ثابت نیست؛ چه آن‌که دیگر شکّ در عدم دخول ندارد و بلکه یقین به آن دارد</w:t>
      </w:r>
      <w:r>
        <w:rPr>
          <w:rFonts w:eastAsia="IRNazanin" w:cs="IRNazanin"/>
          <w:color w:val="111111"/>
          <w:sz w:val="28"/>
          <w:szCs w:val="28"/>
          <w:rtl w:val="true"/>
          <w:lang w:bidi="fa-IR"/>
        </w:rPr>
        <w:t>.</w:t>
      </w:r>
    </w:p>
    <w:p>
      <w:pPr>
        <w:pStyle w:val="Heading6"/>
        <w:numPr>
          <w:ilvl w:val="5"/>
          <w:numId w:val="1"/>
        </w:numPr>
        <w:rPr/>
      </w:pPr>
      <w:bookmarkStart w:id="237" w:name="__RefHeading___Toc78764_3244359995"/>
      <w:bookmarkStart w:id="238" w:name="_Toc90"/>
      <w:bookmarkEnd w:id="237"/>
      <w:r>
        <w:rPr>
          <w:rtl w:val="true"/>
        </w:rPr>
        <w:t>مطلب دوم</w:t>
      </w:r>
      <w:r>
        <w:rPr>
          <w:rtl w:val="true"/>
        </w:rPr>
        <w:t xml:space="preserve">: </w:t>
      </w:r>
      <w:r>
        <w:rPr>
          <w:rtl w:val="true"/>
        </w:rPr>
        <w:t>لزوم وطیِ به اهل در قُبُل</w:t>
      </w:r>
      <w:bookmarkEnd w:id="238"/>
    </w:p>
    <w:p>
      <w:pPr>
        <w:pStyle w:val="BookText"/>
        <w:rPr/>
      </w:pPr>
      <w:r>
        <w:rPr>
          <w:rFonts w:ascii="IRNazanin" w:hAnsi="IRNazanin" w:eastAsia="IRNazanin"/>
          <w:color w:val="111111"/>
          <w:sz w:val="28"/>
          <w:sz w:val="28"/>
          <w:szCs w:val="28"/>
          <w:rtl w:val="true"/>
          <w:lang w:bidi="fa-IR"/>
        </w:rPr>
        <w:t>در تحقّق احصان وطیِ به اهل لازم است؛ بنابراین، اگر قبل از این زنا، زنای دیگر کرده باشد، مقرون به احصان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روایاتی که خواندیم، بر این مطلب روشن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یقین زوجه‌ی دائمی است؛ امّا ملک یمین و عقد متعه را در</w:t>
      </w:r>
      <w:bookmarkStart w:id="239" w:name="pg16919_226912"/>
    </w:p>
    <w:p>
      <w:pPr>
        <w:pStyle w:val="BookText"/>
        <w:rPr/>
      </w:pPr>
      <w:bookmarkEnd w:id="239"/>
      <w:r>
        <w:rPr>
          <w:rFonts w:ascii="IRNazanin" w:hAnsi="IRNazanin" w:eastAsia="IRNazanin"/>
          <w:color w:val="111111"/>
          <w:sz w:val="28"/>
          <w:sz w:val="28"/>
          <w:szCs w:val="28"/>
          <w:rtl w:val="true"/>
          <w:lang w:bidi="fa-IR"/>
        </w:rPr>
        <w:t>مباحث بعدی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این‌جا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وطیِ به اهل، باید وطیِ حلال باشد تا زناکار محصن شود، یا حتّی اگر در حال حیض، یا احرام، یا روزه و اعتکاف نیز با اهلش مجامعت کرده باشد، برای تحقّق احصان کافی است؟</w:t>
      </w:r>
    </w:p>
    <w:p>
      <w:pPr>
        <w:pStyle w:val="BookText"/>
        <w:rPr/>
      </w:pPr>
      <w:r>
        <w:rPr>
          <w:rFonts w:ascii="IRNazanin" w:hAnsi="IRNazanin" w:eastAsia="IRNazanin"/>
          <w:color w:val="111111"/>
          <w:sz w:val="28"/>
          <w:sz w:val="28"/>
          <w:szCs w:val="28"/>
          <w:rtl w:val="true"/>
          <w:lang w:bidi="fa-IR"/>
        </w:rPr>
        <w:t xml:space="preserve">اطلاق 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قیدی ندارد؛ بنابراین، آن‌چه دخالت دارد، وطی به اهل است؛ خواه به حلال باشد یا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در حال حیض با همسرش وطی و پس از آن زنا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وطی در این باب با سایر باب‌ها فرق نمی‌کند، و مراد، غیبوبیت حشفه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مردی با همسرش در حال حیض حداقل دخول را انجام دهد، شرط اوّل حاصل است</w:t>
      </w:r>
      <w:r>
        <w:rPr>
          <w:rFonts w:eastAsia="IRNazanin" w:cs="IRNazanin"/>
          <w:color w:val="111111"/>
          <w:sz w:val="28"/>
          <w:szCs w:val="28"/>
          <w:rtl w:val="true"/>
          <w:lang w:bidi="fa-IR"/>
        </w:rPr>
        <w:t>.</w:t>
      </w:r>
    </w:p>
    <w:p>
      <w:pPr>
        <w:pStyle w:val="Heading6"/>
        <w:numPr>
          <w:ilvl w:val="5"/>
          <w:numId w:val="1"/>
        </w:numPr>
        <w:rPr/>
      </w:pPr>
      <w:bookmarkStart w:id="240" w:name="__RefHeading___Toc78766_3244359995"/>
      <w:bookmarkStart w:id="241" w:name="_Toc91"/>
      <w:bookmarkEnd w:id="240"/>
      <w:r>
        <w:rPr>
          <w:rtl w:val="true"/>
        </w:rPr>
        <w:t>مطلب سوم</w:t>
      </w:r>
      <w:r>
        <w:rPr>
          <w:rtl w:val="true"/>
        </w:rPr>
        <w:t xml:space="preserve">: </w:t>
      </w:r>
      <w:r>
        <w:rPr>
          <w:rtl w:val="true"/>
        </w:rPr>
        <w:t>آیا با وطی در دُبُر احصان محقّق می‌شود؟</w:t>
      </w:r>
      <w:bookmarkEnd w:id="241"/>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الدُبُر لا یوجبه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احتیاط این است که وطی در دُبُر موجب احصان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روایاتی است که در این باب خواندیم، که وطی به اهل را معتبر، و ملاک را دخول به اهل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یزنی قبل أن یدخل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احصانهنّ أن یدخل بهنّ</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و این معنا با وطی در دُبُر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از جمله‌ی آنان، امام رحمه الله فتوا داده‌اند زنا با وطی در قُبُل و یا دُبُر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اطلاق روایات و این شاهد، چرا در تحقّق احصان به وطی در دُبُر احتیاط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فتوا، کسی به تعمیم تصریح نکرده است، بلکه بیشتر فقها حکم را مطلق آورده‌اند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کردن این اطلاق بر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در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زیرا، مجرّد غلبه‌ی در وجود، موجب انصراف نیست؛ بلکه انصراف با کثرتِ استعمال محقّق می‌شود؛ یعنی لفظِ مطلق در نوع خاصّی از معنای مطلق به‌قدری استعمال شده باشد که از شنیدن مطلق، آن نوع خاصّ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دخولِ به اهل، انصراف به دخولِ در قُبُل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بخواهد از راه اصل عدمِ وجوبِ رجم، مسأله را تمام کند،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اصل نیست؛ زیرا، اصل در جایی است که دلیل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این‌که عمل انجام شده، یا زنای مقرون به احصان می‌باشد که حدّ آن رجم است، و یا زنای غیرمحصنه است که حدّ آن تازیانه می‌باشد؛ حال، شما چگونه اصل را فقط در ناحیه‌ی رجم پیاده می‌کنید؟ مسأله‌ی رجم و شلّاق اقلّ و اکثر نیست، بلکه دو نوع مجازات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استصحاب عدم رجم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رحمه الله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در مورد مردی که با زنش وطی در دُبُر کرده،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می‌توانسته با همسرش وطی در قُبُل انجام دهد، ولی به‌جای آن وطی در دُبُر کرده است؛ در این صورت، حکمِ به عدم احصان او بعید است؛ کمبود و نقصی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نیز در تأیید نظر ایشان وجود دارد که به آن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عن محمّد بن عیسی بن عبید، عن یونس،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وعنده ما یغنیه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علی بن ابراهیم بوده و سند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محصن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مردی است که زنا کند و حال آن‌که در خانه‌اش زنی هست که نیاز او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فرضی را که صاحب جواهر رحمه الله فرموده،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شما این روایت باشد، باید بگویید در تحقّق احصان، وطی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وطی بر تحقّق احصان از دلیل دیگری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همین روایت را داشتیم، می‌گفتیم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این‌جا شخصی که تمکّن از وطی در قُبُل دارد و در دُبُر وطی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لذا، صاحب جواهر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به هیچ وجه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 مقرون به احصان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است که زانی متمکّن از وطی در قُبُل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w:t>
      </w:r>
    </w:p>
    <w:p>
      <w:pPr>
        <w:pStyle w:val="BookText"/>
        <w:rPr/>
      </w:pPr>
      <w:r>
        <w:rPr>
          <w:rFonts w:ascii="IRNazanin" w:hAnsi="IRNazanin" w:eastAsia="IRNazanin"/>
          <w:color w:val="111111"/>
          <w:sz w:val="28"/>
          <w:sz w:val="28"/>
          <w:szCs w:val="28"/>
          <w:rtl w:val="true"/>
          <w:lang w:bidi="fa-IR"/>
        </w:rPr>
        <w:t>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حقّ با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در دُبُر کافی نیست؛ زیرا، از روایات چنین دخولی به ذهن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آن را موجب تحقّق احصان دانست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در اشکال بر نظر صاحب جواهر رحمه الله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اطلاق عبارت 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چنین فردی نمی‌شود؟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منساق از روایات در تحقّق احصان، فقط وطی در قُبُل است؟ به‌نظر، چنین ادّعایی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در نظر می‌گیریم که انحراف جنسی دارد، با همسر خود وطی در دُبُر کرده و زنای او نیز با وطی در دبر باشد، آیا می‌توان گفت این شخص محصن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نیست؟ به احتمال قوی، می‌توان چنین دخولی را موجب تحقّق احصان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که متمکّن از وطی در قُبُل با همسر خود نبوده و به علّت زخمِ قُبُل، وطی در دُبُر کرده، ولی زنایش با وطی در قُبُل باشد،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مشکل است، امّا آیا اطلاق ادلّه‌ی احصان او را شامل نمی‌شود؟</w:t>
      </w:r>
    </w:p>
    <w:p>
      <w:pPr>
        <w:pStyle w:val="BookText"/>
        <w:rPr/>
      </w:pPr>
      <w:r>
        <w:rPr>
          <w:rFonts w:ascii="IRNazanin" w:hAnsi="IRNazanin" w:eastAsia="IRNazanin"/>
          <w:color w:val="111111"/>
          <w:sz w:val="28"/>
          <w:sz w:val="28"/>
          <w:szCs w:val="28"/>
          <w:rtl w:val="true"/>
          <w:lang w:bidi="fa-IR"/>
        </w:rPr>
        <w:t>مطلبی که باید به آن توجّه داشت، این است که اگر بخواهیم طبق قواعد و اطلاقات عمل کنیم، علی القاعده با وطی در دُبُر نیز باید حکم به احصان کنیم و فرقی بین وطی در دُبُر و قُبُل نگذاریم؛ لیکن مسأله‌ی احتیاط و عدم تصریح فقها به کفایت وطی در دُبُر، وحشتی در انسان ایجاد می‌کند و موجب 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اقتضا دارد که با وطی در دُبُر اهل، رجم نکنند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در ادامه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احصان، انزال منی شرط نیست؛ زیرا، با اطلاقات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التقای ختانین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خصیتین هم لازم نیست؛ زیرا، غرض تحقّق ولد نیست، بلکه ملاک وطی است که بدون آن نیز حاصل می‌شود، خواه آثار خارجی وطی بار بشود یا نه، انزال باشد یا نه</w:t>
      </w:r>
      <w:r>
        <w:rPr>
          <w:rFonts w:eastAsia="IRNazanin" w:cs="IRNazanin"/>
          <w:color w:val="111111"/>
          <w:sz w:val="28"/>
          <w:szCs w:val="28"/>
          <w:rtl w:val="true"/>
          <w:lang w:bidi="fa-IR"/>
        </w:rPr>
        <w:t>.</w:t>
      </w:r>
      <w:bookmarkStart w:id="242" w:name="pg16919_226915"/>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 فی تحقّق 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البلوغ عند وطی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الواطیء بأهله بالغاً علی الأحوط، فلا إحصان مع إیلاج الطفل وإن کان مراهقاً، کما لا تحصن المرأة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وطأها وهو غیر بالغ ثمّ زنی بالغاً لم یکن محصناً علی الأحوط ولو کانت الزوجیّة باقیة مستمرّة</w:t>
      </w:r>
      <w:r>
        <w:rPr>
          <w:rFonts w:eastAsia="IRNazanin" w:cs="IRNazanin"/>
          <w:color w:val="111111"/>
          <w:sz w:val="28"/>
          <w:szCs w:val="28"/>
          <w:rtl w:val="true"/>
          <w:lang w:bidi="fa-IR"/>
        </w:rPr>
        <w:t>.</w:t>
      </w:r>
    </w:p>
    <w:p>
      <w:pPr>
        <w:pStyle w:val="Heading6"/>
        <w:numPr>
          <w:ilvl w:val="5"/>
          <w:numId w:val="1"/>
        </w:numPr>
        <w:rPr/>
      </w:pPr>
      <w:bookmarkStart w:id="243" w:name="__RefHeading___Toc78768_3244359995"/>
      <w:bookmarkStart w:id="244" w:name="_Toc92"/>
      <w:bookmarkEnd w:id="243"/>
      <w:r>
        <w:rPr>
          <w:rtl w:val="true"/>
        </w:rPr>
        <w:t>شرط دوم</w:t>
      </w:r>
      <w:r>
        <w:rPr>
          <w:rtl w:val="true"/>
        </w:rPr>
        <w:t xml:space="preserve">: </w:t>
      </w:r>
      <w:r>
        <w:rPr>
          <w:rtl w:val="true"/>
        </w:rPr>
        <w:t>اعتبار بلوغ هنگام وطی به اهل</w:t>
      </w:r>
      <w:bookmarkEnd w:id="244"/>
    </w:p>
    <w:p>
      <w:pPr>
        <w:pStyle w:val="BookText"/>
        <w:rPr/>
      </w:pPr>
      <w:r>
        <w:rPr>
          <w:rFonts w:ascii="IRNazanin" w:hAnsi="IRNazanin" w:eastAsia="IRNazanin"/>
          <w:color w:val="111111"/>
          <w:sz w:val="28"/>
          <w:sz w:val="28"/>
          <w:szCs w:val="28"/>
          <w:rtl w:val="true"/>
          <w:lang w:bidi="fa-IR"/>
        </w:rPr>
        <w:t>امام راحل رحمه الله در شرط دوم تحقّق احصان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مرد با زن یا کنیزش بعد از بلوغ وطی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برای بچه‌ای که مراهق و نزدیک بلوغ است با دخالت ولیّ و مصلحت طفل، زن گرفتند و به علّت مراهق بودن، در او تحریک و هیجانی وجود داشت و بنابراین، با زوجه‌ی خود وطی کرده و دخول حقیقی حاصل شد، اگر پس از بلوغ و قبل از آن‌که با زوجه‌ی خود وطی کند، مرتکب زنا شود، مرحوم امام به‌صورت احتیاط و نه فتوا،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زنای محصنه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رجم مترتّب نمی‌شود، اگرچه زوجیّت هم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زن نیز، اگر شوهر غیربالغ با او وطی کرده باشد، بنا بر احتیاط، زنای محصنه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باید وطی به اهل، در حال بلوغ طرفین باشد تا زنای بعد از آن به احصان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اقامه‌ی دلیل بر این مطلب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بر آن دلالت دارد؛ و از سوی دیگر، به استصحاب تمسّک می‌کند؛ زیرا، با وطی قبل از بلوغ، شکّ در تحقّق احصان داریم، و استصحاب عدم تحقّق احصان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مذاق شرع استفاده می‌شود که اعمال صبّی مورد نظر نیست و نمی‌توان آن را ملاک قرار داد؛ مثل این‌که وجود اعمالش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دخول او نمی‌تواند نقش و اثری داشته باشد؛ به‌خصوص با توجّه به این‌که وطی در حال کودکی و عدم بلوغ، وطی کاملی نیست که</w:t>
      </w:r>
    </w:p>
    <w:p>
      <w:pPr>
        <w:pStyle w:val="BookText"/>
        <w:rPr/>
      </w:pPr>
      <w:r>
        <w:rPr>
          <w:rFonts w:ascii="IRNazanin" w:hAnsi="IRNazanin" w:eastAsia="IRNazanin"/>
          <w:color w:val="111111"/>
          <w:sz w:val="28"/>
          <w:sz w:val="28"/>
          <w:szCs w:val="28"/>
          <w:rtl w:val="true"/>
          <w:lang w:bidi="fa-IR"/>
        </w:rPr>
        <w:t>همراه با لذّت و اقناع شهوت باشد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چند اشکال بر کلام صاحب جواهر رحمه الله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ایشان مطرح می‌کند، ادّعایی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تحصیل اجماع نکرده‌ایم، ولی کلمات قوم را که ملاحظه کردیم، این مسأله اصلاً مورد بحث قرار نگرفته است و حتّی در کتابی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کاملی است، این شرط نیامده است؛ ایشان گرچه بلوغ را به‌عنوان شرط اوّل ذکر می‌کند، ولی مرادش بلوغ در حال وطی به اهل نیست، بلکه بلوغ در حال زنا است، و همین‌طور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کتاب دیگر صاحب شرایع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شرط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مسأله را اجماعی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استصحابی که مرحوم صاحب جواهر جاری کرده است، مانعی ندارد؛ زیرا، از ادلّه، اطلاقی به‌دست نیاوردیم و در حال شکّ باقی ماندیم، می‌گوییم این طفل، قبل از دخول به زوجه‌اش در حال کودکی، محصن نبود، حال، پس از دخول، در اتّصافش به احصان شکّ می‌کنیم، استصحاب عدم تحقّق احصان جاری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 الصبیّ لا یناط به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باب صبی گفته‌اند،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نیست که منشأ اثر نمی‌باشد؛ اگر وجودش کالعدم است، چرا در صورتی که صبیّ قاتل باشد، باید عاقله دیه‌ی او را بپردازد؟ اگر در دوران کودکی مال کسی را تلف کرد، آیا مانند عدم اتلاف است؟ آیا افعال صبیّ برای ضمان سببیّت ندارد؟ ما نمی‌خواهیم بر وطی قبل از دخول حدّ مترتّب کنیم تا بگویید حکم شرعی به عمل صبیّ تعلق نمی‌گیرد، بلکه می‌خواهیم آن را موجب تحقّق احصان برای زنای بعد از بلوغ بدانیم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 صبیّ، وطی کامل و همراه با لذّت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احکام دست ما نیست و ما نمی‌توانیم آن را به‌دست آوریم، مثلاً اگر کسی یک‌بار با زوجه‌ی دائمی‌اش وطی کرد، احصان محقّق می‌شود؛ ولی اگر هزار</w:t>
      </w:r>
    </w:p>
    <w:p>
      <w:pPr>
        <w:pStyle w:val="BookText"/>
        <w:rPr/>
      </w:pPr>
      <w:r>
        <w:rPr>
          <w:rFonts w:ascii="IRNazanin" w:hAnsi="IRNazanin" w:eastAsia="IRNazanin"/>
          <w:color w:val="111111"/>
          <w:sz w:val="28"/>
          <w:sz w:val="28"/>
          <w:szCs w:val="28"/>
          <w:rtl w:val="true"/>
          <w:lang w:bidi="fa-IR"/>
        </w:rPr>
        <w:t>بار با زوجه‌ی منقطعه‌اش وطی کند، زنای او محصنه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لذّت بردن است، و در وطی صبیّ، لذّت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دلیل ما روایاتی است که در وطی به اهل، رسیده است؛ باید آن‌ها را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رفاعه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أبا عبداللّه علیه السلام عن الرجل یزنی قبل أن یدخل بأهله، أیرجم؟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این روایت دلالت دارد اگر مردی قبل از دخول به اهلش زنا کند، رجم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این است که اگر زنایی بعد از بلوغ و دخول به اهل محقّق شد، حکمش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مفهوم اطلاق دارد؟ اگر منطوقی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إذا زنی بعد أن یدخل بأهله فیرجم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آیا اطلاق دارد؟ آیا مقدّمات حکمت نسبت به دخول به اهل قبل از بلوغ و بعد از آن منعقد است؟</w:t>
      </w:r>
    </w:p>
    <w:p>
      <w:pPr>
        <w:pStyle w:val="BookText"/>
        <w:rPr/>
      </w:pPr>
      <w:r>
        <w:rPr>
          <w:rFonts w:ascii="IRNazanin" w:hAnsi="IRNazanin" w:eastAsia="IRNazanin"/>
          <w:color w:val="111111"/>
          <w:sz w:val="28"/>
          <w:sz w:val="28"/>
          <w:szCs w:val="28"/>
          <w:rtl w:val="true"/>
          <w:lang w:bidi="fa-IR"/>
        </w:rPr>
        <w:t xml:space="preserve">حقّ این است که روایت از این جهت در مقام بیان نیست، و اوّلین شرطِ جواز تمسّک به اطلاق، در مقامِ بیان بودن متکلّم از آن جهتی است که می‌خواهند به اطلاق کلامش تمسّک کنند؛ مثلاً اگر بخواهیم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قید ایمان تمسّک کنیم، باید احراز شود متکلّم در مقام بیانِ قید ایمان و عدم آن بوده و با این حال، قیدی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در این مثال، متکلّم در مقام بیان رقبه‌ی سفیدپوست و سیاه‌پوست است، چگونه می‌توان از اطلاق کلامش برای نفی قید ایمان استفاده کرد؟</w:t>
      </w:r>
    </w:p>
    <w:p>
      <w:pPr>
        <w:pStyle w:val="BookText"/>
        <w:rPr/>
      </w:pPr>
      <w:r>
        <w:rPr>
          <w:rFonts w:ascii="IRNazanin" w:hAnsi="IRNazanin" w:eastAsia="IRNazanin"/>
          <w:color w:val="111111"/>
          <w:sz w:val="28"/>
          <w:sz w:val="28"/>
          <w:szCs w:val="28"/>
          <w:rtl w:val="true"/>
          <w:lang w:bidi="fa-IR"/>
        </w:rPr>
        <w:t xml:space="preserve">این روایت در مقامِ بیانِ دخالتِ دخول در احصان است، ولی این‌که دخول، در حال بلوغ منظور است یا فرقی بین دخول در حال بلوغ و عدم بلوغ نیست، روایت در مقام بیان این جهت نمی‌باشد، خصوصاً با توجّه به این نکته که در سؤالِ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بالغ گفته می‌شود و اصطلاحاً به غیر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مؤیّد همین مطلب است که نمی‌توان دخول را نسبت به بلوغ مطلق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زیر مانند صحیحه‌ی رفاعه در دلالت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أبا جعفر علیه السلام عن الرجل یزنی ولم یدخل بأهله، أیحصن؟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بالأمة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دو روایت نیز نسبت به زنان داشتیم مبنی بر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إحصانهنّ أن یدخل بهنّ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این‌ها نیز اطلاقی ندارند؛ بلکه در مقام بیان این است که دخول در تحقّق احصان نقش دارد؛ امّا این‌که دخول در حال بلوغ باشد یا آن‌که فرقی بین بلوغ و عدم بلوغ نیست؟ از این جهت، در مقام بیان نیست تا بتوان به اطلاقش چنگ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إذا هو زنی وعنده السریّة والأمة یطأها، تُحصنه الأمة وتکون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ذلک لأنّ عنده ما یغنیه عن الزنا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 این موثّقه، اسحاق بن عمّار از امام علیه السلام درباره‌ی مردی که دچار عمل نامشروع شده در حالی‌که کنیزی داشت که او را وطی می‌کرد، سؤال کرده که آیا داشتن کنیز سبب احصان او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 با غیر آن‌چه فرقی می‌کند؟ با وجود کنیز نیاز او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محصن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السریّة والأمة یطأها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دوام و استمرارِ وطی دلالت دارد؛ و نسبت به غیر بالغ، هرچند مراهق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هیجان و تحریک ضعیفی در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استمرار وطی تصوّر نمی‌شود؛ بنابراین، از روایت استفاده می‌شود که وطی در حال بلوغ شرط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ندارد؛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مدّنظر</w:t>
      </w:r>
    </w:p>
    <w:p>
      <w:pPr>
        <w:pStyle w:val="BookText"/>
        <w:rPr/>
      </w:pPr>
      <w:r>
        <w:rPr>
          <w:rFonts w:ascii="IRNazanin" w:hAnsi="IRNazanin" w:eastAsia="IRNazanin"/>
          <w:color w:val="111111"/>
          <w:sz w:val="28"/>
          <w:sz w:val="28"/>
          <w:szCs w:val="28"/>
          <w:rtl w:val="true"/>
          <w:lang w:bidi="fa-IR"/>
        </w:rPr>
        <w:t>سؤال‌کننده بوده و به‌خاطر آن سؤال کرده، این است که آیا داشتن کنیز موجب احصان است؛ یا اگر به‌جای زوجه‌ی دائمی، کنیز داشت، آیا زنای او محصنه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بی‌نیاز کننده‌ی او از زنا موجود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ما نتوانستیم از روایات، اطلاقی برای نفی بلوغ و یا دلیلی برای اثبات آن پیدا کنیم؛ روایات بر هیچ‌یک از دو طرف دلالت ندارد؛ لذا، باید با توجّه به استصحاب و مسأله‌ی احتیاط و اجماعی که صاحب جواهر رحمه الله ادّعا کرده، همان طریقی که مرحوم امام پیموده را بپیماییم و بگوییم اگر در دوران کودکی به اهلش دخول کرد، و در حال بلوغ، قبل از دخول به اهل، مرتکب زنا شد، احتیاطاً حکم زنای محصنه مترتّب نشود</w:t>
      </w:r>
      <w:r>
        <w:rPr>
          <w:rFonts w:eastAsia="IRNazanin" w:cs="IRNazanin"/>
          <w:color w:val="111111"/>
          <w:sz w:val="28"/>
          <w:szCs w:val="28"/>
          <w:rtl w:val="true"/>
          <w:lang w:bidi="fa-IR"/>
        </w:rPr>
        <w:t>.</w:t>
      </w:r>
      <w:bookmarkStart w:id="245" w:name="pg16919_226920"/>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الفعل حین الوط‌ء بالأهل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حین الدخول بزوجته علی الأحوط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تزوّج فی حال صحّته ولم یدخل بها حتّی جنّ، ثمّ وطأها حال الجنون، لم یتحقّق الإحصان علی الأحوط</w:t>
      </w:r>
      <w:r>
        <w:rPr>
          <w:rFonts w:eastAsia="IRNazanin" w:cs="IRNazanin"/>
          <w:color w:val="111111"/>
          <w:sz w:val="28"/>
          <w:szCs w:val="28"/>
          <w:rtl w:val="true"/>
          <w:lang w:bidi="fa-IR"/>
        </w:rPr>
        <w:t>.</w:t>
      </w:r>
    </w:p>
    <w:p>
      <w:pPr>
        <w:pStyle w:val="Heading6"/>
        <w:numPr>
          <w:ilvl w:val="5"/>
          <w:numId w:val="1"/>
        </w:numPr>
        <w:rPr/>
      </w:pPr>
      <w:bookmarkStart w:id="246" w:name="__RefHeading___Toc78770_3244359995"/>
      <w:bookmarkStart w:id="247" w:name="_Toc93"/>
      <w:bookmarkEnd w:id="246"/>
      <w:r>
        <w:rPr>
          <w:rtl w:val="true"/>
        </w:rPr>
        <w:t>شرط سوم</w:t>
      </w:r>
      <w:r>
        <w:rPr>
          <w:rtl w:val="true"/>
        </w:rPr>
        <w:t xml:space="preserve">: </w:t>
      </w:r>
      <w:r>
        <w:rPr>
          <w:rtl w:val="true"/>
        </w:rPr>
        <w:t>اعتبار عقل در هنگام وطی به اهل</w:t>
      </w:r>
      <w:bookmarkEnd w:id="247"/>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وجود عقل در زمان دخول به اهل از شرایط تحقّق احصان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را نیز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بیان‌گر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حال سلامت عقل با زنی ازدواج کرد، و قبل از دخول، دیوانه شد و در زمان دیوانگی با همسر خود وطی کرد، اگر پس از رفع جنون و در حال عقل، از او زنایی سر زند، متّصف به احصان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زده‌اند برای روشن شدن مطلب است، و الّا اگر ولیّ مجنون برای او زن گرفت و در حال جنون به اهل خود دخول کرد و بعد از زوال جنون مرتکب زنا شد، آن هم از مصادیق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ملاک است، وقوع دخولِ به زوجه در حال جنون است که اگر پس از برطرف شدن آن و قبل از دخول به زوجه زنا کند، امام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زنای محصنه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w:t>
      </w:r>
    </w:p>
    <w:p>
      <w:pPr>
        <w:pStyle w:val="BookText"/>
        <w:rPr/>
      </w:pPr>
      <w:r>
        <w:rPr>
          <w:rFonts w:ascii="IRNazanin" w:hAnsi="IRNazanin" w:eastAsia="IRNazanin"/>
          <w:color w:val="111111"/>
          <w:sz w:val="28"/>
          <w:sz w:val="28"/>
          <w:szCs w:val="28"/>
          <w:rtl w:val="true"/>
          <w:lang w:bidi="fa-IR"/>
        </w:rPr>
        <w:t>روایاتی که در شرط دوم به آن اشاره کردیم، اطلاقی ندارد؛ زیرا، از این جهت، در مقام بیان نیست که بگوید مطلقِ دخول، در تحقّق احصان، خواه در حال صغر یا بلوغ و یا در حال جنون و عدم آن،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اطلاقی هم داشت، باید ملاحظه می‌شد که آیا این اطلاق، منصرف از مجنون است یا نه؟ به اعتقاد ما، روایات اطلاق ندارد، بلکه در مقام بیان اثر داشتن دخول در تحقّق احصان است، در مقابلِ موردی که اصلاً دخولی واقع نشده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کوتاه شدن دست ما از اطلاق، با آن‌که می‌دانیم دخول به اهل در احصان دخالت دارد، امّا چون نمی‌دانیم مقیّدِ به حال سلامت عقل است یا نه؟، ممکن است گفته شود به</w:t>
      </w:r>
    </w:p>
    <w:p>
      <w:pPr>
        <w:pStyle w:val="BookText"/>
        <w:rPr/>
      </w:pPr>
      <w:r>
        <w:rPr>
          <w:rFonts w:ascii="IRNazanin" w:hAnsi="IRNazanin" w:eastAsia="IRNazanin"/>
          <w:color w:val="111111"/>
          <w:sz w:val="28"/>
          <w:sz w:val="28"/>
          <w:szCs w:val="28"/>
          <w:rtl w:val="true"/>
          <w:lang w:bidi="fa-IR"/>
        </w:rPr>
        <w:t>استصحاب عدم تحقّق احصان به وطی در حال جنون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قبل از وطی با زوجه‌اش محصن نبود، الآن نمی‌دانیم آیا پس از دخول به او محصن شد یا نه؟ استصحاب عدم احصان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استصحاب تمام است؟</w:t>
      </w:r>
    </w:p>
    <w:p>
      <w:pPr>
        <w:pStyle w:val="BookText"/>
        <w:rPr/>
      </w:pPr>
      <w:r>
        <w:rPr>
          <w:rFonts w:ascii="IRNazanin" w:hAnsi="IRNazanin" w:eastAsia="IRNazanin"/>
          <w:color w:val="111111"/>
          <w:sz w:val="28"/>
          <w:sz w:val="28"/>
          <w:szCs w:val="28"/>
          <w:rtl w:val="true"/>
          <w:lang w:bidi="fa-IR"/>
        </w:rPr>
        <w:t xml:space="preserve">هرچند به‌نظر می‌رسد شرایط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و شکّ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موجود بوده و در تمام این موارد، صاحب جواهر رحمه الله به آن تمسّک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ظاهراً جای جریان استصحاب نیست؛ زیرا، شکّ ما در مفهوم است، و در شبهات مفهومیّه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که بعضی از محقّقان در اشکال بر استصحاب فرمودند،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آن شکّ داشتیم که آیا در غروب، زوال حمره‌ی مشرقیه دخالت دارد یا به مجرّد استتار قرص حاصل می‌شود و لازم نیست حمره‌ی مشرقیه از قمّة الرأس عبور کرده و زایل شده باشد؟ ممکن است گفته شود قبل از استتار قرص یقین داشتیم نهار باقی است، پس از استتار و قبل از زوال حمره، شکّ در بقای نهار داریم، استصحاب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شما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دارید، امّا استصحاب را روی خارج پیاده می‌کنید؟ در حالی‌که می‌دانید نسبت به خارج شکّی نداریم؛ زیرا، یقین داریم نیست؛ ساعتِ قبل استتار قرص نبوده و الآن هم یقین به استتارش داریم، پس تردید ما نسبت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 که تا زوال حمره‌ی مشرقیه است، اکنون شکّ در تحقّق زوال حمره داشته باشیم، جای استصحاب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نیز شبهه‌ی ما در مفهوم احصان است؛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دخول به اهل، مجنون محصن نبوده الآن پس از دخول نیز محصن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ما در رابطه‌ی با زمان گذشته و زمان لاحق نیست؛ بلکه نمی‌دانیم ماهیّت احصان از نظر شارع مقدّس چیست، و از این عنوانی که در شریعت بر آن حکم رجم بار شده، چه اراده کرده و مقصودش چیست؟ شما می‌خواهید با استصحابی که مربوط به خارج است رفع شبهه از مفهوم کنید، این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در عدم جریان استصحاب در شبهات مفهومیّه، فرقی بین مفاهیم عرفی یا شرعی نیست؛ لذا، گفته نشود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معنایی است که باید از عرف گرفت، با احصان که شارع باید حدّ و قیودش را بیان کند، فرق است؛ زیرا، شبهه در مفهوم است، پس جای جریان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کوتاه شدن دست ما از اطلاقات و استصحاب، راه دیگری وجود دارد؟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عامّی داشتیم و مخصّصی مجمل رسید، اجمال گاه از جهت تردید بین متباینین است که ربطی به مقام ما ندارد؛ و گاه از جهت تردید بین اقلّ و اکثر است، مثل این‌که 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امرِ فاسق مردّد بین مرتکب کبیره و صغیره بود، در این‌جا اجمال مردّد بین اقل و اکثر است؛ اقلّ، قدر متیقّن و اکثر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مرتکب کبیره قطعاً فاسق و از تحت عام خارج است، ولی نسبت به مرتکب صغیره شکّ داریم که آیا عنوان مخصّص بر آن صادق است یا نه؟ در این‌جا باید به عموم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مقداری که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 متیقّن از آن که مرتکب کبیره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 حکومت دارد و عام در مابقی از خاصّ حجّت است؛ یعنی نسبت به مرتکب صغیره، عام بر عمومش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فقط به عام و خاصّ مربوط نیست، بلکه نسبت به مطلق و مقیّد نیز جا دارد؛ لذا، اگر اطلاقی داشتیم و مقیّد ما مردّد بین اقل و اکثر بود، نسبت به مقدار متیقّن از مقیّد به آن تمسّک و نسبت به اکثر مشکوک به اطلاق اخذ می‌کنیم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آیه‌ی شریفه‌ی الزّانِیَةُ وَ الزّانِی فَاجْلِدُوا کُلَّ واحِدٍ مِنْهُما مِائَةَ جَلْدَةٍ </w:t>
      </w:r>
      <w:r>
        <w:rPr>
          <w:rStyle w:val="FootnoteAnchor"/>
          <w:rtl w:val="true"/>
        </w:rPr>
        <w:footnoteReference w:id="253"/>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والزانیة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یعنی در هر موردی که زنایی واقع شد و عنوان زانیه و زانی 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محصن و غیر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اطلاق، مقیّدی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یا زانیه عنوان محصن و محصنه پیدا کرد، تازیانه نمی‌خورد و بلکه باید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اطلاقی داریم و مقیّدی که مفهومش مردّد بین اقلّ و اکثر است، یعنی نمی‌دانیم آیا با مطلق دخول، از مجنون و غیر او احصان</w:t>
      </w:r>
    </w:p>
    <w:p>
      <w:pPr>
        <w:pStyle w:val="BookText"/>
        <w:rPr/>
      </w:pPr>
      <w:r>
        <w:rPr>
          <w:rFonts w:ascii="Amiri" w:hAnsi="Amiri" w:eastAsia="Amiri" w:cs="Amiri"/>
          <w:color w:val="111111"/>
          <w:sz w:val="28"/>
          <w:sz w:val="28"/>
          <w:szCs w:val="28"/>
          <w:rtl w:val="true"/>
          <w:lang w:bidi="ar-SA"/>
        </w:rPr>
        <w:t xml:space="preserve">محقّق می‌شود و یا با دخول غیرمجنون احصان محقّق نمی‌شود؟ نسبت به مقدار متیقّن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در حال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دلیل مقیّد، حجّت، و نسبت به مازاد آن مشکوک الحجّیة است، لذا، آن را شامل نمی‌شود؛ ولی دلیل مطلق الزّانِیَةُ وَ الزّانِی فَاجْلِدُوا کُلَّ واحِدٍ مِنْهُما مِائَةَ جَلْدَةٍ </w:t>
      </w:r>
      <w:r>
        <w:rPr>
          <w:rStyle w:val="FootnoteAnchor"/>
          <w:rtl w:val="true"/>
        </w:rPr>
        <w:footnoteReference w:id="254"/>
      </w:r>
      <w:r>
        <w:rPr>
          <w:rFonts w:ascii="IRNazanin" w:hAnsi="IRNazanin" w:eastAsia="IRNazanin"/>
          <w:color w:val="111111"/>
          <w:sz w:val="28"/>
          <w:sz w:val="28"/>
          <w:szCs w:val="28"/>
          <w:rtl w:val="true"/>
          <w:lang w:bidi="fa-IR"/>
        </w:rPr>
        <w:t>شامل آن شده، حکم می‌کند اگر دخول به اهل در حال جنون بوده، بر این زنای در حال عقل، حکم تازیانه مترتّب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این اطلاق، احتیاط لازم نیست، بلکه بر طبق دلیل فتوا می‌دهیم که اگر وطی در حال جنون بوده، بر زنای بعد از آن‌که در حال عقل واقع است، نباید رجم کرد؛ و استصحابی که صاحب جواهر رحمه الله</w:t>
      </w:r>
      <w:r>
        <w:rPr>
          <w:rStyle w:val="FootnoteAnchor"/>
          <w:rtl w:val="true"/>
        </w:rPr>
        <w:footnoteReference w:id="255"/>
      </w:r>
      <w:r>
        <w:rPr>
          <w:rFonts w:ascii="IRNazanin" w:hAnsi="IRNazanin" w:eastAsia="IRNazanin"/>
          <w:color w:val="111111"/>
          <w:sz w:val="28"/>
          <w:sz w:val="28"/>
          <w:szCs w:val="28"/>
          <w:rtl w:val="true"/>
          <w:lang w:bidi="fa-IR"/>
        </w:rPr>
        <w:t>به آن تمسّک کرد، تمام نیست</w:t>
      </w:r>
      <w:r>
        <w:rPr>
          <w:rFonts w:eastAsia="IRNazanin" w:cs="IRNazanin"/>
          <w:color w:val="111111"/>
          <w:sz w:val="28"/>
          <w:szCs w:val="28"/>
          <w:rtl w:val="true"/>
          <w:lang w:bidi="fa-IR"/>
        </w:rPr>
        <w:t>.</w:t>
      </w:r>
      <w:bookmarkStart w:id="248" w:name="pg16919_226924"/>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إعتبار کون الوط‌ء إمّا بالزوجة الدائمة أو 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الوط‌ء فی فرج مملوک له بالعقد الدائم الصحیح أو ملک الیمین، فلا یتحقّق الإحصان بوط‌ء الزنا ولا الشبهة وکذا لا یتحقّق بالمتعة، فلو کان عنده متعة یروح ویغدو علیها لم یکن محصناً</w:t>
      </w:r>
      <w:r>
        <w:rPr>
          <w:rFonts w:eastAsia="IRNazanin" w:cs="IRNazanin"/>
          <w:color w:val="111111"/>
          <w:sz w:val="28"/>
          <w:szCs w:val="28"/>
          <w:rtl w:val="true"/>
          <w:lang w:bidi="fa-IR"/>
        </w:rPr>
        <w:t>.</w:t>
      </w:r>
    </w:p>
    <w:p>
      <w:pPr>
        <w:pStyle w:val="Heading6"/>
        <w:numPr>
          <w:ilvl w:val="5"/>
          <w:numId w:val="1"/>
        </w:numPr>
        <w:rPr/>
      </w:pPr>
      <w:bookmarkStart w:id="249" w:name="__RefHeading___Toc78772_3244359995"/>
      <w:bookmarkStart w:id="250" w:name="_Toc94"/>
      <w:bookmarkEnd w:id="249"/>
      <w:r>
        <w:rPr>
          <w:rtl w:val="true"/>
        </w:rPr>
        <w:t>شرط چهارم</w:t>
      </w:r>
      <w:r>
        <w:rPr>
          <w:rtl w:val="true"/>
        </w:rPr>
        <w:t xml:space="preserve">: </w:t>
      </w:r>
      <w:r>
        <w:rPr>
          <w:rtl w:val="true"/>
        </w:rPr>
        <w:t>اعتبار وطی به زوجه‌ی دائمی یا ملک یمین</w:t>
      </w:r>
      <w:bookmarkEnd w:id="250"/>
    </w:p>
    <w:p>
      <w:pPr>
        <w:pStyle w:val="BookText"/>
        <w:rPr/>
      </w:pPr>
      <w:r>
        <w:rPr>
          <w:rFonts w:ascii="IRNazanin" w:hAnsi="IRNazanin" w:eastAsia="IRNazanin"/>
          <w:color w:val="111111"/>
          <w:sz w:val="28"/>
          <w:sz w:val="28"/>
          <w:szCs w:val="28"/>
          <w:rtl w:val="true"/>
          <w:lang w:bidi="fa-IR"/>
        </w:rPr>
        <w:t>مرحوم امام رحمه الله در تحریر الوسیله، در شرط چهارمِ تحقّق احصان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باید در فرج مملوک واطی باشد، فرقی نمی‌کند ملکیّتش بر این فرج به عقد صحیح دائم باشد یا به ملک یمین؛ یعنی مرد بایستی قبل از زنا به زوجه‌ی دائمی خود و یا به کنیزش وطی کرده باشد تا زنایی که از او سر زده، متّصف به احصان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دو حال صدق می‌کند که این فرج، مملوکِ واطی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وطی قَبلی او، زنایی یا وطی به شبهه باشد، هرچند وطی به شبهه حلال است، امّا این فرج، مملوکِ او نبوده است؛ پس، زنای او محصنه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اگر مرد همسری به نکاح متعه داشته باشد، گرچه زمانی طولانی و شب و روز زن در اختیار او باشد، امّا زنای او محصنه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فرع مطرح است که باید ادلّه‌ی آن‌ها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قَبلی باید به زوجه‌ی دائمی باشد، این مطلب، از شرط اولی که در شرایط احصان ذکر شد، فهمیده می‌شود؛ بلکه مصداق بارز و روشن وطی به اهل، وطی به زوجه‌ی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رفاعه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الرجل یزنی قبل أن یدخل بأهله أیرجم؟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بدین‌معنا بود که با دخول به اهل، رجم وجود دارد؛ قدر متیقّن از اهل، همان زوجه‌ی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دلیل و اثبات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مولی با کنیز مملوکش موجب تحقّق احصان است؛ در مقابل مشهور، افرادی مانند مرحوم صدوق رحمه الله</w:t>
      </w:r>
      <w:r>
        <w:rPr>
          <w:rStyle w:val="FootnoteAnchor"/>
          <w:rtl w:val="true"/>
        </w:rPr>
        <w:footnoteReference w:id="257"/>
      </w:r>
      <w:r>
        <w:rPr>
          <w:rFonts w:ascii="IRNazanin" w:hAnsi="IRNazanin" w:eastAsia="IRNazanin"/>
          <w:color w:val="111111"/>
          <w:sz w:val="28"/>
          <w:sz w:val="28"/>
          <w:szCs w:val="28"/>
          <w:rtl w:val="true"/>
          <w:lang w:bidi="fa-IR"/>
        </w:rPr>
        <w:t>وسلّار رحمه الله،</w:t>
      </w:r>
      <w:r>
        <w:rPr>
          <w:rStyle w:val="FootnoteAnchor"/>
          <w:rtl w:val="true"/>
        </w:rPr>
        <w:footnoteReference w:id="258"/>
      </w:r>
      <w:r>
        <w:rPr>
          <w:rFonts w:ascii="IRNazanin" w:hAnsi="IRNazanin" w:eastAsia="IRNazanin"/>
          <w:color w:val="111111"/>
          <w:sz w:val="28"/>
          <w:sz w:val="28"/>
          <w:szCs w:val="28"/>
          <w:rtl w:val="true"/>
          <w:lang w:bidi="fa-IR"/>
        </w:rPr>
        <w:t>وطی به کنیز را موجب تحقّق</w:t>
      </w:r>
    </w:p>
    <w:p>
      <w:pPr>
        <w:pStyle w:val="BookText"/>
        <w:rPr/>
      </w:pPr>
      <w:r>
        <w:rPr>
          <w:rFonts w:ascii="IRNazanin" w:hAnsi="IRNazanin" w:eastAsia="IRNazanin"/>
          <w:color w:val="111111"/>
          <w:sz w:val="28"/>
          <w:sz w:val="28"/>
          <w:szCs w:val="28"/>
          <w:rtl w:val="true"/>
          <w:lang w:bidi="fa-IR"/>
        </w:rPr>
        <w:t>احصان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متعه، سید مرتضی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صحیح متعه موجب احصان نیست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صاحب جواهر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کلام ایشان مشعر به وجود مخالف است، لیکن هرچه گشتم مخالفی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بین امامیه اتّفاقی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علّت مطرح کردن هر دو فرع با هم، روایاتی است که مشترک و دلیل بر هر دو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 علیه السلام عن الرجل إذا هو زنی وعنده السریّة والأمة یطأها، تحصنه الأمة وتکون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ذلک لأنّ ما یغنیه عن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عنده أمة زعم أنّه لا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عنده امرأة متعة أتحصنه؟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علی الشیء الدائم عنده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جهت اسحاق بن عمّار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درباره‌ی زنای مردی است که کنیزی در اختیار دارد و هر زمانی بخواهد می‌تواند با او وطی کند، آیا چنین چیزی سبب احصان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این کنیز او را از زنا بی‌نیاز می‌کند، یعنی در حقیقت فرقی بین کنیز و زوجه نیست، در هر دو صورت، نیازی به زنا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ادّعا کند که با کنیز رابطه‌ی وطی ندارد، آیا تصدیق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کسی که زنا کرده، معلوم می‌شود غریزه‌ی جنسی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غریزه‌ی جنسی و عدم رادع و مانع، چگونه باور می‌شود وطی نکند؟ 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کنیز، زن متعه‌ای داشت، آیا متعه ایجاد احصان برای شوهر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احصان در جایی است که نزد مرد یک چیزی به‌صورت دائم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ذیل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علی الشیء الدائم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می‌شود نکاح دائم مقصود نیست؛ زیرا، داشتن کنیز را موجب احصان گفته است؛ بنابراین، مراد دوام ملکیّت یا دوام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واقعی نیز مراد نیست؛ زیرا، ممکن است زوجه‌ی دائمی را طلاق دهد و یا کنیز را بفروشد، بلکه منظور صلاحیّت برای دوام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عن یونس،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 الرجل تکون له الجاریة، أتحصنه؟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علی وجه الإستغناء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علی الشیء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زعم أنّه لم یکن یطأها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إنّما أوجب ذلک علیه لأنّه یملکها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روایی مانند وسائل این حدیث جداگانه آورده شده است؛ لیکن همان‌گونه که مرحوم آیت‌اللّه بروجردی 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راوی و امام علیه السلام و مطالب سؤال شده، بعید است روایت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مختصری که ناشی از روات بعدی است، موجب نمی‌شود حکم کنیم اسحاق بن عمّار مسأله را دو بار از امام علیه السلام سؤال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هر دو روایت در این جهت مشترک‌اند که با وطی به کنیز، احصان، ثابت شده و با وطی به متعه،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تحته المملوکة، هل علیه الرجم إذا 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6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علیهما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حرّی مملوکه‌ای در اختیار دارد، اگر این مولا زنا کرد، محصن است و حدّ رجم بر او جاری</w:t>
      </w:r>
    </w:p>
    <w:p>
      <w:pPr>
        <w:pStyle w:val="BookText"/>
        <w:rPr/>
      </w:pPr>
      <w:r>
        <w:rPr>
          <w:rFonts w:ascii="IRNazanin" w:hAnsi="IRNazanin" w:eastAsia="IRNazanin"/>
          <w:color w:val="111111"/>
          <w:sz w:val="28"/>
          <w:sz w:val="28"/>
          <w:szCs w:val="28"/>
          <w:rtl w:val="true"/>
          <w:lang w:bidi="fa-IR"/>
        </w:rPr>
        <w:t>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عیسی بن عبید، عن یونس،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وعنده ما یغنیه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حریز از روایات مطلقه‌ی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 کیست؟ امام علیه السلام با یک ضابطه‌ی کلّی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زنا کند و منحرف شود، در حالی‌که در اختیارش چیزی باشد که موجب بی‌نیازی او از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باب متعه را نداشتیم، این قاعده کلّی را در آن نیز جاری می‌کردیم، فقط مواردی که وطی قَبلی از زنا یا وطی به شبهه باشد، استثنا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متعه، بر تقیید این ضابطه‌ی کلّی دلیل داریم، امّا نسبت به کنیز، مقیّدی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أبی علیّ الأشعری، عن محمّد بن عبد الجبّار، عن صفوان، عن ابن سنان یعنی عبداللّه، عن إسماعیل بن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رحمک اللّه من کان له فرج یغدو علیه ویروح فهو محصن</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نیز نظیر روایت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ضابطه‌ی شناخت محصن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و روز فرجی در اختیارش باشد، محصن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ضابطه نیز بر کنیز صادق است؛ زیرا، او را به ملک دائمی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باب متعه دلیلِ مقیّد نداشتیم، به اطلاق یا عموم این روایت می‌توانستیم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دو روایت وجود دارد که دلیل مخالفان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أحمد بن یحیی، عن أحمد بن محمّد، عن الحسن بن محبوب، عن العلاء، عن محمّد بن مسلم، عن أبی جعفر علیه السلام فی الذی</w:t>
      </w:r>
    </w:p>
    <w:p>
      <w:pPr>
        <w:pStyle w:val="BookText"/>
        <w:rPr/>
      </w:pPr>
      <w:r>
        <w:rPr>
          <w:rFonts w:ascii="IRNazanin" w:hAnsi="IRNazanin" w:eastAsia="IRNazanin"/>
          <w:color w:val="111111"/>
          <w:sz w:val="28"/>
          <w:sz w:val="28"/>
          <w:szCs w:val="28"/>
          <w:rtl w:val="true"/>
          <w:lang w:bidi="fa-IR"/>
        </w:rPr>
        <w:t>یأتی ولیدة امرأته بغیر إذنها، علیه مثل ما علی الزانی، یجلّد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یرجم إن زنی بیهودیة أو نصرانیة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فجر بامرأة حرّة وله امرأة حرّة، فإنّ علیه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تحصنه الأمة والیهودیة والنصرانیة إن زنی بحرّة کذلک لا یکون علیه حدّ المحصن إن زنی بیهودیة أو نصرانیة أو أمة وتحته حرّة</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محمّد بن مسلم درباره‌ی مردی که با ولیده‌ی زن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ولیده به‌معنای کنیز و مملوک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همسرش وطی کرد، سؤال می‌کند که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مملوکه‌ی همسر بودن، سبب حلّیت نیست؛ همانند دیگر زناکاران صد تازیانه می‌خورد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این‌جا بحثی از احصان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زنی یهودی یا نصرانی یا با کنیزی زنا کرد، رجم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زن حرّ غیریهودی و نصرانی زنا کند در حالی‌که یک زن دائمی حرّ در اختیار او باشد، باید رجم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امرأة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داشتن کنیز موجب احصان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بعد هم تصریح می‌کند همان‌گونه که کنیز، زن یهودی و نصرانی موجب احصان نیست، اگر با داشتن زن حرّی با زنی یهودی یا نصرانی زنا کند، حدّ زنای محصنه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و دلالت آن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الحسین بن سعید، عن النضر،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الرجل یزنی ولم یدخل بأهله، أیحصن؟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بالأمة</w:t>
      </w:r>
      <w:r>
        <w:rPr>
          <w:rFonts w:eastAsia="IRNazanin" w:cs="IRNazanin"/>
          <w:color w:val="111111"/>
          <w:sz w:val="28"/>
          <w:szCs w:val="28"/>
          <w:rtl w:val="true"/>
          <w:lang w:bidi="fa-IR"/>
        </w:rPr>
        <w:t>.</w:t>
      </w:r>
      <w:r>
        <w:rPr>
          <w:rStyle w:val="FootnoteAnchor"/>
          <w:rtl w:val="true"/>
        </w:rPr>
        <w:footnoteReference w:id="26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محمّد بن مسلم از امام باقر علیه السلام درباره‌ی مردی می‌پرسد که به اهلش دخول نکرده و زنا می‌کند، آیا موجب احصان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بدون این‌که محمّد بن مسلم سؤال کند، آن حضرت اضافه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وجود کنیز قبل از زنا، موجب تحقّق احصان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اختصاری که دارد، مهم‌تر از روایت قبل است؛ زیرا، امام علیه السلام بدون سؤال مطلب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می‌شود که آن حضرت عنایت کامل به این مسأله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دسته روایت داریم؛ یک دسته با صراحت یا اطلاق، دلالت داشت که وجود کنیز موجب احصان است؛ و دسته‌ی دیگر، وجود او را موجب احصان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تعارض چیست؟ وجوهی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تقیّه‌ای و در موافقت با ابو حنیفه</w:t>
      </w:r>
      <w:r>
        <w:rPr>
          <w:rStyle w:val="FootnoteAnchor"/>
          <w:rtl w:val="true"/>
        </w:rPr>
        <w:footnoteReference w:id="268"/>
      </w:r>
      <w:r>
        <w:rPr>
          <w:rFonts w:ascii="IRNazanin" w:hAnsi="IRNazanin" w:eastAsia="IRNazanin"/>
          <w:color w:val="111111"/>
          <w:sz w:val="28"/>
          <w:sz w:val="28"/>
          <w:szCs w:val="28"/>
          <w:rtl w:val="true"/>
          <w:lang w:bidi="fa-IR"/>
        </w:rPr>
        <w:t>صادر شده است، لیکن روایاتی که مستند قول مشهور است، در مقام بیان حکم واقعی می‌باشد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مرحوم صاحب جواهر از شیخ طوسی رحمه الله</w:t>
      </w:r>
      <w:r>
        <w:rPr>
          <w:rStyle w:val="FootnoteAnchor"/>
          <w:rtl w:val="true"/>
        </w:rPr>
        <w:footnoteReference w:id="270"/>
      </w:r>
      <w:r>
        <w:rPr>
          <w:rFonts w:ascii="IRNazanin" w:hAnsi="IRNazanin" w:eastAsia="IRNazanin"/>
          <w:color w:val="111111"/>
          <w:sz w:val="28"/>
          <w:sz w:val="28"/>
          <w:szCs w:val="28"/>
          <w:rtl w:val="true"/>
          <w:lang w:bidi="fa-IR"/>
        </w:rPr>
        <w:t>نقل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روایاتی که در آن از کنیز سخن رفته، ملک یمین نبوده و بلکه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ذکر یهودیه و نصرانیه در روایت است؛ زیرا، نکاح دائم با زنان یهودی و نصرانی به‌نظر مشهور،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جمع خلاف ظاهر است، ولی چاره‌ای نیست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وجود کنیز موجب احصان است، با روایات دالّ بر عدم احصان تعارض و تساقط کرده، کنار گذاشته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عموماتی رجوع کرد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عنده ما یغنیه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فرج یغدو علیه ویروح فهو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عمومات و اطلاقات طرف معارضه واقع نمی‌شود؛ زیرا، آن دو دسته روایت قابلیّت دارند که این عمومات و اطلاقات را تخصیص یا تقیید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بعضی از متأخّرین گفته‌اند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به این وجوه جمع احتیاج نیست؛ بلکه باید مبنای حلّ تعارضِ</w:t>
      </w:r>
    </w:p>
    <w:p>
      <w:pPr>
        <w:pStyle w:val="BookText"/>
        <w:rPr/>
      </w:pPr>
      <w:r>
        <w:rPr>
          <w:rFonts w:ascii="IRNazanin" w:hAnsi="IRNazanin" w:eastAsia="IRNazanin"/>
          <w:color w:val="111111"/>
          <w:sz w:val="28"/>
          <w:sz w:val="28"/>
          <w:szCs w:val="28"/>
          <w:rtl w:val="true"/>
          <w:lang w:bidi="fa-IR"/>
        </w:rPr>
        <w:t>اخبارِ متعارض را از روایات علاجیّه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مانند مقبوله‌ی عمر بن حنظله، یا مشهوره‌ی ابی خدیجه و امثال آن‌که در مقام علاج تعارض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اولین چیزی را که به عنوان مرجّح و نه حجّت مستقل بیان می‌کند، شهرت فتوائیه است؛ یعنی اگر یکی از دو خبر متعارض موافق با شهرت فتوائیه بود، ترجیح بر روایتی دارد که مخالف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اختیار این مبنا، نوبت به حمل بر تقیّه یا متعه نمی‌رسد؛ زیرا، حمل و جمع دلالی در جایی است که به‌نظر عرف، بین روایات معارضه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دسته از روایات رسماً نفی، و دسته‌ی دیگر رسماً اثبات کند، جای جمع دلالی نیست؛ بین آن‌ها معارضه‌ی ابتدایی نیست، بلکه کمال معارضه است؛ و بنابراین، باید اخبار علاجیه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 وجوه را گفته‌اند، تعارض را قبول دارند، لیکن یک دسته به تقیّه و گروهی به تساقط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مسائل را قبول داریم، لیکن در درجات و مراتب بعدی نوبت به آن‌ها می‌رسد؛ و اولین راه‌حل، مسأله‌ی شهرت در فتوا است؛ و روایاتی که داشتن کنیز را موجب احصان می‌داند، موافق با فتوای مشهور است؛ از این‌رو، آن‌ها را مقدّم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نیز وجود دارد که سبب ضعف آن دسته روایت و تقویت روایات موافق با فتوای مشهور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صحیحه‌ی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نهم باب دوم حدّ الزنا،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یکی از شرایط احصان این است که زنا با زن حرّ غیریهودی و نصرانی باشد، و تصریح می‌کند اگر شخصی با داشتن زوجه‌ی حرّ یا کنیز یا یهودی یا نصرانی زنا کند، محصن نیست؛ هیچ‌یک از فقها به این مطلب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روایاتی برخلاف آن نیز هست که به یکی از آن‌ها اشاره می‌کنیم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أحمد بن محمّد بن عیسی، عن محمّد بن عیسی، عن عبداللّه بن المغیرة، عن إسماعیل بن أبی زیاد، عن جعفر بن محمّد، عن آبائه علیهم السلام إنّ محمّد بن أبی بکر کتب إلی علیّ علیه السلام فی الرجل زنی بالمرأة الیهودیة</w:t>
      </w:r>
    </w:p>
    <w:p>
      <w:pPr>
        <w:pStyle w:val="BookText"/>
        <w:rPr/>
      </w:pPr>
      <w:r>
        <w:rPr>
          <w:rFonts w:ascii="IRNazanin" w:hAnsi="IRNazanin" w:eastAsia="IRNazanin"/>
          <w:color w:val="111111"/>
          <w:sz w:val="28"/>
          <w:sz w:val="28"/>
          <w:szCs w:val="28"/>
          <w:rtl w:val="true"/>
          <w:lang w:bidi="fa-IR"/>
        </w:rPr>
        <w:t>والنصرانیة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محصناً فارجمه، وإن کان بکراً فاجلده مأة جلدة ثمّ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الیهودیة فابعث بها إلی أهل ملّتها فلیقضوا فیها ما أحبّوا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به امیرمؤمنان علیه السلام نامه نوشت و از مردی که با زن یهودی و نصرانی زنا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زن دارد و با او وطی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رجم کن؛ و اگر این مرد بکر است و زن در اختیارش نیست، او را صد تازیانه زده و سپس او را تبعید کن؛ آن زن یهودی را نیز نزد هم‌کیشانش بفرست، هر حکمی خواستند درباره‌اش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نقطه‌ی ضعف در این دسته از روایات، با اطمینان بیشتری به روایاتی که مشهور به آن فتوا داده‌اند، اخذ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کنیز سبب تحقّق احصان است؛ همان‌گونه که با زن متعه‌ای به‌واسطه‌ی روایت اسحاق بن عمّار، زنا محصنه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کنیزش را به کسی تحلیل کند، آن شخص نیز با او وطی کرده و پس از آن، مرتکب زنا شود، آیا با وجود کنیز محلّله، احصان محقّق می‌شود؟</w:t>
      </w:r>
    </w:p>
    <w:p>
      <w:pPr>
        <w:pStyle w:val="BookText"/>
        <w:rPr/>
      </w:pPr>
      <w:r>
        <w:rPr>
          <w:rFonts w:ascii="IRNazanin" w:hAnsi="IRNazanin" w:eastAsia="IRNazanin"/>
          <w:color w:val="111111"/>
          <w:sz w:val="28"/>
          <w:sz w:val="28"/>
          <w:szCs w:val="28"/>
          <w:rtl w:val="true"/>
          <w:lang w:bidi="fa-IR"/>
        </w:rPr>
        <w:t xml:space="preserve">آن‌چه در روایت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علی الشیء الدائم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تحقّق احصان می‌شود؛ یعنی در حقیقت همان‌گونه که دو نوع نکاح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دائم و نکاح موقّت، در باب کنیز نیز این‌چنین است که یک بار به‌طور دائمی حلال است و یک بار دیگر هم به‌طور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حلّیت و نکاح دائمی باشد، احصان هست؛ وگرنه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فرض خارج شد، یکی تحلیل و دیگری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متعه روایت دیگری نیز وجود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عبدالرّحمن بن حمّاد،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أخبرنی عن الغایب عن أهله یزنی، هل یرجم إذا کان له زوجة وهو غائب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الغائب عن أهله ولا المملّک الذی لم یبن بأهله ولا صاحب</w:t>
      </w:r>
    </w:p>
    <w:p>
      <w:pPr>
        <w:pStyle w:val="BookText"/>
        <w:rPr/>
      </w:pP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حدّ سفره لا یکون محصناً؟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وأفطر فلیس بمحصن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 روایت در شرط پنجم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که همسرش با او نیست، در سفر زنا کند، آیا رجم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ملاک غیبت در آینده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اهل خود غایب است، رجم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قاعده‌ی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مولایی که به او کنیزی تملیک شده باشد، خواه به عوض یا مجانی، و با او وطی نکرده باشد و کسی که زن متعه‌ای داشته باشد، بر آنان رجمی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المملّک الذی لم یبن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مملّک کسی است که از راهی به او کنیزی تملیک شده باشد؛ خواه این تملیک در برابر عوضی باشد یا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اهل الزوج زوجه‌ی اوست و اهل مولا، امه و کنیز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تناسب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مولا که همان امه‌ی مملّکه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یبنِ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اهلش بنا نگذاشته باشد؛ و کنایه از مجامعت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ملاک سفری را که اگر مرد از همسرش غایب باشد زنای او محصنه نخواهد بود، سفر شرعی گفته است که نماز انسان شکسته و روزه‌اش افطار می‌شود؛ لیکن این جهت مورد فتوا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نقطه‌ی ضعفی برای روایت است؛ لیکن به صراحت، نسبت به متعه حکم را بیان کرده است که اگر وطی قَبلی با زن متعه‌ای باشد، رجمی در کار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أبیه، عن ابن أبی عمیر، عن هشام وحفص البختری، عمّن ذکره، عن أبی عبداللّه علیه السلام فی رجل یتزوّج المتعة أتحصنه؟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علی الشیء الدائم عنده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است؛ زیرا، نمی‌دانیم هشام و حفص از چه کسی از امام صادق علیه السلام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درباره‌ی مردی است که زن متعه‌ای دارد، آیا سبب احصان برای شوهر می‌شود یا 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بر چیزی است که در اختیارش به‌طور دائم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روشن شد آن‌چه را امام بزرگوار قدس سره به‌عنوان شرط چهارم فرمودند، تمام است و نقطه‌ی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تعبیر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کردن کنیز محلّله باشد</w:t>
      </w:r>
      <w:r>
        <w:rPr>
          <w:rFonts w:eastAsia="IRNazanin" w:cs="IRNazanin"/>
          <w:color w:val="111111"/>
          <w:sz w:val="28"/>
          <w:szCs w:val="28"/>
          <w:rtl w:val="true"/>
          <w:lang w:bidi="fa-IR"/>
        </w:rPr>
        <w:t>.</w:t>
      </w:r>
      <w:bookmarkStart w:id="251" w:name="pg16919_226934"/>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إعتبار تمکّن الفاعل من الوط‌ء فی أیّ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متمکّناً من وط‌ء الفرج یغدو علیه ویروح إذا شاء، فلو کان بعیداً وغائباً لا یتمکّن من وطئها فهو غیر محصن، وکذا لو کان حاضراً لکن غیر قادر لمانع من حبسه أو حبس زوجته أو کونها مریضة لا یمکن له وطؤها أو منعه ظالم عن الاجتماع بها لیس محصناً</w:t>
      </w:r>
      <w:r>
        <w:rPr>
          <w:rFonts w:eastAsia="IRNazanin" w:cs="IRNazanin"/>
          <w:color w:val="111111"/>
          <w:sz w:val="28"/>
          <w:szCs w:val="28"/>
          <w:rtl w:val="true"/>
          <w:lang w:bidi="fa-IR"/>
        </w:rPr>
        <w:t>.</w:t>
      </w:r>
    </w:p>
    <w:p>
      <w:pPr>
        <w:pStyle w:val="Heading6"/>
        <w:numPr>
          <w:ilvl w:val="5"/>
          <w:numId w:val="1"/>
        </w:numPr>
        <w:rPr/>
      </w:pPr>
      <w:bookmarkStart w:id="252" w:name="__RefHeading___Toc78774_3244359995"/>
      <w:bookmarkStart w:id="253" w:name="_Toc95"/>
      <w:bookmarkEnd w:id="252"/>
      <w:r>
        <w:rPr>
          <w:rtl w:val="true"/>
        </w:rPr>
        <w:t>شرط پنجم</w:t>
      </w:r>
      <w:r>
        <w:rPr>
          <w:rtl w:val="true"/>
        </w:rPr>
        <w:t xml:space="preserve">: </w:t>
      </w:r>
      <w:r>
        <w:rPr>
          <w:rtl w:val="true"/>
        </w:rPr>
        <w:t>اعتبار تمکّن فاعل از وطی به اهل در هر زمان</w:t>
      </w:r>
      <w:bookmarkEnd w:id="253"/>
    </w:p>
    <w:p>
      <w:pPr>
        <w:pStyle w:val="BookText"/>
        <w:rPr/>
      </w:pPr>
      <w:r>
        <w:rPr>
          <w:rFonts w:ascii="IRNazanin" w:hAnsi="IRNazanin" w:eastAsia="IRNazanin"/>
          <w:color w:val="111111"/>
          <w:sz w:val="28"/>
          <w:sz w:val="28"/>
          <w:szCs w:val="28"/>
          <w:rtl w:val="true"/>
          <w:lang w:bidi="fa-IR"/>
        </w:rPr>
        <w:t>مرحوم امام در شرط پنجم احصان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داشتن زن کفایت نمی‌کند، بلکه شوهر باید در صبح و شام و هر وقتی که بخواهد متمکّن از وطی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شوهر مسافرت رفته باشد و از زوجه‌ی خود دور شود، و در آن‌جا زنا کند، زنای او محصنه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شوهر در شهر باشد لیکن قدرت بر وطی همسرش را نداشته باشد، خواه به‌جهت این‌که مرد یا زن زندانی هستند، یا زن مریض است و با وجود آن کسالت، وطی ممکن نیست، و یا ظالمی مرد را از هم‌بستری با زوجه‌اش منع، و تهدید کرده باشد اگر مجامعتی واقع شود، فلان ضرر را به تو می‌زنم؛ در تمام این موارد، زنا محصنه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شرط چیست؟ به قسمتی از روایات آن اشاره شد، امّا دقّت دوباره در آن‌ها لازم است؛ زیرا، عناوین مختلفی دارد</w:t>
      </w:r>
      <w:r>
        <w:rPr>
          <w:rFonts w:eastAsia="IRNazanin" w:cs="IRNazanin"/>
          <w:color w:val="111111"/>
          <w:sz w:val="28"/>
          <w:szCs w:val="28"/>
          <w:rtl w:val="true"/>
          <w:lang w:bidi="fa-IR"/>
        </w:rPr>
        <w:t>.</w:t>
      </w:r>
    </w:p>
    <w:p>
      <w:pPr>
        <w:pStyle w:val="Heading6"/>
        <w:numPr>
          <w:ilvl w:val="5"/>
          <w:numId w:val="1"/>
        </w:numPr>
        <w:rPr/>
      </w:pPr>
      <w:bookmarkStart w:id="254" w:name="__RefHeading___Toc78776_3244359995"/>
      <w:bookmarkStart w:id="255" w:name="_Toc96"/>
      <w:bookmarkEnd w:id="254"/>
      <w:r>
        <w:rPr>
          <w:rtl w:val="true"/>
        </w:rPr>
        <w:t>عنوان اوّل</w:t>
      </w:r>
      <w:r>
        <w:rPr>
          <w:rtl w:val="true"/>
        </w:rPr>
        <w:t>: «</w:t>
      </w:r>
      <w:r>
        <w:rPr>
          <w:rtl w:val="true"/>
        </w:rPr>
        <w:t>یغدو علیه ویروح</w:t>
      </w:r>
      <w:r>
        <w:rPr>
          <w:rtl w:val="true"/>
        </w:rPr>
        <w:t>»</w:t>
      </w:r>
      <w:bookmarkEnd w:id="25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أبی علیّ الأشعری، عن محمّد بن عبد الجبّار، عن صفوان، عن ابن سنان یعنی عبداللّه، عن إسماعیل بن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از امام باقر علیه السلام سؤال می‌شود محصن کیست و حدّ رجم برای مرد در چه صورتی جاری می‌شود؟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مالک فرجی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دلالت بر ملکیّت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اوّل نهار است که ما آن را صبح می‌نامیم؛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علیه ویروح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صبح و شب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سه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ویروح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برای این دو زمان، خصوصیّتی هست؟ یا این تعبیر، کنایه از تمام وقت است؟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کتاب صبح و شب در اختیارم هست، آیا بدین معناست که عصر یا قبل از ظهر در اختیارم نیست؟ این یک تعبیر عرفی بوده، و کنایه از تمام وقت است؛ لذا، فقها این دو کلمه را کنار گذاشته و به‌جای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ویروح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نهفته است؛ یعنی باید صبح و شب با او سر و کار داشته باشد؛ لذا، اگر روز یا شبی بر او گذشت و تمایل نداشت، بگوییم این معنا صادق نیست؛ و یا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یتمکّن منه غدوّاً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عرف، معنای اخیر مراد است؛ یعنی، متمکّن از وطی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از خارج می‌دانیم کمتر کسی است که هم صبح و هم شب، با این عمل سر 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شرایط احصان، فعلیّت در صبح و شام باشد، شاید زنای محصنه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تحقّق الإحصان التمکّن من الفرج المملوک له لیلاً ونهاراً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تمکّن چیست؟ آیا کسی که صبح به بازار رفته و مشغول کسب و کار می‌شود، می‌تواند ادّعا کند مغازه‌ام باز است، پس من متمکّن نیستم؛ یا محصلّی که در درس شرکت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درسی‌ام متمکّن نیستم؛ پس عنوان محصن بر ما صادق نیست و یا این‌که مسأله‌ی تمکّن، یک مسأله‌ی عرفی است همین مقدار که با اتمام درس و یا کار، با پیمودن مسافت مختصری بتواند به آن برسد، تمکّن صادق است؟ به‌نظر، مسأله عرفی است؛ وگرنه کسی را سراغ نداریم که به دقّت عقلی در هر لحظه متمکّن باشد</w:t>
      </w:r>
      <w:r>
        <w:rPr>
          <w:rFonts w:eastAsia="IRNazanin" w:cs="IRNazanin"/>
          <w:color w:val="111111"/>
          <w:sz w:val="28"/>
          <w:szCs w:val="28"/>
          <w:rtl w:val="true"/>
          <w:lang w:bidi="fa-IR"/>
        </w:rPr>
        <w:t>.</w:t>
      </w:r>
      <w:bookmarkStart w:id="256" w:name="pg16919_226936"/>
    </w:p>
    <w:p>
      <w:pPr>
        <w:pStyle w:val="Heading6"/>
        <w:numPr>
          <w:ilvl w:val="5"/>
          <w:numId w:val="1"/>
        </w:numPr>
        <w:rPr/>
      </w:pPr>
      <w:bookmarkStart w:id="257" w:name="__RefHeading___Toc78778_3244359995"/>
      <w:bookmarkStart w:id="258" w:name="_Toc97"/>
      <w:bookmarkEnd w:id="256"/>
      <w:bookmarkEnd w:id="257"/>
      <w:r>
        <w:rPr>
          <w:rtl w:val="true"/>
        </w:rPr>
        <w:t>عنوان دوم</w:t>
      </w:r>
      <w:r>
        <w:rPr>
          <w:rtl w:val="true"/>
        </w:rPr>
        <w:t>: «</w:t>
      </w:r>
      <w:r>
        <w:rPr>
          <w:rtl w:val="true"/>
        </w:rPr>
        <w:t>عنده ما یغنیه من الزنا</w:t>
      </w:r>
      <w:r>
        <w:rPr>
          <w:rtl w:val="true"/>
        </w:rPr>
        <w:t>»</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إذا هو زنی وعنده السریّة والأمة یطأها، تحصنه الأمة وتکون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ذلک لأنّ عنده ما یغنیه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عنده أمة زعم أنّه لا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عنده امرأة متعة أتحصنه؟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علی الشیء الدائم عنده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 أیّوب الخزّاز،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محصناً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عنده امرأة یغلق علیها بابه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روایت‌ها،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احصان صدق نمی‌کند، مگر این‌که زنی داشته باشد و شرعاً مجاز به بستن درب خانه و خلوت کردن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ما یغنیه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امرأة یغلق علیها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آیا این تعبیر، بر مطلب اضافی دلالت دارد و یا این‌که یک معنای عرفی دارد؛ یعنی، متمکّن از او باشد، نه این‌که در راه و بازار همراه همسرش باشد؟</w:t>
      </w:r>
    </w:p>
    <w:p>
      <w:pPr>
        <w:pStyle w:val="BookText"/>
        <w:rPr/>
      </w:pPr>
      <w:r>
        <w:rPr>
          <w:rFonts w:ascii="IRNazanin" w:hAnsi="IRNazanin" w:eastAsia="IRNazanin"/>
          <w:color w:val="111111"/>
          <w:sz w:val="28"/>
          <w:sz w:val="28"/>
          <w:szCs w:val="28"/>
          <w:rtl w:val="true"/>
          <w:lang w:bidi="fa-IR"/>
        </w:rPr>
        <w:t>این‌که شخص بگوید من در راه هستم، و همسرم در منزل است؛ پس، نزد من نیست، برخلاف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المتمکّن من الوطی متی شاء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Heading6"/>
        <w:numPr>
          <w:ilvl w:val="5"/>
          <w:numId w:val="1"/>
        </w:numPr>
        <w:rPr/>
      </w:pPr>
      <w:bookmarkStart w:id="259" w:name="__RefHeading___Toc78780_3244359995"/>
      <w:bookmarkStart w:id="260" w:name="_Toc98"/>
      <w:bookmarkEnd w:id="259"/>
      <w:r>
        <w:rPr>
          <w:rtl w:val="true"/>
        </w:rPr>
        <w:t>عنوان سوم</w:t>
      </w:r>
      <w:r>
        <w:rPr>
          <w:rtl w:val="true"/>
        </w:rPr>
        <w:t xml:space="preserve">: </w:t>
      </w:r>
      <w:r>
        <w:rPr>
          <w:rtl w:val="true"/>
        </w:rPr>
        <w:t>معیّت</w:t>
      </w:r>
      <w:bookmarkEnd w:id="260"/>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المغیب والمغیبة لیس علیهما رجم إلّاأن یکون الرجل مع المرأة، والمرأة مع الرجل</w:t>
      </w:r>
      <w:r>
        <w:rPr>
          <w:rFonts w:eastAsia="IRNazanin" w:cs="IRNazanin"/>
          <w:color w:val="111111"/>
          <w:sz w:val="28"/>
          <w:szCs w:val="28"/>
          <w:rtl w:val="true"/>
          <w:lang w:bidi="fa-IR"/>
        </w:rPr>
        <w:t>.</w:t>
      </w:r>
      <w:r>
        <w:rPr>
          <w:rStyle w:val="FootnoteAnchor"/>
          <w:rtl w:val="true"/>
        </w:rPr>
        <w:footnoteReference w:id="278"/>
      </w:r>
      <w:bookmarkStart w:id="261" w:name="pg16919_226937"/>
    </w:p>
    <w:p>
      <w:pPr>
        <w:pStyle w:val="BookText"/>
        <w:rPr/>
      </w:pPr>
      <w:bookmarkEnd w:id="261"/>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مردّد بین صحیحه و حسنه است؛ زیرا، در سند ابراهیم بن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غایب، زنا کنند، رجم نمی‌شوند؛ مگر این‌که زن همراه زوجش، و شوهر با زنش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قرار گرفته است؛ امّا معنای عرفی‌اش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داخل شهر و یا نزدیکی‌های آن به هرکجا که می‌رود، زوجه‌اش نیز همراهش باشد؛ بلکه معنای آن این است که زنش در اختیارش باشد و تمکّن از مجامعت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روایت‌های گذشته و عناوین سابق،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از این روایت می‌فهمیم، آن است که اگر زن همراه مرد باشد، مستثنای از مغیب و مغیبه‌ای است که رجم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عرف مراجعه می‌کنیم، عرف می‌فهمد غیبت موضوعیّت ندارد، بلکه ملاک معیّت است، وجوداً و عدماً؛ یعنی اگر زن همراه مرد باشد، احصان محقّق می‌شود؛ و اگر در اختیارش نباشد، احصان منتفی است</w:t>
      </w:r>
      <w:r>
        <w:rPr>
          <w:rFonts w:eastAsia="IRNazanin" w:cs="IRNazanin"/>
          <w:color w:val="111111"/>
          <w:sz w:val="28"/>
          <w:szCs w:val="28"/>
          <w:rtl w:val="true"/>
          <w:lang w:bidi="fa-IR"/>
        </w:rPr>
        <w:t>.</w:t>
      </w:r>
    </w:p>
    <w:p>
      <w:pPr>
        <w:pStyle w:val="Heading6"/>
        <w:numPr>
          <w:ilvl w:val="5"/>
          <w:numId w:val="1"/>
        </w:numPr>
        <w:rPr/>
      </w:pPr>
      <w:bookmarkStart w:id="262" w:name="__RefHeading___Toc78782_3244359995"/>
      <w:bookmarkStart w:id="263" w:name="_Toc99"/>
      <w:bookmarkEnd w:id="262"/>
      <w:r>
        <w:rPr>
          <w:rtl w:val="true"/>
        </w:rPr>
        <w:t>عنوان چهارم</w:t>
      </w:r>
      <w:r>
        <w:rPr>
          <w:rtl w:val="true"/>
        </w:rPr>
        <w:t xml:space="preserve">: </w:t>
      </w:r>
      <w:r>
        <w:rPr>
          <w:rtl w:val="true"/>
        </w:rPr>
        <w:t>اقامت در یک محل</w:t>
      </w:r>
      <w:bookmarkEnd w:id="263"/>
    </w:p>
    <w:p>
      <w:pPr>
        <w:pStyle w:val="BookText"/>
        <w:rPr/>
      </w:pPr>
      <w:r>
        <w:rPr>
          <w:rFonts w:ascii="IRNazanin" w:hAnsi="IRNazanin" w:eastAsia="IRNazanin"/>
          <w:color w:val="111111"/>
          <w:sz w:val="28"/>
          <w:sz w:val="28"/>
          <w:szCs w:val="28"/>
          <w:rtl w:val="true"/>
          <w:lang w:bidi="fa-IR"/>
        </w:rPr>
        <w:t>دو روایت این عنوان را دارد، و هر دو مفصّل است؛ لیکن ما به قسمتی که مورد نیاز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محبوب، عن علیّ بن أبی حمزة، عن أبی بصیر، عن عمران بن میثم، أو صالح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مجحّ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طهّرک اللّه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 فعلت ما فعلت، أم غیر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أفحاضراً کان بعلک إذ فعلت ما فعلت، أم غائباً کان عنک؟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مفصَّل، زنی خدمت امیرمؤمنان علیه السلام رسیده، از آن حضرت</w:t>
      </w:r>
    </w:p>
    <w:p>
      <w:pPr>
        <w:pStyle w:val="BookText"/>
        <w:rPr/>
      </w:pPr>
      <w:r>
        <w:rPr>
          <w:rFonts w:ascii="IRNazanin" w:hAnsi="IRNazanin" w:eastAsia="IRNazanin"/>
          <w:color w:val="111111"/>
          <w:sz w:val="28"/>
          <w:sz w:val="28"/>
          <w:szCs w:val="28"/>
          <w:rtl w:val="true"/>
          <w:lang w:bidi="fa-IR"/>
        </w:rPr>
        <w:t>می‌خواهد که او را از گناه زنا پاک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سؤالاتی پرسیدند که یکی از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زنا دادی، شوهردار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این عمل ناشایست را انجام دادی، آیا شوهر تو حاضر بود یا به مسافرت رفته، و در حقیقت به شوهر دسترسی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 من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مسائل بعدی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زن در شرایط احصان فرقی نیست؛ اگر شوهری غایب شود به‌گونه‌ای که زن تمکّن از او نداشته باشد و او نیز متمکّن از زوجه‌اش نباشد، هرکدام که زنا کنند، زنای محصنه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أحمد بن محمّد بن خالد، رفعه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فمقیمة معک فی البلد؟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همانند حدیث قبل است؛ با این تفاوت که زانی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همسرت در همین شهر با تو اقامت دارد؛ و به او دسترسی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ظاهر این دو روایت جمود شود، برای غیبت و حضور موضوعیّت قائل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أفحاضراً أم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فمقیمة معک فی البلد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 غیبت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صحیح محمّد بن مسلم که در مورد مغیب و مغیبه رسیده بود و در استثنا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الرجل مع المرأة والمرأة مع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ما استفاده کردیم نفس حضور و غیاب هیچ موضوعیّتی ندارد، و معیّت ملاک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ما یغنیه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 من الفرج غدوّاً ورواحاً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مختلفی هستند، امّا همه، بیانگر یک معنای واحد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به قرینه‌ی این دسته از روایات، استفاده می‌کنیم که حضور و غیاب نقشی ندارند، بلکه نوعاً حضور، وسیله‌ی تمکّن، و غیبت، عدم تمکّن و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نیز به بیان مصداق غالبی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بن عیسی، عن ابن محبوب، عن ربیع الأصمّ،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له امرأة بالعراق فأصاب فجوراً وهو فی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 الزانی مأة جلدة، ولا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معها فی بلدة واحدة وهو محبوس فی سجن لا یقدر أن یخرج إلیها ولا تدخل هی علیه، أرأیت إن زنی فی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الغائب عنه أهله یجلد مأة جلدة</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امام صادق علیه السلام در مورد حکم مردی که همسرش در عراق بوده و او در حجاز مرتکب زنا شد،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تازیانه به‌عنوان حدّ زانی زده می‌شود؛ ولی سنگسار نمی‌شود؛ زیرا، احصان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همسرش در همان شهری باشد که در آن‌جا محبوس است، نه مرد قدرت دارد با زنش تماس بگیرد و نه زن قدرت دارد وارد زندان شده با مرد ارتباط پیدا کند، حال اگر این مرد در زندان زنا کند،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منزله‌ی کسی است که اهلش از او غایب باشد؛ بنابراین، صد تازیانه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از دو روایت قبلی بهتر است؛ زیرا، محبوس در همان شهر را ذکر کرده است؛ پس، معلوم می‌شود غیبت و حضور نقشی ندارد؛ تمام مِلاک، تمکّن از استمتاع و عدم آن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ابن محبوب، عن أبی أیّوب،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فی الرجل الذی له امرأة بالبصرة ففجر بالکوفة، أیدرأ عنه الرجم ویضرب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فی رجل محبوس فی السجن وله امرأة حرّة فی بیته فی المصر وهو لا یصل إلیها فزنی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ویدرء عنه الرجم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راوی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مورد مردی که همسرش در بصره بود و او در کوفه زنا کرد، رجم را کنار گذاشته، و به او صد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مردی که زندانی بود و در همان شهر، زن حرّی در خانه داشت لیکن مرد از دسترسی به او محروم بود و در زندان زنا کرد، حکم به تازیانه و سقوط رجم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استفاده شد با آن‌که روایات تعابیر و عناوین مختلفی داشت، لیکن به حسب ظاهر، از نظر متفاهم عرفی اشکالی در این معنا نیست که ملاک، همان تمکّن از فرج و دسترسی به زن در هر زمان که بخواهد، است؛ مقصود از تمکّن نیز تمکّن عرفی است، نه تمکّن در هر لحظه و تمکّن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دو روایت است که تکیه بر حضور و غیبت کرده و ملاکِ غیبت را سفر شرعی قرار داده است؛ لذا، اگر کسی در ابتدای چهار فرسخی زنا کند، زنای او محصنه نیست و اگر مسافت، کمتر از آن بود، متّصف به احصان است؛ باید این مشکل را حل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یحیی، عن محمّد بن الحسین،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فی السفر الذی إن زنی لم یرجم إن کان محصناً؟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فأفطر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مرفوعه و مضمره است؛ یعنی نمی‌گوید کدام امام این مطلب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اشکال مهمّ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مرفوعه بودن و دیگر، مضمره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معلوم نیست امام این حکم را فرموده یا غیر امام، پس، این روایت حجّیتی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درباره‌ی حدّ سفری است که مرد با وجود بقیّه‌ی شرایطِ احصان،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حدّ سفری که مانع تحقّق رجم است، چیست؟ در جواب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قصّر فأفطر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نماز را شکسته خوانده، و روزه را افطار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سفر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این روایت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عبدالرّحمن بن حمّاد،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أخبرنی عن الغائب عن أهله یزنی هل یرجم إذا کان له زوجة وهو غائب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الغائب عن أهله ولا المملّک الذی لم یبن بأهله ولا صاحب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حدّ سفره لا یکون محصناً؟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وأفطر فلیس بمحصن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علی بن ابراهیم بحثی نیست؛ امّا نسبت به پدرش برخی قائل به توثیق او هستند و گروهی او را ممدوح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کتاب مسالک درباره‌ی عبدالرّحمان بن حمّاد،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توثیق ندارد؛ بلکه مجهول الحال است؛ بنابراین، روایات او معتبر نیست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کلام شهید ثانی رحمه الله قابل تأمّل است؛ زیرا، دو نوع توثیق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توثیقات خاصّ است، که نام راوی در کتاب‌های رجالی آمده، و متخصّصان و اهل خبره به وثاقت او شهادت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موثّقین بالخصوص نام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راویانی هستند که بالخصوص توثیق نشده‌اند، ولی مشمول یک توثیق عامّ هستند؛ یعنی تحت یک عنوان و ضابطه‌ی کلّی توثیق شده‌اند که بر تک‌تک این افراد قابل انطباق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توثیقات عامّ، توثیق روات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استاد شیخ مفید رحمه الله کتابی در زیارات به‌نام کامل الزیارات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آن به‌صورت ضابطه‌ی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در این کتاب آورده‌ام، روایاتی است که ثقات اصحاب ما نقل کرده‌اند؛ یعنی روایات غیرثقات اصحاب را نیاورده‌ام</w:t>
      </w:r>
      <w:r>
        <w:rPr>
          <w:rFonts w:eastAsia="IRNazanin" w:cs="IRNazanin"/>
          <w:color w:val="111111"/>
          <w:sz w:val="28"/>
          <w:szCs w:val="28"/>
          <w:rtl w:val="true"/>
          <w:lang w:bidi="fa-IR"/>
        </w:rPr>
        <w:t>.</w:t>
      </w:r>
      <w:bookmarkStart w:id="264" w:name="pg16919_226942"/>
    </w:p>
    <w:p>
      <w:pPr>
        <w:pStyle w:val="BookText"/>
        <w:rPr/>
      </w:pPr>
      <w:bookmarkEnd w:id="264"/>
      <w:r>
        <w:rPr>
          <w:rFonts w:ascii="IRNazanin" w:hAnsi="IRNazanin" w:eastAsia="IRNazanin"/>
          <w:color w:val="111111"/>
          <w:sz w:val="28"/>
          <w:sz w:val="28"/>
          <w:szCs w:val="28"/>
          <w:rtl w:val="true"/>
          <w:lang w:bidi="fa-IR"/>
        </w:rPr>
        <w:t>این کلام ابن قولویه رحمه الله شهادت بر توثیق تمام راویان کتاب کامل الزیارات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بین‌اللّه، روایاتی آورده‌ام که ثقات اصحاب ما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توثیق عمومی ابن قولویه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توثیقات به توثیق تک‌تک روات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از افرادی که توثیق عامّ ابن قولویه شامل حال او می‌شود، عبدالرّحمان بن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برخی از روایات کامل الزیارات از عبدالرّحمان بن حمّاد کوفی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فضلا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الروات وترتیب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موثّقات بالخصوص وبالعموم را جمع‌آوری کرده و در توثیقات عامّ، نام عبدالرّحمان بن حمّاد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از نظر سندی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فردی که از اهلش غایب است و زنا می‌کند، از امام علیه السلام سؤال می‌کند آیا رجم می‌شود؟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از اهل و صاحب مملوکی که به او وطی نکرده و صاحب متعه رجم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سفر از عنوان محصن بودن خارج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 شرعی تحقّق پیدا کند، نماز شکسته و روزه افطار شود، دیگر محصن نیست</w:t>
      </w:r>
      <w:r>
        <w:rPr>
          <w:rFonts w:eastAsia="IRNazanin" w:cs="IRNazanin"/>
          <w:color w:val="111111"/>
          <w:sz w:val="28"/>
          <w:szCs w:val="28"/>
          <w:rtl w:val="true"/>
          <w:lang w:bidi="fa-IR"/>
        </w:rPr>
        <w:t>.</w:t>
      </w:r>
    </w:p>
    <w:p>
      <w:pPr>
        <w:pStyle w:val="Heading6"/>
        <w:numPr>
          <w:ilvl w:val="5"/>
          <w:numId w:val="1"/>
        </w:numPr>
        <w:rPr/>
      </w:pPr>
      <w:bookmarkStart w:id="265" w:name="__RefHeading___Toc78784_3244359995"/>
      <w:bookmarkStart w:id="266" w:name="_Toc100"/>
      <w:bookmarkEnd w:id="265"/>
      <w:r>
        <w:rPr>
          <w:rtl w:val="true"/>
        </w:rPr>
        <w:t>تعارض بین ادلّه</w:t>
      </w:r>
      <w:bookmarkEnd w:id="266"/>
    </w:p>
    <w:p>
      <w:pPr>
        <w:pStyle w:val="BookText"/>
        <w:rPr/>
      </w:pPr>
      <w:r>
        <w:rPr>
          <w:rFonts w:ascii="IRNazanin" w:hAnsi="IRNazanin" w:eastAsia="IRNazanin"/>
          <w:color w:val="111111"/>
          <w:sz w:val="28"/>
          <w:sz w:val="28"/>
          <w:szCs w:val="28"/>
          <w:rtl w:val="true"/>
          <w:lang w:bidi="fa-IR"/>
        </w:rPr>
        <w:t>بین این روایت و روایات گذشته تنافی است؛ زیرا، در این روایت، تمکّن از وطی در صبح و شام مطرح نشده است؛ آن‌چه نقش دارد، غیبت و سفر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چهار فرسخ راه رفته باشد، زنایش محصنه است؛ و اگر کمتر از این مسافت پیموده باشد، غیرمحصنه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احصان دائر مدار قصر و افطار شده است؛ فرقی نمی‌کند که سفرش کوتاه باشد یا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 شکسته شدن نماز در جایی که قصد برگشتن نداشتند، باید هشت فرسخ طی می‌کردند و این مسافت را در یک روز می‌رفتند؛ امّا در این زمان، همان مسافت را ظرف نیم ساعت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فرقی در قصر و افطار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اگر بخواهیم به ظاهر این دو روایت عمل کنیم، باید بگوییم کسی</w:t>
      </w:r>
    </w:p>
    <w:p>
      <w:pPr>
        <w:pStyle w:val="BookText"/>
        <w:rPr/>
      </w:pPr>
      <w:r>
        <w:rPr>
          <w:rFonts w:ascii="IRNazanin" w:hAnsi="IRNazanin" w:eastAsia="IRNazanin"/>
          <w:color w:val="111111"/>
          <w:sz w:val="28"/>
          <w:sz w:val="28"/>
          <w:szCs w:val="28"/>
          <w:rtl w:val="true"/>
          <w:lang w:bidi="fa-IR"/>
        </w:rPr>
        <w:t>که در مدّت نیم ساعت به هشت فرسخی می‌رود، اگر آن‌جا زنا کند محصن نیست؛ چه آن‌که متمکّن از بازگشت به منزل و وطی همسرش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ملاک احصان، روایات سابق باشد که در آن‌ها تمکّن از وطی زوجه ملاک بود، به اختلاف زمان‌ها و اشخاص فرق می‌کند؛ شخص پولداری که در مشهد است و همسرش در قم باشد، با تهیه‌ی بلیطی در ظرف چند ساعت می‌تواند خود را به وطنش برساند؛ هرچند در زمان گذشته این فرد غیرمتمکّن به‌حساب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علیه السلام مردی را که در کوفه زنا کرده است در حالی‌که همسرش در بصره بود، غیرمحصن دانست؛ امّا زمان ما این‌طور نیست، تمکّن نسبت به افراد متموّل و غیر او، سالم و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ظاهر این دو روایت جمود کنیم، باید مسأله‌ی غیبت و حضور، تعبّد محض باشد؛ زیرا، برای عقل مبهم است که چرا بین چهار فرسخ و کمتر از آن فرق است؟ امّا اگر ملاک، تمکّن باشد، اعتبار عقلایی و عقلی با آن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متمکّن از وطی با زوجه است، سرزنش می‌کنند چرا به عمل نامشروع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دخالت و فهم عقل است؛ به خلاف این‌که ملاک،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باب سفر و قصر و افطار، عقل نمی‌تواند بفهمد به چه ملاکی نماز در هشت فرسخی قصر می‌شود امّا در صد متر کمتر از آن تمام است؟ این‌جا نیز تعبّد است و ما باید با اعتقاد آن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یک دسته از روایات، دارای تعلیل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علّت آوردن این است که شنونده این علّت را می‌پذیرد؛ زیرا، با عقلش سازگار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 عنده ما یغنیه من الزّنا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می‌فهمد کسی که کنیز دارد، در اختیار او بی‌نیاز کننده‌ی از زنا موجود است؛ و با این حال، به طرف امر نامشروع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مقایسه بین دو دسته روایات، می‌بینیم یک دسته حاوی تعلیلی است که مطلب را روشن بیان کرده، و دسته‌ی دیگر چیزی می‌گوید که آن را می‌فهمیم؛ به‌خصوص با توجّه به این‌که در روایات گذشته، با صراحت ذکر شده بود که اگر زن و مرد در یک شهر باشند ولی یکی از آنان در زندان به‌سر برد به‌گونه‌ای که به همدیگر دسترسی ندارند، احصان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مطلب را با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 را حضر و سفر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تحقّق معارضه بین این دو دسته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ملاک را تمکّن دانسته</w:t>
      </w:r>
      <w:bookmarkStart w:id="267" w:name="pg16919_226944"/>
    </w:p>
    <w:p>
      <w:pPr>
        <w:pStyle w:val="BookText"/>
        <w:rPr/>
      </w:pPr>
      <w:bookmarkEnd w:id="267"/>
      <w:r>
        <w:rPr>
          <w:rFonts w:ascii="IRNazanin" w:hAnsi="IRNazanin" w:eastAsia="IRNazanin"/>
          <w:color w:val="111111"/>
          <w:sz w:val="28"/>
          <w:sz w:val="28"/>
          <w:szCs w:val="28"/>
          <w:rtl w:val="true"/>
          <w:lang w:bidi="fa-IR"/>
        </w:rPr>
        <w:t xml:space="preserve">و برای حضور و غیبت نقش قائل نیست، و دیگری ملاک را سفر و حضر قرار داده است، خواه تمکّن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مرجّحات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مرجّح شهرت فتوایی است، و روایات گذشته مطابق با فتوای مشهور است؛ به‌گونه‌ای که مرحوم محقّق رحمه الله</w:t>
      </w:r>
      <w:r>
        <w:rPr>
          <w:rStyle w:val="FootnoteAnchor"/>
          <w:rtl w:val="true"/>
        </w:rPr>
        <w:footnoteReference w:id="287"/>
      </w:r>
      <w:r>
        <w:rPr>
          <w:rFonts w:ascii="IRNazanin" w:hAnsi="IRNazanin" w:eastAsia="IRNazanin"/>
          <w:color w:val="111111"/>
          <w:sz w:val="28"/>
          <w:sz w:val="28"/>
          <w:szCs w:val="28"/>
          <w:rtl w:val="true"/>
          <w:lang w:bidi="fa-IR"/>
        </w:rPr>
        <w:t>از روایات دسته‌ی دوم به‌عنوان مهجوره تعبیر می‌کند؛ یعنی این دو روایت را کنار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در تحریر الوسیله و بیشتر کتاب‌های فقهی فرموده‌اند،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بین دو دسته روایت تعارض نیست؛ بلکه تعارض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تمام ملاک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له فرج یغدو علیه ویروح فهو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حدّ سفره لا یکون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حضور در مقابل سفر گفته است؛ هرچند سفر در سؤال راوی است، امّا امام علیه السلام آن‌چه که در ذهن او به‌عنوان ملاک بوده، حضور و غیبت تقریر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تمام ملاک غیبت و حضور شرعی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فرج یغدو علیه ویروح فهو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عنده ما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معارض است</w:t>
      </w:r>
      <w:r>
        <w:rPr>
          <w:rFonts w:eastAsia="IRNazanin" w:cs="IRNazanin"/>
          <w:color w:val="111111"/>
          <w:sz w:val="28"/>
          <w:szCs w:val="28"/>
          <w:rtl w:val="true"/>
          <w:lang w:bidi="fa-IR"/>
        </w:rPr>
        <w:t>.</w:t>
      </w:r>
    </w:p>
    <w:p>
      <w:pPr>
        <w:pStyle w:val="Heading6"/>
        <w:numPr>
          <w:ilvl w:val="5"/>
          <w:numId w:val="1"/>
        </w:numPr>
        <w:rPr/>
      </w:pPr>
      <w:bookmarkStart w:id="268" w:name="__RefHeading___Toc78786_3244359995"/>
      <w:bookmarkStart w:id="269" w:name="_Toc101"/>
      <w:bookmarkEnd w:id="268"/>
      <w:r>
        <w:rPr>
          <w:rtl w:val="true"/>
        </w:rPr>
        <w:t>مانع بودن حیض و نفاس از تحقّق احصان</w:t>
      </w:r>
      <w:bookmarkEnd w:id="269"/>
    </w:p>
    <w:p>
      <w:pPr>
        <w:pStyle w:val="BookText"/>
        <w:rPr/>
      </w:pPr>
      <w:r>
        <w:rPr>
          <w:rFonts w:ascii="IRNazanin" w:hAnsi="IRNazanin" w:eastAsia="IRNazanin"/>
          <w:color w:val="111111"/>
          <w:sz w:val="28"/>
          <w:sz w:val="28"/>
          <w:szCs w:val="28"/>
          <w:rtl w:val="true"/>
          <w:lang w:bidi="fa-IR"/>
        </w:rPr>
        <w:t>این مسأله مورد نیاز 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همه‌ی شرایط احصان را دارد، لیکن همسرش مبتلا به حیض بوده که ده روز طول می‌کشد، اگر در این ایّام زنا کند، آیا زنای او محصنه است؟ به‌عبارت دیگر، آیا عدم تمکّن از وطی در قُبُل مانع تحقّق احصان است؟</w:t>
      </w:r>
    </w:p>
    <w:p>
      <w:pPr>
        <w:pStyle w:val="BookText"/>
        <w:rPr/>
      </w:pPr>
      <w:r>
        <w:rPr>
          <w:rFonts w:ascii="IRNazanin" w:hAnsi="IRNazanin" w:eastAsia="IRNazanin"/>
          <w:color w:val="111111"/>
          <w:sz w:val="28"/>
          <w:sz w:val="28"/>
          <w:szCs w:val="28"/>
          <w:rtl w:val="true"/>
          <w:lang w:bidi="fa-IR"/>
        </w:rPr>
        <w:t>امام راحل رحمه الله در تحریر الوسیلة این مطلب را متعرّض نشده‌اند، ولی صاحب جواهر رحمه الله بیانی را از سیّد مرتضی رحمه الله</w:t>
      </w:r>
      <w:r>
        <w:rPr>
          <w:rStyle w:val="FootnoteAnchor"/>
          <w:rtl w:val="true"/>
        </w:rPr>
        <w:footnoteReference w:id="28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بین غیبت و حیض فرق گذاشته، غیبت را مانع تحقّق احصان دانسته‌اند، ولی حیض را نه؛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ممکن است طولانی شود در صورتی که حیض حداکثر ده روز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مرد از دسترسی به زوجه‌اش و هرگونه استمتاعی محروم است، امّا در ایّام حیض فقط از وطی در قُبُل ممنوع بوده، ولی بقیه‌ی استمتاعات جایز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تحقیق در مطلب این است که بنا بر مختار ما که غیبت هیچ نقشی در احصان ندارد و ملاک تمکّن از وطی است، اگر وطی در دُبُر را جایز بدانیم، همان‌گونه که مشهور به آن قائل‌اند، ضابطه‌ی کلّی در این‌جا پیاده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فرج یغدو علیه ویروح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فرج، قُبُل نیست، بلکه یک عنوان عامّی است که حتّی گاه در مردان نیز استعمال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بگوییم وطی در دُبُر مطلقاً یا در حال حیض حرام است، باز می‌گوییم ملاک احصان،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عنده ما یغنیه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هست؛ زیرا، هرچند این فرد از قُبُل و دُبُر محروم است، امّا سایر استمتاعات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فرد و جوان مجرّدی که هیچ راهی برای اطفای شهوت ندارد،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مرد می‌تواند آتش شهوت خود را با بقیّه استمتاعات حلال فرو نشاند، امّا آن جوان راه حلالی ندارد؛ لذا،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عنده ما یغنیه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به‌طور قاطع در این مسأله فتوا نمی‌دهیم، امّا با ملاحظه‌ی ظواهر، حیض مانع احصان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چرا این مسأله را فقها متعرّض نشده‌اند و صاحب جواهر رحمه الله نیز به صرف نقل قول از سیّد رحمه الله اکتفا و نظر خود را اظهار نکرده است</w:t>
      </w:r>
      <w:r>
        <w:rPr>
          <w:rFonts w:eastAsia="IRNazanin" w:cs="IRNazanin"/>
          <w:color w:val="111111"/>
          <w:sz w:val="28"/>
          <w:szCs w:val="28"/>
          <w:rtl w:val="true"/>
          <w:lang w:bidi="fa-IR"/>
        </w:rPr>
        <w:t>.</w:t>
      </w:r>
      <w:bookmarkStart w:id="270" w:name="pg16919_226946"/>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حرّاً</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78788_3244359995"/>
      <w:bookmarkStart w:id="272" w:name="_Toc102"/>
      <w:bookmarkEnd w:id="271"/>
      <w:r>
        <w:rPr>
          <w:rtl w:val="true"/>
        </w:rPr>
        <w:t>شرط ششم</w:t>
      </w:r>
      <w:r>
        <w:rPr>
          <w:rtl w:val="true"/>
        </w:rPr>
        <w:t xml:space="preserve">: </w:t>
      </w:r>
      <w:r>
        <w:rPr>
          <w:rtl w:val="true"/>
        </w:rPr>
        <w:t>حرّیت فاعل</w:t>
      </w:r>
      <w:bookmarkEnd w:id="272"/>
    </w:p>
    <w:p>
      <w:pPr>
        <w:pStyle w:val="BookText"/>
        <w:rPr/>
      </w:pPr>
      <w:r>
        <w:rPr>
          <w:rFonts w:ascii="IRNazanin" w:hAnsi="IRNazanin" w:eastAsia="IRNazanin"/>
          <w:color w:val="111111"/>
          <w:sz w:val="28"/>
          <w:sz w:val="28"/>
          <w:szCs w:val="28"/>
          <w:rtl w:val="true"/>
          <w:lang w:bidi="fa-IR"/>
        </w:rPr>
        <w:t>شرط ششم تحققِ احصان این است که زانی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عبد و کنیز زنای محصنه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در حال زنا حرّیت داشته باشد، زنای او متّصف به احصان می‌شود؛ همانند شرایط دیگری که باید آن‌ها را در حال زنا دارا باشد تا زنا محصنه بوده، و حدّ رجم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شرط چیست؟ آیا حرّ بودن در حال زنا شرط تحقّق احصان است، یا علاوه بر آن، حرّیت در حال وطی به اهل نیز شرط است؟</w:t>
      </w:r>
    </w:p>
    <w:p>
      <w:pPr>
        <w:pStyle w:val="BookText"/>
        <w:rPr/>
      </w:pPr>
      <w:r>
        <w:rPr>
          <w:rFonts w:ascii="IRNazanin" w:hAnsi="IRNazanin" w:eastAsia="IRNazanin"/>
          <w:color w:val="111111"/>
          <w:sz w:val="28"/>
          <w:sz w:val="28"/>
          <w:szCs w:val="28"/>
          <w:rtl w:val="true"/>
          <w:lang w:bidi="fa-IR"/>
        </w:rPr>
        <w:t>حقّ این است که هر دو مطلب بایستی اثبات شود؛ یکی این‌که زنا از حرّ سر زند تا احصانی باشد؛ و دیگر این‌که وطی به اهل نیز در حال حرّیت قبل از زنا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عبدی با زوجه‌ی خود وطی کرد و پس از آن آزاد شد، در صورتی که پس از آزادی، بدون وطی با زوجه‌اش، مرتکب زنا شود، احصان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در کلمات بسیاری از فقها مخلوط شده است، و آن را به‌عنوان یک مطلب تلقّی، و ادلّه‌ی مطلب دوم را برای مطلب اوّل یا بالعکس اقامه کرده‌اند؛ در حالی‌که باید آن‌ها را جداگانه و در دو بحث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در صورتی است که زانی در حال زنا حرّ باشد؛ بنابراین، زنایی که از عبد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ازدواج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سرزند، احصانی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دلیلی که می‌توان اقامه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قواعدی که در باب حدود جاری است، حدّ و مجازات عبد و کنیز نصف حرّ است؛ همان‌گونه که در زنا حرّ صد تازیانه می‌خورد و بر عبد پنجاه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مسأله‌ی رجم قابل تنصیف نیست؛ رجم یک نوع قتل است، و نصف کردن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اعتباری است و با وجود روایات، نیازمند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العبید إذا زنی أحدهم أن یجلد خمسین جلدة، وإن کان مسلماً أو کافراً أو نصرانیّاً ولا یرجم ولا ینفی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درباره‌ی بردگان چنین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از آنان که زنای محصنه کند، پنجاه تازیانه بزنند، چه مسلمان، چه کافر و چه نصرانی باشد، و رجم نشود و تبعید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اگر شخصی در حال رقیّت زنا کند، سبب احصان نمی‌شود؛ لذا، یکی از شرایط احصان، ارتکاب زنا در حال حرّیت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البراقی، عن زرارة، عن الحسن بن السری،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العبد والأمة وهما محصنان فلیس علیهما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علیهما الضرب خمسین، نصف الحدّ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و کنیزی که تمام شرایط احصان را دارا هستند، در حال رقیّت زنا کنند، فقط پنجاه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نصف حدّ زنا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زده شده و رجم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محصنان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همه‌ی شرایط احصان وجود دارد؛ و تنها چیزی که هست مسأله‌ی عبد و کنیز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مسأله‌ی حرّیت مکمّل شرایط احصان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أحمد بن محمّد بن عیسی، عن الحسن بن محبوب، عن الحارث الأحول، عن برید العجلی، عن أبی عبداللّه علیه السلام فی الأمة تزنی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نصف الحدّ کان لها زوج أو لم یکن لها زوج</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زنا کند، پنجاه تازیانه می‌خورد؛ شوهر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روایات معتبر دلالتی صریح و روشن بر مطلب اوّل دارند؛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زنا در حال حرّیت سبب احصان است و به‌طور کلّی عبد و کنیز رجم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به اهل باید در حال حرّیت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تحقّق احصان، فقط حرّیت در حال زنا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امام تعجّب است که بلوغ و عقل واطی در دخول به اهل را با این‌که دلیل محکمی نداشت، به نحو احتیاط از شرایط تحقّق احصان شمردند، ولی حرّیت در این حال را با وجود دلیل روشن و معتبر، به‌عنوان شرط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همان‌گونه که بلوغ و عقل در حال وطی به اهل را از شرایط احصان قرار دادند، باید این شرط را نیز اضافه می‌کردند که وطی به اهل باید در حال حرّیت باشد؛ زیرا، دلیل روشن بر اعتبار حرّیت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أن یکون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ندارد، و فقط اعتبار حرّیت را در زمان زنا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به روایات این مطلب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محمّد و عن علیّ بن إبراهیم، عن أبیه، جمیعاً عن ابن محبوب، عن ابن رئاب، عن أبی بصیر، یعنی المرادی،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یتزوّج الحرّة ثمّ یعتق فیصیب فاحشة،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علیه حتّی یواقع الحرّة بعد ما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فللحرّة خیار علیه إذا أعتق؟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رضیت به وهو مملوک فهو علی نکاحه الأوّل</w:t>
      </w:r>
      <w:r>
        <w:rPr>
          <w:rFonts w:eastAsia="IRNazanin" w:cs="IRNazanin"/>
          <w:color w:val="111111"/>
          <w:sz w:val="28"/>
          <w:szCs w:val="28"/>
          <w:rtl w:val="true"/>
          <w:lang w:bidi="fa-IR"/>
        </w:rPr>
        <w:t>.</w:t>
      </w:r>
      <w:r>
        <w:rPr>
          <w:rStyle w:val="FootnoteAnchor"/>
          <w:rtl w:val="true"/>
        </w:rPr>
        <w:footnoteReference w:id="29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صحیحه و حسنه مردّد است، ابو بصیر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عبدی که با زن حرّی ازدواج کرده، و پس از آزادی مرتکب عمل‌فحشا و زنا می‌شود،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نمی‌کنند، مگر آن‌که پس از آزادی، با زن حرّش جماع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حرّ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 زنا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این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راوی سؤالی دارد که به بحث ما مربوط نیست؛ لیکن برای تکمیل روایت، آن را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آزاد شدن، زوجه‌ی او خیار فسخ نکاح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در حالی‌که این مرد مملوک بوده، به ازدواج با وی راضی بود، اکنون مقامش بالا رفته و از رقیّت به حرّیت رسیده است، پس، نکاح اوّل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مسأله‌ی خیار فسخ برای زوجه بعد از آزادی شوهر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الحرّ أیحصن المملوکة؟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یحصن الحرّ المملوکة، ولا یحصن المملوکة الحرّ، والیهودی یحصن النصرانیة، والنصرانی یحصن الیهودیة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حلبی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حرّ موجب احصان مملوکه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احصان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گفتیم احصان گاه لازم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متعدّی؛ مانند این مورد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حرّ می‌تواند احصان را برای مملوکه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یحصن الحُرّ والمملوکَة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فاعل و مملوکه مفعول است؛ زیرا، باید تناسبی با سؤال راوی داشته باشد و احتمالِ صاحب کشف اللثام رحمه الله</w:t>
      </w:r>
      <w:r>
        <w:rPr>
          <w:rStyle w:val="FootnoteAnchor"/>
          <w:rtl w:val="true"/>
        </w:rPr>
        <w:footnoteReference w:id="295"/>
      </w:r>
      <w:r>
        <w:rPr>
          <w:rFonts w:ascii="IRNazanin" w:hAnsi="IRNazanin" w:eastAsia="IRNazanin"/>
          <w:color w:val="111111"/>
          <w:sz w:val="28"/>
          <w:sz w:val="28"/>
          <w:szCs w:val="28"/>
          <w:rtl w:val="true"/>
          <w:lang w:bidi="fa-IR"/>
        </w:rPr>
        <w:t>که حرّ را مفعول و مملوکه را فاعل گرفته، خلاف ظاهر است، و جواب با سؤال مطابقت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روایت این است که حرّ نمی‌تواند سبب احصان مملوکه شود؛ خواه حرّ، مولای او یا شوهرش باشد؛ مملوکه تا زمانی که مملوک است، اگر مرتکب فاحشه‌ای شد، محصنه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دوم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یحصن المملوکة الحرّ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مملوکه را فاعل و حرّ را مفعول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این‌که باید کلمه‌ی بعد از فعل را فاعل بگیریم، دو قسمت اخیر روایت</w:t>
      </w:r>
    </w:p>
    <w:p>
      <w:pPr>
        <w:pStyle w:val="BookText"/>
        <w:rPr/>
      </w:pP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والیهودی یحصن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 یحصن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کلّ، جنبه‌ی فاعلیّت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فاعل در احصان نقش دارد؟</w:t>
      </w:r>
    </w:p>
    <w:p>
      <w:pPr>
        <w:pStyle w:val="BookText"/>
        <w:rPr/>
      </w:pPr>
      <w:r>
        <w:rPr>
          <w:rFonts w:ascii="IRNazanin" w:hAnsi="IRNazanin" w:eastAsia="IRNazanin"/>
          <w:color w:val="111111"/>
          <w:sz w:val="28"/>
          <w:sz w:val="28"/>
          <w:szCs w:val="28"/>
          <w:rtl w:val="true"/>
          <w:lang w:bidi="fa-IR"/>
        </w:rPr>
        <w:t>این قسمت از روایت با روایات قبلی و فتوای مشهور منافات دارد؛ زیرا، مشهور، داشتن کنیز را سبب احصان می‌دانستند؛ امّا روایت بر مطلوب ما دلالتی ندارد؛ چه آن‌که ما در صدد اثبات لزوم حرّیت در حین مواقعه برای تحقّق احصان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مملوکه حرّ را محصن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مطلب اوّل می‌شود، که با فتوای مشهور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از حلبی وجود دارد؛ امّا چون مضمون آن، با این روایت یکی است؛ با این تفاوت که یکی مشتمل بر سؤال و دیگری فقط قسمتی از جواب را آورده، به‌نظر ما بعید است که این‌ها دو روایت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ممکن است یک مطلب را برای افراد مختلف چند بار بیان کرد، ولی بعید است آن را برای یک نفر دو مرتبه بگویند، آن هم مسأله‌ای که خیلی مبتلا به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الحسین بن سعید،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یحصن الحرّ المملوکة ولا المملوک الحرّة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برای مملوکه و مملوک برای حرّه نمی‌توانند احصان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روایت با فتوای مشهور منافات دارد؛ زیرا، لازم نیست زن حرّه شوهر حرّ داشته باشد تا محصنه گردد؛ فرقی بین عبد و حرّ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روایت هیچ دلالتی بر مطلوب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روایت صحیحه محمّد بن قیس هر دو مطلوب اثبات شد؛ یعنی شرط تحقّق احصان، حرّیت در حال زنا و وطی به اهل است</w:t>
      </w:r>
      <w:r>
        <w:rPr>
          <w:rFonts w:eastAsia="IRNazanin" w:cs="IRNazanin"/>
          <w:color w:val="111111"/>
          <w:sz w:val="28"/>
          <w:szCs w:val="28"/>
          <w:rtl w:val="true"/>
          <w:lang w:bidi="fa-IR"/>
        </w:rPr>
        <w:t>.</w:t>
      </w:r>
      <w:bookmarkStart w:id="273" w:name="pg16919_226951"/>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تحقّق الإحصان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إحصان المرأة ما یعتبر فی إحصان الرجل، فلا ترجم لو لم یکن معها زوجها یغدو علیها ویروح ولا ترجم غیر المدخول بها ولا غیر البالغة ولا المجنونة ولا المتعة</w:t>
      </w:r>
      <w:r>
        <w:rPr>
          <w:rFonts w:eastAsia="IRNazanin" w:cs="IRNazanin"/>
          <w:color w:val="111111"/>
          <w:sz w:val="28"/>
          <w:szCs w:val="28"/>
          <w:rtl w:val="true"/>
          <w:lang w:bidi="fa-IR"/>
        </w:rPr>
        <w:t>.</w:t>
      </w:r>
    </w:p>
    <w:p>
      <w:pPr>
        <w:pStyle w:val="Heading4"/>
        <w:numPr>
          <w:ilvl w:val="3"/>
          <w:numId w:val="1"/>
        </w:numPr>
        <w:rPr/>
      </w:pPr>
      <w:bookmarkStart w:id="274" w:name="__RefHeading___Toc78790_3244359995"/>
      <w:bookmarkStart w:id="275" w:name="_Toc103"/>
      <w:bookmarkEnd w:id="274"/>
      <w:r>
        <w:rPr>
          <w:rtl w:val="true"/>
        </w:rPr>
        <w:t>شرایط تحقّق احصان در زن</w:t>
      </w:r>
      <w:bookmarkEnd w:id="275"/>
    </w:p>
    <w:p>
      <w:pPr>
        <w:pStyle w:val="Heading5"/>
        <w:numPr>
          <w:ilvl w:val="4"/>
          <w:numId w:val="1"/>
        </w:numPr>
        <w:rPr/>
      </w:pPr>
      <w:bookmarkStart w:id="276" w:name="__RefHeading___Toc78792_3244359995"/>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شش‌گانه‌ای که در تحقّق احصان مرد دخیل و مؤثّر بود، همه در احصان زن نیز مدخلیّت دارد</w:t>
      </w:r>
      <w:r>
        <w:rPr>
          <w:rFonts w:eastAsia="IRNazanin" w:cs="IRNazanin"/>
          <w:color w:val="111111"/>
          <w:sz w:val="28"/>
          <w:szCs w:val="28"/>
          <w:rtl w:val="true"/>
          <w:lang w:bidi="fa-IR"/>
        </w:rPr>
        <w:t>.</w:t>
      </w:r>
    </w:p>
    <w:p>
      <w:pPr>
        <w:pStyle w:val="Heading5"/>
        <w:numPr>
          <w:ilvl w:val="4"/>
          <w:numId w:val="1"/>
        </w:numPr>
        <w:rPr/>
      </w:pPr>
      <w:bookmarkStart w:id="278" w:name="__RefHeading___Toc78794_3244359995"/>
      <w:bookmarkStart w:id="279" w:name="_Toc105"/>
      <w:bookmarkEnd w:id="278"/>
      <w:r>
        <w:rPr>
          <w:rtl w:val="true"/>
        </w:rPr>
        <w:t>دلیل مسأله</w:t>
      </w:r>
      <w:bookmarkEnd w:id="279"/>
    </w:p>
    <w:p>
      <w:pPr>
        <w:pStyle w:val="BookText"/>
        <w:rPr/>
      </w:pPr>
      <w:r>
        <w:rPr>
          <w:rFonts w:ascii="IRNazanin" w:hAnsi="IRNazanin" w:eastAsia="IRNazanin"/>
          <w:color w:val="111111"/>
          <w:sz w:val="28"/>
          <w:sz w:val="28"/>
          <w:szCs w:val="28"/>
          <w:rtl w:val="true"/>
          <w:lang w:bidi="fa-IR"/>
        </w:rPr>
        <w:t>از نظر فتوا، مسأله اتّفاقی است؛ و همان‌گونه که صاحب جواهر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در این مسأله وجود ندارد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لیکن این اجماع‌ها</w:t>
      </w:r>
      <w:r>
        <w:rPr>
          <w:rStyle w:val="FootnoteAnchor"/>
          <w:rtl w:val="true"/>
        </w:rPr>
        <w:footnoteReference w:id="298"/>
      </w:r>
      <w:r>
        <w:rPr>
          <w:rFonts w:ascii="IRNazanin" w:hAnsi="IRNazanin" w:eastAsia="IRNazanin"/>
          <w:color w:val="111111"/>
          <w:sz w:val="28"/>
          <w:sz w:val="28"/>
          <w:szCs w:val="28"/>
          <w:rtl w:val="true"/>
          <w:lang w:bidi="fa-IR"/>
        </w:rPr>
        <w:t>با وجود این‌که مستند مسأله، روایات است، ارزشی ندارد؛ زیرا، مدرک اجماع،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شرایط شش‌گانه را یکی یکی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 یعنی حرّیت، در کلام امام راحل نیامده است، امّا فرقی بین مرد و زن در این جهت نیست؛ و باید برای اشتراط حرّیت در زن در حال زنا و وطی شوهر با او، دلیل آورد</w:t>
      </w:r>
      <w:r>
        <w:rPr>
          <w:rFonts w:eastAsia="IRNazanin" w:cs="IRNazanin"/>
          <w:color w:val="111111"/>
          <w:sz w:val="28"/>
          <w:szCs w:val="28"/>
          <w:rtl w:val="true"/>
          <w:lang w:bidi="fa-IR"/>
        </w:rPr>
        <w:t>.</w:t>
      </w:r>
    </w:p>
    <w:p>
      <w:pPr>
        <w:pStyle w:val="Heading5"/>
        <w:numPr>
          <w:ilvl w:val="4"/>
          <w:numId w:val="1"/>
        </w:numPr>
        <w:rPr/>
      </w:pPr>
      <w:bookmarkStart w:id="280" w:name="__RefHeading___Toc78796_3244359995"/>
      <w:bookmarkStart w:id="281" w:name="_Toc106"/>
      <w:bookmarkEnd w:id="280"/>
      <w:r>
        <w:rPr>
          <w:rtl w:val="true"/>
        </w:rPr>
        <w:t>ادلّه‌ی اشتراط حرّیت در حال زنا</w:t>
      </w:r>
      <w:bookmarkEnd w:id="2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العبید إذا زنی أحدهم أن یجلد خمسین جلدة، وإن کان مسلماً أو کافراً أو نصرانیاً ولا یرجم ولا ینفی</w:t>
      </w:r>
      <w:r>
        <w:rPr>
          <w:rFonts w:eastAsia="IRNazanin" w:cs="IRNazanin"/>
          <w:color w:val="111111"/>
          <w:sz w:val="28"/>
          <w:szCs w:val="28"/>
          <w:rtl w:val="true"/>
          <w:lang w:bidi="fa-IR"/>
        </w:rPr>
        <w:t>.</w:t>
      </w:r>
      <w:r>
        <w:rPr>
          <w:rStyle w:val="FootnoteAnchor"/>
          <w:rtl w:val="true"/>
        </w:rPr>
        <w:footnoteReference w:id="299"/>
      </w:r>
      <w:bookmarkStart w:id="282" w:name="pg16919_226952"/>
    </w:p>
    <w:p>
      <w:pPr>
        <w:pStyle w:val="BookText"/>
        <w:rPr/>
      </w:pPr>
      <w:bookmarkEnd w:id="282"/>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امیرمؤمنان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تازیانه بوده،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یا کافر یا نصرانی باشد و رجم و تبعید 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الغای خصوصیت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مذکّر از بندگان نبوده و شامل کنیزان نیز می‌شود؛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جمود بر لفظ کرد و الغای خصوصیّت را نپذیرفت، روایت حسن بن السری و برید عجلی تصریح به کنیز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البرقی، عن زرارة، عن الحسن بن السری، عن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العبد والأمة وهما محصنان فلیس علیهما الرجم، إنّما علیهما الضرب خمسین نصف الحدّ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أحمد بن محمّد بن عیسی، عن الحسن بن محبوب، عن الحارث الأحول، عن برید العجلی، عن أبی عبداللّه علیه السلام فی الأمة تزنی،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نصف الحدّ کان لها زوج أو لم یکن لها زوج</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از مجموع این روایات استفاده می‌شود اگر کنیز در حال زنا تمام شرایط احصان را داشته باشد، زنای او محصنه نخواهد بود</w:t>
      </w:r>
      <w:r>
        <w:rPr>
          <w:rFonts w:eastAsia="IRNazanin" w:cs="IRNazanin"/>
          <w:color w:val="111111"/>
          <w:sz w:val="28"/>
          <w:szCs w:val="28"/>
          <w:rtl w:val="true"/>
          <w:lang w:bidi="fa-IR"/>
        </w:rPr>
        <w:t>.</w:t>
      </w:r>
    </w:p>
    <w:p>
      <w:pPr>
        <w:pStyle w:val="Heading5"/>
        <w:numPr>
          <w:ilvl w:val="4"/>
          <w:numId w:val="1"/>
        </w:numPr>
        <w:rPr/>
      </w:pPr>
      <w:bookmarkStart w:id="283" w:name="__RefHeading___Toc78798_3244359995"/>
      <w:bookmarkStart w:id="284" w:name="_Toc107"/>
      <w:bookmarkEnd w:id="283"/>
      <w:r>
        <w:rPr>
          <w:rtl w:val="true"/>
        </w:rPr>
        <w:t>ادلّه‌ی اشتراط حرّیت در حال وطی قَبلی</w:t>
      </w:r>
      <w:bookmarkEnd w:id="2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در حال وطی حلال، کنیز بود، خواه واطی مالکش باشد یا شوهر حرّ او، اگر پس از آزادی مرتکب زنا شده باشد، زنای در حال حرّیت، زنای محصنه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روایات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محمّد وعن علیّ بن إبراهیم، عن أبیه جمیعاً، عن ابن محبوب، عن إبن رئاب، عن أبی بصیر یعنی المرادی،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یتزوّج الحرّة ثمّ یعتق فیصیب فاحشة،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علیه</w:t>
      </w:r>
      <w:bookmarkStart w:id="285" w:name="pg16919_226953"/>
    </w:p>
    <w:p>
      <w:pPr>
        <w:pStyle w:val="BookText"/>
        <w:rPr/>
      </w:pPr>
      <w:bookmarkEnd w:id="285"/>
      <w:r>
        <w:rPr>
          <w:rFonts w:ascii="IRNazanin" w:hAnsi="IRNazanin" w:eastAsia="IRNazanin"/>
          <w:color w:val="111111"/>
          <w:sz w:val="28"/>
          <w:sz w:val="28"/>
          <w:szCs w:val="28"/>
          <w:rtl w:val="true"/>
          <w:lang w:bidi="fa-IR"/>
        </w:rPr>
        <w:t>حتّی یواقع الحرّة بعد ما یعتق</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این روایت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با الغای خصوصیّت، بر مطلب ما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الغای خصوصیّت را نپذیرفت، به روایت حلبی استناد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الحرّ أیحصن المملوکة؟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یحصن الحرُّ المملوکةَ ولا یحصن المملوکة الحرّ</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 شده آیا مرد حرّ می‌تواند به مملوکه عنوان احصان بدهد؟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موجب احصان مملوکه نمی‌شود؛ یعنی نزدیکی کردن حرّ با مملوکه، وجودش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یحصن الحُرُّ المملوکةَ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دارد؛ خواه زنا در حال مملوکیّت واقع شود یا پس از آزادی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زنای در حال حرّیت محصنه است، لازمه‌اش این است که وطی در حال مملوکیّت را سبب احصان بدانیم که با اطلاق روایت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این روایتِ صحیحه بر اشتراط حرّیت در حین وطی قَبلی دلالت دارد</w:t>
      </w:r>
      <w:r>
        <w:rPr>
          <w:rFonts w:eastAsia="IRNazanin" w:cs="IRNazanin"/>
          <w:color w:val="111111"/>
          <w:sz w:val="28"/>
          <w:szCs w:val="28"/>
          <w:rtl w:val="true"/>
          <w:lang w:bidi="fa-IR"/>
        </w:rPr>
        <w:t>.</w:t>
      </w:r>
    </w:p>
    <w:p>
      <w:pPr>
        <w:pStyle w:val="Heading5"/>
        <w:numPr>
          <w:ilvl w:val="4"/>
          <w:numId w:val="1"/>
        </w:numPr>
        <w:rPr/>
      </w:pPr>
      <w:bookmarkStart w:id="286" w:name="__RefHeading___Toc78800_3244359995"/>
      <w:bookmarkStart w:id="287" w:name="_Toc108"/>
      <w:bookmarkEnd w:id="286"/>
      <w:r>
        <w:rPr>
          <w:rtl w:val="true"/>
        </w:rPr>
        <w:t>اشتراک زن با مرد در شرایط دیگر</w:t>
      </w:r>
      <w:bookmarkEnd w:id="287"/>
    </w:p>
    <w:p>
      <w:pPr>
        <w:pStyle w:val="BookText"/>
        <w:rPr/>
      </w:pPr>
      <w:r>
        <w:rPr>
          <w:rFonts w:ascii="IRNazanin" w:hAnsi="IRNazanin" w:eastAsia="IRNazanin"/>
          <w:color w:val="111111"/>
          <w:sz w:val="28"/>
          <w:sz w:val="28"/>
          <w:szCs w:val="28"/>
          <w:rtl w:val="true"/>
          <w:lang w:bidi="fa-IR"/>
        </w:rPr>
        <w:t>در مورد احصان مرد دو دسته روایت داشتیم، یک دسته مربوط به شرایط احصان در مردها و یک دسته مربوط به شرایط احصان در زن‌ها بود؛ از جمله‌ی آن‌ها دو روایت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یحیی، عن أحمد بن محمّد، عن علیّ بن الحکم، عن العلاء بن رزین،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إحصانهنّ أن یدخل بهنّ</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یونس، عن أبی بصیر، عن أبی عبداللّه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أُحْصِنَّ</w:t>
      </w:r>
      <w:bookmarkStart w:id="288" w:name="pg16919_226955"/>
    </w:p>
    <w:p>
      <w:pPr>
        <w:pStyle w:val="BookText"/>
        <w:rPr/>
      </w:pPr>
      <w:bookmarkEnd w:id="288"/>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أبو عبیده از امام صادق علیه السلام درباره‌ی زنی می‌پرسد که شوهر داشته، و با این حال، با مرد دیگری نیز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اولش در همان شهری که این زن اقامت دارد،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اقامت را این‌طور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 إلیه ویصل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بتواند خود را به شوهر برساند و شوهر از دسترسی به زن متمکّن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در صورتی که یکی از آنان محبوس و در زندان و مانند آن باشد، خارج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باید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مرد غایب و در مسافرت باشد و یا در این شهر ساکن، ولی هیچ‌یک از زن و مرد به یکدیگر دسترسی نداشته باشند، حدّ آن زن تازیانه است و جای لعان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یکی از شرایط لعان 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 این است که دسترسی دو طرف به یکدیگر شرط تحقّق احصان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شرط تحقّق احصان مرد تمکّن از زوجه بود، شرط تحقّق احصانِ زن نیز تمکّن از زوج است</w:t>
      </w:r>
      <w:r>
        <w:rPr>
          <w:rFonts w:eastAsia="IRNazanin" w:cs="IRNazanin"/>
          <w:color w:val="111111"/>
          <w:sz w:val="28"/>
          <w:szCs w:val="28"/>
          <w:rtl w:val="true"/>
          <w:lang w:bidi="fa-IR"/>
        </w:rPr>
        <w:t>.</w:t>
      </w:r>
    </w:p>
    <w:p>
      <w:pPr>
        <w:pStyle w:val="Heading5"/>
        <w:numPr>
          <w:ilvl w:val="4"/>
          <w:numId w:val="1"/>
        </w:numPr>
        <w:rPr/>
      </w:pPr>
      <w:bookmarkStart w:id="289" w:name="__RefHeading___Toc78802_3244359995"/>
      <w:bookmarkStart w:id="290" w:name="_Toc109"/>
      <w:bookmarkEnd w:id="289"/>
      <w:r>
        <w:rPr>
          <w:rtl w:val="true"/>
        </w:rPr>
        <w:t>معنای تمکّن از زوج</w:t>
      </w:r>
      <w:bookmarkEnd w:id="2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تمکّن زن از شوهر این نیست که هر زمان اراده‌ی زن تعلّق گرفت، مرد او را وطی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صورتی صحیح است که وطی، حقّ‌ِ زن باشد، در حالی‌که می‌دانیم وطی، حقِّ مرد است و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تمکّن زن، این است که مرد در اختیارش باشد و هر وقت مرد تمایل به وطی پیدا کرد، با او نزدیکی کند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بعضی از بزرگان در مقام اشکال بر صاحب جواهر رحمه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جدید و قدیمی دارد و نسبت به زن قدیمی حالت تنفّری پیدا کرده، به‌گونه‌ای که فقط به همان مقدارشرعی چهار ماه یک بار با او وطی می‌کند، و زن هرچه مقدّمه‌چینی می‌کند تا مرد را به خود متمایل سازد، وی تحت تأثیر واقع نمی‌شود؛ اگر چنین زنی مرتکب زنا شد، می‌توان</w:t>
      </w:r>
    </w:p>
    <w:p>
      <w:pPr>
        <w:pStyle w:val="BookText"/>
        <w:rPr/>
      </w:pPr>
      <w:r>
        <w:rPr>
          <w:rFonts w:ascii="IRNazanin" w:hAnsi="IRNazanin" w:eastAsia="IRNazanin"/>
          <w:color w:val="111111"/>
          <w:sz w:val="28"/>
          <w:sz w:val="28"/>
          <w:szCs w:val="28"/>
          <w:rtl w:val="true"/>
          <w:lang w:bidi="fa-IR"/>
        </w:rPr>
        <w:t>زنای او را غیرمحصنه دانست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ممکن است در پاسخ اشکال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اشکال لوازمی دارد که هیچ‌کس به آن ملتزم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شوهری به‌واسطه‌ی ناتوانی و مرض، هر دو ماه یک مرتبه قدرت بر وطی دارد، اگر همسر او مرتکب زنا شود، محصنه نیست؟ همین‌طور اگر زنی هر شب متمایل به وطی است، امّا شوهرش هر سه شب یا چهار شب قدرت بر نزدیکی دارد و در هر زمان نمی‌تواند در اختیار زن باشد، آیا زنای چنین زنی غیرمحصنه است؟</w:t>
      </w:r>
    </w:p>
    <w:p>
      <w:pPr>
        <w:pStyle w:val="BookText"/>
        <w:rPr/>
      </w:pPr>
      <w:r>
        <w:rPr>
          <w:rFonts w:ascii="IRNazanin" w:hAnsi="IRNazanin" w:eastAsia="IRNazanin"/>
          <w:color w:val="111111"/>
          <w:sz w:val="28"/>
          <w:sz w:val="28"/>
          <w:szCs w:val="28"/>
          <w:rtl w:val="true"/>
          <w:lang w:bidi="fa-IR"/>
        </w:rPr>
        <w:t>اگر بر این اشکال مستقرّ شویم، اساس خانواده‌ها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سنگسار برای زنا، با این عظمت، برای حفظ شؤون خانواده وضع شده است تا به این وسیله مسائل زوجیّت ملعبه و بازیچه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پذیرفتن این اشکال، تزلزل اساس زناشویی را به‌دنبال دارد؛ لذا، حقّ با صاحب جواهر رحمه الله است که مراد تمکّن زن از شوهر، در اختیار بودن شوهر است، نه این‌که زن هر زمان اراده کند، شوهرش او را وطی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با ویژگی‌هایی که خداوند به زن داده است، می‌تواند به مقصد و مرادش برسد؛ پس، تمام مشیّت هم در دست مرد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شرایطی که در تحقّق احصانِ مرد لازم است، در تحقّق احصانِ زن نیز شرط است؛ و روایات و ادلّه بر آن دلالت داشت</w:t>
      </w:r>
      <w:r>
        <w:rPr>
          <w:rFonts w:eastAsia="IRNazanin" w:cs="IRNazanin"/>
          <w:color w:val="111111"/>
          <w:sz w:val="28"/>
          <w:szCs w:val="28"/>
          <w:rtl w:val="true"/>
          <w:lang w:bidi="fa-IR"/>
        </w:rPr>
        <w:t>.</w:t>
      </w:r>
      <w:bookmarkStart w:id="291" w:name="pg16919_226957"/>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الرجعی لیس مخرجاً عن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الرجعی لا یوجب الخروج عن الإحصان، فلو زنی أو زنت فی الطلاق الرجعی کان علیهما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تزوّجت عالمة، کان علیها الرجم؛ وکذا الزوج الثانی إن علم بالتحریم والعدّة، ولو جهل بالحکم أو بالموضوع فلا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أحدهما فعلیه الرجم دون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أحدهما الجهل بالحکم قبل منه إن أمکن الجهل فی حقّه، ولو ادّعی الجهل بالموضوع قبل ذلک</w:t>
      </w:r>
      <w:r>
        <w:rPr>
          <w:rFonts w:eastAsia="IRNazanin" w:cs="IRNazanin"/>
          <w:color w:val="111111"/>
          <w:sz w:val="28"/>
          <w:szCs w:val="28"/>
          <w:rtl w:val="true"/>
          <w:lang w:bidi="fa-IR"/>
        </w:rPr>
        <w:t>.</w:t>
      </w:r>
    </w:p>
    <w:p>
      <w:pPr>
        <w:pStyle w:val="Heading4"/>
        <w:numPr>
          <w:ilvl w:val="3"/>
          <w:numId w:val="1"/>
        </w:numPr>
        <w:rPr/>
      </w:pPr>
      <w:bookmarkStart w:id="292" w:name="__RefHeading___Toc78804_3244359995"/>
      <w:bookmarkStart w:id="293" w:name="_Toc110"/>
      <w:bookmarkEnd w:id="292"/>
      <w:r>
        <w:rPr>
          <w:rtl w:val="true"/>
        </w:rPr>
        <w:t>عدم تأثیر طلاق رجعی در خروج از احصان</w:t>
      </w:r>
      <w:bookmarkEnd w:id="293"/>
    </w:p>
    <w:p>
      <w:pPr>
        <w:pStyle w:val="Heading5"/>
        <w:numPr>
          <w:ilvl w:val="4"/>
          <w:numId w:val="1"/>
        </w:numPr>
        <w:rPr/>
      </w:pPr>
      <w:bookmarkStart w:id="294" w:name="__RefHeading___Toc78806_3244359995"/>
      <w:bookmarkStart w:id="295" w:name="_Toc11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اگر مردی پس از طلاقِ رجعی همسرش، در عدّه‌ی او زنا کرد، یا زن مطلّقه در عدّه‌ی طلاق رجعی زنا داد، طلاق رجعی سبب خروج از احصان نشده، و فرد زناکار رجم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معروفی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مطلّقه‌ی رجعی به حکم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مطلّقه‌ی رجعی در عدّه طلاق به مرد دیگری شوهر کرد، اگر هر دو با علم به حرمت ازدواج و دخول، نزدیکی کنند، هر دو را سنگسار می‌کنند؛ البته در صورتی که شرایط احصان در زوج دوم موجود باشد؛ به این معنا که همسری غیر از مطلّقه‌ی رجعی با او وطی کرده و شرایط دیگر نیز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هم عالمِ به در عدّه بودن زن، و هم عالمِ به حرمت نکاح در 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جاهل به موضوع یا حکم باشد، حدّی ندارد؛ مثلاً خیال می‌کرد عدّه تمام شده است، یا ازدواج در عدّه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مطلّقه‌ی رجعی و شوهر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حکم و موضوع، و دیگری جاهل بود، حدّ رجم در حقّ عالم جاری است؛ و در حقّ جاهل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 دو، ادّعای جهل به حکم کند ادّعایش پذیرفته می‌شود؛ البته در صورتی که جهل در حقّ او امکان داشته باشد؛ وگرنه، اگر طلبه‌ی فاضلی که یک دوره متن فقه را دیده باشد، چنین ادّعایی کند، از او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ادّعای جهل به موضوع کند و جهل هم در حقّ او امکان داشته باشد، از او پذیرفته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باید دو مطلب را اثبات کنیم</w:t>
      </w:r>
      <w:r>
        <w:rPr>
          <w:rFonts w:eastAsia="IRNazanin" w:cs="IRNazanin"/>
          <w:color w:val="111111"/>
          <w:sz w:val="28"/>
          <w:szCs w:val="28"/>
          <w:rtl w:val="true"/>
          <w:lang w:bidi="fa-IR"/>
        </w:rPr>
        <w:t>:</w:t>
      </w:r>
      <w:bookmarkStart w:id="296" w:name="pg16919_226958"/>
    </w:p>
    <w:p>
      <w:pPr>
        <w:pStyle w:val="Heading5"/>
        <w:numPr>
          <w:ilvl w:val="4"/>
          <w:numId w:val="1"/>
        </w:numPr>
        <w:rPr/>
      </w:pPr>
      <w:bookmarkStart w:id="297" w:name="__RefHeading___Toc78808_3244359995"/>
      <w:bookmarkStart w:id="298" w:name="_Toc112"/>
      <w:bookmarkEnd w:id="296"/>
      <w:bookmarkEnd w:id="297"/>
      <w:r>
        <w:rPr/>
        <w:t>1</w:t>
      </w:r>
      <w:r>
        <w:rPr>
          <w:rtl w:val="true"/>
        </w:rPr>
        <w:t xml:space="preserve"> - </w:t>
      </w:r>
      <w:r>
        <w:rPr>
          <w:rtl w:val="true"/>
        </w:rPr>
        <w:t>بقای احصان در ایّام عدّه‌ی طلاق رجعی</w:t>
      </w:r>
      <w:bookmarkEnd w:id="298"/>
    </w:p>
    <w:p>
      <w:pPr>
        <w:pStyle w:val="Heading6"/>
        <w:numPr>
          <w:ilvl w:val="5"/>
          <w:numId w:val="1"/>
        </w:numPr>
        <w:rPr/>
      </w:pPr>
      <w:bookmarkStart w:id="299" w:name="__RefHeading___Toc78810_3244359995"/>
      <w:bookmarkStart w:id="300" w:name="_Toc11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دلیل این مطلب، روایت صحیحه‌ی یزید کناسی است که در مباحث گذشته نیز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علیّ بن إبراهیم، عن أبیه، عن الحسن بن محبوب، عن أبی أیّوب،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امرأة تزوّجت فی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تزوّجت فی عدّة طلاق لزوجها علیها الرجعة فإنّ علیها الرجم، وإن کانت تزوّجت فی عدّة لیس لزوجها علیها الرجعة، فإنّ علیها حدّ الزانی غیر المحصن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در عدّه ازدواج کرده،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عدّه طلاق رجعی که شوهر حقّ رجوع دارد، شوهر کرده باشد، او را رجم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رجم در صورتِ وجود احصان است، نتیجه می‌گیریم طلاق رجعی موجب خروج از احصان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نکته لازم است که آیا مستفادِ از روایت این است که شرایط احصان در اثر طلاق رجعی از بین می‌رود، امّا بقای احصان تعبّدی است؛ یا این که شرایط احصان به حال خود باقی است و امام علیه السلام در مقامِ دفعِ این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مانعیّت طلاق رجعی از تحقّق احصان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امام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طلاق رجعی حدّ رجم ساقط نمی‌شود، این است که در حقیقت، احصان محقّق است و طلاق هیچ مانعیّتی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تأییدی بر گفتار سابق ما در اشکال بر بعضی از محقّقان</w:t>
      </w:r>
      <w:r>
        <w:rPr>
          <w:rStyle w:val="FootnoteAnchor"/>
          <w:rtl w:val="true"/>
        </w:rPr>
        <w:footnoteReference w:id="308"/>
      </w:r>
      <w:r>
        <w:rPr>
          <w:rFonts w:ascii="IRNazanin" w:hAnsi="IRNazanin" w:eastAsia="IRNazanin"/>
          <w:color w:val="111111"/>
          <w:sz w:val="28"/>
          <w:sz w:val="28"/>
          <w:szCs w:val="28"/>
          <w:rtl w:val="true"/>
          <w:lang w:bidi="fa-IR"/>
        </w:rPr>
        <w:t>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احصانِ زن تمکّن از وطی است، لذا زنی که شوهرش چهار ماه یک بار با او وطی می‌کند، بعید نیست محصنه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طلاق رجعی هیچ اختیار و حقّی ندارد، تمام</w:t>
      </w:r>
      <w:bookmarkStart w:id="301" w:name="pg16919_226959"/>
    </w:p>
    <w:p>
      <w:pPr>
        <w:pStyle w:val="BookText"/>
        <w:rPr/>
      </w:pPr>
      <w:bookmarkEnd w:id="301"/>
      <w:r>
        <w:rPr>
          <w:rFonts w:ascii="IRNazanin" w:hAnsi="IRNazanin" w:eastAsia="IRNazanin"/>
          <w:color w:val="111111"/>
          <w:sz w:val="28"/>
          <w:sz w:val="28"/>
          <w:szCs w:val="28"/>
          <w:rtl w:val="true"/>
          <w:lang w:bidi="fa-IR"/>
        </w:rPr>
        <w:t>اختیار با مرد است که در هر لحظه می‌تواند با رجوع خود طلاق را فسخ کند، با این حال، شرایط احصان وجود دارد و زن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صاحب جواهر رحمه الله فرمود و ما هم تأیید کردیم، تمام است؛ یعنی مقصود از متمکّن بودن زن این است که در اختیار مرد باشد به طوری که شوهر متمکّن از رجوع به او و وطی با وی پس از رجوع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روایت استفاده کردیم با طلاق رجعی احصان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روایت،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طلاق بائن باشد، و مرد در عدّه حقّ رجوع نداشت، رجم نشده و باید او را تازیانه زد؛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شرائطِ احصان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مطلوب تمام است؛ و بین طلاق رجعی و بائن تفصیل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مقام، سه روایت مطلق وجود دارد، که باید بررسی شوند</w:t>
      </w:r>
      <w:r>
        <w:rPr>
          <w:rFonts w:eastAsia="IRNazanin" w:cs="IRNazanin"/>
          <w:color w:val="111111"/>
          <w:sz w:val="28"/>
          <w:szCs w:val="28"/>
          <w:rtl w:val="true"/>
          <w:lang w:bidi="fa-IR"/>
        </w:rPr>
        <w:t>:</w:t>
      </w:r>
    </w:p>
    <w:p>
      <w:pPr>
        <w:pStyle w:val="Heading6"/>
        <w:numPr>
          <w:ilvl w:val="5"/>
          <w:numId w:val="1"/>
        </w:numPr>
        <w:rPr/>
      </w:pPr>
      <w:bookmarkStart w:id="302" w:name="__RefHeading___Toc78812_3244359995"/>
      <w:bookmarkStart w:id="303" w:name="_Toc114"/>
      <w:bookmarkEnd w:id="302"/>
      <w:r>
        <w:rPr>
          <w:rtl w:val="true"/>
        </w:rPr>
        <w:t>بررسی روایات مطلقه</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أحمد بن یحیی، عن أحمد بن الحسن بن علیّ بن فضّال، عن عمرو بن سعید، عن مصدّق بن صدقة، عن عمّار بن موسی الساباطی، عن أبی عبداللّه علیه السلام، عن رجل کانت له امرأة فطلّقها أو ماتت فزنی،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امرأة کان لها زوج فطلّقها أو مات ثمّ زنت، علیها الرجم؟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موثّقه و از عمّار ساباطی است که فطحی مذهب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راجع به حکم مردی که زنش را طلاق داده یا همسرش مرده، و پس از آن، زنا کرده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سؤال درباره‌ی زن شده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این روایت وجود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قسمت حدیث اطلاق دارد و شامل طلاق رجعی و بائن</w:t>
      </w:r>
    </w:p>
    <w:p>
      <w:pPr>
        <w:pStyle w:val="BookText"/>
        <w:rPr/>
      </w:pPr>
      <w:r>
        <w:rPr>
          <w:rFonts w:ascii="IRNazanin" w:hAnsi="IRNazanin" w:eastAsia="IRNazanin"/>
          <w:color w:val="111111"/>
          <w:sz w:val="28"/>
          <w:sz w:val="28"/>
          <w:szCs w:val="28"/>
          <w:rtl w:val="true"/>
          <w:lang w:bidi="fa-IR"/>
        </w:rPr>
        <w:t>می‌شود؛ در صورتی که در طلاق بائن رجم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طوسی رحمه الله بعد از نقل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در سؤال اوّل است را باید به یکی از دو صورت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طلاق را حمل بر طلاق رجعی کنیم و شاهدش صحیحه‌ی یزید کناسی</w:t>
      </w:r>
      <w:r>
        <w:rPr>
          <w:rStyle w:val="FootnoteAnchor"/>
          <w:rtl w:val="true"/>
        </w:rPr>
        <w:footnoteReference w:id="310"/>
      </w:r>
      <w:r>
        <w:rPr>
          <w:rFonts w:ascii="IRNazanin" w:hAnsi="IRNazanin" w:eastAsia="IRNazanin"/>
          <w:color w:val="111111"/>
          <w:sz w:val="28"/>
          <w:sz w:val="28"/>
          <w:szCs w:val="28"/>
          <w:rtl w:val="true"/>
          <w:lang w:bidi="fa-IR"/>
        </w:rPr>
        <w:t>است؛ و یا بگوییم سؤال از مردی است که دو زن دارد، و یکی را طلاق داده است؛ پس، شرایط احصان در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سؤال دوم، فقط توجیه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طلاق 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زیرا، تصوّر دو شوهر برای زن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قسمت روایت، مسأله‌ی مرگ مطرح است؛ در حالی که عدّه‌ی وفات مانند طلاق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به رجم زانی حکم شده است، در صورتی که در صحیحه‌ی یزید کناسی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تزوجّت فی عدّة بعد موت زوجها من قبل انقضاء الأربعة أشهر والعشرة أیّام فلا رجم علیها وعلیها ضرب مائة جلدة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اگر زن در عدّه وفات شوهرش قبل از به پایان رسیدن چهار ماه و دو روز، مرتکب زنا شد، رجمی بر او نیست و به او صد تازیانه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هم منافات دارند؛ علاوه بر این که مرد برای فوت زنش 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مسأله‌ی وفات را بر وَهم راوی حمل کرده است؛ یعنی راوی پیش خود خیال کرده مرگ نیز مانند طلاق بوده و آن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 امام علیه السلام مرگ را مطرح و در آن به صراحت به رجم حکم کند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مؤیّد این حمل نیز، ویژگی‌های راوی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این‌گونه تخیّلات زیاد دارد؛ چیزی که جزء روایت نیست را داخل در روایت می‌کند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داده شده که در قسمت اوّل،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دو کلمه در رسم الخط به همدیگر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احتمال ضعیف است؛ چه آن‌که در قسمت دوم چنین خصوصیّتی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فی قرب الإسناد، عن عبداللّه بن الحسن، عن جدّه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أو بانت امرأته ثمّ زنی،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را طلاق داد یا زن از او جدا شد، پس از آن، مرد زنا کرد، حدّش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أو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تفنّن در عبارت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جدا شدن از مرد همان طلاق است، البته راه دیگر برای جدایی، ارتداد مرد است که با ارتدادش زن مسلمان نمی‌تواند در حباله‌ی نکاح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بعید است در این روایت، نظر به ارتداد باشد؛ بلکه مراد، همان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نسبت به طلاق رجعی و بائن اطلاق دارد، و باید به قرینه‌ی روایت یزید کناسی، آن را بر طلاق رجعی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طلّقت فزنت بعد ما طلّقت، هل علیها الرجم؟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سؤال در این روایت، پس از سؤالِ در روایت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زنی سؤال می‌کند که طلاقش داده‌اند و او پس از طلاق زنا داده است، که آیا حدّ او رجم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نسبت به طلاق بائن و رجعی اطلاق دارد؛ ولی به قرینه‌ی روایت یزید کناسی بر طلاق رجعی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صاحب جواهر چنین نقل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امرأة طلّقت و زنت بعد ما طلّقت بسنة، هل علیها الرجم؟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این نقل اشتباه است؛ زیرا، طلاق تا یک سال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به نقل روایت در</w:t>
      </w:r>
      <w:bookmarkStart w:id="304" w:name="pg16919_226962"/>
    </w:p>
    <w:p>
      <w:pPr>
        <w:pStyle w:val="BookText"/>
        <w:rPr/>
      </w:pPr>
      <w:bookmarkEnd w:id="304"/>
      <w:r>
        <w:rPr>
          <w:rFonts w:ascii="IRNazanin" w:hAnsi="IRNazanin" w:eastAsia="IRNazanin"/>
          <w:color w:val="111111"/>
          <w:sz w:val="28"/>
          <w:sz w:val="28"/>
          <w:szCs w:val="28"/>
          <w:rtl w:val="true"/>
          <w:lang w:bidi="fa-IR"/>
        </w:rPr>
        <w:t>کتب فقهی و استدلالی اعتماد کرد؛ بلکه باید به کتاب‌های دیگر روایی مراجعه شود تا موجب اشتباه و سر در گمی نگردد</w:t>
      </w:r>
      <w:r>
        <w:rPr>
          <w:rFonts w:eastAsia="IRNazanin" w:cs="IRNazanin"/>
          <w:color w:val="111111"/>
          <w:sz w:val="28"/>
          <w:szCs w:val="28"/>
          <w:rtl w:val="true"/>
          <w:lang w:bidi="fa-IR"/>
        </w:rPr>
        <w:t>.</w:t>
      </w:r>
    </w:p>
    <w:p>
      <w:pPr>
        <w:pStyle w:val="Heading6"/>
        <w:numPr>
          <w:ilvl w:val="5"/>
          <w:numId w:val="1"/>
        </w:numPr>
        <w:rPr/>
      </w:pPr>
      <w:bookmarkStart w:id="305" w:name="__RefHeading___Toc78814_3244359995"/>
      <w:bookmarkStart w:id="306" w:name="_Toc115"/>
      <w:bookmarkEnd w:id="305"/>
      <w:r>
        <w:rPr>
          <w:rtl w:val="true"/>
        </w:rPr>
        <w:t>حکم ازدواج در عدّه‌ی طلاق رجعی</w:t>
      </w:r>
      <w:bookmarkEnd w:id="306"/>
    </w:p>
    <w:p>
      <w:pPr>
        <w:pStyle w:val="BookText"/>
        <w:rPr/>
      </w:pPr>
      <w:r>
        <w:rPr>
          <w:rFonts w:ascii="IRNazanin" w:hAnsi="IRNazanin" w:eastAsia="IRNazanin"/>
          <w:color w:val="111111"/>
          <w:sz w:val="28"/>
          <w:sz w:val="28"/>
          <w:szCs w:val="28"/>
          <w:rtl w:val="true"/>
          <w:lang w:bidi="fa-IR"/>
        </w:rPr>
        <w:t>اگر زنی در عدّه طلاق رجعی شوهر کرده و به دنبال آن وطی شود، اگر عالم به موضوع و حکم بوده، مجازاتش رجم است؛ زیرا، زنای محصنه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با مطلّقه شدن از احصان خارج نشده است و ازدواج جدید هم با علم به بطلان، منشأ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وطی حرام و حرمت آن منجّز 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ازدواج کرده، ولی وطی واقع نشده باشد، رجم و شلاقی نیست؛ زیرا، رجم و شلاق به عنوان حدّ زنا در صورتی جاری می‌شوند که حقیقت زنا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 دوم نیز شرایط احصان را دارا باشد، به سبب نزدیکی، در صورتی که عالمِ به موضوع و حکم باشد، رجم می‌شود؛ زیرا، می‌دانسته که این زن در عدّه‌ی طلاق رجعی است و ازدواج و نزدیکی با چنین زنی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دو نفر، عالم، و دیگری جاهل باشد، بر فرد جاهل هیچ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اگر جاهل بودن یکی یا هر دو، محرز و معلوم باشد، حدّ جاری نمی‌شود؛ امّا اگر احراز جهل نکردیم، آیا ادّعای جهل را از یکی یا هر دو می‌توان پذیرفت؟</w:t>
      </w:r>
    </w:p>
    <w:p>
      <w:pPr>
        <w:pStyle w:val="BookText"/>
        <w:rPr/>
      </w:pPr>
      <w:r>
        <w:rPr>
          <w:rFonts w:ascii="IRNazanin" w:hAnsi="IRNazanin" w:eastAsia="IRNazanin"/>
          <w:color w:val="111111"/>
          <w:sz w:val="28"/>
          <w:sz w:val="28"/>
          <w:szCs w:val="28"/>
          <w:rtl w:val="true"/>
          <w:lang w:bidi="fa-IR"/>
        </w:rPr>
        <w:t xml:space="preserve">امام راحل رحمه الله در پاسخ، تفصیل می‌دهند؛ به این که اگر جهل در حقّ مدعیِ آن امکان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شرایطش به گونه‌ای است که با جهل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ادّعایش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مرسله‌ی صدوق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ادرؤوا الحدود بالشبهات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مضمون روایت، دفع حدود به واسطه‌ی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ادّعای جهل می‌کند و جهالت نیز در حقّش امکان دارد؛ یعنی یک مطلب خلاف قاعده و خلاف ظاهری</w:t>
      </w:r>
    </w:p>
    <w:p>
      <w:pPr>
        <w:pStyle w:val="BookText"/>
        <w:rPr/>
      </w:pPr>
      <w:r>
        <w:rPr>
          <w:rFonts w:ascii="IRNazanin" w:hAnsi="IRNazanin" w:eastAsia="IRNazanin"/>
          <w:color w:val="111111"/>
          <w:sz w:val="28"/>
          <w:sz w:val="28"/>
          <w:szCs w:val="28"/>
          <w:rtl w:val="true"/>
          <w:lang w:bidi="fa-IR"/>
        </w:rPr>
        <w:t>را ادّعا نمی‌کند؛ زیرا، در جایی زندگی می‌کرده که از مسائل اسلامی دور بوده‌اند، خودش نیز در وضعیّتی نیست که آشنا به احکام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او پذیرفته می‌شود؛ و نیازمند به قسم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مسأله ربطی به باب مدّعی و منکر ندارد تا گفته شود قول مدّعیِ جهل موافق اصل عدم علم است و هر که قولش با اصل مطابق باشد، منکر است و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مربوط به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مصداقی روشن برای آن روایت است؛ لذا حدّ رجم و جَلد از جاهل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قصوری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تصوّر نمی‌کردم ازدواج در عدّه‌ی طلاق حرام باشد، و خیال می‌کردم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جاهل مرکّب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بررسی کرده و می‌فهمد این ادّعا در حقّ او امکان دارد، به همین جهت، آن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نمی‌دانسته، امّا احتمال حرمت می‌داده و راه برای پرسیدن نیز باز بوده، ولی او کوتاهی کرده است؛ و حاکم پس از تفحّص از حال و ویژگی‌های زندگی‌اش ادّعای او را تأیید کرده است، آیا حدّ نسبت به این فرد هم ساقط است؟ عبارت تحریر الوسیله مطلق بوده، و هیچ صحبتی از جهل عن قصور و عن تقصیر نشده است، آیا می‌توان اطلاق را پذیرفت، 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با توجّه به آن‌چه در تعریف زنا فرموده‌اند، در نظر گرفت، و یا باید طریقی دیگر در حلّ مشکل پیمود؟</w:t>
      </w:r>
    </w:p>
    <w:p>
      <w:pPr>
        <w:pStyle w:val="BookText"/>
        <w:rPr/>
      </w:pPr>
      <w:r>
        <w:rPr>
          <w:rFonts w:ascii="IRNazanin" w:hAnsi="IRNazanin" w:eastAsia="IRNazanin"/>
          <w:color w:val="111111"/>
          <w:sz w:val="28"/>
          <w:sz w:val="28"/>
          <w:szCs w:val="28"/>
          <w:rtl w:val="true"/>
          <w:lang w:bidi="fa-IR"/>
        </w:rPr>
        <w:t>در این باب، دو روایت وجود دارد که بررسی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ذیل حدیث یزید کناسی آمده است که در استدلال بر مطلب اوّل به صدرش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ذلک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العالمین إلّاوهی تعلم أنّ علیها عدّة فی طلاق أو موت، ولقد کنّ نساء الجاهلیة یعرفن ذلک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عدّة ولا تدری کم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علیها العدّة لزمتها الحجّة، فتسأل حتّی تعلم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کردن شوهر در عدّه از روی جهالت به مسأله و حکم باشد، حکمش چیست؟ ظاهر سؤال با قطع نظر از جواب امام رحمه الله بیان گر این است که جهالت واقعاً محقّق بوده است؛ امّا از جواب امام علیه السلام فهمیده می‌شود ادّعای جهالت است و نه جهالت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مدّت زیادی از صدر اسلام گذشته و احکام اسلام به تدریج برای مردم بیان شده است تمام زن‌های مسلمان می‌دانند برای طلاق و وفات باید عدّه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مطلبی بالاتر می‌فرماید،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عهد جاهلیّت نیز این مطلب را می‌دانستند تا چه رسد به عصر و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علیه السلام با ادّعای جهالت تطبیق می‌کند، ولی با جهالت واقعی مطابقتی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قسمت روایت فهمیده می‌شود ادّعای جهالت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اصل عدّه را می‌داند، امّا به مقدار آن جاهل است، حکمش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عدّه را دانست، حجّت الهی گریبان او را می‌گیرد؛ بنابراین، باید سؤال کند تا بفهمد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گفتیم این زن باید استصحاب بقای عدّه را جاری کند تا یقین به خروج از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حجّتی که گریبان‌گیر او می‌شود همان استصحاب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امام علیه السلام این مطلب را می‌خواسته بفرماید، یا این‌که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فتسأل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هر کجا راه سؤال باز باشد و بتواند از این طریق علم پیدا کند، معذور نبوده و عذرش پذیرفته نمی‌شود؟ در روایتِ راوی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فتسأل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بنابراین در جایی که علم هم نباشد، استصحابی هم جاری نکرده، لیکن باب علم مفتوح و راه سؤال باز است، از دایره‌ی عذر بیرون و ادّعای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صحیحه‌ی ابی عبیده است که به آن نیز در گذشته اشاره کرده‌ایم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جاهلة بما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هی فی دار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النساء المسلمین إلّاوهی تعلم أنّ‌المرأة المسلمة لا یحلّ لها أن تتزوّج 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المرأة إذا فجرت،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أو جهلت أنّ الذی فعلت حرام ولم یقم علیها الحدّ إذاً لتعطّلت الحدود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سؤال درباره‌ی زنی است که با وجود شوهر، شوهر دیگری اختیار کرده است، اگر این عمل او از روی جهالت باشد، چه حکمی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سؤال راوی در این روایت نیز جهل واقعی است، ولی با توجّه به جواب امام علیه السلام می‌فهمیم مقصود ادّعای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دار اسلام زندگی نمی‌کند؟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ادّعایش پذیرفته نمی‌شود؛ زیرا، امکان جهل در حقّ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مسلمان در دار اسلام می‌دانند یک زن مسلمان نمی‌تواند هم زمان دو شوهر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مرتکب زنا شود، آن گاه که از او می‌پرسند چرا این کار را انجام دادی؟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یا نمی‌دانستم که این عمل حرام است؛ لازمه‌ی پذیرفتن ادّعای او و جاری نکردن حدّ، تعطیلی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این دو روایت، این است که در هر موردی که احتمال جهل در حقّ شخص امکان داشته باشد، مشکلی نیست؛ امّا اگر راه سؤال باز باشد، به خصوص در جایی که حجّتی نیز وجود داشته باشد، مثل این‌که علم به عدّه یا استصحاب بقای عدّه دارد، ادّعایش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تزویج به زوجین نیز با توجّه به جریان اصالة الفسادی که در معاملات به معنای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نکاح را نیز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در مشروعیّت ازدواج دوم شک دارد و استصحاب بقای عدم مشروعیّت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زنی که احتمال عدم مشروعیّت بدهد، ادّعای جهل از او پذیرفته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موردی را بتوان فرض کرد که جاهل مقصّر است و هیچ احتمال حرمت نمی‌دهد، حالت سابقه و علمی هم ندارد،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در حقّش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جهت و این معنا بهتر از آن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فتسأل حتّی تعلم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تکیه کنیم</w:t>
      </w:r>
      <w:r>
        <w:rPr>
          <w:rFonts w:eastAsia="IRNazanin" w:cs="IRNazanin"/>
          <w:color w:val="111111"/>
          <w:sz w:val="28"/>
          <w:szCs w:val="28"/>
          <w:rtl w:val="true"/>
          <w:lang w:bidi="fa-IR"/>
        </w:rPr>
        <w:t>.</w:t>
      </w:r>
      <w:bookmarkStart w:id="307" w:name="pg16919_226966"/>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الطلاق البائن فی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المرء وکذا المرأة عن الإحصان بالطلاق البائن کالخلع والمباراة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 المخالع لیس علیه الرجم إلّابعد الدخول</w:t>
      </w:r>
      <w:r>
        <w:rPr>
          <w:rFonts w:eastAsia="IRNazanin" w:cs="IRNazanin"/>
          <w:color w:val="111111"/>
          <w:sz w:val="28"/>
          <w:szCs w:val="28"/>
          <w:rtl w:val="true"/>
          <w:lang w:bidi="fa-IR"/>
        </w:rPr>
        <w:t>.</w:t>
      </w:r>
    </w:p>
    <w:p>
      <w:pPr>
        <w:pStyle w:val="Heading4"/>
        <w:numPr>
          <w:ilvl w:val="3"/>
          <w:numId w:val="1"/>
        </w:numPr>
        <w:rPr/>
      </w:pPr>
      <w:bookmarkStart w:id="308" w:name="__RefHeading___Toc78816_3244359995"/>
      <w:bookmarkStart w:id="309" w:name="_Toc116"/>
      <w:bookmarkEnd w:id="308"/>
      <w:r>
        <w:rPr>
          <w:rtl w:val="true"/>
        </w:rPr>
        <w:t>تأثیر طلاق بائن در احصان</w:t>
      </w:r>
      <w:bookmarkEnd w:id="309"/>
    </w:p>
    <w:p>
      <w:pPr>
        <w:pStyle w:val="BookText"/>
        <w:rPr/>
      </w:pPr>
      <w:r>
        <w:rPr>
          <w:rFonts w:ascii="IRNazanin" w:hAnsi="IRNazanin" w:eastAsia="IRNazanin"/>
          <w:color w:val="111111"/>
          <w:sz w:val="28"/>
          <w:sz w:val="28"/>
          <w:szCs w:val="28"/>
          <w:rtl w:val="true"/>
          <w:lang w:bidi="fa-IR"/>
        </w:rPr>
        <w:t>طلاق بائن سبب می‌شود که مرد و زن از عنوان محصن بودن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طلاقی که به زن یائسه یا صغیره یا غیر مدخول بها داده باشند، عدّه نیست؛ به مجرّد این که زن را طلاق دادند، می‌تواند شوهر کند و زوجیّت سابق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سابق نیز حقّ رجوع ندارد، مگر این‌که او را با عقد جدید به زوجیّت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طلاق اگر بدون فاصله پس از طلاق، زن یا شوهر مرتکب زنا شدند، زنای محصنه نخواهد بود؛ زیرا، در حال زنا، زوجیّتی نبوده است، و با انتفای بعضی از شرایط، احصان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خلع یا مبارات، با فرض دخول به زن قبل از طلاق، عدّه هست؛ لیکن در ایّام عدّه، مرد حقّ رجوع به زن را ندارد؛ مگر در صورتی که زن در آن‌چه بذل کرده است،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حقّ رجوع در طلاق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این است که آیا به مجرّد رجوع زن در بذل و حقّ رجوع پیدا کردن مرد در طلاق، احکام طلاق رجعی مترتّب می‌شود، و زنای بعد از رجوع زنای محصنه است، و یا این حکم، مخصوص طلاقی است که از اوّل رجعی بوده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رجوع عملی مرد در طلاق خلع، تا زمانی که پس از رجوع به زن، وطی نکرده باشد تا وطی به اهل صادق آید، زنای مرد یا زن محصنه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قضیّه نزد فقها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مطلّقه‌ی رجعی به حکم زوجه است و آثار زوجیّت بر آن مترتّب می‌شود؛ و مطلّقه‌ی بائن به حکم اجنبی است و آثار زوجیّت بر آن بار نمی‌شود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اطلاق صحیحه‌ی یزید کناسی است که بر هر دو قضیّه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تزوّجت فی عدّة طلاق لزوجها علیها الرجعة فإنّ علیها الرجم، وإن کانت تزوّجت فی عدّة لیس لزوجها علیها الرجعة فإنّ علیها حدّ الزانی غیر المحصن</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مفاد روایت این است که اگر در عدّه‌ی طلاق رجعی مرتکب زنا شود، سنگسار می‌شود؛ و اگر در عدّه‌ای است که شوهر حقّ رجوع ندارد، حدّ زنای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خلع پس از رجوع زن در بذل، صادق است که زن در عدّه‌ای است که شوهرش در آن حقّ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 نوع عدّه را بیان می‌کند که به حسب ذات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در طبیعتش حقّ رجوع برای زوج هست، و این مربوط به طلاق رجعی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در حقیقتش حقّ رجوع نیست، اگر چه ممکن است در بعضی از احوال حقّ رجوع پیدا کند، امّا این عارضی بوده و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طلاق خلع را نمی‌توان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فی عدّة لزوجها علیها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 هر چند زن در بذل خود رجوع کرده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را که امام راحل رحمه الله در مسأله دوازدهم فرموده، تمام است؛ یعنی زن و مرد به وسیله‌ی طلاق بائن از احصان خارج می‌شوند؛ خواه طلاق بائنی باشد که عدّه ندارد و یا طلاق بائنی باشد که عدّه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طلاق خلع، اگر مخالع رجوع کند تا زمانی که پس از رجوع باشد و به زن دخول نکند، زنای آنان محصنه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رجوع علّت است برای آمدن زوجیّت جدید، و نه بقای زوجیّت سابق</w:t>
      </w:r>
      <w:r>
        <w:rPr>
          <w:rFonts w:eastAsia="IRNazanin" w:cs="IRNazanin"/>
          <w:color w:val="111111"/>
          <w:sz w:val="28"/>
          <w:szCs w:val="28"/>
          <w:rtl w:val="true"/>
          <w:lang w:bidi="fa-IR"/>
        </w:rPr>
        <w:t>.</w:t>
      </w:r>
      <w:bookmarkStart w:id="310" w:name="pg16919_226968"/>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الإسلام فی تحقّق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الإحصان الإسلام فی أحد منهما، فیحصن النصرانی النصرانیة وبالعکس، والنصرانی الیهودیة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وطأ غیر مسلم زوجته الدائمة ثمّ زنی یرجم، ولا یشترط صحّة عقدهم إلّاعندهم، فلو صحّ عندهم وبطل عندنا کفی فی الحکم بالرجم</w:t>
      </w:r>
      <w:r>
        <w:rPr>
          <w:rFonts w:eastAsia="IRNazanin" w:cs="IRNazanin"/>
          <w:color w:val="111111"/>
          <w:sz w:val="28"/>
          <w:szCs w:val="28"/>
          <w:rtl w:val="true"/>
          <w:lang w:bidi="fa-IR"/>
        </w:rPr>
        <w:t>.</w:t>
      </w:r>
    </w:p>
    <w:p>
      <w:pPr>
        <w:pStyle w:val="Heading4"/>
        <w:numPr>
          <w:ilvl w:val="3"/>
          <w:numId w:val="1"/>
        </w:numPr>
        <w:rPr/>
      </w:pPr>
      <w:bookmarkStart w:id="311" w:name="__RefHeading___Toc78818_3244359995"/>
      <w:bookmarkStart w:id="312" w:name="_Toc117"/>
      <w:bookmarkEnd w:id="311"/>
      <w:r>
        <w:rPr>
          <w:rtl w:val="true"/>
        </w:rPr>
        <w:t>تأثیر اسلام در احصان</w:t>
      </w:r>
      <w:bookmarkEnd w:id="312"/>
    </w:p>
    <w:p>
      <w:pPr>
        <w:pStyle w:val="Heading5"/>
        <w:numPr>
          <w:ilvl w:val="4"/>
          <w:numId w:val="1"/>
        </w:numPr>
        <w:rPr/>
      </w:pPr>
      <w:bookmarkStart w:id="313" w:name="__RefHeading___Toc78820_3244359995"/>
      <w:bookmarkStart w:id="314" w:name="_Toc11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یکی از شرایط احصان مرد یا زن زناکار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قانون کلّی، این مطلب را تفریع می‌کند که شوهر نصرانی سبب احصان زوجه‌ی نصرانی‌اش می‌شود و برعکس، در صورتی که نکاح آن دو بر مذهب نصرانیّت صحیح باشد؛ هر چند نزد ما و براساس اصول و قواعد اسلام نکاح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زوج یا زوجه‌ی نصرانی مرتکب زنا شود، و شرایط احصان در زانی موجود باشد، پس از مراجعه به قاضی مسلمان حاکم مخیّر است حکم را به مذهب اسلام یا مذهب مسیحیّت در حقّ زنا کار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اراده‌ی اجرای حکم اسلام را دارد، باید شرایط احصان موجود باشد تا زانی را رجم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درباره‌ی زن نصرانی و شوهر یهودی یا بر عکس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غیر مسلمانی به 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کرده باشد، و پس از آن، به زن دیگری دخول کرده که به مذهب خودش نکاح شمرده نمی‌شود، باید او را رجم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رجم، صحّت عقد نزد مسلمانان نیست؛ بلکه ملاک، مذهب زانی است، هر چند از نظر ما عقد باطلی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گذشته نیز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برای هر قومی نکاح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مسأله سیزدهم را در رابطه با نصرانی و یهودی مطرح کرده، و نامی از</w:t>
      </w:r>
      <w:bookmarkStart w:id="315" w:name="pg16919_226969"/>
    </w:p>
    <w:p>
      <w:pPr>
        <w:pStyle w:val="BookText"/>
        <w:rPr/>
      </w:pPr>
      <w:bookmarkEnd w:id="315"/>
      <w:r>
        <w:rPr>
          <w:rFonts w:ascii="IRNazanin" w:hAnsi="IRNazanin" w:eastAsia="IRNazanin"/>
          <w:color w:val="111111"/>
          <w:sz w:val="28"/>
          <w:sz w:val="28"/>
          <w:szCs w:val="28"/>
          <w:rtl w:val="true"/>
          <w:lang w:bidi="fa-IR"/>
        </w:rPr>
        <w:t>مسلمانان به میان نیاوردند، این است که مرد مسلمان نمی‌تواند زوجه‌ی نصرانی و یا یهودی به عقد دائم داشته باشد، هر چند می‌تواند به عقد موقّت با اهل کتاب ازدواج کند؛ امّا متعه، سبب احصان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یمین نیز اختلاف بود که اگر مسلمانی کنیز یهودی یا نصرانی داشته باشد، آیا موجب احصان هست یا نه؟</w:t>
      </w:r>
    </w:p>
    <w:p>
      <w:pPr>
        <w:pStyle w:val="Heading5"/>
        <w:numPr>
          <w:ilvl w:val="4"/>
          <w:numId w:val="1"/>
        </w:numPr>
        <w:rPr/>
      </w:pPr>
      <w:bookmarkStart w:id="316" w:name="__RefHeading___Toc78822_3244359995"/>
      <w:bookmarkStart w:id="317" w:name="_Toc119"/>
      <w:bookmarkEnd w:id="316"/>
      <w:r>
        <w:rPr>
          <w:rtl w:val="true"/>
        </w:rPr>
        <w:t>دلیل تعمیم احصان به غیر مسلمان از یهودی و نصرانی</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اطلاقات و عموماتی که در باب احصان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 عن محمّد بن عبدالجبّار، عن صفوان، عن إبن سنان یعنی عبداللّه، عن اسماعیل بن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المحصن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فرج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و برای تعمیم است؛ یعنی هر که یک فرج مملوکی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به ازدواج یا به ملک یمین و صبح و شام در اختیار او باشد، محصن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با توجّه به موصول و اشتراک احکام بین مسلمانان و کفّار، تعمیم حکم احصان در مسلمان و غیر مسلمان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عیسی بن عبید، عن یونس،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وعنده ما یغنیه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همانند روایت سابق تعمیم دارد و شامل مسلمان و غیر مسلمان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به‌خصوص بر این مطلب دلالت دارد؛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العلاء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والنصرانی یحصن الیهودیّة والیهودیّة یحصن النصرانیة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نصرانی سبب احصان همسر یهودی خود می‌شود، یهودی نیز موجب احصان نصرانی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نصرانی بر نصرانی احصان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عیسی، عن محمّد بن عیسی، عن عبداللّه بن المغیرة، عن اسماعیل بن أبی زیاد، عن جعفر بن محمّد، عن آبائه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أبی بکر کتب إلی علیّ علیه السلام فی الرجل زنی بالمرأة الیهودیة والنصرانیة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محصناً فارجمه، وإن کان بکراً فاجلده مائة جلدة ثمّ انفِهِ، وأمّا الیهودیّة فابعث بها إلی أهل ملّتها فلیقضوا فیها ما أحبّوا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زنا کردن مرد مسلمان با زن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محمّد بن ابی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زنا کار محصن است، او را رجم کن؛ و اگر همسر ندارد و بکر است، به او صد تازیانه بزن و تبعیدش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یهودی را نزد هم کیشانش بفرست تا هر حکمی خواستند درباره‌ی او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روایات گذشته این بود که اسلام در تحقّق احصان دخالتی ندارد؛ ولی از این روایت استفاده می‌شود در اتّصاف زنای مرد مسلمان به احصان، مسلمان بودن زانیه لازم نیست؛ بلکه اگر مسلمانی با زن یهودی زنا کند و شرایط احصان را داشته باشد، رجم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عمومات و روایت محمّد بن مسلم بر عدم نقش اسلام در احصان مرد و زن زناکار تکیه داشت، امّا روایت اخیر فقط در جهت بیان عدم نقش در طرف مرد</w:t>
      </w:r>
    </w:p>
    <w:p>
      <w:pPr>
        <w:pStyle w:val="BookText"/>
        <w:rPr/>
      </w:pPr>
      <w:r>
        <w:rPr>
          <w:rFonts w:ascii="IRNazanin" w:hAnsi="IRNazanin" w:eastAsia="IRNazanin"/>
          <w:color w:val="111111"/>
          <w:sz w:val="28"/>
          <w:sz w:val="28"/>
          <w:szCs w:val="28"/>
          <w:rtl w:val="true"/>
          <w:lang w:bidi="fa-IR"/>
        </w:rPr>
        <w:t>مسلمانِ زنا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معارضی وجود دارد که باید بررسی شود آیا با هر دو دسته معارض است یا با یکی از آن‌ها؟</w:t>
      </w:r>
    </w:p>
    <w:p>
      <w:pPr>
        <w:pStyle w:val="BookText"/>
        <w:rPr/>
      </w:pPr>
      <w:r>
        <w:rPr>
          <w:rFonts w:ascii="IRNazanin" w:hAnsi="IRNazanin" w:eastAsia="IRNazanin"/>
          <w:color w:val="111111"/>
          <w:sz w:val="28"/>
          <w:sz w:val="28"/>
          <w:szCs w:val="28"/>
          <w:rtl w:val="true"/>
          <w:lang w:bidi="fa-IR"/>
        </w:rPr>
        <w:t>بإسناده عن محمّد بن أحمد بن یحیی، عن أحمد بن محمّد، عن الحسن بن محبوب، عن العلاء، عن محمّد بن مسلم، عن أبی جعفر فی الّذی یأتی ولیدة امرأته بغیر إذنها، علیه ما علی الزانی یجلد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یرجم إن زنی بیهودیة أو نصرانیة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فجر بامرأة حرّة وله امرأة حرّة فإن علیه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تحصنه الأمة والیهودیة والنصرانیة إن زنی بحرّة کذلک لا یکون علیه حدّ المحصن إن زنی بیهودیة أو نصرانیة أو أمة وتحته حرّة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کنیز زوجه‌اش بدون اجازه‌ی او نزدیکی کند، حکم او حکم مرد زناکار است و صد تازیانه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زن یهودی یا نصرانی یا کنیزی زنا کرد، او را سنگسار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آزادی زنا کند در حالی که همسر حرّی داشته باشد، رجم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آخر روایت در بیان چیست؟ آیا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زوجه‌ای که کنیز یا یهودی یا نصرانی باشد، زوجیّت او سبب احصان شوهرش نمی‌شود، هر چند شوهرش غیر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صحیحه‌ی دیگر محمّد بن مسلم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مفاد روایت این است که زن یهودی یا نصرانی یا کنیز سبب احصان شوهر مسلمانشان نمی‌شود؟ در این حال، با توجّه به این که ازدواج دائم با یهودی و نصرانی جایز نیست، با آن صحیحه معارض نیست، ولی با روایت محمّد بن ابی بکر منافات دارد؛ زیرا، در آن روایت، مسلمان بودن زانیه در اجرای رجم شرط نبود، اگر با زن یهودی زنا می‌کرد، سنگسار می‌شد؛ ولی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با یهودی موجب رجم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فتوای اصحاب بر اساس روایتی است که در تحقّق احصان، مسلمان بودن مزنیّ‌بها را شرط نمی‌داند؛ لذا، این عمل اصحاب موجب تصحیح روایت مکاتبه‌ی محمّد بن ابی بکر و ترجیح آن می‌شود؛ یعنی فرقی نمی‌کند که مزنیّ بها یهودی، یا نصرانی و یا کنیز باشد</w:t>
      </w:r>
      <w:r>
        <w:rPr>
          <w:rFonts w:eastAsia="IRNazanin" w:cs="IRNazanin"/>
          <w:color w:val="111111"/>
          <w:sz w:val="28"/>
          <w:szCs w:val="28"/>
          <w:rtl w:val="true"/>
          <w:lang w:bidi="fa-IR"/>
        </w:rPr>
        <w:t>.</w:t>
      </w:r>
      <w:bookmarkStart w:id="318" w:name="pg16919_226973"/>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الارتداد فی الخروج عن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ارتدّ المحصن عن فطرة خرج عن الإحصان، لبینونة زوجته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ارتدّ عن ملّة فإن زنی بعد عدّة زوجتها لیس محصناً وإلّا فهو محصن</w:t>
      </w:r>
      <w:r>
        <w:rPr>
          <w:rFonts w:eastAsia="IRNazanin" w:cs="IRNazanin"/>
          <w:color w:val="111111"/>
          <w:sz w:val="28"/>
          <w:szCs w:val="28"/>
          <w:rtl w:val="true"/>
          <w:lang w:bidi="fa-IR"/>
        </w:rPr>
        <w:t>.</w:t>
      </w:r>
    </w:p>
    <w:p>
      <w:pPr>
        <w:pStyle w:val="Heading4"/>
        <w:numPr>
          <w:ilvl w:val="3"/>
          <w:numId w:val="1"/>
        </w:numPr>
        <w:rPr/>
      </w:pPr>
      <w:bookmarkStart w:id="319" w:name="__RefHeading___Toc78824_3244359995"/>
      <w:bookmarkStart w:id="320" w:name="_Toc120"/>
      <w:bookmarkEnd w:id="319"/>
      <w:r>
        <w:rPr>
          <w:rtl w:val="true"/>
        </w:rPr>
        <w:t>تأثیر ارتداد در احصان</w:t>
      </w:r>
      <w:bookmarkEnd w:id="320"/>
    </w:p>
    <w:p>
      <w:pPr>
        <w:pStyle w:val="Heading5"/>
        <w:numPr>
          <w:ilvl w:val="4"/>
          <w:numId w:val="1"/>
        </w:numPr>
        <w:rPr/>
      </w:pPr>
      <w:bookmarkStart w:id="321" w:name="__RefHeading___Toc78826_3244359995"/>
      <w:bookmarkStart w:id="322" w:name="_Toc12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در مورد ارتداد، در دو باب از ابواب فقه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ارث؛ زیرا، یکی از موانع ارث، کفر و ارتداد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حدود، از آن جهت که یکی از موجبات حدّ،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بحث می‌شود آیا ارتداد موجب خروج از احصان می‌گردد یا نه؟</w:t>
      </w:r>
    </w:p>
    <w:p>
      <w:pPr>
        <w:pStyle w:val="BookText"/>
        <w:rPr/>
      </w:pPr>
      <w:r>
        <w:rPr>
          <w:rFonts w:ascii="IRNazanin" w:hAnsi="IRNazanin" w:eastAsia="IRNazanin"/>
          <w:color w:val="111111"/>
          <w:sz w:val="28"/>
          <w:sz w:val="28"/>
          <w:szCs w:val="28"/>
          <w:rtl w:val="true"/>
          <w:lang w:bidi="fa-IR"/>
        </w:rPr>
        <w:t>به گونه‌ای که اگر شخصی تمام شرایط احصان را داشت، و قبل از زنا مرتدّ شد، آیا می‌توان او را رجم کرد؟ آیا بین مرتدّ ملّی و فطری فرقی هست؟</w:t>
      </w:r>
    </w:p>
    <w:p>
      <w:pPr>
        <w:pStyle w:val="Heading5"/>
        <w:numPr>
          <w:ilvl w:val="4"/>
          <w:numId w:val="1"/>
        </w:numPr>
        <w:rPr/>
      </w:pPr>
      <w:bookmarkStart w:id="323" w:name="__RefHeading___Toc78828_3244359995"/>
      <w:bookmarkStart w:id="324" w:name="_Toc122"/>
      <w:bookmarkEnd w:id="323"/>
      <w:r>
        <w:rPr>
          <w:rtl w:val="true"/>
        </w:rPr>
        <w:t>مرتدّ فطری و احکام آن</w:t>
      </w:r>
      <w:bookmarkEnd w:id="324"/>
    </w:p>
    <w:p>
      <w:pPr>
        <w:pStyle w:val="BookText"/>
        <w:rPr/>
      </w:pPr>
      <w:r>
        <w:rPr>
          <w:rFonts w:ascii="IRNazanin" w:hAnsi="IRNazanin" w:eastAsia="IRNazanin"/>
          <w:color w:val="111111"/>
          <w:sz w:val="28"/>
          <w:sz w:val="28"/>
          <w:szCs w:val="28"/>
          <w:rtl w:val="true"/>
          <w:lang w:bidi="fa-IR"/>
        </w:rPr>
        <w:t>مرتدّ فطری انسانی است که در حال انعقاد نطفه‌اش، یکی از پدر یا مادر و یا هر دو مسلمان باشند؛ پس از تولّد، این کودک به اشرف ابوین ملحق می‌شود؛ یعنی به هر کدام که مسلمان است، ملحق شده و احکام اسلام بر او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اگر پس از بلوغ، به شهادتین و مسائل مربوط به اسلام اقرار کند و بعد از مدّتی، از اسلام برگشته و حالت کفر و ارتداد پیدا کند، به چنین ارتدادی، ارتداد فطری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در صورتی که مرتدّ فطری مرد باشد، باید کشته شود و توبه‌اش در ظاهر قبول نیست؛ حتّی اگر در همان لحظه‌های اوّل ارتداد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ارتداد، حکم میّت بر او بار شده، اموالش به ورثه منتقل و بین آنان به ترتیبی که در کتاب ارث ذکر شده است،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به‌جهت ارتداد، از او جدا شده و عدّه‌ی وفات نگاه می‌دارد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توبه‌ی او در بازگشت اموال و زوجه‌اش اثر ندارد، هر چند نسبت به بعضی از احکام دیگر مؤثر است؛ مانند این که پس از توبه، به طهارت بدن و صحّت عباداتی که انجام</w:t>
      </w:r>
      <w:bookmarkStart w:id="325" w:name="pg16919_226974"/>
    </w:p>
    <w:p>
      <w:pPr>
        <w:pStyle w:val="BookText"/>
        <w:rPr/>
      </w:pPr>
      <w:bookmarkEnd w:id="325"/>
      <w:r>
        <w:rPr>
          <w:rFonts w:ascii="IRNazanin" w:hAnsi="IRNazanin" w:eastAsia="IRNazanin"/>
          <w:color w:val="111111"/>
          <w:sz w:val="28"/>
          <w:sz w:val="28"/>
          <w:szCs w:val="28"/>
          <w:rtl w:val="true"/>
          <w:lang w:bidi="fa-IR"/>
        </w:rPr>
        <w:t>می‌دهد،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کسب می‌کند را مالک می‌شود؛ و اگر شخصی بمیرد که فردِ تائب، وارث او باشد، از او ارث می‌برد؛ و می‌تواند با همسر سابقش با عقد جدید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مرتدّ فطری شد، او را حبس ابد کرده و در اوقات نماز کتک می‌زنند؛ در غذا و طعام بر او سخت گرفته و مرتّب از او طلب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توبه کند، از زندان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مرتدّ شود، به محض ارتداد از شوهر جدا شده و باید عدّه‌ی طلاق نگاه دارد؛ زیرا، ارتداد از ناحیه‌ی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عدّه، توبه کرد، نیاز به نکاح جدید نیست؛ و توبه‌ی زن، مانند رجوع مرد در طلاق 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 تمام شد و توبه نکرد، امّا پس از گذشتن عدّه توبه کند، باید با عقد جدید به نکاح همسر سابقش درآید</w:t>
      </w:r>
      <w:r>
        <w:rPr>
          <w:rFonts w:eastAsia="IRNazanin" w:cs="IRNazanin"/>
          <w:color w:val="111111"/>
          <w:sz w:val="28"/>
          <w:szCs w:val="28"/>
          <w:rtl w:val="true"/>
          <w:lang w:bidi="fa-IR"/>
        </w:rPr>
        <w:t>.</w:t>
      </w:r>
    </w:p>
    <w:p>
      <w:pPr>
        <w:pStyle w:val="Heading5"/>
        <w:numPr>
          <w:ilvl w:val="4"/>
          <w:numId w:val="1"/>
        </w:numPr>
        <w:rPr/>
      </w:pPr>
      <w:bookmarkStart w:id="326" w:name="__RefHeading___Toc78830_3244359995"/>
      <w:bookmarkStart w:id="327" w:name="_Toc123"/>
      <w:bookmarkEnd w:id="326"/>
      <w:r>
        <w:rPr>
          <w:rtl w:val="true"/>
        </w:rPr>
        <w:t>بررسی تأثیر ارتداد فطری در احصان</w:t>
      </w:r>
      <w:bookmarkEnd w:id="327"/>
    </w:p>
    <w:p>
      <w:pPr>
        <w:pStyle w:val="BookText"/>
        <w:rPr/>
      </w:pPr>
      <w:r>
        <w:rPr>
          <w:rFonts w:ascii="IRNazanin" w:hAnsi="IRNazanin" w:eastAsia="IRNazanin"/>
          <w:color w:val="111111"/>
          <w:sz w:val="28"/>
          <w:sz w:val="28"/>
          <w:szCs w:val="28"/>
          <w:rtl w:val="true"/>
          <w:lang w:bidi="fa-IR"/>
        </w:rPr>
        <w:t>ارتداد فطری مرد سبب جدا شدن زوجه‌ی او شده و همسرش باید عدّه‌ی وفات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وفات نیز در عدم رجوع، مانند عدّه طلاق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گفته شد طلاق بائن سبب خروج مرد و زن از احصان است؛ زیرا، موضوعی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علیه ویروح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نیست و حقّ رجوعی نیز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زنای هر کدام از زن و مرد پس از ارتداد فطری مرد، محصنه نخواهد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حکم ارتداد فطری زن نیز مانند ارتداد فطری مرد است؟ امام راحل رحمه الله در تحریر الوسیلة متعرّض این مطلب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این جهت را نیز مطرح می‌کردند؛ زیرا، همان‌گونه که در حدّ، بین مرد و زن در ارتداد فطری تفاوت است، در خروج از احصان نیز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ارتداد مرد، هر دو از احصان خارج می‌شوند، امّا اگر زن مرتدّ شود، با امکان توبه‌ی او، امکان بازگشت زوجیّت هست؛ لذا، احصان نسبت به هیچ‌کدام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باید این فرع را نیز متذکّر می‌شدند تا کسی از عبارت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ارتدّ المحصن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الغای خصوصیت نکند، و توهّم نکند حکم ارتداد فطری در زن و مرد یکسان است</w:t>
      </w:r>
      <w:r>
        <w:rPr>
          <w:rFonts w:eastAsia="IRNazanin" w:cs="IRNazanin"/>
          <w:color w:val="111111"/>
          <w:sz w:val="28"/>
          <w:szCs w:val="28"/>
          <w:rtl w:val="true"/>
          <w:lang w:bidi="fa-IR"/>
        </w:rPr>
        <w:t>.</w:t>
      </w:r>
      <w:bookmarkStart w:id="328" w:name="pg16919_226975"/>
    </w:p>
    <w:p>
      <w:pPr>
        <w:pStyle w:val="Heading5"/>
        <w:numPr>
          <w:ilvl w:val="4"/>
          <w:numId w:val="1"/>
        </w:numPr>
        <w:rPr/>
      </w:pPr>
      <w:bookmarkStart w:id="329" w:name="__RefHeading___Toc78832_3244359995"/>
      <w:bookmarkStart w:id="330" w:name="_Toc124"/>
      <w:bookmarkEnd w:id="328"/>
      <w:bookmarkEnd w:id="329"/>
      <w:r>
        <w:rPr>
          <w:rtl w:val="true"/>
        </w:rPr>
        <w:t>مرتد ملّی و احکام آن</w:t>
      </w:r>
      <w:bookmarkEnd w:id="330"/>
    </w:p>
    <w:p>
      <w:pPr>
        <w:pStyle w:val="BookText"/>
        <w:rPr/>
      </w:pPr>
      <w:r>
        <w:rPr>
          <w:rFonts w:ascii="IRNazanin" w:hAnsi="IRNazanin" w:eastAsia="IRNazanin"/>
          <w:color w:val="111111"/>
          <w:sz w:val="28"/>
          <w:sz w:val="28"/>
          <w:szCs w:val="28"/>
          <w:rtl w:val="true"/>
          <w:lang w:bidi="fa-IR"/>
        </w:rPr>
        <w:t>قدر متیقّن از مرتد ملّی، انسانی است که در حال انعقاد نطفه‌اش هیچ یک از پدر و مادر او مسلمان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این طفل تابع پدر و مادر و محکوم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بلوغ به کفر اقرار کند، کفر تبعیِ در حال طفولیّت به کفر اصلی استقلالی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چنین فردی مسلمان شود، و پس از گذشت زمانی، از اسلام برگردد، مرتد 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مرتد ملّی مرد باشد، تا سه روز او را توبه می‌دهند؛ در صورتی که توبه کرد، توبه‌ی او در ظاهر و واقع پذیرفته می‌شود؛ و اگر بر کفر اصرار ورزید، پس از سه روز توبه دادن،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ارتداد او، همسرش جدا می‌شود و باید عدّه‌ی طلاق نگاه دارد، و نه 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ایّام عدّه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مرتدّ ملّی زن باشد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سابق برگشته و استمرار پیدا می‌کند؛ ولی اگر عدّه گذشت، کشف می‌شود از همان لحظه‌ی ارتداد، جدایی حاصل شده است؛ مانند طلا رجعی که شوهر در ایام عدّه رجوع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توبه بعد از عدّه بود، باید عقد جدیدی خوانده شود تا این زن و مرد به یکدیگر حلال شوند</w:t>
      </w:r>
      <w:r>
        <w:rPr>
          <w:rFonts w:eastAsia="IRNazanin" w:cs="IRNazanin"/>
          <w:color w:val="111111"/>
          <w:sz w:val="28"/>
          <w:szCs w:val="28"/>
          <w:rtl w:val="true"/>
          <w:lang w:bidi="fa-IR"/>
        </w:rPr>
        <w:t>.</w:t>
      </w:r>
    </w:p>
    <w:p>
      <w:pPr>
        <w:pStyle w:val="Heading5"/>
        <w:numPr>
          <w:ilvl w:val="4"/>
          <w:numId w:val="1"/>
        </w:numPr>
        <w:rPr/>
      </w:pPr>
      <w:bookmarkStart w:id="331" w:name="__RefHeading___Toc78834_3244359995"/>
      <w:bookmarkStart w:id="332" w:name="_Toc125"/>
      <w:bookmarkEnd w:id="331"/>
      <w:r>
        <w:rPr>
          <w:rtl w:val="true"/>
        </w:rPr>
        <w:t>بررسی تأثیر ارتداد ملّی در احصان</w:t>
      </w:r>
      <w:bookmarkEnd w:id="332"/>
    </w:p>
    <w:p>
      <w:pPr>
        <w:pStyle w:val="BookText"/>
        <w:rPr/>
      </w:pPr>
      <w:r>
        <w:rPr>
          <w:rFonts w:ascii="IRNazanin" w:hAnsi="IRNazanin" w:eastAsia="IRNazanin"/>
          <w:color w:val="111111"/>
          <w:sz w:val="28"/>
          <w:sz w:val="28"/>
          <w:szCs w:val="28"/>
          <w:rtl w:val="true"/>
          <w:lang w:bidi="fa-IR"/>
        </w:rPr>
        <w:t>اگر زنا پس از ارتداد ملّی واقع شود، در صورتی که در زمان عدّه باشد، زنا، زنای محصنه است؛ زیرا، عدّه‌ی ارتداد ملّی همانند عدّه‌ی طلاق رجعی است؛ و فقط در کیفیّت رجوع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ارتداد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محقّق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 پس از گذشتن عدّه‌ی ارتداد ارتکاب یافته باشد، محصنه نخواهد بود؛ زیرا، زوجیّتی بین زن و مرد باقی نیست تا متمکّن از یکدیگر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علیه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w:t>
      </w:r>
      <w:bookmarkStart w:id="333" w:name="pg16919_226976"/>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الأعمی إذا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الحدّ رجماً أو جلداً علی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الشبهة مع احتمالها فی حقّه فالأقوی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منه أو لا تقبل إلّاأن یکون عدلاً أو لا تقبل إلّا مع شهادة الحال بما ادّعاه والکلّ ضعیف</w:t>
      </w:r>
      <w:r>
        <w:rPr>
          <w:rFonts w:eastAsia="IRNazanin" w:cs="IRNazanin"/>
          <w:color w:val="111111"/>
          <w:sz w:val="28"/>
          <w:szCs w:val="28"/>
          <w:rtl w:val="true"/>
          <w:lang w:bidi="fa-IR"/>
        </w:rPr>
        <w:t>.</w:t>
      </w:r>
    </w:p>
    <w:p>
      <w:pPr>
        <w:pStyle w:val="Heading4"/>
        <w:numPr>
          <w:ilvl w:val="3"/>
          <w:numId w:val="1"/>
        </w:numPr>
        <w:rPr/>
      </w:pPr>
      <w:bookmarkStart w:id="334" w:name="__RefHeading___Toc78836_3244359995"/>
      <w:bookmarkStart w:id="335" w:name="_Toc126"/>
      <w:bookmarkEnd w:id="334"/>
      <w:r>
        <w:rPr>
          <w:rtl w:val="true"/>
        </w:rPr>
        <w:t>حکم زنای شخص نابینا</w:t>
      </w:r>
      <w:bookmarkEnd w:id="335"/>
    </w:p>
    <w:p>
      <w:pPr>
        <w:pStyle w:val="BookText"/>
        <w:rPr/>
      </w:pPr>
      <w:r>
        <w:rPr>
          <w:rFonts w:ascii="IRNazanin" w:hAnsi="IRNazanin" w:eastAsia="IRNazanin"/>
          <w:color w:val="111111"/>
          <w:sz w:val="28"/>
          <w:sz w:val="28"/>
          <w:szCs w:val="28"/>
          <w:rtl w:val="true"/>
          <w:lang w:bidi="fa-IR"/>
        </w:rPr>
        <w:t>مرحوم امام در این فرع، دو مطلب را مطرح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نابینایی زنا کرده و زنای او ثابت شد، باید حدّ زنا در حقّ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زنای او محصنه باشد، باید رجم شود؛ و در غیر این صورت، باید صد تازیانه بر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سبب عفو و سقوط حدّ از او نمی‌شود؛ زیرا، با مراجعه به ادلّه‌ی حدود، ادلّه‌ای که صد تازیانه بر زانی غیر محصن و یا رجم را بر زانی محصن اثبات می‌کند،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 یروح فهو محصن</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یزنی وعنده ما یغنیه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معلوم می‌گردد این عمومات و مطلقات شامل نابینا نیز می‌شود، و مقیّدی نداریم تا نابینا را استثنا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ظاهر زنایی از نابینا سرزده باشد و او ادّعای شبهه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این زن زوجه‌ی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او پذیرفته می‌شود؟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 در حقّ او امکان دارد و محتمل است، پذیرفته می‌شود؛ خواه ادّعایش در شبهات موضوعیّه باشد و یا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این قول را در تحریر الوسیله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مشهور، سه قول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331"/>
      </w:r>
      <w:r>
        <w:rPr>
          <w:rFonts w:ascii="IRNazanin" w:hAnsi="IRNazanin" w:eastAsia="IRNazanin"/>
          <w:color w:val="111111"/>
          <w:sz w:val="28"/>
          <w:sz w:val="28"/>
          <w:szCs w:val="28"/>
          <w:rtl w:val="true"/>
          <w:lang w:bidi="fa-IR"/>
        </w:rPr>
        <w:t>و شیخ طوسی</w:t>
      </w:r>
      <w:r>
        <w:rPr>
          <w:rStyle w:val="FootnoteAnchor"/>
          <w:rtl w:val="true"/>
        </w:rPr>
        <w:footnoteReference w:id="332"/>
      </w:r>
      <w:r>
        <w:rPr>
          <w:rFonts w:ascii="IRNazanin" w:hAnsi="IRNazanin" w:eastAsia="IRNazanin"/>
          <w:color w:val="111111"/>
          <w:sz w:val="28"/>
          <w:sz w:val="28"/>
          <w:szCs w:val="28"/>
          <w:rtl w:val="true"/>
          <w:lang w:bidi="fa-IR"/>
        </w:rPr>
        <w:t>و ابن براج</w:t>
      </w:r>
      <w:r>
        <w:rPr>
          <w:rStyle w:val="FootnoteAnchor"/>
          <w:rtl w:val="true"/>
        </w:rPr>
        <w:footnoteReference w:id="333"/>
      </w:r>
      <w:r>
        <w:rPr>
          <w:rFonts w:ascii="IRNazanin" w:hAnsi="IRNazanin" w:eastAsia="IRNazanin"/>
          <w:color w:val="111111"/>
          <w:sz w:val="28"/>
          <w:sz w:val="28"/>
          <w:szCs w:val="28"/>
          <w:rtl w:val="true"/>
          <w:lang w:bidi="fa-IR"/>
        </w:rPr>
        <w:t>و سلّار رحمهما الله</w:t>
      </w:r>
      <w:r>
        <w:rPr>
          <w:rStyle w:val="FootnoteAnchor"/>
          <w:rtl w:val="true"/>
        </w:rPr>
        <w:footnoteReference w:id="33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شبهه هر چند در حقّ او امکان داشته باشد،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فاضل مقداد رحمه الله این است که اگر نابینا عادل است، ادّعایش پذیرفته می‌شود؛ وگرنه مقبول نیست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حال و قرینه‌ای در تأیید ادّعای او باشد، قولش پذیرفته می‌شود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امام راحل رحمه الله در تحریر الوسیله هر سه قول را ضعیف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تضعیف، نبودن دلیل بر اثبات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قسمت از فقه و کتاب قضا بر روی عدالت مدّعی تکیه شده است؟ اگر مدّعی شخص عادلی بود و منکر بر خلاف او فاسق، آیا عدالت او سبب رجحانی در باب قضا می‌شود؟ مسأله‌ی عدالت و عدم آن در باب قضا و حدود هیچ تأثیری در ناحیه‌ی مدّعی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آن است‌که مراد از شاهد حال چیست؟ اگر مقصود این است که از قول نابینا به ضمیمه‌ی شاهدِ حال علم به صدق نابینا پیدا می‌شود، قول ابن ادریس رحمه الله در برابر قول شیخ مفید و شیخ طوسی رحمه الله نخواهد بود؛ زیرا، بحث در موردی است که شکّ داشته باشیم شخص کور صادق است یا نه، و الّا اگر علم به صدق ادّعایش داشته باشیم، قول او با اتّفاق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شاهدِ حال ظنّی باشد که مؤیّد ادّعا نابینا باشد، در این صورت به درد نمی‌خورد؛ زیرا، دلیلی بر آن نداریم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دو تفصیل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دیگر باقی می‌ماند که به نظر می‌رسد حقّ</w:t>
      </w:r>
    </w:p>
    <w:p>
      <w:pPr>
        <w:pStyle w:val="BookText"/>
        <w:rPr/>
      </w:pPr>
      <w:r>
        <w:rPr>
          <w:rFonts w:ascii="IRNazanin" w:hAnsi="IRNazanin" w:eastAsia="IRNazanin"/>
          <w:color w:val="111111"/>
          <w:sz w:val="28"/>
          <w:sz w:val="28"/>
          <w:szCs w:val="28"/>
          <w:rtl w:val="true"/>
          <w:lang w:bidi="fa-IR"/>
        </w:rPr>
        <w:t>با قول مشهور است؛ یعنی در هر موردی که ادّعای جهل در حقّ نابینا محتمل و ممکن باشد، حدّ ساقط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بلکه در همه‌ی مواضعی که ادّعای محتمل مطرح بود، به حسب دلالت ادلّه‌ی وارد در آن موارد، ادّعای جهل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یا زانیه ادّعای اکراه کند تا از اجرای حدّ در امان بماند، و یا موردی که زن در عدّه‌ی شوهر زنا کرده و ادّعای جهل می‌کند، اگر این ادّعا در حقّ او محتمل و ممکن باشد،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ادلّه استفاده کریم هر موردی که امکان جهل داده شود، حدّ منتفی می‌شود؛ نابینا نیز مانند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ادّعای شبهه کرد، خواه در موضوعات یا احکام، اگر در حقّ او محتمل باشد، حدّ ساقط می‌شود</w:t>
      </w:r>
      <w:r>
        <w:rPr>
          <w:rFonts w:eastAsia="IRNazanin" w:cs="IRNazanin"/>
          <w:color w:val="111111"/>
          <w:sz w:val="28"/>
          <w:szCs w:val="28"/>
          <w:rtl w:val="true"/>
          <w:lang w:bidi="fa-IR"/>
        </w:rPr>
        <w:t>.</w:t>
      </w:r>
      <w:bookmarkStart w:id="336" w:name="pg16919_226979"/>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الاستمتاعات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التقبیل والمضاجعة والمعانقة وغیر ذلک من الاستمتاعات دون الفرج تعزیر ولا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تحدید فی التعزیر بل هو منوط بنظر الحاکم علی الأشبه</w:t>
      </w:r>
      <w:r>
        <w:rPr>
          <w:rFonts w:eastAsia="IRNazanin" w:cs="IRNazanin"/>
          <w:color w:val="111111"/>
          <w:sz w:val="28"/>
          <w:szCs w:val="28"/>
          <w:rtl w:val="true"/>
          <w:lang w:bidi="fa-IR"/>
        </w:rPr>
        <w:t>.</w:t>
      </w:r>
    </w:p>
    <w:p>
      <w:pPr>
        <w:pStyle w:val="Heading4"/>
        <w:numPr>
          <w:ilvl w:val="3"/>
          <w:numId w:val="1"/>
        </w:numPr>
        <w:rPr/>
      </w:pPr>
      <w:bookmarkStart w:id="337" w:name="__RefHeading___Toc78838_3244359995"/>
      <w:bookmarkStart w:id="338" w:name="_Toc127"/>
      <w:bookmarkEnd w:id="337"/>
      <w:r>
        <w:rPr>
          <w:rtl w:val="true"/>
        </w:rPr>
        <w:t>حکم استمتاعات حرام</w:t>
      </w:r>
      <w:bookmarkEnd w:id="338"/>
    </w:p>
    <w:p>
      <w:pPr>
        <w:pStyle w:val="Heading5"/>
        <w:numPr>
          <w:ilvl w:val="4"/>
          <w:numId w:val="1"/>
        </w:numPr>
        <w:rPr/>
      </w:pPr>
      <w:bookmarkStart w:id="339" w:name="__RefHeading___Toc78840_3244359995"/>
      <w:bookmarkStart w:id="340" w:name="_Toc128"/>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مرحوم امام در تحریر الوسیله، ابتدا زنای موجب حدّ را تعریف کرده و به دنبال آن، شرایط احصان را مطرح، و سرانجام به مناسبت، حکم استمتاعات حرامی را بیان می‌فرمایند که در آن‌ها نیاز به التصاق و تماس بدن زن و مرد اجنبی به یکدیگر می‌باشد؛ لیکن مواردی چون نگاه کردن به زن اجنبی از بحث ما خارج است، هر چند نظر کردن به حرام از باب این که هر معصیتی تعزیر دارد، قابل طرح است، امّا هم‌اینک مورد نظر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استمتاعات که مقدّمه‌ی زنا بوده، امّا دخولی در دُبر یا قُبل نشده است، فاعل آن تعزیر می‌شود؛ مقدار معیّنی نیز برای آن نیست، بلکه به رأی و صلاحدید حاکم شرع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اقوال مختلفی وجود دارد، ولی نقطه‌ی بحث ما در زن و مرد اجنبی متمرکز است و فعلاً کاری به استمتاعات دو مرد و یا دو زن نداریم؛ و روایاتش را در محلّ خودش بحث می‌کنیم، تا این فرع متناسب با بحث‌های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 دو مردی که در زیر یک لحاف بخوابند را در مباحث لواط، و حکم دو زن را در باب مساحقه، خواهیم گفت</w:t>
      </w:r>
      <w:r>
        <w:rPr>
          <w:rFonts w:eastAsia="IRNazanin" w:cs="IRNazanin"/>
          <w:color w:val="111111"/>
          <w:sz w:val="28"/>
          <w:szCs w:val="28"/>
          <w:rtl w:val="true"/>
          <w:lang w:bidi="fa-IR"/>
        </w:rPr>
        <w:t>.</w:t>
      </w:r>
    </w:p>
    <w:p>
      <w:pPr>
        <w:pStyle w:val="Heading5"/>
        <w:numPr>
          <w:ilvl w:val="4"/>
          <w:numId w:val="1"/>
        </w:numPr>
        <w:rPr/>
      </w:pPr>
      <w:bookmarkStart w:id="341" w:name="__RefHeading___Toc78842_3244359995"/>
      <w:bookmarkStart w:id="342" w:name="_Toc129"/>
      <w:bookmarkEnd w:id="341"/>
      <w:r>
        <w:rPr>
          <w:rtl w:val="true"/>
        </w:rPr>
        <w:t>بررسی اقوال و فتاوا</w:t>
      </w:r>
      <w:bookmarkEnd w:id="342"/>
    </w:p>
    <w:p>
      <w:pPr>
        <w:pStyle w:val="Heading6"/>
        <w:numPr>
          <w:ilvl w:val="5"/>
          <w:numId w:val="1"/>
        </w:numPr>
        <w:rPr/>
      </w:pPr>
      <w:bookmarkStart w:id="343" w:name="__RefHeading___Toc78844_3244359995"/>
      <w:bookmarkStart w:id="344" w:name="_Toc13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شیخ طوسی رحمه الله در کتاب خلاف فرموده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أصحابنا فی الرجل إذا وجد مع امرأة أجنبیة یقبّلها ویعانقها فی فراش واحد أنّ علیهما مائة جلدة، وروی ذلک عن علی علیه السلام، وقد روی أنّ علیهما أقلّ من الحدّ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مجازات چنین شخصی صد تازیانه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 فرد و شخص زناکار وجود دارد؛ هر دو صد تازیانه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شرایط احصان را داشته باشد، به همین صد تازیانه اکتفا می‌شود و او را رجم‌نمی‌کنند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در ادامه‌ی مطلب پس از اختیار صد تازیانه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مطابق با روایات اصحاب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وارد شده که کمتر از حدّ، یعنی کمتر از صد تازیانه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رحمه الله در شرایع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التقبیل والمضاجعة فی إزار واحد والمعانقة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مائة جلدة، والاُخری دون الحدّ وهی أشهر</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در این مسأله دو نوع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 صد تازیانه و دسته‌ی دیگر بر کمتر از صد تازیانه دلالت دارد، دسته‌ی اخیر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نیز ذیل کلام مرحوم محقّق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قیل إنّه المشهور، بل فی کشف اللثام الإجماع کما یظهر منهم علیه بل عن الغنیة دعواه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فیها کما عن المقنعة والإسکافی أنّهما یعزّران من عشرة إلی تسعة وتسعین جلدة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برخی از فقها کمتر از حدّ را مشهور و قول دیگر را شاذّ دانسته‌اند؛ بلکه بالاتر از این، فاضل هندی رحمه الله در کشف اللثام</w:t>
      </w:r>
      <w:r>
        <w:rPr>
          <w:rStyle w:val="FootnoteAnchor"/>
          <w:rtl w:val="true"/>
        </w:rPr>
        <w:footnoteReference w:id="34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اصحاب دلالت بر اجماعی بودن تازیانه به کمتر از حدّ دارد؛ بلکه در کتاب غنیه</w:t>
      </w:r>
      <w:r>
        <w:rPr>
          <w:rStyle w:val="FootnoteAnchor"/>
          <w:rtl w:val="true"/>
        </w:rPr>
        <w:footnoteReference w:id="341"/>
      </w:r>
      <w:r>
        <w:rPr>
          <w:rFonts w:ascii="IRNazanin" w:hAnsi="IRNazanin" w:eastAsia="IRNazanin"/>
          <w:color w:val="111111"/>
          <w:sz w:val="28"/>
          <w:sz w:val="28"/>
          <w:szCs w:val="28"/>
          <w:rtl w:val="true"/>
          <w:lang w:bidi="fa-IR"/>
        </w:rPr>
        <w:t>به‌طور صریح ادّعای اجماع کرده‌است؛ هر چند در بعضی از کتاب‌ها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آن به اقلّ از حدّ تعبیر کرده‌اند، لیکن</w:t>
      </w:r>
      <w:bookmarkStart w:id="345" w:name="pg16919_226981"/>
    </w:p>
    <w:p>
      <w:pPr>
        <w:pStyle w:val="BookText"/>
        <w:rPr/>
      </w:pPr>
      <w:bookmarkEnd w:id="345"/>
      <w:r>
        <w:rPr>
          <w:rFonts w:ascii="IRNazanin" w:hAnsi="IRNazanin" w:eastAsia="IRNazanin"/>
          <w:color w:val="111111"/>
          <w:sz w:val="28"/>
          <w:sz w:val="28"/>
          <w:szCs w:val="28"/>
          <w:rtl w:val="true"/>
          <w:lang w:bidi="fa-IR"/>
        </w:rPr>
        <w:t>اقلّ آن را ده تازیانه و اکثرش را نود و نه تازیانه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فقها نیز نسبت داده‌اند که حدّاقل را سی تازیانه و حدّاکثر را نود و نه تازیانه دانسته‌اند، هر چند قائلش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در این بحث، بررسی روایات و کیفیّت جمع بین آن‌ها و طرح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 در این فرع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دلالت بر صد تازیانه دارد، و ظاهر گروه دوم نود و نه تازیانه است</w:t>
      </w:r>
      <w:r>
        <w:rPr>
          <w:rFonts w:eastAsia="IRNazanin" w:cs="IRNazanin"/>
          <w:color w:val="111111"/>
          <w:sz w:val="28"/>
          <w:szCs w:val="28"/>
          <w:rtl w:val="true"/>
          <w:lang w:bidi="fa-IR"/>
        </w:rPr>
        <w:t>.</w:t>
      </w:r>
    </w:p>
    <w:p>
      <w:pPr>
        <w:pStyle w:val="Heading6"/>
        <w:numPr>
          <w:ilvl w:val="5"/>
          <w:numId w:val="1"/>
        </w:numPr>
        <w:rPr/>
      </w:pPr>
      <w:bookmarkStart w:id="346" w:name="__RefHeading___Toc78846_3244359995"/>
      <w:bookmarkStart w:id="347" w:name="_Toc131"/>
      <w:bookmarkEnd w:id="346"/>
      <w:r>
        <w:rPr>
          <w:rtl w:val="true"/>
        </w:rPr>
        <w:t>روایات دسته‌ی اوّل</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و عن محمّد بن یحیی، عن أحمد بن محمّد بن عیسی جمیعاً، عن إبن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أن یوجدا فی لحاف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والرجلان یجلدان إذا وجدا فی لحاف واحد الحدّ، والمرأتان تجلدان إذا اخذتا فی لحاف واحد الحدّ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بوده و عبارت اوّل آن به بحث ما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أن یوجدا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عبارت استفاده می‌شود امام علیه السلام حکم زن و مرد اجنبی را بیان می‌کنند؛ زیرا تازیانه در مورد زنا است و زنا بین زن و مرد بیگانه واقع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صد تازیانه را نیز دلالت دارد؛ زیرا،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اضافه‌ی بیانیّه است؛ یعنی حدّی که عبارت از تازیانه است، در جایی جاری است که مرد و زنی زیر یک لحاف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فردِ خفیّ زنا است، فرد آشکار آن‌جایی است که‌دیده شود، مواقعه و نزدیکی کرده باشند و به تعبیر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که در متن روایت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أن یوجدا فی لحاف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قضیه‌ی حملیه است و در آن مسامحه است؛ زیرا، حدّ جلد در زیر یک لحاف پیدا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حدّ معنای اصطلاحی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تا این‌جا معنی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 لغوی دارد؟</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مرزی که برای جلد و تازیانه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روشن و متیقّن دارد، و آن زنای همراه با مواقعه است و یک فرد مخفی دارد که این مرزجَلْد است؛ یعنی مرد و زن در یک لحاف پیدا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دایره‌ی تازیانه گسترش دارد و به این مقدار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یکی از وجوه جمع که در آینده بیان خواهیم کرد، نقش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روایت دلالت بر صد تازیانه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إبن محبوب،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فی الزنا أن یوجدا فی لحاف واحد، والرجلان یوجدان فی لحاف واحد والمرأتان توجدان فی لحاف واحد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مردی در لحاف واحد پیدا شدند، به آنان صد تازیانه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کلینی رحمه الله در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مجموع تازیانه‌ای که به مرد و زن می‌زنند، صد تازیانه است و یا به هر کدام صد تازیانه زده می‌شود؟</w:t>
      </w:r>
    </w:p>
    <w:p>
      <w:pPr>
        <w:pStyle w:val="BookText"/>
        <w:rPr/>
      </w:pPr>
      <w:r>
        <w:rPr>
          <w:rFonts w:ascii="IRNazanin" w:hAnsi="IRNazanin" w:eastAsia="IRNazanin"/>
          <w:color w:val="111111"/>
          <w:sz w:val="28"/>
          <w:sz w:val="28"/>
          <w:szCs w:val="28"/>
          <w:rtl w:val="true"/>
          <w:lang w:bidi="fa-IR"/>
        </w:rPr>
        <w:t>روایت در معنای دوم ظهور دارد؛ شاهدش نیز آن است که شیخ طوسی رحمه الله همین روایت را به سند خود از صفوان چنین نقل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رواه الحسین بن سعید، عن صفوان، عن عبدالرحمن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والمرأة فی لحاف واحد جلدا</w:t>
      </w:r>
    </w:p>
    <w:p>
      <w:pPr>
        <w:pStyle w:val="BookText"/>
        <w:rPr/>
      </w:pPr>
      <w:r>
        <w:rPr>
          <w:rFonts w:ascii="Amiri" w:hAnsi="Amiri" w:eastAsia="Amiri" w:cs="Amiri"/>
          <w:color w:val="111111"/>
          <w:sz w:val="28"/>
          <w:sz w:val="28"/>
          <w:szCs w:val="28"/>
          <w:rtl w:val="true"/>
          <w:lang w:bidi="ar-SA"/>
        </w:rPr>
        <w:t>مائة مائة</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بنا بر این نقل، دلالت روایت در این که به هر کدام صد تازیانه زده می‌شود،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حمید بن زیاد، عن إبن سماعة، عن غیر واحد، عن أبان، وعن محمّد بن یحیی، عن أحمد بن محمّد، عن علیّ بن الحکم، عن أبان، عن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والمرأة فی لحاف واحد قامت علیهما بذلک بیّنة ولم یطّلع منهما علی سوی ذلک، جلد کلّ واحد منهما مائة جلدة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یک نحوه‌ی ارسالی هست</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است اگر زن و مردی در یک لحاف پیدا شدند و بیّنه بر این مطلب قائم شد و فقط به همین مقدار شهادت دادند و بر بیش از آن اطّلاعی نداشتند، به هر کدام از آنان صد تازیانه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بن عیسی، عن محمّد بن إسماعیل بن بزیع، عن محمّد بن الفضیل، عن أبی الصباح الکنانی، عن أبی عبداللّه علیه السلام فی الرجل والمرأة یوجدان فی لحاف واحد جلدا مائة 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بإسناده عن محمّد بن الفضیل مثله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اجلدهمامائة جلدة مائة جلدة</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علیّ بن الحکم، عن</w:t>
      </w:r>
      <w:bookmarkStart w:id="348" w:name="pg16919_226984"/>
    </w:p>
    <w:p>
      <w:pPr>
        <w:pStyle w:val="BookText"/>
        <w:rPr/>
      </w:pPr>
      <w:bookmarkEnd w:id="348"/>
      <w:r>
        <w:rPr>
          <w:rFonts w:ascii="IRNazanin" w:hAnsi="IRNazanin" w:eastAsia="IRNazanin"/>
          <w:color w:val="111111"/>
          <w:sz w:val="28"/>
          <w:sz w:val="28"/>
          <w:szCs w:val="28"/>
          <w:rtl w:val="true"/>
          <w:lang w:bidi="fa-IR"/>
        </w:rPr>
        <w:t>أبان، عن علیّ بن أبی حمزة،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وجدت مع رجل فی 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یجلدان مائة جلدة</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دلالت دارند که هر کدام از آن‌ها صد تازیانه می‌خورند</w:t>
      </w:r>
      <w:r>
        <w:rPr>
          <w:rFonts w:eastAsia="IRNazanin" w:cs="IRNazanin"/>
          <w:color w:val="111111"/>
          <w:sz w:val="28"/>
          <w:szCs w:val="28"/>
          <w:rtl w:val="true"/>
          <w:lang w:bidi="fa-IR"/>
        </w:rPr>
        <w:t>.</w:t>
      </w:r>
    </w:p>
    <w:p>
      <w:pPr>
        <w:pStyle w:val="Heading6"/>
        <w:numPr>
          <w:ilvl w:val="5"/>
          <w:numId w:val="1"/>
        </w:numPr>
        <w:rPr/>
      </w:pPr>
      <w:bookmarkStart w:id="349" w:name="__RefHeading___Toc78848_3244359995"/>
      <w:bookmarkStart w:id="350" w:name="_Toc132"/>
      <w:bookmarkEnd w:id="349"/>
      <w:r>
        <w:rPr>
          <w:rtl w:val="true"/>
        </w:rPr>
        <w:t>روایات دسته‌ی دوم</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الحسین بن سعید، عن حمّاد، عن حریز، عن أبی عبداللّه علیه السلام، إنّ علیّاً علیه السلام وجد رجلاً وامرأة فی لحاف واحد فضرب کلّ واحد منهما مائة سوطاً إلّاسوطاً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حریز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 السلام زن و مردی را در یک لحاف یافت، به هر کدام نود و نه تازیانه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إنّ علیّاً علیه السلام وجد امرأة مع رجل فی لحاف واحد فجلد کلّ واحد منهما مائة سوط غیر سوط</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351" w:name="__RefHeading___Toc78850_3244359995"/>
      <w:bookmarkStart w:id="352" w:name="_Toc133"/>
      <w:bookmarkEnd w:id="351"/>
      <w:r>
        <w:rPr>
          <w:rtl w:val="true"/>
        </w:rPr>
        <w:t>وجوه جمع بین روایات</w:t>
      </w:r>
      <w:bookmarkEnd w:id="352"/>
    </w:p>
    <w:p>
      <w:pPr>
        <w:pStyle w:val="Heading6"/>
        <w:numPr>
          <w:ilvl w:val="5"/>
          <w:numId w:val="1"/>
        </w:numPr>
        <w:rPr/>
      </w:pPr>
      <w:bookmarkStart w:id="353" w:name="__RefHeading___Toc78852_3244359995"/>
      <w:bookmarkStart w:id="354" w:name="_Toc134"/>
      <w:bookmarkEnd w:id="353"/>
      <w:r>
        <w:rPr>
          <w:rtl w:val="true"/>
        </w:rPr>
        <w:t>وجه اوّل</w:t>
      </w:r>
      <w:r>
        <w:rPr>
          <w:rtl w:val="true"/>
        </w:rPr>
        <w:t xml:space="preserve">: </w:t>
      </w:r>
      <w:r>
        <w:rPr>
          <w:rtl w:val="true"/>
        </w:rPr>
        <w:t>جمع به تخصیص</w:t>
      </w:r>
      <w:bookmarkEnd w:id="354"/>
    </w:p>
    <w:p>
      <w:pPr>
        <w:pStyle w:val="BookText"/>
        <w:rPr/>
      </w:pPr>
      <w:r>
        <w:rPr>
          <w:rFonts w:ascii="IRNazanin" w:hAnsi="IRNazanin" w:eastAsia="IRNazanin"/>
          <w:color w:val="111111"/>
          <w:sz w:val="28"/>
          <w:sz w:val="28"/>
          <w:szCs w:val="28"/>
          <w:rtl w:val="true"/>
          <w:lang w:bidi="fa-IR"/>
        </w:rPr>
        <w:t>مرحوم صاحب جواهر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بین این دو دسته از روایات، اختیار روایات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این مطلب را بیان نمی‌کند؛ امّا می‌توان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دسته‌ی دوم تصریح به نود و نه تازیانه می‌کرد، در این صورت با دسته‌ی اوّل که تعداد را صد تازیانه می‌شمارد، تعارض پیدا می‌کرد و جای ترجیح نبود؛ لیکن دسته‌ی اوّل مقدار تعزیر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دسته‌ی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إلّاسوطاً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نحو استثنا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این دو دسته از روایات، وِزان دو دلیلی است که یکی مشتمل بر</w:t>
      </w:r>
      <w:bookmarkStart w:id="355" w:name="pg16919_226985"/>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دلیل، به تخصیص زدن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ادات استثناء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تخصیص است؛ لذا، برای مخصّص متّصل، 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إکرم العلماء إلّازیداً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صاحب جواهر رحمه الله مطرح می‌کند شهرت یا بالاتر از آن اتّفاق اصحاب است که نه عدد صد را پذیرفته‌اند و نه عدد نود و نُه را؛ بلکه اصلاً عددی را مطرح نکرده، و اختیار آن را به عهده‌ی حاکم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نتیجه‌ی این جمع با فتوای مشهور موافقت ندارد</w:t>
      </w:r>
      <w:r>
        <w:rPr>
          <w:rFonts w:eastAsia="IRNazanin" w:cs="IRNazanin"/>
          <w:color w:val="111111"/>
          <w:sz w:val="28"/>
          <w:szCs w:val="28"/>
          <w:rtl w:val="true"/>
          <w:lang w:bidi="fa-IR"/>
        </w:rPr>
        <w:t xml:space="preserve">. </w:t>
      </w:r>
      <w:r>
        <w:rPr>
          <w:rStyle w:val="FootnoteAnchor"/>
          <w:rtl w:val="true"/>
        </w:rPr>
        <w:footnoteReference w:id="352"/>
      </w:r>
    </w:p>
    <w:p>
      <w:pPr>
        <w:pStyle w:val="Heading6"/>
        <w:numPr>
          <w:ilvl w:val="5"/>
          <w:numId w:val="1"/>
        </w:numPr>
        <w:rPr/>
      </w:pPr>
      <w:bookmarkStart w:id="356" w:name="__RefHeading___Toc78854_3244359995"/>
      <w:bookmarkStart w:id="357" w:name="_Toc135"/>
      <w:bookmarkEnd w:id="356"/>
      <w:r>
        <w:rPr>
          <w:rtl w:val="true"/>
        </w:rPr>
        <w:t>وجه دوم</w:t>
      </w:r>
      <w:r>
        <w:rPr>
          <w:rtl w:val="true"/>
        </w:rPr>
        <w:t xml:space="preserve">: </w:t>
      </w:r>
      <w:r>
        <w:rPr>
          <w:rtl w:val="true"/>
        </w:rPr>
        <w:t>حمل بر تقیّه</w:t>
      </w:r>
      <w:bookmarkEnd w:id="357"/>
    </w:p>
    <w:p>
      <w:pPr>
        <w:pStyle w:val="BookText"/>
        <w:rPr/>
      </w:pPr>
      <w:r>
        <w:rPr>
          <w:rFonts w:ascii="IRNazanin" w:hAnsi="IRNazanin" w:eastAsia="IRNazanin"/>
          <w:color w:val="111111"/>
          <w:sz w:val="28"/>
          <w:sz w:val="28"/>
          <w:szCs w:val="28"/>
          <w:rtl w:val="true"/>
          <w:lang w:bidi="fa-IR"/>
        </w:rPr>
        <w:t>روایاتی که بر عدد صد تازیانه دلالت دارد، موافق با عامّه است؛ پس، به حمل کردن بر تقیّه ساقط می‌شود؛ و به روایات نود و نه تازیانه که مخالف با عامّه است عمل می‌شود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دلیل تقیّه‌ای بودن دسته‌ی اوّل از روایات،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أبیه، عن إبن أبی عمیر،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فدخل علیه عباد البصری و معه اناس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الرجلین إذا اخذا فی لحاف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أخذ الرجلین فی لحاف واحد ضربهما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سوط، فأعاد علیه ذکر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أعاد ذلک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القوم الحضور عند ذلک الحدیث</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بودم، عباد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فقیهان اهل سنّتِ معاصر با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یارانش به خدمت امام صادق علیه السلام آمدند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از امام علیه السلام سؤال کرد، اگر دو مرد را زیر یک لحاف یافتند، حکم آنان چیست؟</w:t>
      </w:r>
      <w:bookmarkStart w:id="358" w:name="pg16919_226986"/>
    </w:p>
    <w:p>
      <w:pPr>
        <w:pStyle w:val="BookText"/>
        <w:rPr/>
      </w:pPr>
      <w:bookmarkEnd w:id="358"/>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جایی که دو مرد را زیر یک لحاف می‌گرفتند، بر آنان صد تازیانه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به عنوان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این مطلب را از شما پرسیدم، در جواب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تازیانه غیر از یک تازیانه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سؤالش را تکرار کرد، و امام علیه السلام همان جواب را داد تا چندین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امام علیه السلام را تحت فشار گذاشتند؛ از این‌رو،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یک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حاضر در مجلس، این مطلب را نوشتند که ما حاضر بودیم و امام صادق علیه السلام یک تازیانه را از صد تازیانه،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این است که کدام یک از این دو عدد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ضربهما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تقیّه‌ای و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افرادی که این روایت را مطرح کرده‌اند، صدر آن را تقیّه‌ای گرفته‌اند؛ زیرا، ظاهر روایت این است که امام علیه السلام نمی‌خواسته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حضور عباد بصری و یارانش نیز در آن مجلس در رابطه با این مطلب بوده است و بر اثر اصرار و پافشاری عباد امام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که مربوط به دو مرد است، راهی باز می‌شود که در موارد زن و مرد نیز که عدد صد تازیانه را داریم، به کمک این روایت حمل بر تقیّه کنیم</w:t>
      </w:r>
      <w:r>
        <w:rPr>
          <w:rFonts w:eastAsia="IRNazanin" w:cs="IRNazanin"/>
          <w:color w:val="111111"/>
          <w:sz w:val="28"/>
          <w:szCs w:val="28"/>
          <w:rtl w:val="true"/>
          <w:lang w:bidi="fa-IR"/>
        </w:rPr>
        <w:t>.</w:t>
      </w:r>
    </w:p>
    <w:p>
      <w:pPr>
        <w:pStyle w:val="Heading6"/>
        <w:numPr>
          <w:ilvl w:val="5"/>
          <w:numId w:val="1"/>
        </w:numPr>
        <w:rPr/>
      </w:pPr>
      <w:bookmarkStart w:id="359" w:name="__RefHeading___Toc78856_3244359995"/>
      <w:bookmarkStart w:id="360" w:name="_Toc136"/>
      <w:bookmarkEnd w:id="359"/>
      <w:r>
        <w:rPr>
          <w:rtl w:val="true"/>
        </w:rPr>
        <w:t>نظر برگزیده</w:t>
      </w:r>
      <w:bookmarkEnd w:id="360"/>
    </w:p>
    <w:p>
      <w:pPr>
        <w:pStyle w:val="BookText"/>
        <w:rPr/>
      </w:pPr>
      <w:r>
        <w:rPr>
          <w:rFonts w:ascii="IRNazanin" w:hAnsi="IRNazanin" w:eastAsia="IRNazanin"/>
          <w:color w:val="111111"/>
          <w:sz w:val="28"/>
          <w:sz w:val="28"/>
          <w:szCs w:val="28"/>
          <w:rtl w:val="true"/>
          <w:lang w:bidi="fa-IR"/>
        </w:rPr>
        <w:t>بدون اشکال در این روایت تقیّه‌ای هست، امّا در کدام قسمت؟ بیشتر فقهایی که روایت را مطرح کرده‌اند، صد تازیانه را تقیّه‌ای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مراجعه‌ی ابتدایی به روایت نیز همین استفاده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آغاز حکمی موافق با آنان القا کرده و هنگامی که با اعتراض و اصرار عباد روبرو شده، حکم واقعی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به دو اشکال عمده مبتلا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در کتاب خلاف پس از طرح مسأله و روایات شیعه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bookmarkStart w:id="361" w:name="pg16919_226987"/>
    </w:p>
    <w:p>
      <w:pPr>
        <w:pStyle w:val="BookText"/>
        <w:rPr/>
      </w:pPr>
      <w:bookmarkEnd w:id="361"/>
      <w:r>
        <w:rPr>
          <w:rFonts w:ascii="IRNazanin" w:hAnsi="IRNazanin" w:eastAsia="IRNazanin"/>
          <w:color w:val="111111"/>
          <w:sz w:val="28"/>
          <w:sz w:val="28"/>
          <w:szCs w:val="28"/>
          <w:rtl w:val="true"/>
          <w:lang w:bidi="fa-IR"/>
        </w:rPr>
        <w:t>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یعنی تمام فقهای اهل سنّت بر تعزیر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شیخ طوسی رحمه الله در مورد مرد و زن است و روایت عبدالرّحمان بن حجّاج درباره‌ی دو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مطلب این است که به نظر اهل سنّت فرقی بین مرد و زن و دو مرد از لحاظ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صد تازیانه را حمل بر تقیّه کرد؛ تقیّه یعنی موافقت با مذهب عامّه در صورتی که تعزیر موافق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صد تازیانه تقیّه‌ای است، چرا امام علیه السلام مطلب را به امیر مؤمنان علیه السلام نسبت داد؟ و به صورت حکمی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 را فرمود؟ می‌توانست حکمی موافق با مذهب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صد تازیانه با تقیّه‌ای بودن نمی‌سازد؛ بلکه ذیل روایت تقیّه‌ای است؛ یعنی امام علیه السلام در ابتدا حکم واقعی را فرمود و بعد در اثر اعتراض و فشار عباد بصری، امام علیه السلام مجبور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تقیّه‌ای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گفتار عباد بصری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حکم را نود و نه تازیانه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امام علیه السلام حکم تقیّه‌ای را قبلاً به عباد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تأمّل در روایت اقتضا دارد صدر آن را بر حکم واقعی و ذیل آن را بر حکم تقیّه‌ای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اشکال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شما را عکس می‌کنیم؛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تقیّه‌ای است یا قسمت دوم؛ قدر مسلّم این است که یکی از دو عدد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یا نود و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تقیّه‌ای است و روایت شاهد این است که یکی از دو دسته روایات وارد در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بر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نمی‌تواند شاهد بر روایات این فرع باشد؛ زیرا، مورد آن دو مردی است که زیر یک لحاف خوابیده‌اند، و بحث ما درباره‌ی مرد 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جمعی جمع مناسبی نیست</w:t>
      </w:r>
      <w:r>
        <w:rPr>
          <w:rFonts w:eastAsia="IRNazanin" w:cs="IRNazanin"/>
          <w:color w:val="111111"/>
          <w:sz w:val="28"/>
          <w:szCs w:val="28"/>
          <w:rtl w:val="true"/>
          <w:lang w:bidi="fa-IR"/>
        </w:rPr>
        <w:t>.</w:t>
      </w:r>
    </w:p>
    <w:p>
      <w:pPr>
        <w:pStyle w:val="Heading6"/>
        <w:numPr>
          <w:ilvl w:val="5"/>
          <w:numId w:val="1"/>
        </w:numPr>
        <w:rPr/>
      </w:pPr>
      <w:bookmarkStart w:id="362" w:name="__RefHeading___Toc78858_3244359995"/>
      <w:bookmarkStart w:id="363" w:name="_Toc137"/>
      <w:bookmarkEnd w:id="362"/>
      <w:r>
        <w:rPr>
          <w:rtl w:val="true"/>
        </w:rPr>
        <w:t>وجه سوم</w:t>
      </w:r>
      <w:r>
        <w:rPr>
          <w:rtl w:val="true"/>
        </w:rPr>
        <w:t xml:space="preserve">: </w:t>
      </w:r>
      <w:r>
        <w:rPr>
          <w:rtl w:val="true"/>
        </w:rPr>
        <w:t>جمع شیخ طوسی رحمه الله</w:t>
      </w:r>
      <w:bookmarkEnd w:id="36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طریقه‌ی جالبی در جمع بین این اخبار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الاستبصار</w:t>
      </w:r>
      <w:r>
        <w:rPr>
          <w:rStyle w:val="FootnoteAnchor"/>
          <w:rtl w:val="true"/>
        </w:rPr>
        <w:footnoteReference w:id="35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باب رسیده، دارای تعابیر مختلفی است، که با دقّت در تعبیر راه حلّ آن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حکم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صد تازیانه مطرح نیست؛ این گونه روایات را بر تعزیر حمل می‌کنیم؛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شایع در تعزیر کاربرد داشته و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حکم آن را صد تازیانه گفته، و سخنی از بیّنه و امثال آن به میان نیاورده است، حمل بر صورتی می‌شود که علم به وقوع زنا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آن به بیّنه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روایت جایی است که زنا ثابت نشده و بیّنه فقط بر خوابیدن مرد و زن شهادت داده است؛ این روایت بر موردی که این عمل به طور مکرّر از مرد و زن سرزده است، حمل می‌شود؛ یعنی دومرتبه تکرار شده و در هر مرتبه تعزیر شده‌اند، و در مرتبه سوم صد تازیانه به آن‌ها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حمل، روایت أبی خدیجه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للمرأتین تنامان فی لحاف واحد إلّاوبینهما حاجز، فإن فعلتا نهیتا عن ذلک، فإن وجدهما بعد النهی فی لحاف واحد، جلدتا کلّ واحد منهما حدّاً حدّاً، فإن اخذتا الثالثة فی لحاف واحد حدّتا، فإن وجدتا الرابعة قتلتا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از بیانات گذشته روشن شد که سخن شیخ طوسی رحمه الله چند وجه ندارد؛ یک جمع بیشتر نیست؛ در رابطه با هر قسمتی حرفی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سه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برتعزیر، صد تازیانه را بر صورت علم به زنا، مورد قیام بیّنه را بر مرتبه‌ی سوم و چهارم حمل کرده است</w:t>
      </w:r>
      <w:r>
        <w:rPr>
          <w:rFonts w:eastAsia="IRNazanin" w:cs="IRNazanin"/>
          <w:color w:val="111111"/>
          <w:sz w:val="28"/>
          <w:szCs w:val="28"/>
          <w:rtl w:val="true"/>
          <w:lang w:bidi="fa-IR"/>
        </w:rPr>
        <w:t>.</w:t>
      </w:r>
      <w:bookmarkStart w:id="364" w:name="pg16919_226989"/>
    </w:p>
    <w:p>
      <w:pPr>
        <w:pStyle w:val="Heading6"/>
        <w:numPr>
          <w:ilvl w:val="5"/>
          <w:numId w:val="1"/>
        </w:numPr>
        <w:rPr/>
      </w:pPr>
      <w:bookmarkStart w:id="365" w:name="__RefHeading___Toc78860_3244359995"/>
      <w:bookmarkStart w:id="366" w:name="_Toc138"/>
      <w:bookmarkEnd w:id="364"/>
      <w:bookmarkEnd w:id="365"/>
      <w:r>
        <w:rPr>
          <w:rtl w:val="true"/>
        </w:rPr>
        <w:t>نقد وجه سوم</w:t>
      </w:r>
      <w:bookmarkEnd w:id="366"/>
    </w:p>
    <w:p>
      <w:pPr>
        <w:pStyle w:val="BookText"/>
        <w:rPr/>
      </w:pPr>
      <w:r>
        <w:rPr>
          <w:rFonts w:ascii="IRNazanin" w:hAnsi="IRNazanin" w:eastAsia="IRNazanin"/>
          <w:color w:val="111111"/>
          <w:sz w:val="28"/>
          <w:sz w:val="28"/>
          <w:szCs w:val="28"/>
          <w:rtl w:val="true"/>
          <w:lang w:bidi="fa-IR"/>
        </w:rPr>
        <w:t xml:space="preserve">دلیل این وجه جمع چیست؟ قبول داریم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تعزیر استعمال می‌شود، امّا این استعمال مجازی به قرینه نیاز دارد؛ و در این‌جا، قرینه‌ای برای این حمل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حمل روایات صد تازیانه بر صورت علم به وقوع زنا چیست؟ در کدام قسمت روایت، علم به زنا مطرح است؟ همین گونه از کدام عبارت روایت عبدالرحمان بن ابی عبداللّه تکرار و جریان حدّ در مرتبه‌ی سوم و چهارم استفاده می‌شود؟ این جمع شیخ طوسی رحمه الله جمعی تبرّعی است و شاهد جمع ندارد</w:t>
      </w:r>
      <w:r>
        <w:rPr>
          <w:rFonts w:eastAsia="IRNazanin" w:cs="IRNazanin"/>
          <w:color w:val="111111"/>
          <w:sz w:val="28"/>
          <w:szCs w:val="28"/>
          <w:rtl w:val="true"/>
          <w:lang w:bidi="fa-IR"/>
        </w:rPr>
        <w:t>.</w:t>
      </w:r>
    </w:p>
    <w:p>
      <w:pPr>
        <w:pStyle w:val="Heading6"/>
        <w:numPr>
          <w:ilvl w:val="5"/>
          <w:numId w:val="1"/>
        </w:numPr>
        <w:rPr/>
      </w:pPr>
      <w:bookmarkStart w:id="367" w:name="__RefHeading___Toc78862_3244359995"/>
      <w:bookmarkStart w:id="368" w:name="_Toc139"/>
      <w:bookmarkEnd w:id="367"/>
      <w:r>
        <w:rPr>
          <w:rtl w:val="true"/>
        </w:rPr>
        <w:t>وجه چهارم</w:t>
      </w:r>
      <w:r>
        <w:rPr>
          <w:rtl w:val="true"/>
        </w:rPr>
        <w:t xml:space="preserve">: </w:t>
      </w:r>
      <w:r>
        <w:rPr>
          <w:rtl w:val="true"/>
        </w:rPr>
        <w:t>جمع شیخ صدوق رحمه الله</w:t>
      </w:r>
      <w:bookmarkEnd w:id="368"/>
    </w:p>
    <w:p>
      <w:pPr>
        <w:pStyle w:val="BookText"/>
        <w:rPr/>
      </w:pPr>
      <w:r>
        <w:rPr>
          <w:rFonts w:ascii="IRNazanin" w:hAnsi="IRNazanin" w:eastAsia="IRNazanin"/>
          <w:color w:val="111111"/>
          <w:sz w:val="28"/>
          <w:sz w:val="28"/>
          <w:szCs w:val="28"/>
          <w:rtl w:val="true"/>
          <w:lang w:bidi="fa-IR"/>
        </w:rPr>
        <w:t>شیخ 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روایت، به بحث ما که استمتاع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ربطی ندارد؛ بلکه مربوط به جایی است که زنا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روایات که مجازات را صد تازیانه گفته است، حمل می‌شود بر جایی که زنا از راه اقرار یا بیّنه ثابت شود، و روایاتی که حدّ آن را نود و نه تازیانه معیّن کرده، به صورتی که زنا از طریق علم حاکم و قرائن ثابت شود، حمل می‌شود</w:t>
      </w:r>
      <w:r>
        <w:rPr>
          <w:rFonts w:eastAsia="IRNazanin" w:cs="IRNazanin"/>
          <w:color w:val="111111"/>
          <w:sz w:val="28"/>
          <w:szCs w:val="28"/>
          <w:rtl w:val="true"/>
          <w:lang w:bidi="fa-IR"/>
        </w:rPr>
        <w:t xml:space="preserve">. </w:t>
      </w:r>
      <w:r>
        <w:rPr>
          <w:rStyle w:val="FootnoteAnchor"/>
          <w:rtl w:val="true"/>
        </w:rPr>
        <w:footnoteReference w:id="358"/>
      </w:r>
    </w:p>
    <w:p>
      <w:pPr>
        <w:pStyle w:val="Heading6"/>
        <w:numPr>
          <w:ilvl w:val="5"/>
          <w:numId w:val="1"/>
        </w:numPr>
        <w:rPr/>
      </w:pPr>
      <w:bookmarkStart w:id="369" w:name="__RefHeading___Toc78864_3244359995"/>
      <w:bookmarkStart w:id="370" w:name="_Toc140"/>
      <w:bookmarkEnd w:id="369"/>
      <w:r>
        <w:rPr>
          <w:rtl w:val="true"/>
        </w:rPr>
        <w:t>نقد وجه چهارم</w:t>
      </w:r>
      <w:bookmarkEnd w:id="370"/>
    </w:p>
    <w:p>
      <w:pPr>
        <w:pStyle w:val="BookText"/>
        <w:rPr/>
      </w:pPr>
      <w:r>
        <w:rPr>
          <w:rFonts w:ascii="IRNazanin" w:hAnsi="IRNazanin" w:eastAsia="IRNazanin"/>
          <w:color w:val="111111"/>
          <w:sz w:val="28"/>
          <w:sz w:val="28"/>
          <w:szCs w:val="28"/>
          <w:rtl w:val="true"/>
          <w:lang w:bidi="fa-IR"/>
        </w:rPr>
        <w:t>این وجه نیز شاهدی ندارد؛ به خصوص با توجّه به روایت عبدالرّحمان بن أبی عبداللّه که در آن به عدم ثبوت زنا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بیّنه اطّلاع دارد زیر یک لحاف خوابین زن و مرد است که امام علیه السلام کیفر آن را صد تازیانه معیّن کرد</w:t>
      </w:r>
      <w:r>
        <w:rPr>
          <w:rFonts w:eastAsia="IRNazanin" w:cs="IRNazanin"/>
          <w:color w:val="111111"/>
          <w:sz w:val="28"/>
          <w:szCs w:val="28"/>
          <w:rtl w:val="true"/>
          <w:lang w:bidi="fa-IR"/>
        </w:rPr>
        <w:t>.</w:t>
      </w:r>
    </w:p>
    <w:p>
      <w:pPr>
        <w:pStyle w:val="Heading6"/>
        <w:numPr>
          <w:ilvl w:val="5"/>
          <w:numId w:val="1"/>
        </w:numPr>
        <w:rPr/>
      </w:pPr>
      <w:bookmarkStart w:id="371" w:name="__RefHeading___Toc78866_3244359995"/>
      <w:bookmarkStart w:id="372" w:name="_Toc141"/>
      <w:bookmarkEnd w:id="371"/>
      <w:r>
        <w:rPr>
          <w:rtl w:val="true"/>
        </w:rPr>
        <w:t>وجه پنجم</w:t>
      </w:r>
      <w:r>
        <w:rPr>
          <w:rtl w:val="true"/>
        </w:rPr>
        <w:t xml:space="preserve">: </w:t>
      </w:r>
      <w:r>
        <w:rPr>
          <w:rtl w:val="true"/>
        </w:rPr>
        <w:t>جمع به تخییر</w:t>
      </w:r>
      <w:bookmarkEnd w:id="372"/>
    </w:p>
    <w:p>
      <w:pPr>
        <w:pStyle w:val="BookText"/>
        <w:rPr/>
      </w:pPr>
      <w:r>
        <w:rPr>
          <w:rFonts w:ascii="IRNazanin" w:hAnsi="IRNazanin" w:eastAsia="IRNazanin"/>
          <w:color w:val="111111"/>
          <w:sz w:val="28"/>
          <w:sz w:val="28"/>
          <w:szCs w:val="28"/>
          <w:rtl w:val="true"/>
          <w:lang w:bidi="fa-IR"/>
        </w:rPr>
        <w:t>این راه در حقیقت، جمع نیست؛ و دو دسته روایت، کاملاً متعارض فرض شده‌اند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راهی برای جمع نداریم؛ در نتیجه، در موردی که دو دسته روایت</w:t>
      </w:r>
      <w:bookmarkStart w:id="373" w:name="pg16919_226990"/>
    </w:p>
    <w:p>
      <w:pPr>
        <w:pStyle w:val="BookText"/>
        <w:rPr/>
      </w:pPr>
      <w:bookmarkEnd w:id="373"/>
      <w:r>
        <w:rPr>
          <w:rFonts w:ascii="IRNazanin" w:hAnsi="IRNazanin" w:eastAsia="IRNazanin"/>
          <w:color w:val="111111"/>
          <w:sz w:val="28"/>
          <w:sz w:val="28"/>
          <w:szCs w:val="28"/>
          <w:rtl w:val="true"/>
          <w:lang w:bidi="fa-IR"/>
        </w:rPr>
        <w:t>متعارض بوده و مرجّحی نیز وجود نداشته باشد، به تخییر حکم می‌شود؛ یعنی مجتهد مخیّر است روایات صد تازیانه را بگیرد و یا به روایات نوه و نه تازیانه فتوا دهد</w:t>
      </w:r>
      <w:r>
        <w:rPr>
          <w:rFonts w:eastAsia="IRNazanin" w:cs="IRNazanin"/>
          <w:color w:val="111111"/>
          <w:sz w:val="28"/>
          <w:szCs w:val="28"/>
          <w:rtl w:val="true"/>
          <w:lang w:bidi="fa-IR"/>
        </w:rPr>
        <w:t>.</w:t>
      </w:r>
    </w:p>
    <w:p>
      <w:pPr>
        <w:pStyle w:val="Heading6"/>
        <w:numPr>
          <w:ilvl w:val="5"/>
          <w:numId w:val="1"/>
        </w:numPr>
        <w:rPr/>
      </w:pPr>
      <w:bookmarkStart w:id="374" w:name="__RefHeading___Toc78868_3244359995"/>
      <w:bookmarkStart w:id="375" w:name="_Toc142"/>
      <w:bookmarkEnd w:id="374"/>
      <w:r>
        <w:rPr>
          <w:rtl w:val="true"/>
        </w:rPr>
        <w:t>نقد وجه پنجم</w:t>
      </w:r>
      <w:bookmarkEnd w:id="375"/>
    </w:p>
    <w:p>
      <w:pPr>
        <w:pStyle w:val="BookText"/>
        <w:rPr/>
      </w:pPr>
      <w:r>
        <w:rPr>
          <w:rFonts w:ascii="IRNazanin" w:hAnsi="IRNazanin" w:eastAsia="IRNazanin"/>
          <w:color w:val="111111"/>
          <w:sz w:val="28"/>
          <w:sz w:val="28"/>
          <w:szCs w:val="28"/>
          <w:rtl w:val="true"/>
          <w:lang w:bidi="fa-IR"/>
        </w:rPr>
        <w:t>این طریق نیز صحیح نیست؛ زیرا، اوّلاً حکم به تخییر در صورتی است که بین دو دسته روایت متعارض امکان جمع عرفی نباشد، و الّا با وجود جمع دلالی، تعارض ابتدایی برطرف می‌شود و نوبت به ترجیح یا تخییر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تخییر در مقبوله‌ی عمر بن حنظله</w:t>
      </w:r>
      <w:r>
        <w:rPr>
          <w:rStyle w:val="FootnoteAnchor"/>
          <w:rtl w:val="true"/>
        </w:rPr>
        <w:footnoteReference w:id="359"/>
      </w:r>
      <w:r>
        <w:rPr>
          <w:rFonts w:ascii="IRNazanin" w:hAnsi="IRNazanin" w:eastAsia="IRNazanin"/>
          <w:color w:val="111111"/>
          <w:sz w:val="28"/>
          <w:sz w:val="28"/>
          <w:szCs w:val="28"/>
          <w:rtl w:val="true"/>
          <w:lang w:bidi="fa-IR"/>
        </w:rPr>
        <w:t>مرجّحاتی ذکر شده است که بر فرض عدم امکان جمع دلالی، نوبت به اعمال مرجّحات می‌رسد؛ لذا، وجهی برای این قول نیست</w:t>
      </w:r>
      <w:r>
        <w:rPr>
          <w:rFonts w:eastAsia="IRNazanin" w:cs="IRNazanin"/>
          <w:color w:val="111111"/>
          <w:sz w:val="28"/>
          <w:szCs w:val="28"/>
          <w:rtl w:val="true"/>
          <w:lang w:bidi="fa-IR"/>
        </w:rPr>
        <w:t>.</w:t>
      </w:r>
    </w:p>
    <w:p>
      <w:pPr>
        <w:pStyle w:val="Heading6"/>
        <w:numPr>
          <w:ilvl w:val="5"/>
          <w:numId w:val="1"/>
        </w:numPr>
        <w:rPr/>
      </w:pPr>
      <w:bookmarkStart w:id="376" w:name="__RefHeading___Toc78870_3244359995"/>
      <w:bookmarkStart w:id="377" w:name="_Toc143"/>
      <w:bookmarkEnd w:id="376"/>
      <w:r>
        <w:rPr>
          <w:rtl w:val="true"/>
        </w:rPr>
        <w:t>وجه ششم</w:t>
      </w:r>
      <w:r>
        <w:rPr>
          <w:rtl w:val="true"/>
        </w:rPr>
        <w:t xml:space="preserve">: </w:t>
      </w:r>
      <w:r>
        <w:rPr>
          <w:rtl w:val="true"/>
        </w:rPr>
        <w:t>جمع مرحوم مجلسی رحمه الله</w:t>
      </w:r>
      <w:bookmarkEnd w:id="377"/>
    </w:p>
    <w:p>
      <w:pPr>
        <w:pStyle w:val="BookText"/>
        <w:rPr/>
      </w:pPr>
      <w:r>
        <w:rPr>
          <w:rFonts w:ascii="IRNazanin" w:hAnsi="IRNazanin" w:eastAsia="IRNazanin"/>
          <w:color w:val="111111"/>
          <w:sz w:val="28"/>
          <w:sz w:val="28"/>
          <w:szCs w:val="28"/>
          <w:rtl w:val="true"/>
          <w:lang w:bidi="fa-IR"/>
        </w:rPr>
        <w:t>این وجه به ذهن ما آمده بود؛ پس از مراجعه، دیدیم که مرحوم مجلسی در حاشیه‌ی تهذیب الاخبار آن را به عنوان جمع بین روایات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أن یوجدا فی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فی الزنا أن یوجدا فی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قرینه‌ی این روایت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صد تازیانه را بیان کرده‌اند، در موردی است که به وقوع زنا و عدم آن یقین نداریم؛ لیکن آیا اجتماع زن و مرد اجنبی در مکان خلوت زیر یک لحاف، قرینه و اماره‌ی عرفی بر وقوع زنا 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مراتب فسق مختلف است؛ گاه زن و مرد اجنبی اراده دارند خلاف شرعی در حدّ تماس دو بدن، معانقه، تقبیل، دست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نیاز به اجتماع زیر یک لحاف ندارند؛ رفتن زیر یک لحاف در مکان خلوت، اماره‌ی عرفی است که بنا نبوده کار به همان مقدّمات خاتمه پیدا کند، لذا به نظر عرف دخول و زنا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بیش‌تر از اجتماع این دو نفر در زیر یک لحاف اطّلاع ندارد،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بیّنه دیده و می‌تواند بر آن شهادت دهد، اجتماع این دو نفر زیر یک لحاف است، امّا علم به ارتکاب زنا یا عدم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یک اماره‌ی عرفی بر وقوع زنا، وجود زن و مرد زیر لحاف واحد، قرینه‌ی شرعی بر وقوع زنا است؛ و اگر بیّنه به همین مقدار قائم شد، صد تازیانه بر آنان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مرحوم مجلسی این شاهد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زنا که بدون دخول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زیر یک لحاف جمع شده باشند و یقین دارید که زنایی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دایره‌ی صد تازیانه به حدّی وسعت دارد که این مورد را هم به عنوان حدّ زنا می‌گیرد؛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اجتماعی به نظر عرف حاکی از وقوع زنا است؛ وگرنه اگر صرف اجتماع، با علم به عدم ارتکاب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فی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گفت؛ و نمی‌توان حدّ زنا را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زنا بیّنه باید شهادت دهد بر این که دخول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360"/>
      </w:r>
      <w:r>
        <w:rPr>
          <w:rFonts w:ascii="IRNazanin" w:hAnsi="IRNazanin" w:eastAsia="IRNazanin"/>
          <w:color w:val="111111"/>
          <w:sz w:val="28"/>
          <w:sz w:val="28"/>
          <w:szCs w:val="28"/>
          <w:rtl w:val="true"/>
          <w:lang w:bidi="fa-IR"/>
        </w:rPr>
        <w:t>در تأیید مرحوم مجلسی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وجود زیر لحاف واحد، مرز حدّ زنا است؛ و از طرفی صد تازیانه، در جایی است که زنا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چاره‌ای نیست که اجتماع را قرینه‌ی عرفی بر وقوع زنا بگیریم والّا اگر این قرینیّت کنار رود و از آن صرف نظر کنیم، چگونه می‌توان بر اجتماع زیر یک لحاف حدّ زنا جاری کرد؟</w:t>
      </w:r>
    </w:p>
    <w:p>
      <w:pPr>
        <w:pStyle w:val="BookText"/>
        <w:rPr/>
      </w:pPr>
      <w:r>
        <w:rPr>
          <w:rFonts w:ascii="IRNazanin" w:hAnsi="IRNazanin" w:eastAsia="IRNazanin"/>
          <w:color w:val="111111"/>
          <w:sz w:val="28"/>
          <w:sz w:val="28"/>
          <w:szCs w:val="28"/>
          <w:rtl w:val="true"/>
          <w:lang w:bidi="fa-IR"/>
        </w:rPr>
        <w:t>مؤیّد دیگر، در روایت ابی الصباح کنانی به نقل شیخ طوسی رحمه الله اضافه‌ای وجود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محمّد بن الفضیل، عن الکنانی، قال سألت أبا عبداللّه علیه السلام عن الرجل</w:t>
      </w:r>
      <w:bookmarkStart w:id="378" w:name="pg16919_226992"/>
    </w:p>
    <w:p>
      <w:pPr>
        <w:pStyle w:val="BookText"/>
        <w:rPr/>
      </w:pPr>
      <w:bookmarkEnd w:id="378"/>
      <w:r>
        <w:rPr>
          <w:rFonts w:ascii="IRNazanin" w:hAnsi="IRNazanin" w:eastAsia="IRNazanin"/>
          <w:color w:val="111111"/>
          <w:sz w:val="28"/>
          <w:sz w:val="28"/>
          <w:szCs w:val="28"/>
          <w:rtl w:val="true"/>
          <w:lang w:bidi="fa-IR"/>
        </w:rPr>
        <w:t>والمرأة یوجدان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اجلدهما مائة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الرجم حتّی تقیم الشهود الأربعة أنّهم رأوه یجامعها</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اجتماع مرد و زن در زیر یک لحاف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صد تازیانه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ثابت نمی‌شود مگر این‌که چهار شاهد شهادت دهند که این مرد را دیدند که با این زن نزدیکی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ربط صدر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 و زن زیر یک 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در صورت شهادت شهود به وقوع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مگر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اماره‌ی عرفی بر زنا است؛ لذا، در این مورد، صد تازیانه، حدّ زنای معمولی زده می‌شود؛ هر چند مرد یا زن زناکار یا هر دو، محصن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حدیث ابی بصیر به نقل شیخ طوسی رحمه الله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سعید، عن القاسم، عن علیّ،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وجدت مع رجل فی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یجلدان مائة جلدة ولا یجب الرجم حتّی تقوم البیّنة الأربعة قد رأه یجامعها</w:t>
      </w:r>
      <w:r>
        <w:rPr>
          <w:rFonts w:eastAsia="IRNazanin" w:cs="IRNazanin"/>
          <w:color w:val="111111"/>
          <w:sz w:val="28"/>
          <w:szCs w:val="28"/>
          <w:rtl w:val="true"/>
          <w:lang w:bidi="fa-IR"/>
        </w:rPr>
        <w:t xml:space="preserve">. </w:t>
      </w:r>
      <w:r>
        <w:rPr>
          <w:rStyle w:val="FootnoteAnchor"/>
          <w:rtl w:val="true"/>
        </w:rPr>
        <w:footnoteReference w:id="362"/>
      </w:r>
    </w:p>
    <w:p>
      <w:pPr>
        <w:pStyle w:val="Heading6"/>
        <w:numPr>
          <w:ilvl w:val="5"/>
          <w:numId w:val="1"/>
        </w:numPr>
        <w:rPr/>
      </w:pPr>
      <w:bookmarkStart w:id="379" w:name="__RefHeading___Toc78872_3244359995"/>
      <w:bookmarkStart w:id="380" w:name="_Toc144"/>
      <w:bookmarkEnd w:id="379"/>
      <w:r>
        <w:rPr>
          <w:rtl w:val="true"/>
        </w:rPr>
        <w:t>نقد طریق مجلسی</w:t>
      </w:r>
      <w:bookmarkEnd w:id="380"/>
    </w:p>
    <w:p>
      <w:pPr>
        <w:pStyle w:val="BookText"/>
        <w:rPr/>
      </w:pPr>
      <w:r>
        <w:rPr>
          <w:rFonts w:ascii="IRNazanin" w:hAnsi="IRNazanin" w:eastAsia="IRNazanin"/>
          <w:color w:val="111111"/>
          <w:sz w:val="28"/>
          <w:sz w:val="28"/>
          <w:szCs w:val="28"/>
          <w:rtl w:val="true"/>
          <w:lang w:bidi="fa-IR"/>
        </w:rPr>
        <w:t xml:space="preserve">پذیرش این وجه، اوّلاً مبتنی است بر این‌که بگوییم در زنای معمولی شهادت به معاینه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کالمیل فی المکحلة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این جهت در آینده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اثبات کردیم، فرقی بین زنای محصنه و غیر محصنه در این جهت نیست، این وجهِ جمع ناقص 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تقریباً سه مطلب مطرح است که آن‌ها از جهاتی فرق دارند؛ هر سه به هم نزدیک و در کلام فقها نیز به صورت یک مسأله مطرح شده است</w:t>
      </w:r>
      <w:r>
        <w:rPr>
          <w:rFonts w:eastAsia="IRNazanin" w:cs="IRNazanin"/>
          <w:color w:val="111111"/>
          <w:sz w:val="28"/>
          <w:szCs w:val="28"/>
          <w:rtl w:val="true"/>
          <w:lang w:bidi="fa-IR"/>
        </w:rPr>
        <w:t>.</w:t>
      </w:r>
      <w:bookmarkStart w:id="381" w:name="pg16919_226993"/>
    </w:p>
    <w:p>
      <w:pPr>
        <w:pStyle w:val="BookText"/>
        <w:rPr/>
      </w:pPr>
      <w:bookmarkEnd w:id="381"/>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دو مرد زیر یک لحاف، خوابیدن دو زن زیر یک لحاف، خوابیدن زن و مرد اجنبی زیر یک 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پاره‌ای از روایات یک‌جا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از مرحوم مجلسی رحمه الله می‌پرسیم، اگر اجتماع زن و مرد زیر یک لحاف اماره‌ی عرفی بر وقوع زنا است، آیا اجتماع دو مرد زیر یک لحاف را اماره‌ی عرفی بر وقوع لواط می‌گیرید؟ در باب زنا، حدّ دو نوع است؛ صد تازیانه و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زیر یک لحاف را قرینه بر وقوع زنا و مترتّب کردن حدِّ کمتر یعنی صد تازیانه گرفتید؛ حال، در باب لواط که حدّش فقط کشتن است، چگونه بر اجتماع دو مرد زیر یک لحاف، به صد تازیانه حکم می‌دهید، اگر اجتماع‌شان قرینه‌ی بر وقوع لواط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می‌گفت بیّنه بر اجتماعشان قائم شده و بر بیش از این مقدار آگاهی ندارد، شاهدی است که مجرّد اجتماع، قرینیّت عرفیّه بر وقوع زنا ندارد؛ زیرا، با عدم علم به وقوع فحشا، ارتکاب آن مشکوک است؛ حال، اگر اماره‌ی عرفیه است،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زنا واقع شده است؛ 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منهما علی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راه جمعی که مرحوم مجلسی مطرح کرد، مبتلا به این اشکال‌ها است و نمی‌توانیم آن را بپذیریم</w:t>
      </w:r>
      <w:r>
        <w:rPr>
          <w:rFonts w:eastAsia="IRNazanin" w:cs="IRNazanin"/>
          <w:color w:val="111111"/>
          <w:sz w:val="28"/>
          <w:szCs w:val="28"/>
          <w:rtl w:val="true"/>
          <w:lang w:bidi="fa-IR"/>
        </w:rPr>
        <w:t>.</w:t>
      </w:r>
    </w:p>
    <w:p>
      <w:pPr>
        <w:pStyle w:val="Heading5"/>
        <w:numPr>
          <w:ilvl w:val="4"/>
          <w:numId w:val="1"/>
        </w:numPr>
        <w:rPr/>
      </w:pPr>
      <w:bookmarkStart w:id="382" w:name="__RefHeading___Toc78874_3244359995"/>
      <w:bookmarkStart w:id="383" w:name="_Toc145"/>
      <w:bookmarkEnd w:id="382"/>
      <w:r>
        <w:rPr>
          <w:rtl w:val="true"/>
        </w:rPr>
        <w:t>وقوع تعارض بین روایات</w:t>
      </w:r>
      <w:bookmarkEnd w:id="38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شش گانه‌ای که در حلّ اشکال تعارض گفته شده بود، ناتمام است؛ و به ناچار، تعارض مستقرّ می‌شود و جای جمع دلالی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مرجّحات باب تعارض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مرجّحی که از مقبوله‌ی عمر بن حنظله</w:t>
      </w:r>
      <w:r>
        <w:rPr>
          <w:rStyle w:val="FootnoteAnchor"/>
          <w:rtl w:val="true"/>
        </w:rPr>
        <w:footnoteReference w:id="363"/>
      </w:r>
      <w:r>
        <w:rPr>
          <w:rFonts w:ascii="IRNazanin" w:hAnsi="IRNazanin" w:eastAsia="IRNazanin"/>
          <w:color w:val="111111"/>
          <w:sz w:val="28"/>
          <w:sz w:val="28"/>
          <w:szCs w:val="28"/>
          <w:rtl w:val="true"/>
          <w:lang w:bidi="fa-IR"/>
        </w:rPr>
        <w:t>استفاده می‌شود، شهرت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حدّ آن را صد تازیانه گفته است مخالفت با شهرت فتوایی بوده و روایات نود و نه تازیانه موافق با آن است، پس باید آن‌ها را گرفت</w:t>
      </w:r>
      <w:r>
        <w:rPr>
          <w:rFonts w:eastAsia="IRNazanin" w:cs="IRNazanin"/>
          <w:color w:val="111111"/>
          <w:sz w:val="28"/>
          <w:szCs w:val="28"/>
          <w:rtl w:val="true"/>
          <w:lang w:bidi="fa-IR"/>
        </w:rPr>
        <w:t>.</w:t>
      </w:r>
      <w:bookmarkStart w:id="384" w:name="pg16919_226994"/>
    </w:p>
    <w:p>
      <w:pPr>
        <w:pStyle w:val="BookText"/>
        <w:rPr/>
      </w:pPr>
      <w:bookmarkEnd w:id="384"/>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رحمه الله</w:t>
      </w:r>
      <w:r>
        <w:rPr>
          <w:rStyle w:val="FootnoteAnchor"/>
          <w:rtl w:val="true"/>
        </w:rPr>
        <w:footnoteReference w:id="364"/>
      </w:r>
      <w:r>
        <w:rPr>
          <w:rFonts w:ascii="IRNazanin" w:hAnsi="IRNazanin" w:eastAsia="IRNazanin"/>
          <w:color w:val="111111"/>
          <w:sz w:val="28"/>
          <w:sz w:val="28"/>
          <w:szCs w:val="28"/>
          <w:rtl w:val="true"/>
          <w:lang w:bidi="fa-IR"/>
        </w:rPr>
        <w:t>این دسته از روایات را مشهورتر گفته، و در مقابل آن دسته، مشهور می‌شود؛ بنابر این، بر هر دو دسته شهرت فتوایی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صد تازیانه خلاف مشهور، و روایات کمتر از صد تازیانه مطابق با مشهور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از این رو، باید بر طبق قاعده فتوا دهیم که اگر زن و مردی را زیر یک لحاف گرفتند، نود و نه تازیانه، نه کمتر و نه بیشتر، به آنان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جمع، همان گونه که صاحب جواهر رحمه الله فرموده است، قائل نشدن هیچ فقیهی به این مطلب است که مجازات این مورد، فقط و فقط نود و نه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تحریر الوسیله این است که در این مورد، تعزیر ثابت و برای آن حدّ معیّنی نیست؛ بلکه به نظر حاکم بستگی دارد، و هر مقدار که او مصلحت دید، همان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ظاهرعبارت استفاده می‌شود که اگر حاکم شرعی مصلحت دید بیست تازیانه بزند یا مصلحت دید که صد و بیست تازیانه بزند، در طرف اقلّ و اکثر هیچ محدودیتی نیست؛ و لازم نیست تعزیر کمتر از حدّ باشد</w:t>
      </w:r>
      <w:r>
        <w:rPr>
          <w:rFonts w:eastAsia="IRNazanin" w:cs="IRNazanin"/>
          <w:color w:val="111111"/>
          <w:sz w:val="28"/>
          <w:szCs w:val="28"/>
          <w:rtl w:val="true"/>
          <w:lang w:bidi="fa-IR"/>
        </w:rPr>
        <w:t>.</w:t>
      </w:r>
    </w:p>
    <w:p>
      <w:pPr>
        <w:pStyle w:val="Heading5"/>
        <w:numPr>
          <w:ilvl w:val="4"/>
          <w:numId w:val="1"/>
        </w:numPr>
        <w:rPr/>
      </w:pPr>
      <w:bookmarkStart w:id="385" w:name="__RefHeading___Toc78876_3244359995"/>
      <w:bookmarkStart w:id="386" w:name="_Toc146"/>
      <w:bookmarkEnd w:id="385"/>
      <w:r>
        <w:rPr>
          <w:rtl w:val="true"/>
        </w:rPr>
        <w:t>بیان راه حلّ مشکل</w:t>
      </w:r>
      <w:bookmarkEnd w:id="386"/>
    </w:p>
    <w:p>
      <w:pPr>
        <w:pStyle w:val="BookText"/>
        <w:rPr/>
      </w:pPr>
      <w:r>
        <w:rPr>
          <w:rFonts w:ascii="IRNazanin" w:hAnsi="IRNazanin" w:eastAsia="IRNazanin"/>
          <w:color w:val="111111"/>
          <w:sz w:val="28"/>
          <w:sz w:val="28"/>
          <w:szCs w:val="28"/>
          <w:rtl w:val="true"/>
          <w:lang w:bidi="fa-IR"/>
        </w:rPr>
        <w:t>نتیجه‌ی این جمع، به ترجیح روایات نود و نه تازیانه منتهی شد که با مشکل فتوا ندادن اصحاب به این عدد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سوط إلّاسوطاً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کرده‌اند، در مقام تعیین عدد است؟ کسی که نود و نه تازیانه خورده است، یک تازیانه‌ی دیگر را نیز 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و عدم یک تازیانه چه نقشی دارد؟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روایات با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نفی کردن حدّ نیست؟ تا به جای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رحمه الله با آن عظمت و دقّت در انتخاب کلمات،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المسألة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مائة جلدة والاُخری دون الحدّ وهی</w:t>
      </w:r>
      <w:bookmarkStart w:id="387" w:name="pg16919_226995"/>
    </w:p>
    <w:p>
      <w:pPr>
        <w:pStyle w:val="BookText"/>
        <w:rPr/>
      </w:pPr>
      <w:bookmarkEnd w:id="387"/>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در این مسأله دوگونه روایت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تازیانه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کمتر از حدّ که مشهورتر است؛ با وجود این که در هیچ روایتی،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حدّ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استناد به روایت دادن، عدم استفاده‌ی تعیّن عدد نود و نه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سوط إلّاسوطاً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به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قرینیّت برای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گذاشتن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یونس بن عبد الرّحمن،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 المرأتان تنامان فی ثوب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هر چند روایت مربوط به بحث ما نیست، ولی مشابه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یا دو زنی که در یک پارچه خوابیده‌اند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اندازه‌ی حدّ؟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بر روی عدد نود و نه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یک تازیانه فقط برای از بین رفتن عنوان حدّ و جایگزین شدن عنوان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مجازات او تعزیری شد، اختیار مقدارش به دست حاکم است که در مقدار اقلّ آن هیچ محدودیتی نیست، امّا نسبت به اکثر آن اختلاف است؛ و در محلّ خودش باید بحث شود</w:t>
      </w:r>
      <w:r>
        <w:rPr>
          <w:rFonts w:eastAsia="IRNazanin" w:cs="IRNazanin"/>
          <w:color w:val="111111"/>
          <w:sz w:val="28"/>
          <w:szCs w:val="28"/>
          <w:rtl w:val="true"/>
          <w:lang w:bidi="fa-IR"/>
        </w:rPr>
        <w:t>.</w:t>
      </w:r>
    </w:p>
    <w:p>
      <w:pPr>
        <w:pStyle w:val="Heading5"/>
        <w:numPr>
          <w:ilvl w:val="4"/>
          <w:numId w:val="1"/>
        </w:numPr>
        <w:rPr/>
      </w:pPr>
      <w:bookmarkStart w:id="388" w:name="__RefHeading___Toc78878_3244359995"/>
      <w:bookmarkStart w:id="389" w:name="_Toc147"/>
      <w:bookmarkEnd w:id="388"/>
      <w:r>
        <w:rPr>
          <w:rtl w:val="true"/>
        </w:rPr>
        <w:t>مقصود از اجتماع مرد و زن چیست؟</w:t>
      </w:r>
      <w:bookmarkEnd w:id="38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 از خوابیدن زن و مرد زیر یک لحاف حالت عریان و برهنگی است، و یا مطلق اجتماع‌شان کافی است؟ به عبارت دیگر، تماس و برخورد بدن آن دو با یکدیگر لازم است یا نه؟</w:t>
      </w:r>
    </w:p>
    <w:p>
      <w:pPr>
        <w:pStyle w:val="BookText"/>
        <w:rPr/>
      </w:pPr>
      <w:r>
        <w:rPr>
          <w:rFonts w:ascii="IRNazanin" w:hAnsi="IRNazanin" w:eastAsia="IRNazanin"/>
          <w:color w:val="111111"/>
          <w:sz w:val="28"/>
          <w:sz w:val="28"/>
          <w:szCs w:val="28"/>
          <w:rtl w:val="true"/>
          <w:lang w:bidi="fa-IR"/>
        </w:rPr>
        <w:t>در پاره‌ای از روایات، صورت برهنگی مطرح، و در برخی دیگر، مطلق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عن أبیه، عن إبن محبوب، عن أبی أیّوب،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وجد رجلین فی لحاف واحد مجرّدین جلدهما حدّ الزانی مائة جلدة کلّ واحد منهما، وکذلک المرأتان إذا وجدتا فی لحاف واحد مجرّدتین جلدهما کلّ واحدة منهما مائة جلدة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این روایت هم حکم مرد و هم مسأله‌ی دو زن، در صورت تجرّد و برهنگی فرض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محمّد بن أحمد بن یحیی، عن محمّد بن الحسین، عن عبد الرّحمن بن أبی هاشم البجلّی،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لامرأتین تنامان فی لحاف واحد إلّاوبینهما حاجز، فإن فعلتا نهیتا عن ذلک، فإن وجدهما بعد النهی فی لحاف واحد جلدتا کلّ واحد منهما حدّاً حدّاً، فإن وجدتا الثالثة فی لحاف حدّتا، فإن وجدتا الرابعة قتلتا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در این روایت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لحاف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روایت که یکی درباره‌ی خواب دو مرد یا دو زن، و دیگری درباره‌ی خواب دو زن وارد شده است، نمی‌توان استفاده کرد از روایات دیگر نیز همین مطلب اراده شده است؟ البته نباید گمان شود خوابیدن زن و مرد اجنبی زیر یک لحاف در صورتی که برهنه نباشند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حرام و غیر مشروع است؛ لیکن بحث ما در روایاتی است که مجازات صد تازیانه یا نود و نه تازیانه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روایات کجا است؟ آیا در مورد مطلق اجتماع، حکم جاری است و یا به قرینه‌ی روایاتی که هر سه فرع را یک‌جا آورده بود؟ به قرینه‌ی این دو روایت که آن را مقیّد به تجرّد کرده،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مورد</w:t>
      </w:r>
      <w:bookmarkStart w:id="390" w:name="pg16919_226997"/>
    </w:p>
    <w:p>
      <w:pPr>
        <w:pStyle w:val="BookText"/>
        <w:rPr/>
      </w:pPr>
      <w:bookmarkEnd w:id="390"/>
      <w:r>
        <w:rPr>
          <w:rFonts w:ascii="IRNazanin" w:hAnsi="IRNazanin" w:eastAsia="IRNazanin"/>
          <w:color w:val="111111"/>
          <w:sz w:val="28"/>
          <w:sz w:val="28"/>
          <w:szCs w:val="28"/>
          <w:rtl w:val="true"/>
          <w:lang w:bidi="fa-IR"/>
        </w:rPr>
        <w:t>بحث اجتماع مرد و زن نیز به قید تجرّد حکم جریان دارد؟</w:t>
      </w:r>
    </w:p>
    <w:p>
      <w:pPr>
        <w:pStyle w:val="BookText"/>
        <w:rPr/>
      </w:pPr>
      <w:r>
        <w:rPr>
          <w:rFonts w:ascii="IRNazanin" w:hAnsi="IRNazanin" w:eastAsia="IRNazanin"/>
          <w:color w:val="111111"/>
          <w:sz w:val="28"/>
          <w:sz w:val="28"/>
          <w:szCs w:val="28"/>
          <w:rtl w:val="true"/>
          <w:lang w:bidi="fa-IR"/>
        </w:rPr>
        <w:t>شاهد این مطلب وجه جمعی است که از مرحوم مجلسی نقل کردیم؛ هر چند مبتلا به اشکال است و آن را نپذیرفتیم، امّا ایشان اجتماع این دو را زیر یک لحاف قرینه‌ی عرفی بر ارتکاب زنا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قرینیّت در جایی است که عریان باشند، و الّا اگر پوشیده و مستور هستند، چگونه امّاریت بر این عمل دارد؟</w:t>
      </w:r>
    </w:p>
    <w:p>
      <w:pPr>
        <w:pStyle w:val="BookText"/>
        <w:rPr/>
      </w:pPr>
      <w:r>
        <w:rPr>
          <w:rFonts w:ascii="IRNazanin" w:hAnsi="IRNazanin" w:eastAsia="IRNazanin"/>
          <w:color w:val="111111"/>
          <w:sz w:val="28"/>
          <w:sz w:val="28"/>
          <w:szCs w:val="28"/>
          <w:rtl w:val="true"/>
          <w:lang w:bidi="fa-IR"/>
        </w:rPr>
        <w:t>آن‌چه مایه‌ی شگفتی است، عدم تعرّض فقها نسبت به این قید است؛ حتّی صاحب جواهر رحمه الله که تمام خصوصیّات مسأله را مطرح می‌کند، در این‌جا معیّن نکرده است که آیا مقصود مطلق اجتماع است یا صورت برهنه بودن؟</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نکاتی که گفته شد، انسان می‌تواند از روایات استفاده کند با این همه شدّتی که بر آن حدّ زنا بار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 روایات صد تازیانه را نپذیرفتیم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عدد می‌توانیم مورد روایات را کشف کنیم که در چه مواردی چنین حکم شدیدی جاری است؛ وگرنه صرف اجتماع زن مردی که عریان نیستند و کاملاً پوشیده هستند، زیر یک لحاف، موجب چنین حدّی نمی‌شود</w:t>
      </w:r>
      <w:r>
        <w:rPr>
          <w:rFonts w:eastAsia="IRNazanin" w:cs="IRNazanin"/>
          <w:color w:val="111111"/>
          <w:sz w:val="28"/>
          <w:szCs w:val="28"/>
          <w:rtl w:val="true"/>
          <w:lang w:bidi="fa-IR"/>
        </w:rPr>
        <w:t>.</w:t>
      </w:r>
    </w:p>
    <w:p>
      <w:pPr>
        <w:pStyle w:val="Heading4"/>
        <w:numPr>
          <w:ilvl w:val="3"/>
          <w:numId w:val="1"/>
        </w:numPr>
        <w:rPr/>
      </w:pPr>
      <w:bookmarkStart w:id="391" w:name="__RefHeading___Toc78880_3244359995"/>
      <w:bookmarkStart w:id="392" w:name="_Toc148"/>
      <w:bookmarkEnd w:id="391"/>
      <w:r>
        <w:rPr>
          <w:rtl w:val="true"/>
        </w:rPr>
        <w:t>تعمیم حکم به تقبیل و معانقه</w:t>
      </w:r>
      <w:bookmarkEnd w:id="392"/>
    </w:p>
    <w:p>
      <w:pPr>
        <w:pStyle w:val="BookText"/>
        <w:rPr/>
      </w:pPr>
      <w:r>
        <w:rPr>
          <w:rFonts w:ascii="IRNazanin" w:hAnsi="IRNazanin" w:eastAsia="IRNazanin"/>
          <w:color w:val="111111"/>
          <w:sz w:val="28"/>
          <w:sz w:val="28"/>
          <w:szCs w:val="28"/>
          <w:rtl w:val="true"/>
          <w:lang w:bidi="fa-IR"/>
        </w:rPr>
        <w:t xml:space="preserve">روایاتی که بیان گردید، فقط در مورد فرض اجتماع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یا دو زن و یا مرد و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لحاف یا ثوب واحد بود؛ و در هیچ یک از این احادیث سخنی از تقبیل و معانقه نبود؛ لیکن فقها در کلماتشان به تقبیل و معانقه نیز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محقّق در شرایع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التقبیل والمضاجعة فی إزار واحد والمعانقة روایتان إحداهما مائة جلدة والاُخری دون الحدّ وهی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بوسیدن و خوابیدن زیر لحاف واحد و معانقه دو نوع روایت رسیده است، یک دسته بر صد تازیانه و نوع دیگر بر کمتر از حدّ دلالت دارد، که روایات دسته‌ی دوم مشهورتر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پا را فراتر گذاشته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 ذلک ممّا هو استمتاع بما دون</w:t>
      </w:r>
    </w:p>
    <w:p>
      <w:pPr>
        <w:pStyle w:val="BookText"/>
        <w:rPr/>
      </w:pP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در تحریر الوسیله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التقبیل والمضاجعة والمعانقة وغیر ذلک من الاستمتاعات دون الفرج تعزیر ولا حدّ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فقها مسأله را تعمیم داده‌اند که شامل تقبیل، هم‌خوابگی، معانقه و غیر آن از استمتاعات به غیر از فرج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دسته روایتِ متعارض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تازیانه و نود و نه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بوسیدن و مضاجعه و معانقه نیز رسیده است؟ آن‌چه در این روایات مطرح است، مضاجعه و هم‌خوابگی است، آیا از این مورد الغای خصوصیّت کرده،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اجتماع زیر یک لحاف، استمتاع بما دون الفرج است از هر راهی که حاصل شود، هر چند دست دادن زن و مرد به شهوت باشد؛ و یا بر یک بار بوسیدن حکم به صد تازیانه می‌کنید؟</w:t>
      </w:r>
    </w:p>
    <w:p>
      <w:pPr>
        <w:pStyle w:val="BookText"/>
        <w:rPr/>
      </w:pPr>
      <w:r>
        <w:rPr>
          <w:rFonts w:ascii="IRNazanin" w:hAnsi="IRNazanin" w:eastAsia="IRNazanin"/>
          <w:color w:val="111111"/>
          <w:sz w:val="28"/>
          <w:sz w:val="28"/>
          <w:szCs w:val="28"/>
          <w:rtl w:val="true"/>
          <w:lang w:bidi="fa-IR"/>
        </w:rPr>
        <w:t>بنا بر مختار ما، که صرف اجتماع مرد و زن مراد نیست، بلکه عریان و برهنه بودن موضوعیت دارد، ما نمی‌توانیم الغای خصوصیّت کنیم؛ زیرا، این‌گونه تجمّع اگر اماره‌ی عرفی بر زنا نباشد، مقدّمه‌ی قریب وقوع زنا خواهد بود؛ یعنی این آخرین مرحله است؛ و اگر زنایی بخواهد محقّق شود، معمولاً از این راه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اگر شارع بر آخرین مقدّمه‌ی زنا، حکمی را مترتّب کرد، آیا می‌توانیم از حکم تعمیمم استفاده کنیم و آن را شامل تمام استمتاع‌های غیر زنایی مانند بوسیدن، دست دادن، لمس کردن بدن به شهوت و مانند آن بدانیم؟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روایت نود و نه تازیانه را گفته و برای این عدد موضوعیّتی قائل نشده‌اند، می‌توانند بگویند در تمام این موارد، تعزیر جاری است و مقدار آن نیز بستگی به نظر حاکم دارد؛ و هر چه او مصلحت دید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عبارت مرحوم امام در تحریر الوسیله نمی‌توان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بر عبارت مرحوم محقّق در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روایتی بر تعمیم نداریم و امکان الغای خصوصیّت نیز نیست، 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دو دسته روایت داریم؟ آیا می‌توان روایت صد تازیانه که مربوط به اجتماع زن و</w:t>
      </w:r>
    </w:p>
    <w:p>
      <w:pPr>
        <w:pStyle w:val="BookText"/>
        <w:rPr/>
      </w:pPr>
      <w:r>
        <w:rPr>
          <w:rFonts w:ascii="IRNazanin" w:hAnsi="IRNazanin" w:eastAsia="IRNazanin"/>
          <w:color w:val="111111"/>
          <w:sz w:val="28"/>
          <w:sz w:val="28"/>
          <w:szCs w:val="28"/>
          <w:rtl w:val="true"/>
          <w:lang w:bidi="fa-IR"/>
        </w:rPr>
        <w:t>مرد عریان است را شامل بوسیدن هم دانست، تعجّب از کلام مرحوم محقّق و تأیید صاحب جواهر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تقبیل روایت زیر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یحیی بن المبارک، عن عبداللّه بن جبلة،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غلاماً بشهوة،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مائة سوط</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مشتمل بر یحیی بن مبارک است که حال او از نظر وثاقت مجهول است؛ لذا، نمی‌توان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دلالت نیز روایت مضطرب است؛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جذام است، و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بسیاری از فقها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مضمون روایت این می‌شود که شخصی بچّه‌ای از خویشاوندانش را به شهوت بوسید، حکم آن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به او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به ذهن ما آمد و بعد دیدیم در حاشیه‌ی وسائل از مرحوم شعرانی</w:t>
      </w:r>
      <w:r>
        <w:rPr>
          <w:rStyle w:val="FootnoteAnchor"/>
          <w:rtl w:val="true"/>
        </w:rPr>
        <w:footnoteReference w:id="373"/>
      </w:r>
      <w:r>
        <w:rPr>
          <w:rFonts w:ascii="IRNazanin" w:hAnsi="IRNazanin" w:eastAsia="IRNazanin"/>
          <w:color w:val="111111"/>
          <w:sz w:val="28"/>
          <w:sz w:val="28"/>
          <w:szCs w:val="28"/>
          <w:rtl w:val="true"/>
          <w:lang w:bidi="fa-IR"/>
        </w:rPr>
        <w:t xml:space="preserve">نقل شده که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مَحْرَم؛ زیرا،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لغو است؛ چه آن‌که مَحْرم را در مورد زن و مرد به کار می‌برند و نه برای دو مرد؛ کاربرد این واژه برای دو مرد عرفی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سؤال راوی از مُحرمی بوده که در آن عبادت پر عظمت غلامی را از روی شهوت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 سائل این بوده که آیا به احرامش لطمه می‌خورد؟ امام علیه السلام در جواب مثل این که فرموده باشد به احرامش لطمه نمی‌خورد، امّا باید صد ضربه شلّاق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از روایتی که در باب احرام و تقبیل غلام وارد شده، الغای خصوصیّت کرد و درباره‌ی تقبیل مرد و زن در غیر حال احرام نیز حکم آن را جاری دانست؟ اگر روایت را مربوط به حال احرام بدانیم، هیچ ارتباطی به این بحث پیدا نمی‌کند؛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که مثلاً مردی برادرزاده‌ی خود را از روی شهوت ببوسد، باز نمی‌توان از آن الغای خصوصیّت کرد؛ زیرا، حکم درباره‌ی دو مرد، حادّتر و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می‌کنیم از این‌که در بعضی از کتاب‌های فقهی همه‌ی مسائل را به هم مخلوط، و روایات را به هم آمیخته، و از آن‌ها احکام را استنتاج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کدام مورد و محلّ خاصّی دارد، و نباید آن‌ها را یکنواخت فرض کنیم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تمام استمتاع‌های غیر زنایی را به عنوان موضوع روایات محلّ بحث قرار دهیم، نسبت به مضاجعه روایت داریم، و در غیر آن باید به طریقی دیگر حکم کنیم</w:t>
      </w:r>
      <w:r>
        <w:rPr>
          <w:rFonts w:eastAsia="IRNazanin" w:cs="IRNazanin"/>
          <w:color w:val="111111"/>
          <w:sz w:val="28"/>
          <w:szCs w:val="28"/>
          <w:rtl w:val="true"/>
          <w:lang w:bidi="fa-IR"/>
        </w:rPr>
        <w:t>.</w:t>
      </w:r>
      <w:bookmarkStart w:id="393" w:name="pg16919_227001"/>
    </w:p>
    <w:p>
      <w:pPr>
        <w:pStyle w:val="Heading3"/>
        <w:numPr>
          <w:ilvl w:val="2"/>
          <w:numId w:val="1"/>
        </w:numPr>
        <w:rPr/>
      </w:pPr>
      <w:bookmarkStart w:id="394" w:name="__RefHeading___Toc78882_3244359995"/>
      <w:bookmarkStart w:id="395" w:name="_Toc149"/>
      <w:bookmarkEnd w:id="393"/>
      <w:bookmarkEnd w:id="394"/>
      <w:r>
        <w:rPr>
          <w:rtl w:val="true"/>
        </w:rPr>
        <w:t>فصل دوم</w:t>
      </w:r>
      <w:r>
        <w:rPr>
          <w:rtl w:val="true"/>
        </w:rPr>
        <w:t xml:space="preserve">: </w:t>
      </w:r>
      <w:r>
        <w:rPr>
          <w:rtl w:val="true"/>
        </w:rPr>
        <w:t>راه های اثبات زنا</w:t>
      </w:r>
      <w:bookmarkEnd w:id="39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6" w:name="__RefHeading___Toc78884_3244359995"/>
      <w:bookmarkStart w:id="397" w:name="_Toc150"/>
      <w:bookmarkEnd w:id="396"/>
      <w:r>
        <w:rPr>
          <w:rtl w:val="true"/>
        </w:rPr>
        <w:t>اشاره</w:t>
      </w:r>
      <w:bookmarkStart w:id="398" w:name="pg16919_227002"/>
      <w:bookmarkEnd w:id="397"/>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الزنا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الزنا بالإقرار ویشترط فیه بلوغ المقرّ وعقله واختیاره وقصده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عبرة بإقرار الصبی وإن کان مراهقاً ولا بإقرار المجنون حال جنونه ولا بإقرار المکره ولا بإقرار السکران والساهی والغافل والنائم والهازل ونحوهم</w:t>
      </w:r>
      <w:r>
        <w:rPr>
          <w:rFonts w:eastAsia="IRNazanin" w:cs="IRNazanin"/>
          <w:color w:val="111111"/>
          <w:sz w:val="28"/>
          <w:szCs w:val="28"/>
          <w:rtl w:val="true"/>
          <w:lang w:bidi="fa-IR"/>
        </w:rPr>
        <w:t>.</w:t>
      </w:r>
    </w:p>
    <w:p>
      <w:pPr>
        <w:pStyle w:val="Heading4"/>
        <w:numPr>
          <w:ilvl w:val="3"/>
          <w:numId w:val="1"/>
        </w:numPr>
        <w:rPr/>
      </w:pPr>
      <w:bookmarkStart w:id="399" w:name="__RefHeading___Toc78886_3244359995"/>
      <w:bookmarkStart w:id="400" w:name="_Toc151"/>
      <w:bookmarkEnd w:id="399"/>
      <w:r>
        <w:rPr>
          <w:rtl w:val="true"/>
        </w:rPr>
        <w:t>ثبوت زنا به اقرار</w:t>
      </w:r>
      <w:bookmarkEnd w:id="400"/>
    </w:p>
    <w:p>
      <w:pPr>
        <w:pStyle w:val="Heading5"/>
        <w:numPr>
          <w:ilvl w:val="4"/>
          <w:numId w:val="1"/>
        </w:numPr>
        <w:rPr/>
      </w:pPr>
      <w:bookmarkStart w:id="401" w:name="__RefHeading___Toc78888_3244359995"/>
      <w:bookmarkStart w:id="402" w:name="_Toc152"/>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یکی از راه‌های اثبات زنا، اقرار زانی است؛ و در آن، شرایطی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اقرار کننده باید بالغ، عاقل، مختار، و اقرارش توأم با قصد و التفات و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اعتباری برای اقرار کودک نیست؛ هرچند نزدیک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دیوانه در حال دیوانگی، و اقرار اکراه شده و شخص مست، ساهی، غافل، شخص خوابیده و از روی شوخی و مانند آن نیز پذیرفته نیست</w:t>
      </w:r>
      <w:r>
        <w:rPr>
          <w:rFonts w:eastAsia="IRNazanin" w:cs="IRNazanin"/>
          <w:color w:val="111111"/>
          <w:sz w:val="28"/>
          <w:szCs w:val="28"/>
          <w:rtl w:val="true"/>
          <w:lang w:bidi="fa-IR"/>
        </w:rPr>
        <w:t>.</w:t>
      </w:r>
    </w:p>
    <w:p>
      <w:pPr>
        <w:pStyle w:val="Heading5"/>
        <w:numPr>
          <w:ilvl w:val="4"/>
          <w:numId w:val="1"/>
        </w:numPr>
        <w:rPr/>
      </w:pPr>
      <w:bookmarkStart w:id="403" w:name="__RefHeading___Toc78890_3244359995"/>
      <w:bookmarkStart w:id="404" w:name="_Toc153"/>
      <w:bookmarkEnd w:id="403"/>
      <w:r>
        <w:rPr>
          <w:rtl w:val="true"/>
        </w:rPr>
        <w:t>دلیل اثبات زنا به اقرار</w:t>
      </w:r>
      <w:bookmarkEnd w:id="4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عامّ مهمّی در باب نفوذ اقرار و مثبتیّت آن است که یکی از مصادیق آن، اقرار به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علی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طریق خاصّه و عامّه بر لزوم چهار مرتبه اقرار در ثبوت زنا رسیده است،</w:t>
      </w:r>
      <w:r>
        <w:rPr>
          <w:rStyle w:val="FootnoteAnchor"/>
          <w:rtl w:val="true"/>
        </w:rPr>
        <w:footnoteReference w:id="375"/>
      </w:r>
      <w:r>
        <w:rPr>
          <w:rFonts w:ascii="IRNazanin" w:hAnsi="IRNazanin" w:eastAsia="IRNazanin"/>
          <w:color w:val="111111"/>
          <w:sz w:val="28"/>
          <w:sz w:val="28"/>
          <w:szCs w:val="28"/>
          <w:rtl w:val="true"/>
          <w:lang w:bidi="fa-IR"/>
        </w:rPr>
        <w:t xml:space="preserve">اصل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اثبات زنا به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گرفته، خصوصیّات آن را بیان می‌کند که اقرار باید چهار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روایت متعارض هم داریم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مرتبه اقرار لازم نیست، بلکه یک مرتبه نیز کافی است</w:t>
      </w:r>
      <w:r>
        <w:rPr>
          <w:rFonts w:eastAsia="IRNazanin" w:cs="IRNazanin"/>
          <w:color w:val="111111"/>
          <w:sz w:val="28"/>
          <w:szCs w:val="28"/>
          <w:rtl w:val="true"/>
          <w:lang w:bidi="fa-IR"/>
        </w:rPr>
        <w:t>.</w:t>
      </w:r>
    </w:p>
    <w:p>
      <w:pPr>
        <w:pStyle w:val="Heading5"/>
        <w:numPr>
          <w:ilvl w:val="4"/>
          <w:numId w:val="1"/>
        </w:numPr>
        <w:rPr/>
      </w:pPr>
      <w:bookmarkStart w:id="405" w:name="__RefHeading___Toc78892_3244359995"/>
      <w:bookmarkStart w:id="406" w:name="_Toc154"/>
      <w:bookmarkEnd w:id="405"/>
      <w:r>
        <w:rPr>
          <w:rtl w:val="true"/>
        </w:rPr>
        <w:t>شرایط مُقِرّ</w:t>
      </w:r>
      <w:bookmarkEnd w:id="4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چهار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اختیار و قصد را برای مقِرّ گفته‌اند؛ مرحوم محقّق</w:t>
      </w:r>
    </w:p>
    <w:p>
      <w:pPr>
        <w:pStyle w:val="BookText"/>
        <w:rPr/>
      </w:pPr>
      <w:r>
        <w:rPr>
          <w:rFonts w:ascii="IRNazanin" w:hAnsi="IRNazanin" w:eastAsia="IRNazanin"/>
          <w:color w:val="111111"/>
          <w:sz w:val="28"/>
          <w:sz w:val="28"/>
          <w:szCs w:val="28"/>
          <w:rtl w:val="true"/>
          <w:lang w:bidi="fa-IR"/>
        </w:rPr>
        <w:t>نیز شرط پنجم حرّیت را اضافه کرده‌اند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باید ادلّه‌ی این شروط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بلوغ در مقرّ</w:t>
      </w:r>
    </w:p>
    <w:p>
      <w:pPr>
        <w:pStyle w:val="BookText"/>
        <w:rPr/>
      </w:pPr>
      <w:r>
        <w:rPr>
          <w:rFonts w:ascii="IRNazanin" w:hAnsi="IRNazanin" w:eastAsia="IRNazanin"/>
          <w:color w:val="111111"/>
          <w:sz w:val="28"/>
          <w:sz w:val="28"/>
          <w:szCs w:val="28"/>
          <w:rtl w:val="true"/>
          <w:lang w:bidi="fa-IR"/>
        </w:rPr>
        <w:t>برای اثبات این شرط نیازی به اقامه‌ی دلیل نیست؛ زیرا، اگر غیر بالغی اقرار کند، و اقرار او هم مُثبت زنا باشد، زنایی که در کودکی و قبل از بلوغ باشد، موجب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عبادت کودک به درد نمی‌خورد و او مسلوب‌العبادة است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نداریم؛ برای این‌که اقرار کودک مثبِت زنای موجب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این‌که اقرار در حال کودکی، و زنا پس از بلوغ باشد، فرض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مُقِرّ اگر مراهق و نزدیک بلوغ هم باشد، اقرارش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صاحب جواهر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مراهقی مثلاً نوجوانی چهارده‌ساله به زنا اقرار کرد، او را تعزیر می‌کنیم؛ زیرا، از دو حال خارج نیست؛ یا راست می‌گوید و یا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تعزیر او یا به خاطر زنا است و یا به جهت دروغگویی</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عقل در مُقرّ</w:t>
      </w:r>
    </w:p>
    <w:p>
      <w:pPr>
        <w:pStyle w:val="BookText"/>
        <w:rPr/>
      </w:pPr>
      <w:r>
        <w:rPr>
          <w:rFonts w:ascii="IRNazanin" w:hAnsi="IRNazanin" w:eastAsia="IRNazanin"/>
          <w:color w:val="111111"/>
          <w:sz w:val="28"/>
          <w:sz w:val="28"/>
          <w:szCs w:val="28"/>
          <w:rtl w:val="true"/>
          <w:lang w:bidi="fa-IR"/>
        </w:rPr>
        <w:t>بر اعتبار عقل باید دلیل آورد؛ زیرا، مسأله‌ی عقل مانند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در حال عقل مرتکب زنا شده باشد و در حال جنون اقرار کند؛ اجرای حدّ نیز پس از افاقه و رفع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عقل مدخلیّت دارد؛ زیرا، وقوع فحشا در حال عقل بوده، اقرار در حال دیوانگی است؛ و این فرض در جنون‌های ادواری و فصلی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عدم نفوذ اقرار مجنون، همان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دلیل، موضوع و مضاف الیه عقلا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نفوذ اقرار مجنون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نفوذ اقرار، اقرار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مقرّ</w:t>
      </w:r>
    </w:p>
    <w:p>
      <w:pPr>
        <w:pStyle w:val="BookText"/>
        <w:rPr/>
      </w:pPr>
      <w:r>
        <w:rPr>
          <w:rFonts w:ascii="IRNazanin" w:hAnsi="IRNazanin" w:eastAsia="IRNazanin"/>
          <w:color w:val="111111"/>
          <w:sz w:val="28"/>
          <w:sz w:val="28"/>
          <w:szCs w:val="28"/>
          <w:rtl w:val="true"/>
          <w:lang w:bidi="fa-IR"/>
        </w:rPr>
        <w:t>مقِرّ در اقرارش نباید مُکرَه باشد؛ یعنی کسی او را تهدید به کار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اقرار شکنجه‌ای طبق این ضوابط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حدیث 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است، یعنی هر چیزی که مورد استکراه واقع می‌شود و بر آن تهدید می‌کنند، مرفوع است؛ و اثری بر آن در شریعت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عمل حرامی مانند زنا از روی اکراه واقع شود،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اقرار بر زنا هم به اکراه باشد،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عام ما را کافی است؛ لیکن برای تأید این مطلب، روایتی نیز وجود دارد که آن‌را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بندار، عن أحمد بن أبی عبداللّه، عن أبیه، عن أبی البختری، عن أبی عبداللّه علیه السلام، إنّ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عند تجرید أو تخویف أو حبس أو تهدید فلا حدّ علیه</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امیرمؤمنان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عریان کنند، یا بترسانند، یا زندانی کنند و یا تهدید نمایند تا اقرار کند، فایده ندارد، و بر این اقرار حدّی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 توجّه مقرّ</w:t>
      </w:r>
    </w:p>
    <w:p>
      <w:pPr>
        <w:pStyle w:val="BookText"/>
        <w:rPr/>
      </w:pPr>
      <w:r>
        <w:rPr>
          <w:rFonts w:ascii="IRNazanin" w:hAnsi="IRNazanin" w:eastAsia="IRNazanin"/>
          <w:color w:val="111111"/>
          <w:sz w:val="28"/>
          <w:sz w:val="28"/>
          <w:szCs w:val="28"/>
          <w:rtl w:val="true"/>
          <w:lang w:bidi="fa-IR"/>
        </w:rPr>
        <w:t>کسی که اقرار می‌کند باید واقعاً مفاد اقرارش را اراده و به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اقرار در حال مستی، یا خواب، یا شدّت مرض، یا به نحو شوخی و هزل و مانند آن منشأ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این حالات یاد شده شخص اقرار کرد، اقرارش مفید نیست؛ اگر در حال قصد و توجّه اقرار کرده، امّا پس از آن ادّعا کند خواب بودم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 مطلب روشن است؛ زیرا، کسی که بدون توجّه و قصد سخنی بگوید یا در حال خواب و مستی و از روی شوخی کلامی از او صادر شود، عقلا آن عبارت را دالّ بر مطب ندانسته و شخص را به مفادّ آن مؤاخذه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حرّیت مقِرّ</w:t>
      </w:r>
    </w:p>
    <w:p>
      <w:pPr>
        <w:pStyle w:val="BookText"/>
        <w:rPr/>
      </w:pPr>
      <w:r>
        <w:rPr>
          <w:rFonts w:ascii="IRNazanin" w:hAnsi="IRNazanin" w:eastAsia="IRNazanin"/>
          <w:color w:val="111111"/>
          <w:sz w:val="28"/>
          <w:sz w:val="28"/>
          <w:szCs w:val="28"/>
          <w:rtl w:val="true"/>
          <w:lang w:bidi="fa-IR"/>
        </w:rPr>
        <w:t>این شرط را مرحوم محقّق</w:t>
      </w:r>
      <w:r>
        <w:rPr>
          <w:rStyle w:val="FootnoteAnchor"/>
          <w:rtl w:val="true"/>
        </w:rPr>
        <w:footnoteReference w:id="381"/>
      </w:r>
      <w:r>
        <w:rPr>
          <w:rFonts w:ascii="IRNazanin" w:hAnsi="IRNazanin" w:eastAsia="IRNazanin"/>
          <w:color w:val="111111"/>
          <w:sz w:val="28"/>
          <w:sz w:val="28"/>
          <w:szCs w:val="28"/>
          <w:rtl w:val="true"/>
          <w:lang w:bidi="fa-IR"/>
        </w:rPr>
        <w:t>اضافه کرده است؛ بنا به نقل صاحب جواهر رحمه الله</w:t>
      </w:r>
      <w:r>
        <w:rPr>
          <w:rStyle w:val="FootnoteAnchor"/>
          <w:rtl w:val="true"/>
        </w:rPr>
        <w:footnoteReference w:id="382"/>
      </w:r>
      <w:r>
        <w:rPr>
          <w:rFonts w:ascii="IRNazanin" w:hAnsi="IRNazanin" w:eastAsia="IRNazanin"/>
          <w:color w:val="111111"/>
          <w:sz w:val="28"/>
          <w:sz w:val="28"/>
          <w:szCs w:val="28"/>
          <w:rtl w:val="true"/>
          <w:lang w:bidi="fa-IR"/>
        </w:rPr>
        <w:t>صاحب ریاض رحمه الله</w:t>
      </w:r>
      <w:r>
        <w:rPr>
          <w:rStyle w:val="FootnoteAnchor"/>
          <w:rtl w:val="true"/>
        </w:rPr>
        <w:footnoteReference w:id="383"/>
      </w:r>
      <w:r>
        <w:rPr>
          <w:rFonts w:ascii="IRNazanin" w:hAnsi="IRNazanin" w:eastAsia="IRNazanin"/>
          <w:color w:val="111111"/>
          <w:sz w:val="28"/>
          <w:sz w:val="28"/>
          <w:szCs w:val="28"/>
          <w:rtl w:val="true"/>
          <w:lang w:bidi="fa-IR"/>
        </w:rPr>
        <w:t>در اشتراط آن ادّعای عدم خلاف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مانند بقیه‌ی موارد است؛ خصوصیّتی در باب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اقرار، مقِرّ باید حرّ باشد؛ بلکه در این موضع به طریق اولی باید حرّ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به مطلبی اقرار کند و مولا آن را تأیید کرد، اقرار مؤثر است؛ و اگر تأیید مولا را به دنبال نداشت، اقرار به حال تعلیق باقی مانده تا زمانی که عبد آزاد شود؛ او را در آن هنگام به اقرار گذشته‌اش مؤاخذه می‌کنند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با توجّه به این نکته،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به طور مطلق در اقرار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امام در تحریر الوسیلة آن را جزء شرایط نمی‌آورد؛ زیرا، اگر مولا عبد را تصدیق کند، اقرارش نافذ، و اگر تصدیق نکرد، پس از آزادی نفوذ پیدا می‌کند</w:t>
      </w:r>
      <w:r>
        <w:rPr>
          <w:rFonts w:eastAsia="IRNazanin" w:cs="IRNazanin"/>
          <w:color w:val="111111"/>
          <w:sz w:val="28"/>
          <w:szCs w:val="28"/>
          <w:rtl w:val="true"/>
          <w:lang w:bidi="fa-IR"/>
        </w:rPr>
        <w:t>.</w:t>
      </w:r>
      <w:bookmarkStart w:id="407" w:name="pg16919_227006"/>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الإقرار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وأن یکون الإقرار صریحاً أو ظاهراً لا یقبل معه الإحتمال العقلائی ولابدّ من تکراره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أن یکون الأربع فی أربعة مجالس أو یکفی الأربع ولو کان فی مجلس واحد؟ فیه خلاف، أقربه الثبوت والأحوط إعتبار أربعة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 دون الأربعة لا یثبت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للحاکم تعزیره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ویستوی فی کلّ ما ذکر،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وإشارة الأخرس المفهمة للمقصود تقوم مقام النطق، ولو احتاجت إلی الترجمان یکفی فیه شاهدان عدلان</w:t>
      </w:r>
      <w:r>
        <w:rPr>
          <w:rFonts w:eastAsia="IRNazanin" w:cs="IRNazanin"/>
          <w:color w:val="111111"/>
          <w:sz w:val="28"/>
          <w:szCs w:val="28"/>
          <w:rtl w:val="true"/>
          <w:lang w:bidi="fa-IR"/>
        </w:rPr>
        <w:t>.</w:t>
      </w:r>
    </w:p>
    <w:p>
      <w:pPr>
        <w:pStyle w:val="Heading4"/>
        <w:numPr>
          <w:ilvl w:val="3"/>
          <w:numId w:val="1"/>
        </w:numPr>
        <w:rPr/>
      </w:pPr>
      <w:bookmarkStart w:id="408" w:name="__RefHeading___Toc78894_3244359995"/>
      <w:bookmarkStart w:id="409" w:name="_Toc155"/>
      <w:bookmarkEnd w:id="408"/>
      <w:r>
        <w:rPr>
          <w:rtl w:val="true"/>
        </w:rPr>
        <w:t>خصوصیّات اقرار در باب زنا</w:t>
      </w:r>
      <w:bookmarkEnd w:id="409"/>
    </w:p>
    <w:p>
      <w:pPr>
        <w:pStyle w:val="Heading5"/>
        <w:numPr>
          <w:ilvl w:val="4"/>
          <w:numId w:val="1"/>
        </w:numPr>
        <w:rPr/>
      </w:pPr>
      <w:bookmarkStart w:id="410" w:name="__RefHeading___Toc78896_3244359995"/>
      <w:bookmarkStart w:id="411" w:name="_Toc15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از مطالبی که مرحوم امام در این مسأله فرموده‌اند، کیفیّت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نباید ابهام داشته باشد، بلکه یا باید صریح و روشن باشد و یا چنان ظهوری در مراد متکلّم داشته باشد که با آن هر احتمال غیر عقلائی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عبارت 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معه الاحتمال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احتمال غیر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ظهور این است که عقلا به ظاهر کلام اعتماد کرده و احتمالات غیر عقلایی را الغا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به باب زنا مربوط نیست؛ بلکه تمام اقرارها باید به صراحت یا ظهور باشد تا عقلای عالم به آن اقرار ترتیب اثر بدهند</w:t>
      </w:r>
      <w:r>
        <w:rPr>
          <w:rFonts w:eastAsia="IRNazanin" w:cs="IRNazanin"/>
          <w:color w:val="111111"/>
          <w:sz w:val="28"/>
          <w:szCs w:val="28"/>
          <w:rtl w:val="true"/>
          <w:lang w:bidi="fa-IR"/>
        </w:rPr>
        <w:t>.</w:t>
      </w:r>
    </w:p>
    <w:p>
      <w:pPr>
        <w:pStyle w:val="Heading5"/>
        <w:numPr>
          <w:ilvl w:val="4"/>
          <w:numId w:val="1"/>
        </w:numPr>
        <w:rPr/>
      </w:pPr>
      <w:bookmarkStart w:id="412" w:name="__RefHeading___Toc78898_3244359995"/>
      <w:bookmarkStart w:id="413" w:name="_Toc157"/>
      <w:bookmarkEnd w:id="412"/>
      <w:r>
        <w:rPr>
          <w:rtl w:val="true"/>
        </w:rPr>
        <w:t>ثبوت زنا با چهار اقرار</w:t>
      </w:r>
      <w:bookmarkEnd w:id="4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خصوصیّت‌های اقرار باب زنا، برای اثبات زنای موجب حدّ، چهار بار اقرار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بر لزوم چهار مرتبه اقرار تقریباً موافق‌اند؛ فقط به ابی عقیل که معمولاً فتاوای او شبیه فتاوای عامّه است، نسبت داده‌اند که یک مرتبه اقرار را مانند بقیّه‌ی موارد</w:t>
      </w:r>
    </w:p>
    <w:p>
      <w:pPr>
        <w:pStyle w:val="BookText"/>
        <w:rPr/>
      </w:pPr>
      <w:r>
        <w:rPr>
          <w:rFonts w:ascii="IRNazanin" w:hAnsi="IRNazanin" w:eastAsia="IRNazanin"/>
          <w:color w:val="111111"/>
          <w:sz w:val="28"/>
          <w:sz w:val="28"/>
          <w:szCs w:val="28"/>
          <w:rtl w:val="true"/>
          <w:lang w:bidi="fa-IR"/>
        </w:rPr>
        <w:t>اقرار، کافی می‌داند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ابو حنیفه</w:t>
      </w:r>
      <w:r>
        <w:rPr>
          <w:rStyle w:val="FootnoteAnchor"/>
          <w:rtl w:val="true"/>
        </w:rPr>
        <w:footnoteReference w:id="386"/>
      </w:r>
      <w:r>
        <w:rPr>
          <w:rFonts w:ascii="IRNazanin" w:hAnsi="IRNazanin" w:eastAsia="IRNazanin"/>
          <w:color w:val="111111"/>
          <w:sz w:val="28"/>
          <w:sz w:val="28"/>
          <w:szCs w:val="28"/>
          <w:rtl w:val="true"/>
          <w:lang w:bidi="fa-IR"/>
        </w:rPr>
        <w:t>و ابن ابی لیلی</w:t>
      </w:r>
      <w:r>
        <w:rPr>
          <w:rStyle w:val="FootnoteAnchor"/>
          <w:rtl w:val="true"/>
        </w:rPr>
        <w:footnoteReference w:id="387"/>
      </w:r>
      <w:r>
        <w:rPr>
          <w:rFonts w:ascii="IRNazanin" w:hAnsi="IRNazanin" w:eastAsia="IRNazanin"/>
          <w:color w:val="111111"/>
          <w:sz w:val="28"/>
          <w:sz w:val="28"/>
          <w:szCs w:val="28"/>
          <w:rtl w:val="true"/>
          <w:lang w:bidi="fa-IR"/>
        </w:rPr>
        <w:t>چهار اقرار را لازم می‌دانند؛ با این تفاوت که ابوحنیفه می‌گوید در چهار مجلس باشد و ابن‌ابی‌لیلی چهار اقرار هر چند در یک مجلس باشد را کافی می‌داند؛ لیکن شافعی</w:t>
      </w:r>
      <w:r>
        <w:rPr>
          <w:rStyle w:val="FootnoteAnchor"/>
          <w:rtl w:val="true"/>
        </w:rPr>
        <w:footnoteReference w:id="388"/>
      </w:r>
      <w:r>
        <w:rPr>
          <w:rFonts w:ascii="IRNazanin" w:hAnsi="IRNazanin" w:eastAsia="IRNazanin"/>
          <w:color w:val="111111"/>
          <w:sz w:val="28"/>
          <w:sz w:val="28"/>
          <w:szCs w:val="28"/>
          <w:rtl w:val="true"/>
          <w:lang w:bidi="fa-IR"/>
        </w:rPr>
        <w:t>، مالک</w:t>
      </w:r>
      <w:r>
        <w:rPr>
          <w:rStyle w:val="FootnoteAnchor"/>
          <w:rtl w:val="true"/>
        </w:rPr>
        <w:footnoteReference w:id="389"/>
      </w:r>
      <w:r>
        <w:rPr>
          <w:rFonts w:ascii="IRNazanin" w:hAnsi="IRNazanin" w:eastAsia="IRNazanin"/>
          <w:color w:val="111111"/>
          <w:sz w:val="28"/>
          <w:sz w:val="28"/>
          <w:szCs w:val="28"/>
          <w:rtl w:val="true"/>
          <w:lang w:bidi="fa-IR"/>
        </w:rPr>
        <w:t>و بسیاری از فقهای عامّه تا جایی که به ابوبکر و عمر نیز نسبت داده‌اند، یک مرتبه اقرار را هم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از طریق شیعه و سنّی بر لزوم چهار مرتبه اقرار رسیده است؛ و در مقابل آن‌ها، فقط یک روایت مخالف داریم که باید همه آن‌ها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موافق چهار مرتبه اقرار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ماعز بن مالک جاء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فأعرض عنه، ثمّ جاء من شقّة الأیمن،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زنیت، فأعرض عنه، ثمّ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زنیت، ثمّ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زنیت،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أحصنت؟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رسول اللّه صلی الله علیه و آله، اذهبوا به فارجموه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بن مالک در صدر اسلام نزد پیامبر صلی الله علیه و آله آمد و چهار مرتبه به زنا اقرار کرد؛ پس از مرتبه‌ی چهارم، 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داشتی و این کار را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سنگسار کنید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نقل‌های اهل سنّت این اضافه آمده است که پیامبر پس از مرتبه‌ی چهارم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استفاده می‌شود چهار مرتبه بودن اقرار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احتمال می‌داده ماعز بن مالک دیوانه است، این اعراض کردن و طول دادن به جهت این بوده که روی موازین طبیعی بفهمد آیا ماعز دیوانه است یا عاقل؛ و پس از چهار مرتبه فهمیده عاقل است؛ وگرنه چهار مرتبه تکرار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جنون را با دو مرتبه یا سه مرتبه نیز می‌توان فهمید؛ به خصوص که پیامبر صلی الله علیه و آله بعد از چهار مرتبه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دیوانه‌ای؟ از این‌رو،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اقرار برای استکشاف عدم جنون است؛ هیچ رابطه‌ای بین اقرارهای چهارگانه و کشف عدم جنون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داشتن چهار مرتبه اقرار در ترتّب حدّ روشن است؛ به ویژه آن‌که در بعضی از نقل‌های دیگر، این واقعه با اسناد دیگر، به این صورت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علی نفسک أربع شهادات، اذهبوا به فارجموه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بعد از سه مرتبه اقرار، پیامبر صلی الله علیه و آله او را تهدید کرد که اگر یک بار دیگر اعتراف کنی، سنگسارت می‌کنم؛ و او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روایات اهل سنّت بر این مطلب یعنی لزوم چهار مرتبه اقرار به خوبی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إبن محبوب، عن علیّ بن أبی حمزة، عن أبی بصیر، عن عمران بن میثم أو صالح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مجحّ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فطهّرنی طهّرک اللّه، فإنّ عذاب الدّنیا أیسر من عذاب الآخرة الّذی لا ینقطع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اطهّرک؟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إذا فعلت ما فعلت، أم غیر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أفحاظراً کان بعلک إذا فعلت ما فعلت؟ أم غائباً کان عنک؟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حاظراً،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فضعی ما فی بطنک ثمّ ایتینی اطهّرک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ولّت عنه المرأة فصارت حیث</w:t>
      </w:r>
    </w:p>
    <w:p>
      <w:pPr>
        <w:pStyle w:val="BookText"/>
        <w:rPr/>
      </w:pPr>
      <w:r>
        <w:rPr>
          <w:rFonts w:ascii="IRNazanin" w:hAnsi="IRNazanin" w:eastAsia="IRNazanin"/>
          <w:color w:val="111111"/>
          <w:sz w:val="28"/>
          <w:sz w:val="28"/>
          <w:szCs w:val="28"/>
          <w:rtl w:val="true"/>
          <w:lang w:bidi="fa-IR"/>
        </w:rPr>
        <w:t>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أنّها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تلبث أن أتته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فتجاهل علیها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اطهّرک یا أمة اللّه ممّا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إذا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زوجک حاضراً؟ أم غائباً؟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فانطلقی فأرضعه حولین کاملین کما أمرک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المرأة فلمّا صارت منه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شهادتان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الحولان أتت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أرضعته حولین فطهّرنی یا أمیر المؤمنین، فتجاهل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اطهّرک ممّا 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إذا فعلت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وبعلک غائب عنک إذا فعلت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فانطلقی فاکفلیه حتّی یعقل أن یأکل ویشرب ولا یتردّی من سطح ولا یتهوّر فی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وهی تبکی، فلمّا ولّت وصارت حیث لاتسمع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ثلاث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فاستقبلها عمرو بن حریث المخزومی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أمة اللّه؟ وقد رأیتک تختلفین إلی علیّ تسألینه أن یطهّرک،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 أمیر المؤمنین علیه السلام فسألته أن یطهّرنی،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أکفلی ولدک حتّی یعقل أن یأکل ویشرب ولا یتردّی من سطح ولا یتهوّر فی بئر، وقد خفت أن یأتی علیّ الموت ولم یطهرّنی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إرجعی إلیه فأنا اکفّله، فرجعت، فأخبرت أمیر المؤمنین علیه السلام بقول عمرو بن حریث، فقال لها أمیر المؤمنین علیه السلام وهو متجاهل علیها، وَلِمَ یکفل عمرو ولدک؟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إذا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أفغائباً کان بعلک إذ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قد ثبت علیها أربع</w:t>
      </w:r>
    </w:p>
    <w:p>
      <w:pPr>
        <w:pStyle w:val="BookText"/>
        <w:rPr/>
      </w:pPr>
      <w:r>
        <w:rPr>
          <w:rFonts w:ascii="IRNazanin" w:hAnsi="IRNazanin" w:eastAsia="IRNazanin"/>
          <w:color w:val="111111"/>
          <w:sz w:val="28"/>
          <w:sz w:val="28"/>
          <w:szCs w:val="28"/>
          <w:rtl w:val="true"/>
          <w:lang w:bidi="fa-IR"/>
        </w:rPr>
        <w:t xml:space="preserve">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عمرو بن حریث وکأنّهما الرمّان یفقأ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أردت أن اکفّله إذا ظننت أنّک تحبّ ذلک، فأمّا إذ کرهته فإنّی لست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أربع شهادات باللّه، لتکفّلنّه وأنت صاغر، الحدیث وذکر أنّه رجمها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عمران یا صالح که هر دو از پسران میثم تمّار هستند، نقل می‌کند؛ زنی مجحّ‌</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روشن نیست، شاید مراد زن حامله باشد؛ مذکّر آوردن آن نیز از باب حائض و حامل باشد؛ و شاید مقصود این باشد که شتابان، با اضطراب و سرعت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کرده‌ام؛ مرا پاک کن؛ زیرا، عذاب دنیا آسان‌تر از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تو را پاک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ارتکاب زنا، شوهردار بودی و شوهرت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وضع حمل کردی بیا تا تو را پاک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 شد، به گونه‌ای که صدای امام علیه السلام را نمی‌شنید،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شهادت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اوّلین برخورد با امام علیه السلام یک بار اقرار به زنا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زنیت فطهّرنی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جواب امام علیه السلام اقرار دیگری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اطهّرک؟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دوبار اقرار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اقرار دوم جنبه‌ی حکایت داشته و توضیح و تفصیل اقرار اوّل است؛ وگرنه معنا ندارد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شهادت و اقرار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پس از وضع حمل خدمت امام علیه السلام آمده،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 السلام تجاهل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اظهار بی اطّلاعی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دوباره سؤال و جواب‌ها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دو سال به فرزندت همان گونه که خداوند فرمان داده است،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امام علیه السلام پس از دور شدنش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دو سال، زن باز آمده، تقاضای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را به بی‌اطّلاعی زده و سؤال و جواب‌ها بار دیگر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بچّه را کفالت و سرپرستی کن تا در او قوّه‌ی درک و تمییز پدیدار شود، و مأکول و مشروب را خودش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مواظبت کن تا از پشتِ‌بامی نیفتد و به درون چاه سقوط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گریان از نزد حضرت بازگشت؛ و امام علیه السلام پس از دور شدنش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با این زن گریان مواجه شد، واقعه را از او پرسید، آن زن جریان را بازگو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نزد علی علیه السلام بازگشته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فرزندم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نزد امام علیه السلام آمده و مطلب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چرا نگهبانی فرزندت را به عهده می‌گیرد؟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کرده‌ام، و همان پرسش و پاسخ برای مرتبه چهارم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شهادت بر این زن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امام علیه السلام از شدّت ناراحتی برافروخته و سرخ شده بود؛ گویی اناری در صورت حضرت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فهمید ناراحتی مولا از جهت متکفّل شدن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کار خوبی می‌کنم و شما خوشحال می‌شوید؛ اگر از کفالت من ناراحت هستید، من به عهده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چهار شهادت کامل شده است، انصراف می‌دهی؟ باید او را کفالت کنی در حالی که خوار و ذلیل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استفاده می‌شد کمتر از چهار شهادت یعنی کمتر از چهار اقرار در باب زنا مؤثر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أحمد بن محمّد بن خالد، رفعه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أتقرء من القرآن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فقرأ فأجاد، فقال، أبک 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عنّی حتّی نسأل عنک، فذهب الرجل ثمّ رجع إلیه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فمقیمة معک فی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فأمره أمیرُ المؤمنین علیه السلام فذهب وقال حتّی نسأل عنک فبعث إلی قومه، فسأل عن خبره،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صحیح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حتّی نسأل عنک، فرجع إلیه الرابعة فلمّا أقرّ قال أمیر المؤمنین علیه 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 ثمّ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رجمه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رابطه با مردی است که نزد امیرمؤمنان علیه السلام آمد 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مرتبه‌ی چهارم به قنبر دستور دادند او را بازداشت کند؛ و پس از آن سنگسارش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نیز اقرار به زنای محصنه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علیّ بن محبوب، عن علیّ بن السندی، عن إبن أبی عمیر، عن جمیل،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 ولا یرجم الزانی حتّی یقرّ أربع مرّات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بریده نمی‌شود تا آن‌که دو مرتبه به سرقت اقرار کند و زناکار سنگسار نمی‌شود تا این‌که چهار مرتبه به زنا اقرار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حدید، عن جمیل بن درّاج، عن بعض أصحابنا، عن أحدهما علیهما السلام فی رجل أقرّ علی نفسه بالزنا أربع مرّات وهو محصن رجم إلی أن یموت أو یکذّب نفسه قبل أن یرجم،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فإن قال ذلک ترک ولم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ضمن السرقة ولم یقطع إذا لم یکن شهود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الزانی حتّی یقرّ أربع مرّات بالزنا إذا لم یکن شهود، فإن رجع</w:t>
      </w:r>
    </w:p>
    <w:p>
      <w:pPr>
        <w:pStyle w:val="BookText"/>
        <w:rPr/>
      </w:pPr>
      <w:r>
        <w:rPr>
          <w:rFonts w:ascii="IRNazanin" w:hAnsi="IRNazanin" w:eastAsia="IRNazanin"/>
          <w:color w:val="111111"/>
          <w:sz w:val="28"/>
          <w:sz w:val="28"/>
          <w:szCs w:val="28"/>
          <w:rtl w:val="true"/>
          <w:lang w:bidi="fa-IR"/>
        </w:rPr>
        <w:t>ترک و لم یرجم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همسر دارد و چهار بار به زنا اقرار کند، سنگسار می‌شود تا بمیرد؛ و یا این‌که قبل از اجرای حدّ از اقرار خود برگردد، انکار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او را رها کرده، سنگسار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سارق قطع نمی‌شود مگر آن‌که دو مرتبه اقرار به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اقرارش رجوع کرد، از نظر مالی ضامن مالی که سرقت کرده، هست؛ ولی دستش را اگر بیّنه‌ای نباشد، قطع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زانی را سنگسار نمی‌کنند تا چهار مرتبه به زنا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بیّنه‌ای نباشد و او از اقرارش برگردد، رهایش کرده، وی را رجم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 با چهار مرتبه اقرار</w:t>
      </w:r>
    </w:p>
    <w:p>
      <w:pPr>
        <w:pStyle w:val="BookText"/>
        <w:rPr/>
      </w:pPr>
      <w:r>
        <w:rPr>
          <w:rFonts w:ascii="IRNazanin" w:hAnsi="IRNazanin" w:eastAsia="IRNazanin"/>
          <w:color w:val="111111"/>
          <w:sz w:val="28"/>
          <w:sz w:val="28"/>
          <w:szCs w:val="28"/>
          <w:rtl w:val="true"/>
          <w:lang w:bidi="fa-IR"/>
        </w:rPr>
        <w:t>در برابر این روایات که دلالت بر چهار مرتبه اقرار می‌کنند، یک روایت صحیحه داریم که با مضمون آن‌ها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الحسن بن محبوب، عن أبی أیّوب،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عند الإمام بحقّ من حدود اللّه مرّة واحدة حرّاً کان أو عبداً، أو حرّة کانت أو أمة، فعلی الإمام أن یقیم الحدّ علیه للّذی أقرّ به علی نفسه کائناً من کان إلّاالزانی المحصن فإنّه لا یرجمه حتّی یشهد علیه أربعة شهداء، فإذا شهدوا ضربه الحدّ مائة جلدة ثمّ یرجمه</w:t>
      </w:r>
      <w:r>
        <w:rPr>
          <w:rFonts w:eastAsia="IRNazanin" w:cs="IRNazanin"/>
          <w:color w:val="111111"/>
          <w:sz w:val="28"/>
          <w:szCs w:val="28"/>
          <w:rtl w:val="true"/>
          <w:lang w:bidi="fa-IR"/>
        </w:rPr>
        <w:t>....</w:t>
      </w:r>
      <w:r>
        <w:rPr>
          <w:rStyle w:val="FootnoteAnchor"/>
          <w:rtl w:val="true"/>
        </w:rPr>
        <w:footnoteReference w:id="3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حاکم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از حقوق خدا یک بار اقرار کند، فرقی نمی‌کند مقرّ حرّ باشد یا عبد، حرّه باشد یا کنیز، وظیفه‌ی امام اجرای حدّی مطابق با آن‌چه اقرار کرده، می‌باشد؛ هر</w:t>
      </w:r>
    </w:p>
    <w:p>
      <w:pPr>
        <w:pStyle w:val="BookText"/>
        <w:rPr/>
      </w:pPr>
      <w:r>
        <w:rPr>
          <w:rFonts w:ascii="IRNazanin" w:hAnsi="IRNazanin" w:eastAsia="IRNazanin"/>
          <w:color w:val="111111"/>
          <w:sz w:val="28"/>
          <w:sz w:val="28"/>
          <w:szCs w:val="28"/>
          <w:rtl w:val="true"/>
          <w:lang w:bidi="fa-IR"/>
        </w:rPr>
        <w:t>حقّی از حقوق اللّه مانند سرقت، شرب مسکر، غصب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مورد استثنا شده، و آن زناکار محصن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نمی‌تواند او را رجم کند مگر آن‌که چهارشاهد عادل بر زنای او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صد تازیانه بر او زده و بعد از آن سنگسارش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روایت مخالف</w:t>
      </w:r>
    </w:p>
    <w:p>
      <w:pPr>
        <w:pStyle w:val="BookText"/>
        <w:rPr/>
      </w:pPr>
      <w:r>
        <w:rPr>
          <w:rFonts w:ascii="IRNazanin" w:hAnsi="IRNazanin" w:eastAsia="IRNazanin"/>
          <w:color w:val="111111"/>
          <w:sz w:val="28"/>
          <w:sz w:val="28"/>
          <w:szCs w:val="28"/>
          <w:rtl w:val="true"/>
          <w:lang w:bidi="fa-IR"/>
        </w:rPr>
        <w:t>این روایت مشتمل بر مطالبی است که بر خلاف فتوای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فرقی بین اقرار عبد و حرّ گذاشته نشده است؛ در صورتی که اقرار عبد مشروط به تأیید و تصدیق مولای او است؛ اگر مولا او را تکذیب کرد، نمی‌توان در حال رقّیت و بندگی عبد را به اقرارش مأخوذ کرد؛ بلکه پس از آزادی وی را مؤاخذه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چهار شاهد عادل برای اجرای رجم لازم می‌داند، نه این‌که چهار شاهد یا چهار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مفاد روایت، معتبر بودن چهار شاهد عادل در اثبات زنای محصنه و رجم است و بی فایده بودن چهار اقرار، حتّی از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 خلاف امر مفروعٌ‌عنه و مسلّمی است که در اثبات حدّ و تعزیر به اقرار، فرقی بین زنای محصنه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ما در این مسأله ابن ابی عقیل</w:t>
      </w:r>
      <w:r>
        <w:rPr>
          <w:rStyle w:val="FootnoteAnchor"/>
          <w:rtl w:val="true"/>
        </w:rPr>
        <w:footnoteReference w:id="398"/>
      </w:r>
      <w:r>
        <w:rPr>
          <w:rFonts w:ascii="IRNazanin" w:hAnsi="IRNazanin" w:eastAsia="IRNazanin"/>
          <w:color w:val="111111"/>
          <w:sz w:val="28"/>
          <w:sz w:val="28"/>
          <w:szCs w:val="28"/>
          <w:rtl w:val="true"/>
          <w:lang w:bidi="fa-IR"/>
        </w:rPr>
        <w:t>است، و روایت با مدّعای ایشان هیچ مطابقتی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زنا و حدّ آن یک مرتبه اقرار نیز کافی است و به چهار اقرار نیاز نداریم، و فرقی بین زنای محصنه و غیر آن نیست؛ وحال آن‌که مفاد روایت بین زنای احصانی و غیر آن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با مدّعای ما و ابن ابی عقیل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این‌که از سه اشکال گذشته صرف نظر کنیم، این روایت صحیحه با روایت دیگر معارضه دارد، و شهرت فتوایی با آن دسته از روایات موافق است که چهار اقرار را در ثبوت زنا و اجرای حدّ آن کافی می‌دانستند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روایاتی که مطرح شد، مربوط به زنای محصنه بود که حدّ آن رجم است، و هیچ یک بر زنای معمولی دلالت نداشت؛ در صورتی که در فتوای علما فرقی</w:t>
      </w:r>
    </w:p>
    <w:p>
      <w:pPr>
        <w:pStyle w:val="BookText"/>
        <w:rPr/>
      </w:pPr>
      <w:r>
        <w:rPr>
          <w:rFonts w:ascii="IRNazanin" w:hAnsi="IRNazanin" w:eastAsia="IRNazanin"/>
          <w:color w:val="111111"/>
          <w:sz w:val="28"/>
          <w:sz w:val="28"/>
          <w:szCs w:val="28"/>
          <w:rtl w:val="true"/>
          <w:lang w:bidi="fa-IR"/>
        </w:rPr>
        <w:t>بین زنای محصنه و غر آن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چگونه حل می‌شود؟ با آن‌که در روایات نه‌تنها از مسأله‌ی تازیانه صحبتی به میان نیامده، بلکه بالاتر حتّی روایتی که به اطلاق بر زنای معمولی و تازیانه دلالت داشته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ماعز بن مالک مربوط به زنای محصنه بود، روایت واقعه‌ی زنی که خدمت امیرمؤمنان علیه السلام آمد نیز همین مطلب را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تعمیم را چگونه استفاده کنیم؟</w:t>
      </w:r>
    </w:p>
    <w:p>
      <w:pPr>
        <w:pStyle w:val="BookText"/>
        <w:rPr/>
      </w:pPr>
      <w:r>
        <w:rPr>
          <w:rFonts w:ascii="IRNazanin" w:hAnsi="IRNazanin" w:eastAsia="IRNazanin"/>
          <w:color w:val="111111"/>
          <w:sz w:val="28"/>
          <w:sz w:val="28"/>
          <w:szCs w:val="28"/>
          <w:rtl w:val="true"/>
          <w:lang w:bidi="fa-IR"/>
        </w:rPr>
        <w:t>به خصوص با وجود تعبیراتی که در روایت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لایرجم الزانی حتّی یقرّ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به ذهن می‌آید که چون رجم مجازاتی سنگین و شدید بوده و حتّی از قتل معمولی نیز به مراتب سخت‌تر است، لذا به چهار مرتبه اقرار نیاز دارد؛ امّا در زنای معمولی که مجازاتش صد تازیانه است، محتاج به چهار اقرار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 و اشکالی زنای محصنه و غیر آن، به چهار شاهد ثابت می‌شود و فرقی بین این دو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روایت خواندیم، هر بار که آن زن نزد امیرمؤمنان علیه السلام می‌آمد و اقرار می‌کرد،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شهادت اوّل و یا شهادت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 از اقرار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او چهار شهادت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اقرار او به شهادت تعبیر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که اقرار نیز مانند شهادت است؛ چرا که شهادتی علیه نفس است؛ وفرقش با شاهد اصطلاحی در این است که شاهد، شهادت بر له یا علیه غیر می‌دهد و اقرار شهادتی علیه خود مقرّ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اقرار نیز نوعی از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زنای غیر محصنه چهار شاهد لازم است، چهار اقرار نیز باید باشد تا حدّ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ما یک استیناس است، ودلیل محکمی نیست که بتوان بر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اساسی بر این تسویه و عدم فرق بین دو باب زنای محصنه و زنای غیر محصنه، فتاوای علماست؛ حتّی ابن ابی عقیل هم که مخالف مشهور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مرتبه اقرار زنا اثبات می‌شود و بین دو نوع زنا فرق نمی‌گذارد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قدری بالاتر برویم و مسأله را در سطح همه‌ی مسلمانان مطرح کنیم، می‌بینیم هیچ‌یک از فقهای شیعه و سنّی بین محصن و غیر آن تفاوتی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w:t>
      </w:r>
    </w:p>
    <w:p>
      <w:pPr>
        <w:pStyle w:val="BookText"/>
        <w:rPr/>
      </w:pPr>
      <w:r>
        <w:rPr>
          <w:rFonts w:ascii="IRNazanin" w:hAnsi="IRNazanin" w:eastAsia="IRNazanin"/>
          <w:color w:val="111111"/>
          <w:sz w:val="28"/>
          <w:sz w:val="28"/>
          <w:szCs w:val="28"/>
          <w:rtl w:val="true"/>
          <w:lang w:bidi="fa-IR"/>
        </w:rPr>
        <w:t>مطلب کلام شیخ طوسی رحمه الله را از کتاب خلاف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الحدّ بالزنا إلّابإقرار أربع مرّات فی أربعة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دفعة واحدة فلا یثبت به علی حال، وبه قال أبو حنیفة،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دفعة واحدة لزمه الحدّ بکراً کان أو ثیّباً، وبه قال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وفی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أبی سلیمان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إبن أبی لیلی لا یثبت إلّابأن یعترف أربع مرّات، سواء کان فی أربع مجالس أو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وأخبارهم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مرحوم شیخ طوسی اقوال مختلف بین فقهای شیعه و سنّی را مطرح کرده و همان‌گونه که ملاحظه می‌شود، هیچ اشعاری به فرق بین دو باب در کلمات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در زنا ثابت نمی‌شود مگر به چهار مرتبه اقرار در چهار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 مطلق است، یعنی خواه زنای محصنه باشد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اقرار به هیچ وجه زنا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w:t>
      </w:r>
      <w:r>
        <w:rPr>
          <w:rStyle w:val="FootnoteAnchor"/>
          <w:rtl w:val="true"/>
        </w:rPr>
        <w:footnoteReference w:id="400"/>
      </w:r>
      <w:r>
        <w:rPr>
          <w:rFonts w:ascii="IRNazanin" w:hAnsi="IRNazanin" w:eastAsia="IRNazanin"/>
          <w:color w:val="111111"/>
          <w:sz w:val="28"/>
          <w:sz w:val="28"/>
          <w:szCs w:val="28"/>
          <w:rtl w:val="true"/>
          <w:lang w:bidi="fa-IR"/>
        </w:rPr>
        <w:t>نیز مذهب امامیّه را اختیار کرده است؛ لیکن شافعی</w:t>
      </w:r>
      <w:r>
        <w:rPr>
          <w:rStyle w:val="FootnoteAnchor"/>
          <w:rtl w:val="true"/>
        </w:rPr>
        <w:footnoteReference w:id="40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اقرار حدّ لازم الاجرا می‌شود، خواه زانی عَزَب و بدون همسر باشد و یا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مذاهب شافعی از صحابه، ابوبکر و عمر</w:t>
      </w:r>
      <w:r>
        <w:rPr>
          <w:rStyle w:val="FootnoteAnchor"/>
          <w:rtl w:val="true"/>
        </w:rPr>
        <w:footnoteReference w:id="402"/>
      </w:r>
      <w:r>
        <w:rPr>
          <w:rFonts w:ascii="IRNazanin" w:hAnsi="IRNazanin" w:eastAsia="IRNazanin"/>
          <w:color w:val="111111"/>
          <w:sz w:val="28"/>
          <w:sz w:val="28"/>
          <w:szCs w:val="28"/>
          <w:rtl w:val="true"/>
          <w:lang w:bidi="fa-IR"/>
        </w:rPr>
        <w:t>و از فقها حمّاد بن ابی سلیمان و مالک</w:t>
      </w:r>
      <w:r>
        <w:rPr>
          <w:rStyle w:val="FootnoteAnchor"/>
          <w:rtl w:val="true"/>
        </w:rPr>
        <w:footnoteReference w:id="403"/>
      </w:r>
      <w:r>
        <w:rPr>
          <w:rFonts w:ascii="IRNazanin" w:hAnsi="IRNazanin" w:eastAsia="IRNazanin"/>
          <w:color w:val="111111"/>
          <w:sz w:val="28"/>
          <w:sz w:val="28"/>
          <w:szCs w:val="28"/>
          <w:rtl w:val="true"/>
          <w:lang w:bidi="fa-IR"/>
        </w:rPr>
        <w:t>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w:t>
      </w:r>
      <w:r>
        <w:rPr>
          <w:rStyle w:val="FootnoteAnchor"/>
          <w:rtl w:val="true"/>
        </w:rPr>
        <w:footnoteReference w:id="404"/>
      </w:r>
      <w:r>
        <w:rPr>
          <w:rFonts w:ascii="IRNazanin" w:hAnsi="IRNazanin" w:eastAsia="IRNazanin"/>
          <w:color w:val="111111"/>
          <w:sz w:val="28"/>
          <w:sz w:val="28"/>
          <w:szCs w:val="28"/>
          <w:rtl w:val="true"/>
          <w:lang w:bidi="fa-IR"/>
        </w:rPr>
        <w:t>از فقهای معروف عامّه، معتقد است زنا با چهار مرتبه اقرار، خواه در چهار مجلس و یا در یک مجلس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مسأله، اجتماع گروه شیعه و اخبارشان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سطح وسیع یعنی عموم فقهای مسلمان مطرح، و در هیچ‌یک از اقوال نفیاً</w:t>
      </w:r>
      <w:bookmarkStart w:id="414" w:name="pg16919_227017"/>
    </w:p>
    <w:p>
      <w:pPr>
        <w:pStyle w:val="BookText"/>
        <w:rPr/>
      </w:pPr>
      <w:bookmarkEnd w:id="414"/>
      <w:r>
        <w:rPr>
          <w:rFonts w:ascii="IRNazanin" w:hAnsi="IRNazanin" w:eastAsia="IRNazanin"/>
          <w:color w:val="111111"/>
          <w:sz w:val="28"/>
          <w:sz w:val="28"/>
          <w:szCs w:val="28"/>
          <w:rtl w:val="true"/>
          <w:lang w:bidi="fa-IR"/>
        </w:rPr>
        <w:t>و اثباتاً اشعاری به تفاوت میان این دو باب نیست؛ بلکه در کلام شافعی تصریح به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اگر دلالت ندارد، نفی هم نمی‌کند؛ و بر فرض که قصور داشته باشد، با کمک فتاوای شیعه و سنّی مسأله را تعمیم داده و در هر دو باب، چهار مرتبه اقرار را لازم می‌دانیم</w:t>
      </w:r>
      <w:r>
        <w:rPr>
          <w:rFonts w:eastAsia="IRNazanin" w:cs="IRNazanin"/>
          <w:color w:val="111111"/>
          <w:sz w:val="28"/>
          <w:szCs w:val="28"/>
          <w:rtl w:val="true"/>
          <w:lang w:bidi="fa-IR"/>
        </w:rPr>
        <w:t>.</w:t>
      </w:r>
    </w:p>
    <w:p>
      <w:pPr>
        <w:pStyle w:val="Heading5"/>
        <w:numPr>
          <w:ilvl w:val="4"/>
          <w:numId w:val="1"/>
        </w:numPr>
        <w:rPr/>
      </w:pPr>
      <w:bookmarkStart w:id="415" w:name="__RefHeading___Toc78900_3244359995"/>
      <w:bookmarkStart w:id="416" w:name="_Toc158"/>
      <w:bookmarkEnd w:id="415"/>
      <w:r>
        <w:rPr>
          <w:rtl w:val="true"/>
        </w:rPr>
        <w:t>بررسی اعتبار تعدّد مجالس در چهار مرتبه اقرار</w:t>
      </w:r>
      <w:bookmarkEnd w:id="416"/>
    </w:p>
    <w:p>
      <w:pPr>
        <w:pStyle w:val="BookText"/>
        <w:rPr/>
      </w:pPr>
      <w:r>
        <w:rPr>
          <w:rFonts w:ascii="IRNazanin" w:hAnsi="IRNazanin" w:eastAsia="IRNazanin"/>
          <w:color w:val="111111"/>
          <w:sz w:val="28"/>
          <w:sz w:val="28"/>
          <w:szCs w:val="28"/>
          <w:rtl w:val="true"/>
          <w:lang w:bidi="fa-IR"/>
        </w:rPr>
        <w:t>آیا در چهار مرتبه اقرار، تعدّد مجالس لازم است، یا اگر در یک جلسه‌ی دادگاه چهار بار اقرار کند، کافی است؟ محقّق رحمه الله در کتاب شرایع پس از طرح این مسأله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خلاف و مبسوط چهار مجلس را معتبر دانسته است؛ ولی خود ایشان این مسأله را در حالت تردید باقی گذارده و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أربعاً فی مجلس واحد، قال فی الخلاف والمبسوط لایثبت، وفیه تردّد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از میان فقهای شیعه، شیخ طوسی رحمه الله در کتاب خلاف و مبسوط و ابن حمزه رحمه الله در کتاب وسیله، به اعتبار چهار مجلس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در خلاف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در زنا فقط به چهار اقرار در چهار مجلس ثابت می‌شود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در مبسوط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حدّ الزنا إلّابالإقرار أربع مرّات من الزانی فی أربعة مجالس متفرّقات وبه قال جماعة وبه قال قوم یثبت بإقراره دفعة واحدة واعتبر قوم أربع مرّات سواء کان فی مجلس واحد أو مجالس متفرّقة</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ابن حمزه رحمه الله در کتاب وسیله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ثبوته باقرار الفاعل فیصحّ بأربعة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باقرار الفاعل أربع مرّات فی مجالس متفرّقات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فقهای دیگر مانند شیخ صدوق رحمه الله در کتاب هدایه،</w:t>
      </w:r>
      <w:r>
        <w:rPr>
          <w:rStyle w:val="FootnoteAnchor"/>
          <w:rtl w:val="true"/>
        </w:rPr>
        <w:footnoteReference w:id="409"/>
      </w:r>
      <w:r>
        <w:rPr>
          <w:rFonts w:ascii="IRNazanin" w:hAnsi="IRNazanin" w:eastAsia="IRNazanin"/>
          <w:color w:val="111111"/>
          <w:sz w:val="28"/>
          <w:sz w:val="28"/>
          <w:szCs w:val="28"/>
          <w:rtl w:val="true"/>
          <w:lang w:bidi="fa-IR"/>
        </w:rPr>
        <w:t>مرحوم شیخ مفید رحمه الله در کتاب</w:t>
      </w:r>
      <w:bookmarkStart w:id="417" w:name="pg16919_227018"/>
    </w:p>
    <w:p>
      <w:pPr>
        <w:pStyle w:val="BookText"/>
        <w:rPr/>
      </w:pPr>
      <w:bookmarkEnd w:id="417"/>
      <w:r>
        <w:rPr>
          <w:rFonts w:ascii="IRNazanin" w:hAnsi="IRNazanin" w:eastAsia="IRNazanin"/>
          <w:color w:val="111111"/>
          <w:sz w:val="28"/>
          <w:sz w:val="28"/>
          <w:szCs w:val="28"/>
          <w:rtl w:val="true"/>
          <w:lang w:bidi="fa-IR"/>
        </w:rPr>
        <w:t>مقنعه</w:t>
      </w:r>
      <w:r>
        <w:rPr>
          <w:rStyle w:val="FootnoteAnchor"/>
          <w:rtl w:val="true"/>
        </w:rPr>
        <w:footnoteReference w:id="410"/>
      </w:r>
      <w:r>
        <w:rPr>
          <w:rFonts w:ascii="IRNazanin" w:hAnsi="IRNazanin" w:eastAsia="IRNazanin"/>
          <w:color w:val="111111"/>
          <w:sz w:val="28"/>
          <w:sz w:val="28"/>
          <w:szCs w:val="28"/>
          <w:rtl w:val="true"/>
          <w:lang w:bidi="fa-IR"/>
        </w:rPr>
        <w:t>وسلّار رحمه الله در کتاب مراسم</w:t>
      </w:r>
      <w:r>
        <w:rPr>
          <w:rStyle w:val="FootnoteAnchor"/>
          <w:rtl w:val="true"/>
        </w:rPr>
        <w:footnoteReference w:id="411"/>
      </w:r>
      <w:r>
        <w:rPr>
          <w:rFonts w:ascii="IRNazanin" w:hAnsi="IRNazanin" w:eastAsia="IRNazanin"/>
          <w:color w:val="111111"/>
          <w:sz w:val="28"/>
          <w:sz w:val="28"/>
          <w:szCs w:val="28"/>
          <w:rtl w:val="true"/>
          <w:lang w:bidi="fa-IR"/>
        </w:rPr>
        <w:t>اقرار را مقیّد به چهار مجلس نکرده‌اند، بلکه به طور مطلق فتوا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w:t>
      </w:r>
      <w:r>
        <w:rPr>
          <w:rStyle w:val="FootnoteAnchor"/>
          <w:rtl w:val="true"/>
        </w:rPr>
        <w:footnoteReference w:id="412"/>
      </w:r>
      <w:r>
        <w:rPr>
          <w:rFonts w:ascii="IRNazanin" w:hAnsi="IRNazanin" w:eastAsia="IRNazanin"/>
          <w:color w:val="111111"/>
          <w:sz w:val="28"/>
          <w:sz w:val="28"/>
          <w:szCs w:val="28"/>
          <w:rtl w:val="true"/>
          <w:lang w:bidi="fa-IR"/>
        </w:rPr>
        <w:t>در این مسأله مردّد می‌شود؛ ولی متأخّران از او، نوعاً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مجلس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تحریر 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یعتبر أن یکون الأربع فی أربعة مجالس أو یکفی الأربع ولو کان فی مجلس واحد؟ فیه خلاف أقربه الثبوت والأحوط اعتبار أربعة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فتوای امام راحل رحمه الله زنا با چهار اقرار در یک مجلس نیز ثابت می‌شود؛ لیکن اگر کسی بخواهد احتیاط را رعایت کند، چهار مجلس را در نظر بگیرد</w:t>
      </w:r>
      <w:r>
        <w:rPr>
          <w:rFonts w:eastAsia="IRNazanin" w:cs="IRNazanin"/>
          <w:color w:val="111111"/>
          <w:sz w:val="28"/>
          <w:szCs w:val="28"/>
          <w:rtl w:val="true"/>
          <w:lang w:bidi="fa-IR"/>
        </w:rPr>
        <w:t>.</w:t>
      </w:r>
    </w:p>
    <w:p>
      <w:pPr>
        <w:pStyle w:val="Heading5"/>
        <w:numPr>
          <w:ilvl w:val="4"/>
          <w:numId w:val="1"/>
        </w:numPr>
        <w:rPr/>
      </w:pPr>
      <w:bookmarkStart w:id="418" w:name="__RefHeading___Toc78902_3244359995"/>
      <w:bookmarkStart w:id="419" w:name="_Toc159"/>
      <w:bookmarkEnd w:id="418"/>
      <w:r>
        <w:rPr>
          <w:rtl w:val="true"/>
        </w:rPr>
        <w:t>دلیل کفایت مجلس واحد</w:t>
      </w:r>
      <w:bookmarkEnd w:id="419"/>
    </w:p>
    <w:p>
      <w:pPr>
        <w:pStyle w:val="BookText"/>
        <w:rPr/>
      </w:pPr>
      <w:r>
        <w:rPr>
          <w:rFonts w:ascii="IRNazanin" w:hAnsi="IRNazanin" w:eastAsia="IRNazanin"/>
          <w:color w:val="111111"/>
          <w:sz w:val="28"/>
          <w:sz w:val="28"/>
          <w:szCs w:val="28"/>
          <w:rtl w:val="true"/>
          <w:lang w:bidi="fa-IR"/>
        </w:rPr>
        <w:t xml:space="preserve">کسانی باید دلیل اقامه کنند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آورده‌اند؛ وگرنه اطلاقات برای عدم لزوم تعدّد مجالس کافی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 الزانی حتّی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امام علیه السلام مطلق بوده و به مجالس متفرّقه مقیّد نیست؛ هر کسی بخواهد این مطلق را مقیّد کند، باید دلیل بر تقیید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آورده‌اند، عبارت است از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قضیه‌ای که زنی نزد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تطهیر کن، چهار اقرار در چهار مجلس بود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روایت دیگر نیز که مربوط به مردی از قبیله مزینة بود، بر اقرار در چهار مجلس دلالت داشت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این دلیل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مورد این دو روایت مجالس متعدّد بوده است؛ امّا در یک قضیّه‌ی خارجی آن هم با ویژگی‌های مخصوص به خودش، اگر تعدّد مجالس بود، به چه دلیل اثبات می‌کنید که تعدّد مجالس در ثبوت حدّ نقش دارد؟ بلکه بالاتر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مجلسی، امام علیه السلام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شهادة فی مجلس واحد أو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شرطیت تعدّد مجالس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ماعز بن مالک</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اوّل نزد پیامبر صلی الله علیه و آله اقرار کرد، آن حضرت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آمد و دوباره اقرار کرد؛ و پس از اقرار سوم،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چهارم اقرار کنی، تو را رجم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اعترفت الرابعة فی مجلس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علیه السلام در کتاب خلاف</w:t>
      </w:r>
      <w:r>
        <w:rPr>
          <w:rStyle w:val="FootnoteAnchor"/>
          <w:rtl w:val="true"/>
        </w:rPr>
        <w:footnoteReference w:id="416"/>
      </w:r>
      <w:r>
        <w:rPr>
          <w:rFonts w:ascii="IRNazanin" w:hAnsi="IRNazanin" w:eastAsia="IRNazanin"/>
          <w:color w:val="111111"/>
          <w:sz w:val="28"/>
          <w:sz w:val="28"/>
          <w:szCs w:val="28"/>
          <w:rtl w:val="true"/>
          <w:lang w:bidi="fa-IR"/>
        </w:rPr>
        <w:t>پس از آن‌که اقرار در چهار مجلس را لازم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طایفه و اخبار و روایات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این‌که اجماع و اخبار به چهار مرتبه اقرار مربوط بوده، و به چهار مجلس مربوط نباشد، احتمالی بی‌جا است؛ زیرا، مرحوم شیخ طوسی رحمه الله مسأله را در دو بُعدش مطرح کرد؛ و حتّی مثل ابن ابی لیلی</w:t>
      </w:r>
      <w:r>
        <w:rPr>
          <w:rStyle w:val="FootnoteAnchor"/>
          <w:rtl w:val="true"/>
        </w:rPr>
        <w:footnoteReference w:id="417"/>
      </w:r>
      <w:r>
        <w:rPr>
          <w:rFonts w:ascii="IRNazanin" w:hAnsi="IRNazanin" w:eastAsia="IRNazanin"/>
          <w:color w:val="111111"/>
          <w:sz w:val="28"/>
          <w:sz w:val="28"/>
          <w:szCs w:val="28"/>
          <w:rtl w:val="true"/>
          <w:lang w:bidi="fa-IR"/>
        </w:rPr>
        <w:t>که چهار اقرار در یک مجلس را کافی می‌داند به عنوان مخالف آورده است؛ اگر فقط نظرش به چهار اقرار بود، جایی برای آوردن فتوای ابن ابی لیلی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باطل است؛ زیرا، تنها کسی که با مرحوم شیخ طوسی موافقت کرده، ابن حمزه رحمه الله در کتاب وسیله</w:t>
      </w:r>
      <w:r>
        <w:rPr>
          <w:rStyle w:val="FootnoteAnchor"/>
          <w:rtl w:val="true"/>
        </w:rPr>
        <w:footnoteReference w:id="4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 رحمه الله موافق دیگری ندارد، خودش نیز در کتاب مبسوط‌</w:t>
      </w:r>
      <w:r>
        <w:rPr>
          <w:rStyle w:val="FootnoteAnchor"/>
          <w:rtl w:val="true"/>
        </w:rPr>
        <w:footnoteReference w:id="419"/>
      </w:r>
      <w:r>
        <w:rPr>
          <w:rFonts w:ascii="IRNazanin" w:hAnsi="IRNazanin" w:eastAsia="IRNazanin"/>
          <w:color w:val="111111"/>
          <w:sz w:val="28"/>
          <w:sz w:val="28"/>
          <w:szCs w:val="28"/>
          <w:rtl w:val="true"/>
          <w:lang w:bidi="fa-IR"/>
        </w:rPr>
        <w:t>و خلاف،</w:t>
      </w:r>
      <w:r>
        <w:rPr>
          <w:rStyle w:val="FootnoteAnchor"/>
          <w:rtl w:val="true"/>
        </w:rPr>
        <w:footnoteReference w:id="420"/>
      </w:r>
      <w:r>
        <w:rPr>
          <w:rFonts w:ascii="IRNazanin" w:hAnsi="IRNazanin" w:eastAsia="IRNazanin"/>
          <w:color w:val="111111"/>
          <w:sz w:val="28"/>
          <w:sz w:val="28"/>
          <w:szCs w:val="28"/>
          <w:rtl w:val="true"/>
          <w:lang w:bidi="fa-IR"/>
        </w:rPr>
        <w:t>چهار اقرار را مقیّد به چهار مجلس آورده است؛ امّا در کتاب نهایه</w:t>
      </w:r>
      <w:r>
        <w:rPr>
          <w:rStyle w:val="FootnoteAnchor"/>
          <w:rtl w:val="true"/>
        </w:rPr>
        <w:footnoteReference w:id="421"/>
      </w:r>
      <w:r>
        <w:rPr>
          <w:rFonts w:ascii="IRNazanin" w:hAnsi="IRNazanin" w:eastAsia="IRNazanin"/>
          <w:color w:val="111111"/>
          <w:sz w:val="28"/>
          <w:sz w:val="28"/>
          <w:szCs w:val="28"/>
          <w:rtl w:val="true"/>
          <w:lang w:bidi="fa-IR"/>
        </w:rPr>
        <w:t>آن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مطلبی را که فقط موافقش ابن حمزه است، به صورت اجماع مطرح کرد؛ و چنین اجماعی آیا حجّت است، به خصوص که اجماع نیز اجماع منقول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چنین اجماعی نمی‌توان دست از اطلاق روایات برداشت و آن را مقیّد کرد</w:t>
      </w:r>
      <w:r>
        <w:rPr>
          <w:rFonts w:eastAsia="IRNazanin" w:cs="IRNazanin"/>
          <w:color w:val="111111"/>
          <w:sz w:val="28"/>
          <w:szCs w:val="28"/>
          <w:rtl w:val="true"/>
          <w:lang w:bidi="fa-IR"/>
        </w:rPr>
        <w:t>.</w:t>
      </w:r>
      <w:bookmarkStart w:id="420" w:name="pg16919_227020"/>
    </w:p>
    <w:p>
      <w:pPr>
        <w:pStyle w:val="BookText"/>
        <w:rPr/>
      </w:pPr>
      <w:bookmarkEnd w:id="420"/>
      <w:r>
        <w:rPr>
          <w:rFonts w:ascii="IRNazanin" w:hAnsi="IRNazanin" w:eastAsia="IRNazanin"/>
          <w:color w:val="111111"/>
          <w:sz w:val="28"/>
          <w:sz w:val="28"/>
          <w:szCs w:val="28"/>
          <w:rtl w:val="true"/>
          <w:lang w:bidi="fa-IR"/>
        </w:rPr>
        <w:t>در نتیجه ما دلیلی بر تقیید پیدا نکردیم و حقّ همان است که امام راحل رحمه الله فرمودند؛ یعنی به چهار اقرار هر چند در یک جلسه باشد، حدّ ثابت می‌شود</w:t>
      </w:r>
      <w:r>
        <w:rPr>
          <w:rFonts w:eastAsia="IRNazanin" w:cs="IRNazanin"/>
          <w:color w:val="111111"/>
          <w:sz w:val="28"/>
          <w:szCs w:val="28"/>
          <w:rtl w:val="true"/>
          <w:lang w:bidi="fa-IR"/>
        </w:rPr>
        <w:t>.</w:t>
      </w:r>
    </w:p>
    <w:p>
      <w:pPr>
        <w:pStyle w:val="Heading5"/>
        <w:numPr>
          <w:ilvl w:val="4"/>
          <w:numId w:val="1"/>
        </w:numPr>
        <w:rPr/>
      </w:pPr>
      <w:bookmarkStart w:id="421" w:name="__RefHeading___Toc78904_3244359995"/>
      <w:bookmarkStart w:id="422" w:name="_Toc160"/>
      <w:bookmarkEnd w:id="421"/>
      <w:r>
        <w:rPr>
          <w:rtl w:val="true"/>
        </w:rPr>
        <w:t>حکم اقرار کمتر از چهار مرتبه</w:t>
      </w:r>
      <w:bookmarkEnd w:id="422"/>
    </w:p>
    <w:p>
      <w:pPr>
        <w:pStyle w:val="BookText"/>
        <w:rPr/>
      </w:pPr>
      <w:r>
        <w:rPr>
          <w:rFonts w:ascii="IRNazanin" w:hAnsi="IRNazanin" w:eastAsia="IRNazanin"/>
          <w:color w:val="111111"/>
          <w:sz w:val="28"/>
          <w:sz w:val="28"/>
          <w:szCs w:val="28"/>
          <w:rtl w:val="true"/>
          <w:lang w:bidi="fa-IR"/>
        </w:rPr>
        <w:t>اگر شخصی به کمتر از چهار مرتبه اقرار بسنده کرد، حدّ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فتاوا بر این مطب دلالت داشتند؛ و فقط ابن ابی عقیل</w:t>
      </w:r>
      <w:r>
        <w:rPr>
          <w:rStyle w:val="FootnoteAnchor"/>
          <w:rtl w:val="true"/>
        </w:rPr>
        <w:footnoteReference w:id="422"/>
      </w:r>
      <w:r>
        <w:rPr>
          <w:rFonts w:ascii="IRNazanin" w:hAnsi="IRNazanin" w:eastAsia="IRNazanin"/>
          <w:color w:val="111111"/>
          <w:sz w:val="28"/>
          <w:sz w:val="28"/>
          <w:szCs w:val="28"/>
          <w:rtl w:val="true"/>
          <w:lang w:bidi="fa-IR"/>
        </w:rPr>
        <w:t>به یک مرتبه اقرار، حدّ را ثابت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در این هنگام، شخص تعزیر می‌شود یا نه؟</w:t>
      </w:r>
    </w:p>
    <w:p>
      <w:pPr>
        <w:pStyle w:val="BookText"/>
        <w:rPr/>
      </w:pPr>
      <w:r>
        <w:rPr>
          <w:rFonts w:ascii="IRNazanin" w:hAnsi="IRNazanin" w:eastAsia="IRNazanin"/>
          <w:color w:val="111111"/>
          <w:sz w:val="28"/>
          <w:sz w:val="28"/>
          <w:szCs w:val="28"/>
          <w:rtl w:val="true"/>
          <w:lang w:bidi="fa-IR"/>
        </w:rPr>
        <w:t>شیخ مفید رحمه الله در کتاب مقنعه،</w:t>
      </w:r>
      <w:r>
        <w:rPr>
          <w:rStyle w:val="FootnoteAnchor"/>
          <w:rtl w:val="true"/>
        </w:rPr>
        <w:footnoteReference w:id="423"/>
      </w:r>
      <w:r>
        <w:rPr>
          <w:rFonts w:ascii="IRNazanin" w:hAnsi="IRNazanin" w:eastAsia="IRNazanin"/>
          <w:color w:val="111111"/>
          <w:sz w:val="28"/>
          <w:sz w:val="28"/>
          <w:szCs w:val="28"/>
          <w:rtl w:val="true"/>
          <w:lang w:bidi="fa-IR"/>
        </w:rPr>
        <w:t>شیخ طوسی رحمه الله در کتاب نهایه،</w:t>
      </w:r>
      <w:r>
        <w:rPr>
          <w:rStyle w:val="FootnoteAnchor"/>
          <w:rtl w:val="true"/>
        </w:rPr>
        <w:footnoteReference w:id="424"/>
      </w:r>
      <w:r>
        <w:rPr>
          <w:rFonts w:ascii="IRNazanin" w:hAnsi="IRNazanin" w:eastAsia="IRNazanin"/>
          <w:color w:val="111111"/>
          <w:sz w:val="28"/>
          <w:sz w:val="28"/>
          <w:szCs w:val="28"/>
          <w:rtl w:val="true"/>
          <w:lang w:bidi="fa-IR"/>
        </w:rPr>
        <w:t>مرحوم علّامه در کتاب قواعد</w:t>
      </w:r>
      <w:r>
        <w:rPr>
          <w:rStyle w:val="FootnoteAnchor"/>
          <w:rtl w:val="true"/>
        </w:rPr>
        <w:footnoteReference w:id="425"/>
      </w:r>
      <w:r>
        <w:rPr>
          <w:rFonts w:ascii="IRNazanin" w:hAnsi="IRNazanin" w:eastAsia="IRNazanin"/>
          <w:color w:val="111111"/>
          <w:sz w:val="28"/>
          <w:sz w:val="28"/>
          <w:szCs w:val="28"/>
          <w:rtl w:val="true"/>
          <w:lang w:bidi="fa-IR"/>
        </w:rPr>
        <w:t>و ابن‌ادریس رحمه الله در سرائر</w:t>
      </w:r>
      <w:r>
        <w:rPr>
          <w:rStyle w:val="FootnoteAnchor"/>
          <w:rtl w:val="true"/>
        </w:rPr>
        <w:footnoteReference w:id="426"/>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کمتر از چهار مرتبه، تعزیر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رحمه الله در تحریر الوسیله،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للحاکم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ثبوت تعزیر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اقتضا داشت یک مرتبه اقرار نیز نافذ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عموم، روایات، اثبات حدّ را به چهار مرتبه اقرار معیّن کرده‌اند؛ از این‌رو، از آن عموم دست برداشته، آن را در این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زده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 یتوقّف علی أربع أقاریر ولا یترتّب علی إقرار واحد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مقداری که دلیل بر تخصیص داشتیم، دست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اقرار کمتر از چهار مرتبه باشد، عموم به حال خود باقی است؛ و فقط حدّ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عموم از این جهت از کار بیفتد، نیاز به مخصّص دارد، ومفروض عدم مخصّص است؛ لذا، به عموم اقرار العقلاء عمل کرده و حکم به تعزیر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بما هو إقرار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زیرا، مصداق آن اشاعه‌ی به فحشا است که آیه‌ی شریفه درباره‌ی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 ؛</w:t>
      </w:r>
      <w:r>
        <w:rPr>
          <w:rStyle w:val="FootnoteAnchor"/>
          <w:rtl w:val="true"/>
        </w:rPr>
        <w:footnoteReference w:id="428"/>
      </w:r>
      <w:r>
        <w:rPr>
          <w:rFonts w:ascii="IRNazanin" w:hAnsi="IRNazanin" w:eastAsia="IRNazanin"/>
          <w:color w:val="111111"/>
          <w:sz w:val="28"/>
          <w:sz w:val="28"/>
          <w:szCs w:val="28"/>
          <w:rtl w:val="true"/>
          <w:lang w:bidi="fa-IR"/>
        </w:rPr>
        <w:t>کسانی که دوست می‌دارند فحشا را در میان مؤمنان اشاعه دهند، برای آنان عذابی دردناک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اقرار حرام، تعزیر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هر دو دلیل مشکل بوده، و بطلان دلیل دوم واضح و روشن است؛ زیرا، کسی که اقرار می‌کند یک هدف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تطهیر خودش از گناه را که موجب تخفیف عذاب آخرت می‌شود؛ و در روایت، زن آبستن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پاک کن؛ زیرا، عذاب دنیا آسان‌تر از عذاب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و بر چنین اقراری اشاعه‌ی فحشا صادق نیست، و نمی‌توان مسأله‌ی اقرار را به عنوان اشاعه‌ی فحشا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مطلب، از ظاهر کلمات کسانی که در این مورد فتوای به تعزیر داده‌اند، استفاده می‌شود این تعزیر از جهت اقرار نیست، بلکه در رابطه با عمل زنا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تعزیر از جهت اقرار را دلیل آنان دانست؛ زیرا، دلیل با مدّعا تطابقی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 نیز باطل است؛ چه آن‌که اثبات تعزیر به اقرار کمتر از چهار مرتبه نیز به ثبوت جرم و گناه نیاز دارد؛ یعنی همان‌گونه که مترتّب شدن حدّ در صورتی است که زنا ثابت شده باشد، ترتّب تعزیر نیز در صورتی است که گناه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باب زنا، دو نوع اثبات نداریم که بگوییم بر یک نحوه‌ی اثبات آن حدّ جاری شده، و بر نحوه‌ی دوم آن تعزیر مترتّب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حاکمی که می‌خواهد تعزیر کند، تعزیر از چه جهت حرام است؟ فرد مقِرّ،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 است و زنای او اثبات شده، در نتیجه باید حدّ بخورد؛ و اگر زنای او</w:t>
      </w:r>
    </w:p>
    <w:p>
      <w:pPr>
        <w:pStyle w:val="BookText"/>
        <w:rPr/>
      </w:pPr>
      <w:r>
        <w:rPr>
          <w:rFonts w:ascii="IRNazanin" w:hAnsi="IRNazanin" w:eastAsia="IRNazanin"/>
          <w:color w:val="111111"/>
          <w:sz w:val="28"/>
          <w:sz w:val="28"/>
          <w:szCs w:val="28"/>
          <w:rtl w:val="true"/>
          <w:lang w:bidi="fa-IR"/>
        </w:rPr>
        <w:t>ثابت نشده است، حاکم برای چه عملی می‌خواهد او را تعزیر کند؟ زنا یک واقعیّت است؛ و دو یا سه مرتبه اقرار، یا مثبت آن است و یا نیست؛ از روایات استفاده شد که شخص تا چهار مرتبه اقرار نکند زنا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عدم ثبوت زنا چگونه تعزیر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روایتِ زن آبستن، چرا امام علیه السلام پس از دفعه‌ی اوّل، وی را تعزیر نکرد؟ چرا بر اقرار دوم تعزیر نشد؟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می‌دانست که او سرانجام چهار مرتبه اقرار می‌کند؛ از این رو، او را تعزیر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واضح است؛ چرا که امام علیه السلام با تکیه بر علم امامت حکم نمی‌داد، بلکه ظاهر حال این است که امام علیه السلام بر اساس موازین طبیعی و قواعدی که در حقّ هر حاکم شرعی جاری است، 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بپذیریم امام علیه السلام با تکیه بر علم امامتش حکم داده است، آیا علم امام به این‌که او سرانجام چهار مرتبه اقرار می‌کند، نفی تعزیر می‌کند؟ اگر اقرار کمتر از چهار مرتبه، تعزیر دارد، در دفعه‌ی اوّل که این زن اقرار کرد، موضوع تعزیر محقّق شده است و تعزیر باید اجرا شود؛ علم در برداشتن تعزیر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کردن بر علم امام در قضیه‌ی زن و مرد و بر علم پیامبر در قضیه‌ی ماعز بن مالک، خلاف ظاهر روایات است؛ و در هیچ‌یک از این روایات، به مجرّد اقرار اوّل یا دوم یا سوم، حکم به تعزیر نشده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نزد حاکم شرع آمد و یک مرتبه اقرار کرد، باید بلافاصله حکم به تعزیر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حاکم شرع علم پیامبر و امام علیه السلام را ندارد تا از سرانجام او خبر داشته باشد که آیا اقرارها به چهار مرتبه می‌رسد یا نه؟ همان‌گونه که در حدود الهی تأخیر جایز نیست در تعزیر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شرع باید چنین فردی را تعزیر کند؛ زیرا، شاید اقرار او به چهار مرتبه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فقیهی به چنین مطلبی ملتزم می‌شود که اگر کسی در دادگاه اقرار کرد، نیم ساعت بعد از آن دو مرتبه اقرار کرد و نیم ساعت بعد، برای اقرار سوم آمد، لازم است که سه مرتبه تعزیر شود؛ و پس از اقرار چهارم، بر او حدّ جاری کرد؟ اگر این مورد را ملتزم نشوید، معلوم می‌شود اقرار کمتر از چهار مرتبه منشأ اثر نیست</w:t>
      </w:r>
      <w:r>
        <w:rPr>
          <w:rFonts w:eastAsia="IRNazanin" w:cs="IRNazanin"/>
          <w:color w:val="111111"/>
          <w:sz w:val="28"/>
          <w:szCs w:val="28"/>
          <w:rtl w:val="true"/>
          <w:lang w:bidi="fa-IR"/>
        </w:rPr>
        <w:t>.</w:t>
      </w:r>
      <w:bookmarkStart w:id="423" w:name="pg16919_227023"/>
    </w:p>
    <w:p>
      <w:pPr>
        <w:pStyle w:val="BookText"/>
        <w:rPr/>
      </w:pPr>
      <w:bookmarkEnd w:id="423"/>
      <w:r>
        <w:rPr>
          <w:rFonts w:ascii="IRNazanin" w:hAnsi="IRNazanin" w:eastAsia="IRNazanin"/>
          <w:color w:val="111111"/>
          <w:sz w:val="28"/>
          <w:sz w:val="28"/>
          <w:szCs w:val="28"/>
          <w:rtl w:val="true"/>
          <w:lang w:bidi="fa-IR"/>
        </w:rPr>
        <w:t>نکته‌ی مهمّی که از روایات استفاده می‌شود، این است‌که فاصله‌ی بین چهار اقرار حتّی بیش از یک سال نیز امکان دارد؛ لذا، اگر شخصی اقرار اوّلش الآن باشد، اقرار دوم پنج سال دیگر، اقرار سوم ده سال دیگر و اقرار چهارم پس از گذشت بیست سال از اقرار اوّل باشد، بر او حدّ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حاکم شرع از کجا می‌داند این اقرار موضوع حدّ را می‌سازد یا موضوع تعزیر را؟ زیرا، باید احراز کند آیا به چهار مرتبه می‌رسد تا حدّ بر آن مترتّب شود و یا به این مقدار نمی‌رسد تا موضوع تعزیر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کشف می‌کنیم مسأله‌ی تعزیر در اقرار کمتر از چهار مرتبه مفهوم و معنا ندارد؛ و موضوع آن منتفی است؛ راهی برای اثبات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اجرای حدّ عجله نداریم؛ همان‌گونه که امیرمؤمنان علیه السلام عجله نکردند؛ و پس از آن‌که اقرار به مرتبه چهارم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قد ثبت علیها أربع شهادات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حدّ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تعزیر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مقدّس اردبیلی رحمه الله</w:t>
      </w:r>
      <w:r>
        <w:rPr>
          <w:rStyle w:val="FootnoteAnchor"/>
          <w:rtl w:val="true"/>
        </w:rPr>
        <w:footnoteReference w:id="430"/>
      </w:r>
      <w:r>
        <w:rPr>
          <w:rFonts w:ascii="IRNazanin" w:hAnsi="IRNazanin" w:eastAsia="IRNazanin"/>
          <w:color w:val="111111"/>
          <w:sz w:val="28"/>
          <w:sz w:val="28"/>
          <w:szCs w:val="28"/>
          <w:rtl w:val="true"/>
          <w:lang w:bidi="fa-IR"/>
        </w:rPr>
        <w:t>و مرحوم فاضل اصفهانی صاحب کشف اللثام</w:t>
      </w:r>
      <w:r>
        <w:rPr>
          <w:rStyle w:val="FootnoteAnchor"/>
          <w:rtl w:val="true"/>
        </w:rPr>
        <w:footnoteReference w:id="431"/>
      </w:r>
      <w:r>
        <w:rPr>
          <w:rFonts w:ascii="IRNazanin" w:hAnsi="IRNazanin" w:eastAsia="IRNazanin"/>
          <w:color w:val="111111"/>
          <w:sz w:val="28"/>
          <w:sz w:val="28"/>
          <w:szCs w:val="28"/>
          <w:rtl w:val="true"/>
          <w:lang w:bidi="fa-IR"/>
        </w:rPr>
        <w:t>تردید کرده‌اند؛ بعضی نیز به عدم ثبوت تعزیر تمایل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صاحب جواهر رحمه الله</w:t>
      </w:r>
      <w:r>
        <w:rPr>
          <w:rStyle w:val="FootnoteAnchor"/>
          <w:rtl w:val="true"/>
        </w:rPr>
        <w:footnoteReference w:id="432"/>
      </w:r>
      <w:r>
        <w:rPr>
          <w:rFonts w:ascii="IRNazanin" w:hAnsi="IRNazanin" w:eastAsia="IRNazanin"/>
          <w:color w:val="111111"/>
          <w:sz w:val="28"/>
          <w:sz w:val="28"/>
          <w:szCs w:val="28"/>
          <w:rtl w:val="true"/>
          <w:lang w:bidi="fa-IR"/>
        </w:rPr>
        <w:t>در اقرار صبی را مطرح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یا مرتکب زنا شده است و یا دروغ می‌گوید، در هر دو حال معصیت کرده است و به خاطر آن 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تعزیری که در این‌جا گفته‌اند به خاطر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به‌لحاظ خود اقرار و دروغ؛ تا بگویی معصیت است و هر معصیتی تعزیر دارد</w:t>
      </w:r>
      <w:r>
        <w:rPr>
          <w:rFonts w:eastAsia="IRNazanin" w:cs="IRNazanin"/>
          <w:color w:val="111111"/>
          <w:sz w:val="28"/>
          <w:szCs w:val="28"/>
          <w:rtl w:val="true"/>
          <w:lang w:bidi="fa-IR"/>
        </w:rPr>
        <w:t>.</w:t>
      </w:r>
    </w:p>
    <w:p>
      <w:pPr>
        <w:pStyle w:val="Heading4"/>
        <w:numPr>
          <w:ilvl w:val="3"/>
          <w:numId w:val="1"/>
        </w:numPr>
        <w:rPr/>
      </w:pPr>
      <w:bookmarkStart w:id="424" w:name="__RefHeading___Toc78906_3244359995"/>
      <w:bookmarkStart w:id="425" w:name="_Toc161"/>
      <w:bookmarkEnd w:id="424"/>
      <w:r>
        <w:rPr>
          <w:rtl w:val="true"/>
        </w:rPr>
        <w:t>تساوی مرد و زن در شرایط اقرار</w:t>
      </w:r>
      <w:bookmarkEnd w:id="425"/>
    </w:p>
    <w:p>
      <w:pPr>
        <w:pStyle w:val="BookText"/>
        <w:rPr/>
      </w:pPr>
      <w:r>
        <w:rPr>
          <w:rFonts w:ascii="IRNazanin" w:hAnsi="IRNazanin" w:eastAsia="IRNazanin"/>
          <w:color w:val="111111"/>
          <w:sz w:val="28"/>
          <w:sz w:val="28"/>
          <w:szCs w:val="28"/>
          <w:rtl w:val="true"/>
          <w:lang w:bidi="fa-IR"/>
        </w:rPr>
        <w:t>زن و مرد در تمام خصوصیّات و شرایط اقرار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موارد زیر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لزوم چهار مرتبه اقرار دلالت داشتند، قسمتی از آن‌ها مربوط به مردان</w:t>
      </w:r>
      <w:bookmarkStart w:id="426" w:name="pg16919_227024"/>
    </w:p>
    <w:p>
      <w:pPr>
        <w:pStyle w:val="BookText"/>
        <w:rPr/>
      </w:pPr>
      <w:bookmarkEnd w:id="426"/>
      <w:r>
        <w:rPr>
          <w:rFonts w:ascii="IRNazanin" w:hAnsi="IRNazanin" w:eastAsia="IRNazanin"/>
          <w:color w:val="111111"/>
          <w:sz w:val="28"/>
          <w:sz w:val="28"/>
          <w:szCs w:val="28"/>
          <w:rtl w:val="true"/>
          <w:lang w:bidi="fa-IR"/>
        </w:rPr>
        <w:t>و برخی دیگر، مربوط به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فتاوای فقها فرقی بین مرد و زن در این جهت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چهار مرتبه اقرار را و ابن ابی عقیل یک مرتبه‌ی آن را برای مرد و زن در اثبات زنا کافی می‌دانند</w:t>
      </w:r>
      <w:r>
        <w:rPr>
          <w:rFonts w:eastAsia="IRNazanin" w:cs="IRNazanin"/>
          <w:color w:val="111111"/>
          <w:sz w:val="28"/>
          <w:szCs w:val="28"/>
          <w:rtl w:val="true"/>
          <w:lang w:bidi="fa-IR"/>
        </w:rPr>
        <w:t>.</w:t>
      </w:r>
    </w:p>
    <w:p>
      <w:pPr>
        <w:pStyle w:val="Heading4"/>
        <w:numPr>
          <w:ilvl w:val="3"/>
          <w:numId w:val="1"/>
        </w:numPr>
        <w:rPr/>
      </w:pPr>
      <w:bookmarkStart w:id="427" w:name="__RefHeading___Toc78908_3244359995"/>
      <w:bookmarkStart w:id="428" w:name="_Toc162"/>
      <w:bookmarkEnd w:id="427"/>
      <w:r>
        <w:rPr>
          <w:rtl w:val="true"/>
        </w:rPr>
        <w:t>کیفیت اقرار اخرس</w:t>
      </w:r>
      <w:bookmarkEnd w:id="428"/>
    </w:p>
    <w:p>
      <w:pPr>
        <w:pStyle w:val="Heading5"/>
        <w:numPr>
          <w:ilvl w:val="4"/>
          <w:numId w:val="1"/>
        </w:numPr>
        <w:rPr/>
      </w:pPr>
      <w:bookmarkStart w:id="429" w:name="__RefHeading___Toc78910_3244359995"/>
      <w:bookmarkStart w:id="430" w:name="_Toc163"/>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مرحوم امام در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 اخرس که مقصود او را برساند، جانشین اقرارش است؛ و اگر نیاز به ترجمه داشت، دو شاهد عادل مترجم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را باید بررسی کنیم</w:t>
      </w:r>
      <w:r>
        <w:rPr>
          <w:rFonts w:eastAsia="IRNazanin" w:cs="IRNazanin"/>
          <w:color w:val="111111"/>
          <w:sz w:val="28"/>
          <w:szCs w:val="28"/>
          <w:rtl w:val="true"/>
          <w:lang w:bidi="fa-IR"/>
        </w:rPr>
        <w:t>:</w:t>
      </w:r>
    </w:p>
    <w:p>
      <w:pPr>
        <w:pStyle w:val="Heading5"/>
        <w:numPr>
          <w:ilvl w:val="4"/>
          <w:numId w:val="1"/>
        </w:numPr>
        <w:rPr/>
      </w:pPr>
      <w:bookmarkStart w:id="431" w:name="__RefHeading___Toc78912_3244359995"/>
      <w:bookmarkStart w:id="432" w:name="_Toc164"/>
      <w:bookmarkEnd w:id="431"/>
      <w:r>
        <w:rPr>
          <w:rtl w:val="true"/>
        </w:rPr>
        <w:t>الف</w:t>
      </w:r>
      <w:r>
        <w:rPr>
          <w:rtl w:val="true"/>
        </w:rPr>
        <w:t xml:space="preserve">: </w:t>
      </w:r>
      <w:r>
        <w:rPr>
          <w:rtl w:val="true"/>
        </w:rPr>
        <w:t>ادلّه‌ی پذیرش اشاره‌ی اخرس</w:t>
      </w:r>
      <w:bookmarkEnd w:id="432"/>
    </w:p>
    <w:p>
      <w:pPr>
        <w:pStyle w:val="BookText"/>
        <w:rPr/>
      </w:pPr>
      <w:r>
        <w:rPr>
          <w:rFonts w:ascii="IRNazanin" w:hAnsi="IRNazanin" w:eastAsia="IRNazanin"/>
          <w:color w:val="111111"/>
          <w:sz w:val="28"/>
          <w:sz w:val="28"/>
          <w:szCs w:val="28"/>
          <w:rtl w:val="true"/>
          <w:lang w:bidi="fa-IR"/>
        </w:rPr>
        <w:t>اگر فرد زانی لال بود و قدرت بر تکلّم و حرف زدن نداشت، اگر بخواهد با اقرار، خود را تطهیر کند، اقرار او به چه صورت باید باشد؟</w:t>
      </w:r>
    </w:p>
    <w:p>
      <w:pPr>
        <w:pStyle w:val="BookText"/>
        <w:rPr/>
      </w:pPr>
      <w:r>
        <w:rPr>
          <w:rFonts w:ascii="IRNazanin" w:hAnsi="IRNazanin" w:eastAsia="IRNazanin"/>
          <w:color w:val="111111"/>
          <w:sz w:val="28"/>
          <w:sz w:val="28"/>
          <w:szCs w:val="28"/>
          <w:rtl w:val="true"/>
          <w:lang w:bidi="fa-IR"/>
        </w:rPr>
        <w:t>شیخ طوسی رحمه الله در کتاب خلاف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أقرّ 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بإشارة معقولة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الحدّ، وکذلک إذا أقرّ بقتل العمد لزمه القود وبه قال الشافعی 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الحدّ ولاالقتل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الأخبار الواردة فی أنّ المقرّ بالزنا وبالقتل یجب علیه الحدّ والقود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والأخرس إذا أقرّ بالاشاره سمّی ذلک اقراراً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أقرّ بمال لغیره لزمه ذلک، ولا خلاف أیضاً أنّه صحّ 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اگر اخرس با اشاره‌ای مقصودش را برساند، مانند آن است که مطلب خود را با تکلّم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چهار مرتبه به زنا یا دو مرتبه به قتل عمد اشاره‌ی مقبول داشت، زنا یا قتل ثابت شده و به آن حدّ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این فرع موافق ما بوده ولی ابوحنیفه مخالفت کرده است، و برای اشاره‌ی اخرس در باب زنا و قتل، اثری مترتّب نمی‌کند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ادلّه‌ای که شیخ طوسی رحمه الله اقامه کرده، عبارت است از</w:t>
      </w:r>
      <w:r>
        <w:rPr>
          <w:rFonts w:eastAsia="IRNazanin" w:cs="IRNazanin"/>
          <w:color w:val="111111"/>
          <w:sz w:val="28"/>
          <w:szCs w:val="28"/>
          <w:rtl w:val="true"/>
          <w:lang w:bidi="fa-IR"/>
        </w:rPr>
        <w:t>:</w:t>
      </w:r>
      <w:bookmarkStart w:id="433" w:name="pg16919_227025"/>
    </w:p>
    <w:p>
      <w:pPr>
        <w:pStyle w:val="BookText"/>
        <w:rPr/>
      </w:pPr>
      <w:bookmarkEnd w:id="43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اقرار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اخرس که قدرت بر تکلّم ندارد و با اشاره، مقصود خود را تفهیم می‌کند،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ندارد، اصلاً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محقّق نمی‌شود؛ و الفاظ در باب اقرار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اقرار متقوّم به این است که فردی مطلبی را بر ضرر خود اظهار کند؛ حال، این ابراز و ظاهر سازی از راه تکلّم باشد، یا از راه کتابت و یا هر راه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اشاره‌ی خود فرد اخرس، جانشین سخن گفتن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موضوع اقرار را درباره‌ی اخرس به طور کلّی منتفی دانست؟ این حرف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این‌که اگر به مالی برای زید با اشاره‌اش اقرار کند، هیچ کس در پذیرش این اقرار تردید به خود راه نداده، آن را مؤثّر دانسته و مالی را که اقرار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اقرار به مال و اقرر به زنا چه فرقی وجود دارد؟ تنها تفاوتی که بین این دو باب هست، لزوم چهار مرتبه اقرار در باب زنا است؛ اخرس نیز مانند دیگران چهار مرتبه اقرار و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روایاتی است که درباره‌ی طلاق اخرس</w:t>
      </w:r>
      <w:r>
        <w:rPr>
          <w:rStyle w:val="FootnoteAnchor"/>
          <w:rtl w:val="true"/>
        </w:rPr>
        <w:footnoteReference w:id="435"/>
      </w:r>
      <w:r>
        <w:rPr>
          <w:rFonts w:ascii="IRNazanin" w:hAnsi="IRNazanin" w:eastAsia="IRNazanin"/>
          <w:color w:val="111111"/>
          <w:sz w:val="28"/>
          <w:sz w:val="28"/>
          <w:szCs w:val="28"/>
          <w:rtl w:val="true"/>
          <w:lang w:bidi="fa-IR"/>
        </w:rPr>
        <w:t>رسیده، و آن را به اشاره‌ی مفهم مقصودش، مثل پشت به زن کردن دانسته‌اند؛ همین گونه است در باب نماز</w:t>
      </w:r>
      <w:r>
        <w:rPr>
          <w:rStyle w:val="FootnoteAnchor"/>
          <w:rtl w:val="true"/>
        </w:rPr>
        <w:footnoteReference w:id="436"/>
      </w:r>
      <w:r>
        <w:rPr>
          <w:rFonts w:ascii="IRNazanin" w:hAnsi="IRNazanin" w:eastAsia="IRNazanin"/>
          <w:color w:val="111111"/>
          <w:sz w:val="28"/>
          <w:sz w:val="28"/>
          <w:szCs w:val="28"/>
          <w:rtl w:val="true"/>
          <w:lang w:bidi="fa-IR"/>
        </w:rPr>
        <w:t>، قرائت</w:t>
      </w:r>
      <w:r>
        <w:rPr>
          <w:rStyle w:val="FootnoteAnchor"/>
          <w:rtl w:val="true"/>
        </w:rPr>
        <w:footnoteReference w:id="437"/>
      </w:r>
      <w:r>
        <w:rPr>
          <w:rFonts w:ascii="IRNazanin" w:hAnsi="IRNazanin" w:eastAsia="IRNazanin"/>
          <w:color w:val="111111"/>
          <w:sz w:val="28"/>
          <w:sz w:val="28"/>
          <w:szCs w:val="28"/>
          <w:rtl w:val="true"/>
          <w:lang w:bidi="fa-IR"/>
        </w:rPr>
        <w:t>، تلبیه</w:t>
      </w:r>
      <w:r>
        <w:rPr>
          <w:rStyle w:val="FootnoteAnchor"/>
          <w:rtl w:val="true"/>
        </w:rPr>
        <w:footnoteReference w:id="4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434" w:name="__RefHeading___Toc78914_3244359995"/>
      <w:bookmarkStart w:id="435" w:name="_Toc165"/>
      <w:bookmarkEnd w:id="434"/>
      <w:r>
        <w:rPr>
          <w:rtl w:val="true"/>
        </w:rPr>
        <w:t>ب</w:t>
      </w:r>
      <w:r>
        <w:rPr>
          <w:rtl w:val="true"/>
        </w:rPr>
        <w:t xml:space="preserve">: </w:t>
      </w:r>
      <w:r>
        <w:rPr>
          <w:rtl w:val="true"/>
        </w:rPr>
        <w:t>ترجمه‌ی اشاره‌ی اخرس</w:t>
      </w:r>
      <w:bookmarkEnd w:id="435"/>
    </w:p>
    <w:p>
      <w:pPr>
        <w:pStyle w:val="BookText"/>
        <w:rPr/>
      </w:pPr>
      <w:r>
        <w:rPr>
          <w:rFonts w:ascii="IRNazanin" w:hAnsi="IRNazanin" w:eastAsia="IRNazanin"/>
          <w:color w:val="111111"/>
          <w:sz w:val="28"/>
          <w:sz w:val="28"/>
          <w:szCs w:val="28"/>
          <w:rtl w:val="true"/>
          <w:lang w:bidi="fa-IR"/>
        </w:rPr>
        <w:t>اگر حاکم شرع از اشارات اخرس به مقصود او پی نبرد و به مترجم نیاز پیدا کرد، آیا دو مترجم عادل کافی است، یا یک نفر و یا چهار نفر مترجم لازم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دو شاهد عادل را کافی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بیّنه شهادت بر زنا نمی‌دهد که به چهار شاهد عادل محتاج باشیم، بلکه برای کشف مراد مقِرّ اقامه می‌شود؛ بنابراین، چنین شهادتی، مانند شهادات دیگر، با دو عادل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دلیل آن است که اگر زید چهار مرتبه اقرار کرد و دو عادل بر اقرارش شهادت بدهند، کافی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یک نفر نیز مؤثّر نیست؛ زیرا، فقط در باب نقل قول، خبر واحد کافی است؛ مترجم اشاره‌ی اخرس عنوان رأی ندارد که یک نفر کافی باشد؛ بلکه ظاهر مطلب این است که شهادت می‌دهد؛ و در باب شهادت، به کمتر از دو نفر اکتفا نمی‌شود؛ هر چند احتمال پذیرش قول یک مترجم نیز می‌رود</w:t>
      </w:r>
      <w:r>
        <w:rPr>
          <w:rFonts w:eastAsia="IRNazanin" w:cs="IRNazanin"/>
          <w:color w:val="111111"/>
          <w:sz w:val="28"/>
          <w:szCs w:val="28"/>
          <w:rtl w:val="true"/>
          <w:lang w:bidi="fa-IR"/>
        </w:rPr>
        <w:t>.</w:t>
      </w:r>
      <w:bookmarkStart w:id="436" w:name="pg16919_227027"/>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القذف یثبت بالإقرار</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زنیت بفلانة العفیفة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الزنا الموجب للحدّ فی طرفه، إلّا إذا کرّرها أربعاً وهل یثبت القذف بذلک للمرأة؟ فیه تردّد والأشبه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زنیت بها وهی أیضاً زانیة بزنائی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حدّ القذف</w:t>
      </w:r>
      <w:r>
        <w:rPr>
          <w:rFonts w:eastAsia="IRNazanin" w:cs="IRNazanin"/>
          <w:color w:val="111111"/>
          <w:sz w:val="28"/>
          <w:szCs w:val="28"/>
          <w:rtl w:val="true"/>
          <w:lang w:bidi="fa-IR"/>
        </w:rPr>
        <w:t>.</w:t>
      </w:r>
    </w:p>
    <w:p>
      <w:pPr>
        <w:pStyle w:val="Heading4"/>
        <w:numPr>
          <w:ilvl w:val="3"/>
          <w:numId w:val="1"/>
        </w:numPr>
        <w:rPr/>
      </w:pPr>
      <w:bookmarkStart w:id="437" w:name="__RefHeading___Toc78916_3244359995"/>
      <w:bookmarkStart w:id="438" w:name="_Toc166"/>
      <w:bookmarkEnd w:id="437"/>
      <w:r>
        <w:rPr>
          <w:rtl w:val="true"/>
        </w:rPr>
        <w:t>رابطه‌ی بین اقرار و ثبوت قذف</w:t>
      </w:r>
      <w:bookmarkEnd w:id="438"/>
    </w:p>
    <w:p>
      <w:pPr>
        <w:pStyle w:val="Heading5"/>
        <w:numPr>
          <w:ilvl w:val="4"/>
          <w:numId w:val="1"/>
        </w:numPr>
        <w:rPr/>
      </w:pPr>
      <w:bookmarkStart w:id="439" w:name="__RefHeading___Toc78918_3244359995"/>
      <w:bookmarkStart w:id="440" w:name="_Toc167"/>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اقرار کند با فلان زن عفیف زنا کردم؛ و بیش از این مقدار حرف نزند، در صورتی که این اقرار یک مرتبه باشد، با آن زنای موجب حدّ ثابت نمی‌شود؛ مگر این‌که آن را چهار مرتبه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اقرارش حدّ قذف مترتّب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قذف تردّد است، اشبه عدم ثبوت قذف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فرع اوّل بحثی نداریم؛ زیرا، از مسائل گذشته حکم آن معلوم است و ما در این‌جا به فرع دوم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ابتدا تردید کرده و سپس، عدم ثبوت حدّ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رحمه الله</w:t>
      </w:r>
      <w:r>
        <w:rPr>
          <w:rStyle w:val="FootnoteAnchor"/>
          <w:rtl w:val="true"/>
        </w:rPr>
        <w:footnoteReference w:id="439"/>
      </w:r>
      <w:r>
        <w:rPr>
          <w:rFonts w:ascii="IRNazanin" w:hAnsi="IRNazanin" w:eastAsia="IRNazanin"/>
          <w:color w:val="111111"/>
          <w:sz w:val="28"/>
          <w:sz w:val="28"/>
          <w:szCs w:val="28"/>
          <w:rtl w:val="true"/>
          <w:lang w:bidi="fa-IR"/>
        </w:rPr>
        <w:t>مسأله را در تردید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تردیدها استفاده می‌شود مسأله دارای دو احتمال است</w:t>
      </w:r>
      <w:r>
        <w:rPr>
          <w:rFonts w:eastAsia="IRNazanin" w:cs="IRNazanin"/>
          <w:color w:val="111111"/>
          <w:sz w:val="28"/>
          <w:szCs w:val="28"/>
          <w:rtl w:val="true"/>
          <w:lang w:bidi="fa-IR"/>
        </w:rPr>
        <w:t>.</w:t>
      </w:r>
    </w:p>
    <w:p>
      <w:pPr>
        <w:pStyle w:val="Heading5"/>
        <w:numPr>
          <w:ilvl w:val="4"/>
          <w:numId w:val="1"/>
        </w:numPr>
        <w:rPr/>
      </w:pPr>
      <w:bookmarkStart w:id="441" w:name="__RefHeading___Toc78920_3244359995"/>
      <w:bookmarkStart w:id="442" w:name="_Toc168"/>
      <w:bookmarkEnd w:id="441"/>
      <w:r>
        <w:rPr>
          <w:rtl w:val="true"/>
        </w:rPr>
        <w:t>الف</w:t>
      </w:r>
      <w:r>
        <w:rPr>
          <w:rtl w:val="true"/>
        </w:rPr>
        <w:t xml:space="preserve">: </w:t>
      </w:r>
      <w:r>
        <w:rPr>
          <w:rtl w:val="true"/>
        </w:rPr>
        <w:t>دلیل ثبوت قذف</w:t>
      </w:r>
      <w:bookmarkEnd w:id="442"/>
    </w:p>
    <w:p>
      <w:pPr>
        <w:pStyle w:val="BookText"/>
        <w:rPr/>
      </w:pPr>
      <w:r>
        <w:rPr>
          <w:rFonts w:ascii="IRNazanin" w:hAnsi="IRNazanin" w:eastAsia="IRNazanin"/>
          <w:color w:val="111111"/>
          <w:sz w:val="28"/>
          <w:sz w:val="28"/>
          <w:szCs w:val="28"/>
          <w:rtl w:val="true"/>
          <w:lang w:bidi="fa-IR"/>
        </w:rPr>
        <w:t xml:space="preserve">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 بفلانة العفیفة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فلان زن پاکدامن زنا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اقرار به زنا؛ و دیگر، نسبت زنا دادن به آن زن و هتک حرمت و آبروی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این است‌که به مجرّد شنیدن چنین سخنی از مقِرّ، به ذهن خطور می‌کند که آن زن در این جریان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نیز مؤیّد این احتمال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أحمد بن محمّد، عن البرقی عن النوفلی،</w:t>
      </w:r>
      <w:bookmarkStart w:id="443" w:name="pg16919_227028"/>
    </w:p>
    <w:p>
      <w:pPr>
        <w:pStyle w:val="BookText"/>
        <w:rPr/>
      </w:pPr>
      <w:bookmarkEnd w:id="443"/>
      <w:r>
        <w:rPr>
          <w:rFonts w:ascii="IRNazanin" w:hAnsi="IRNazanin" w:eastAsia="IRNazanin"/>
          <w:color w:val="111111"/>
          <w:sz w:val="28"/>
          <w:sz w:val="28"/>
          <w:szCs w:val="28"/>
          <w:rtl w:val="true"/>
          <w:lang w:bidi="fa-IR"/>
        </w:rPr>
        <w:t>عن السکونی،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تسألوا الفاجرة من فجر بک، فکما هان علیها الفجور یهوّن علیها أن ترمی البریء المسلم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مشتمل بر سکونی است؛ سند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پدرش از امیر مؤمنان علیه السلام از رسول خدا صلی الله علیه و آله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که عمل شنیع انجام داده، سؤال نکنید چه کسی با تو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برای چنین فردی که به حیثیّت خودش علاقه ندارد و حاضر نشده با او چنین فجور و کار زشتی انجام دهند، امری عادی و آسان است که به یک مسلمان بی‌گناه تهمت زده، و نسبت زنا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به خوبی استفاده می‌شود که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با من زنا کرده؛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قذف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حدّ قذف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 الفاجرة من فجر بک،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جلدتها حدّین، حدّاً للفجور، وحدّاً لفریتها علی الرجل المسلم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با روایت قبلی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فاجره بپرسم چه کسی با تو زنا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 بر او می‌زنم، یکی به خاطر اعتراف به زنا؛ و دیگری، از جهت نسبت دادن زنا به مرد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بر ثبوت حدّ قذف تمام است</w:t>
      </w:r>
      <w:r>
        <w:rPr>
          <w:rFonts w:eastAsia="IRNazanin" w:cs="IRNazanin"/>
          <w:color w:val="111111"/>
          <w:sz w:val="28"/>
          <w:szCs w:val="28"/>
          <w:rtl w:val="true"/>
          <w:lang w:bidi="fa-IR"/>
        </w:rPr>
        <w:t>.</w:t>
      </w:r>
    </w:p>
    <w:p>
      <w:pPr>
        <w:pStyle w:val="Heading5"/>
        <w:numPr>
          <w:ilvl w:val="4"/>
          <w:numId w:val="1"/>
        </w:numPr>
        <w:rPr/>
      </w:pPr>
      <w:bookmarkStart w:id="444" w:name="__RefHeading___Toc78922_3244359995"/>
      <w:bookmarkStart w:id="445" w:name="_Toc169"/>
      <w:bookmarkEnd w:id="444"/>
      <w:r>
        <w:rPr>
          <w:rtl w:val="true"/>
        </w:rPr>
        <w:t>ب</w:t>
      </w:r>
      <w:r>
        <w:rPr>
          <w:rtl w:val="true"/>
        </w:rPr>
        <w:t xml:space="preserve">: </w:t>
      </w:r>
      <w:r>
        <w:rPr>
          <w:rtl w:val="true"/>
        </w:rPr>
        <w:t>دلیل عدم ثبوت قذف</w:t>
      </w:r>
      <w:bookmarkEnd w:id="44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باب زنا تفکیک امکان دارد، یعنی ممکن است این عمل نسبت به یک طرف زنا باشد و نسبت به طرف دیگر زنا نباشد، پس، نمی‌توان از اقرار زانی که بگوید با فلان شخص زنا کردم، قذف طرف دیگر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عمل از روی اکراه در حقّ</w:t>
      </w:r>
    </w:p>
    <w:p>
      <w:pPr>
        <w:pStyle w:val="BookText"/>
        <w:rPr/>
      </w:pPr>
      <w:r>
        <w:rPr>
          <w:rFonts w:ascii="IRNazanin" w:hAnsi="IRNazanin" w:eastAsia="IRNazanin"/>
          <w:color w:val="111111"/>
          <w:sz w:val="28"/>
          <w:sz w:val="28"/>
          <w:szCs w:val="28"/>
          <w:rtl w:val="true"/>
          <w:lang w:bidi="fa-IR"/>
        </w:rPr>
        <w:t>دیگری واقع شده، و یا برای او وطی به شبهه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نیز گفتیم عملی که از روی اکراه یا وطی به شبهه باشد، زنا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ثبوت قذف به عنوان ظهور عرفی گفته شد، یک ظهور بدوی و ابتدایی است که با تأمّل و دقّت همراه نیست؛ امّا ظهور تحقیقی عرفی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زن را بردن، اذیّت، آزار و هتک حرمت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همه صحیح است، امّا ثبوت قذف و حدّ آن، مطلب دیگری است که با این اقرار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روایت صحیح و معتبری وجود دارد که شاید به این معنا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بن عیسی، عن ابن محبوب، عن العلاء بن رزین و أبی أیّوب، عن محمّد بن مسلم، عن أبی جعفر علیه السلام فی رجل قال لإمرأته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أنا زنیت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واحد، لقذفه إیّاها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زنیت بک، فلا حدّ فیه، إلّاأن یشهد علی نفسه أربع شهادات بالزنا عند الإمام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درباره‌ی مردی که به زنی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مسأله را قبل از ازدواج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قذف آن زن یک حدّ بخورد، امّا بر آن‌چه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زنا کردم،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دقّت در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حدّ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نیست؛ خواه به صورت خطاب باشد و یا به صورت غایب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زنیت بفلانة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بار علیه خود نزد امام اقرار کرد، در این صورت، حدّ زنا بر او جاری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از این روایت استفاده می‌کنیم، مؤثّر بودن چهار مرتبه اقرار در زنای</w:t>
      </w:r>
      <w:bookmarkStart w:id="446" w:name="pg16919_227030"/>
    </w:p>
    <w:p>
      <w:pPr>
        <w:pStyle w:val="BookText"/>
        <w:rPr/>
      </w:pPr>
      <w:bookmarkEnd w:id="446"/>
      <w:r>
        <w:rPr>
          <w:rFonts w:ascii="IRNazanin" w:hAnsi="IRNazanin" w:eastAsia="IRNazanin"/>
          <w:color w:val="111111"/>
          <w:sz w:val="28"/>
          <w:sz w:val="28"/>
          <w:szCs w:val="28"/>
          <w:rtl w:val="true"/>
          <w:lang w:bidi="fa-IR"/>
        </w:rPr>
        <w:t>محصنه و غیر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گذشته بر این مطلب اقامه کردیم، درباره‌ی رجم و زنای محصنه بود، ولی این روایت مطلق است و اطلاقش هر دو نوع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 سکونی،</w:t>
      </w:r>
      <w:r>
        <w:rPr>
          <w:rStyle w:val="FootnoteAnchor"/>
          <w:rtl w:val="true"/>
        </w:rPr>
        <w:footnoteReference w:id="443"/>
      </w:r>
      <w:r>
        <w:rPr>
          <w:rFonts w:ascii="IRNazanin" w:hAnsi="IRNazanin" w:eastAsia="IRNazanin"/>
          <w:color w:val="111111"/>
          <w:sz w:val="28"/>
          <w:sz w:val="28"/>
          <w:szCs w:val="28"/>
          <w:rtl w:val="true"/>
          <w:lang w:bidi="fa-IR"/>
        </w:rPr>
        <w:t>نکته‌ای وجود دارد که نمی‌تواند به بحث ما مربوط شود؛ زیرا، در آن‌ها تحقّق زنا در هر دو طرف فرض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 الفاجرة من فجر 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فاجره پرسیدی چه کسی با تو زنا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زنای فاعل و فاجره مسلّم گرفته شده، در حالی‌که بحث ما مربوط به جایی است که ثبوت زنا مسلّم نیست؛ لذا، مورد و موضوع روایت با مورد مسأله و موضوع مسأله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رحمه الله روی قواعدی که داریم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زنیت بفلانة وهی زانیة بزنائی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و موضوعِ آن دو روایت است و حدّ قذف مترتّب می‌شود</w:t>
      </w:r>
      <w:r>
        <w:rPr>
          <w:rFonts w:eastAsia="IRNazanin" w:cs="IRNazanin"/>
          <w:color w:val="111111"/>
          <w:sz w:val="28"/>
          <w:szCs w:val="28"/>
          <w:rtl w:val="true"/>
          <w:lang w:bidi="fa-IR"/>
        </w:rPr>
        <w:t>.</w:t>
      </w:r>
    </w:p>
    <w:p>
      <w:pPr>
        <w:pStyle w:val="Heading5"/>
        <w:numPr>
          <w:ilvl w:val="4"/>
          <w:numId w:val="1"/>
        </w:numPr>
        <w:rPr/>
      </w:pPr>
      <w:bookmarkStart w:id="447" w:name="__RefHeading___Toc78924_3244359995"/>
      <w:bookmarkStart w:id="448" w:name="_Toc170"/>
      <w:bookmarkEnd w:id="447"/>
      <w:r>
        <w:rPr>
          <w:rtl w:val="true"/>
        </w:rPr>
        <w:t>بیان شهید ثانی رحمه الله در اثبات قذف</w:t>
      </w:r>
      <w:bookmarkEnd w:id="448"/>
    </w:p>
    <w:p>
      <w:pPr>
        <w:pStyle w:val="BookText"/>
        <w:rPr/>
      </w:pPr>
      <w:r>
        <w:rPr>
          <w:rFonts w:ascii="IRNazanin" w:hAnsi="IRNazanin" w:eastAsia="IRNazanin"/>
          <w:color w:val="111111"/>
          <w:sz w:val="28"/>
          <w:sz w:val="28"/>
          <w:szCs w:val="28"/>
          <w:rtl w:val="true"/>
          <w:lang w:bidi="fa-IR"/>
        </w:rPr>
        <w:t xml:space="preserve">شهید ثانی رحمه الله درباره‌ی فرع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زنیت بفلانة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گوینده رمی به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این‌که از طرف مقِرّ زنا بوده ولی نسبت به طرف دیگر، وطی به شبهه یا اکراه و یا موانع دیگرِ تحقّق زنا باشد، اصل، عدم اکراه، عدم شبهه و عدم موانع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ظهور کلام اخذ کرده و به حدّ قذف حکم داد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در نقد سخن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بدوی این کلام در قذف قبول را داریم، لیکن این ظهور ملاک ثبوت قذف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 عرف ملاک است، امّا نظر ابتدایی آن فایده ندارد؛ بلکه نظر تحقیقی و ظهور تحقیقی مؤثر است و با جاری کردن اصل عدم اشتباه و مانند آن، موضوع قذف را نمی‌توان اثبات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اوّل ظاهراً حدّی ثابت نیست، ولی در فرع دوم که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زانیة بزنائی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قذف مترتّب می‌شود</w:t>
      </w:r>
      <w:r>
        <w:rPr>
          <w:rFonts w:eastAsia="IRNazanin" w:cs="IRNazanin"/>
          <w:color w:val="111111"/>
          <w:sz w:val="28"/>
          <w:szCs w:val="28"/>
          <w:rtl w:val="true"/>
          <w:lang w:bidi="fa-IR"/>
        </w:rPr>
        <w:t>.</w:t>
      </w:r>
      <w:bookmarkStart w:id="449" w:name="pg16919_227031"/>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الإقرار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أقرّ علی نفسه بما یوجب الحدّ ولم یعیّن، لا یکلّف بالبیان، بل یجلد حتّی یکون هو الّذی ینهی عن نفسه، به وردت روایة صحیحة ولا بأس بالعمل بها وقیّده قوم بأن لا یزید علی المأة وبعض بأن لا ینقص عن ثمانین</w:t>
      </w:r>
      <w:r>
        <w:rPr>
          <w:rFonts w:eastAsia="IRNazanin" w:cs="IRNazanin"/>
          <w:color w:val="111111"/>
          <w:sz w:val="28"/>
          <w:szCs w:val="28"/>
          <w:rtl w:val="true"/>
          <w:lang w:bidi="fa-IR"/>
        </w:rPr>
        <w:t>.</w:t>
      </w:r>
    </w:p>
    <w:p>
      <w:pPr>
        <w:pStyle w:val="Heading4"/>
        <w:numPr>
          <w:ilvl w:val="3"/>
          <w:numId w:val="1"/>
        </w:numPr>
        <w:rPr/>
      </w:pPr>
      <w:bookmarkStart w:id="450" w:name="__RefHeading___Toc78926_3244359995"/>
      <w:bookmarkStart w:id="451" w:name="_Toc171"/>
      <w:bookmarkEnd w:id="450"/>
      <w:r>
        <w:rPr>
          <w:rtl w:val="true"/>
        </w:rPr>
        <w:t>حکم اقرار به حدّ</w:t>
      </w:r>
      <w:bookmarkEnd w:id="451"/>
    </w:p>
    <w:p>
      <w:pPr>
        <w:pStyle w:val="Heading5"/>
        <w:numPr>
          <w:ilvl w:val="4"/>
          <w:numId w:val="1"/>
        </w:numPr>
        <w:rPr/>
      </w:pPr>
      <w:bookmarkStart w:id="452" w:name="__RefHeading___Toc78928_3244359995"/>
      <w:bookmarkStart w:id="453" w:name="_Toc172"/>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اگر کسی علیه خودش به حدّی اقرار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فقهای دیگر، مانند محقّق رحمه الله 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بحدّ</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دو تعبیر با دقّت روشن است؛ یک وقت کسی اقرار می‌کند حدّی از حدود الهی بر گردن من است و باید حدّ بخورم، لیکن تعیین نمی‌کند که حدّ زنا است، یا حدّ قذف، یا حدّ شرب مسکر و یا حدّ لواط، زنای احصانی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اسباب و موجبات حدّ اقرار نکرده است، بلکه اگر به فرض، حدّی را که اقرار می‌کند، زنا بوده، این حدّ از راه خودش ثابت شده است؛ اگر حدّ لواط بوده نیز از راه خودش اثبات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ثابت می‌شود و یک‌بار اقرار کافی است؛ هر چند برای ثبوت اصل حدّ، چهار بار اقرار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شخصی به چیزی که موجب حدّ است، اقرار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لواط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اقرار به طور کلّی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دیگران بهتر از تعبیر تحریر الوسیله است؛ زیرا، بحث دربارۀ اقرار به حدّ است و نه اقرار به موجب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موضوع مسأله،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را تکلیف نمی‌کنند که حدّ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به عهده‌ی من است؛ حاکم چه کار دارد که این حدّ چیست، در کجا و به چه طریقی ثابت شده 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اقرار کند که صد تازیانه به عنوان حدّ زنا بر عهده‌ی من است، به مقتضای این اقرار، به او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حدّ را مبهم بگذارد، در حقیقت او به یک حقّ الهی اقرار کرده، ولی نوع آن را معیّن نکرده است، آیا باید از او توضیح بخواهیم تا آن‌را معیّن</w:t>
      </w:r>
      <w:bookmarkStart w:id="454" w:name="pg16919_227032"/>
    </w:p>
    <w:p>
      <w:pPr>
        <w:pStyle w:val="BookText"/>
        <w:rPr/>
      </w:pPr>
      <w:bookmarkEnd w:id="454"/>
      <w:r>
        <w:rPr>
          <w:rFonts w:ascii="IRNazanin" w:hAnsi="IRNazanin" w:eastAsia="IRNazanin"/>
          <w:color w:val="111111"/>
          <w:sz w:val="28"/>
          <w:sz w:val="28"/>
          <w:szCs w:val="28"/>
          <w:rtl w:val="true"/>
          <w:lang w:bidi="fa-IR"/>
        </w:rPr>
        <w:t>کند؟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نه تنها این فرد را به توضیح دادن تکلیف نکرده، بلکه او را رها می‌سازند؛ مثل این‌که اقراری از او سر نزده است</w:t>
      </w:r>
      <w:r>
        <w:rPr>
          <w:rFonts w:eastAsia="IRNazanin" w:cs="IRNazanin"/>
          <w:color w:val="111111"/>
          <w:sz w:val="28"/>
          <w:szCs w:val="28"/>
          <w:rtl w:val="true"/>
          <w:lang w:bidi="fa-IR"/>
        </w:rPr>
        <w:t>.</w:t>
      </w:r>
    </w:p>
    <w:p>
      <w:pPr>
        <w:pStyle w:val="Heading5"/>
        <w:numPr>
          <w:ilvl w:val="4"/>
          <w:numId w:val="1"/>
        </w:numPr>
        <w:rPr/>
      </w:pPr>
      <w:bookmarkStart w:id="455" w:name="__RefHeading___Toc78930_3244359995"/>
      <w:bookmarkStart w:id="456" w:name="_Toc173"/>
      <w:bookmarkEnd w:id="455"/>
      <w:r>
        <w:rPr>
          <w:rtl w:val="true"/>
        </w:rPr>
        <w:t>ادلّه‌ی احتمال اوّل</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داریم چنین اقرار مجمل و مبهمی تکلیف آور است و یا وجودش کالعدم است؟ در این حالت به اصل چنگ می‌زنیم؛ قبل از آن‌که اقرار کند، حدّی ثابت نبود، با این قرار اجمالی آیا حدّی می‌آید یا نه؟ اصل عدم ثبوت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اقتضا دارد در هر موردی که راه فراری از اجرای حدّ در پیش بود، باید آن را گرفت و مانع اجرای 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تخلّصی باید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از روایت ماعز بن مالک</w:t>
      </w:r>
      <w:r>
        <w:rPr>
          <w:rStyle w:val="FootnoteAnchor"/>
          <w:rtl w:val="true"/>
        </w:rPr>
        <w:footnoteReference w:id="447"/>
      </w:r>
      <w:r>
        <w:rPr>
          <w:rFonts w:ascii="IRNazanin" w:hAnsi="IRNazanin" w:eastAsia="IRNazanin"/>
          <w:color w:val="111111"/>
          <w:sz w:val="28"/>
          <w:sz w:val="28"/>
          <w:szCs w:val="28"/>
          <w:rtl w:val="true"/>
          <w:lang w:bidi="fa-IR"/>
        </w:rPr>
        <w:t>نیز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وقتی نزد پیامبر صلی الله علیه و آله رسید و اقرار کرد، پیامبر مرتّب او را به تردید می‌انداخت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می‌کنی، شاید او را بوسیده‌ای، یا مسأله مضاجعت در کار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نیز پی در پی اصرار داشت عمل زنا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کلام، پیامبر صلی الله علیه و آله در صدد بودند کاری کنند چهار مرتبه اقرار محقّق نشود تا موضوع حدّ منتفی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فجاءه رجلٌ فقال یا رسول اللّه إنّی أصبت حدّاً فأقمه علیّ ولم یسمّه، فحضرت الصلاة فصلّی النّبی صلی الله علیه و آله، فقام إلیه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أصبت حدّاً فأقم فی حدّ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صلّیت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فإنّ اللّه قد غفر لک ذنبک وحدّک</w:t>
      </w:r>
      <w:r>
        <w:rPr>
          <w:rFonts w:eastAsia="IRNazanin" w:cs="IRNazanin"/>
          <w:color w:val="111111"/>
          <w:sz w:val="28"/>
          <w:szCs w:val="28"/>
          <w:rtl w:val="true"/>
          <w:lang w:bidi="fa-IR"/>
        </w:rPr>
        <w:t>.</w:t>
      </w:r>
      <w:r>
        <w:rPr>
          <w:rStyle w:val="FootnoteAnchor"/>
          <w:rtl w:val="true"/>
        </w:rPr>
        <w:footnoteReference w:id="4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در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 گردن من است، آن را جاری کن؛ امّا آن را معیّن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نماز فرا رسید، پیامبر صلی الله علیه و آله نماز را اقامه کرد؛ آن مرد دوباره از پیامبر صلی الله علیه و آله خواست تا حدّ را بر او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همراه ما نماز نخواندی و در نماز جماعت شرکت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و حدّ تو را عفو کرد 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اقرار اجمالی مفید نیست و پیامبر صلی الله علیه و آله او را مکلّف به توضیح و تعیین نوع حدّ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هذه القاذورات شیئاً فستر ستره اللّه، وأنّ من بدا صفحته أقمنا علیه الحدّ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کثافت کاری کرده، آن را مخفی کند به گونه‌ای که کسی غیر از خودش و خدا نفهمد، خدا نیز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مطلب را علنی و آشکار ساخت، بر او حدّ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 باید به این قسمت از حدیث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فستر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اقرار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محمّد بن خالد، رفعه عن أمیر المؤمنین علیه السلام فی حدیث الزانی الّذی أقرّ أربع مرّات، أنّه قال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 ثمّ غضب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أقبح بالرجل منکم أن یأتی بعض هذه الفواحش فیفضح نفسه علی رؤوس الملأ، أفلا تاب فی بیته، فواللّه لتوبته فی ما بینه وبین اللّه أفضل من إقامتی علیه الحدّ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مردی است که چهار بار نزد امیرمؤمنان علیه السلام به زنا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بازداشت او را داد و سر انجام او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w:t>
      </w:r>
      <w:bookmarkStart w:id="457" w:name="pg16919_227034"/>
    </w:p>
    <w:p>
      <w:pPr>
        <w:pStyle w:val="BookText"/>
        <w:rPr/>
      </w:pPr>
      <w:bookmarkEnd w:id="457"/>
      <w:r>
        <w:rPr>
          <w:rFonts w:ascii="IRNazanin" w:hAnsi="IRNazanin" w:eastAsia="IRNazanin"/>
          <w:color w:val="111111"/>
          <w:sz w:val="28"/>
          <w:sz w:val="28"/>
          <w:szCs w:val="28"/>
          <w:rtl w:val="true"/>
          <w:lang w:bidi="fa-IR"/>
        </w:rPr>
        <w:t>روایت، چند جمله‌ی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افرادی که عمل زشتی را مرتکب شده و با اقرار کردن به آن خود را گرفتار عذاب الهی و مجازات می‌کنند؛ آنان فکر می‌کنند اگر این راه را طی کنند و حدّ بر ایشان جاری شود، بهتر تطهیر شده‌اند؛ در صورتی که اگر بین خود و خدا توبه کنند و واقعاً پشیمان شوند، ارزش این توبه نزد خداوند بیش‌تر از اقرار کردن و اجرای حدّ در 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امام علیه السلام استفاده می‌شود تا صورت امکان باید حدّ پیاده نشود</w:t>
      </w:r>
      <w:r>
        <w:rPr>
          <w:rFonts w:eastAsia="IRNazanin" w:cs="IRNazanin"/>
          <w:color w:val="111111"/>
          <w:sz w:val="28"/>
          <w:szCs w:val="28"/>
          <w:rtl w:val="true"/>
          <w:lang w:bidi="fa-IR"/>
        </w:rPr>
        <w:t>.</w:t>
      </w:r>
    </w:p>
    <w:p>
      <w:pPr>
        <w:pStyle w:val="Heading5"/>
        <w:numPr>
          <w:ilvl w:val="4"/>
          <w:numId w:val="1"/>
        </w:numPr>
        <w:rPr/>
      </w:pPr>
      <w:bookmarkStart w:id="458" w:name="__RefHeading___Toc78932_3244359995"/>
      <w:bookmarkStart w:id="459" w:name="_Toc174"/>
      <w:bookmarkEnd w:id="458"/>
      <w:r>
        <w:rPr>
          <w:rtl w:val="true"/>
        </w:rPr>
        <w:t>نقد ادلّه‌ی احتمال اوّل</w:t>
      </w:r>
      <w:bookmarkEnd w:id="459"/>
    </w:p>
    <w:p>
      <w:pPr>
        <w:pStyle w:val="BookText"/>
        <w:rPr/>
      </w:pPr>
      <w:r>
        <w:rPr>
          <w:rFonts w:ascii="IRNazanin" w:hAnsi="IRNazanin" w:eastAsia="IRNazanin"/>
          <w:color w:val="111111"/>
          <w:sz w:val="28"/>
          <w:sz w:val="28"/>
          <w:szCs w:val="28"/>
          <w:rtl w:val="true"/>
          <w:lang w:bidi="fa-IR"/>
        </w:rPr>
        <w:t>این ادلّه‌ی شش گانه نمی‌تواند مطلوب و احتمال اوّل را ثابت کند؛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در صورتی جایز است که دلیلی بر مقام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وادلّه‌ی نفوذ اقرار، مجالی برای جریان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اقرار می‌کند حدّی با مقدّمات ثابت شده بر عهده‌ی من است؛ در این حال، شبهه‌ای نداریم تا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ساقط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خواستن از کسی که به حدّی اقرار می‌کند، چه ربطی به این قاعده دارد؟ به ویژه با توجّه به روایاتی که در باب اوّل حدود رسیده، و مفاد آن‌ها، اجرای حدود بدون هیچ مسامحه کاری است؛ تأخیر و تعطیل حدود برای هیچ فردی جایز نیست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مفروض مسأله نیز این است که فردی به حدّی اقرار کرده است؛ بنابراین، باید آن حدّ اجرا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ماعز بن مالک نیز به بحث ما ربطی ندارد؛ زیرا، نباید بین باب کیفیّت ثبوت حدّ و اقرار به حدّ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ماعز، پیامبر صلی الله علیه و آله می‌خواستند مانع ثبوت زنا به اقرار 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ثبوت و عدم ثبوت حدّ بود؛ امّا در این فرع، سخن درباره‌ی حدّی است که به طریق شرعی ثابت شده است و این شخص به آن اقرار کرده،</w:t>
      </w:r>
      <w:bookmarkStart w:id="460" w:name="pg16919_227035"/>
    </w:p>
    <w:p>
      <w:pPr>
        <w:pStyle w:val="BookText"/>
        <w:rPr/>
      </w:pPr>
      <w:bookmarkEnd w:id="46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زنیت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انس بن مالک، هرچند دلالت بر مطلوب دارد، امّا از نظر سند ضعیف و بی‌اعتبار بوده و از طرق شیعه نیز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بیهقی، چرا اقرار اجمالی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فستر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می‌کنید؟ چرا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بدا صفحته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این فرد با اقرار اجمالی خود، پرده را کنار زده، لیکن نوع حدّ را به تمام معنا روشن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احتمال درباره‌ی این فرد وسیع‌تر از شخصی است که اقرار به زنا می‌کند؛ زیرا، احتمال می‌رود حدّ سنگین‌تری همانند لواط بر عهده‌ی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امیرمؤمنان علیه السلام نیز به بحث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اقرار می‌کنند و از راه توبه استفاده نمی‌کنند، با آن‌که ارزش توبه بیش از اقرار و اجرای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بحث ما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توبه بالاتر از ارزش چهار مرتبه اقرار شد، از کجا این مطلب دلیلِ بر نادیده گرفتن اقرار به حدّ می‌شود؟</w:t>
      </w:r>
    </w:p>
    <w:p>
      <w:pPr>
        <w:pStyle w:val="Heading5"/>
        <w:numPr>
          <w:ilvl w:val="4"/>
          <w:numId w:val="1"/>
        </w:numPr>
        <w:rPr/>
      </w:pPr>
      <w:bookmarkStart w:id="461" w:name="__RefHeading___Toc78934_3244359995"/>
      <w:bookmarkStart w:id="462" w:name="_Toc175"/>
      <w:bookmarkEnd w:id="461"/>
      <w:r>
        <w:rPr>
          <w:rtl w:val="true"/>
        </w:rPr>
        <w:t>بیان مقتضای قاعده</w:t>
      </w:r>
      <w:bookmarkEnd w:id="462"/>
    </w:p>
    <w:p>
      <w:pPr>
        <w:pStyle w:val="BookText"/>
        <w:rPr/>
      </w:pPr>
      <w:r>
        <w:rPr>
          <w:rFonts w:ascii="IRNazanin" w:hAnsi="IRNazanin" w:eastAsia="IRNazanin"/>
          <w:color w:val="111111"/>
          <w:sz w:val="28"/>
          <w:sz w:val="28"/>
          <w:szCs w:val="28"/>
          <w:rtl w:val="true"/>
          <w:lang w:bidi="fa-IR"/>
        </w:rPr>
        <w:t>اگر بخواهیم بر طبق قواعد مشی کنیم، قاعده اقتضا دارد کسی که به حدّی اقرار می‌کند، باید وادار به توضیح شود تا آن را معیّن کند؛ همان‌گونه که اگر به حقّی به نفع مردم اقرار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می‌خواهند تا آن را مشخّص کند، و به همان مقدار، از او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مُقِرّ مکلّف به بیان است؛ زیرا، نباید حدّی از حدود الهی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 شرع وظیفه دارد از او توضیح بخواهد و بر مقِرّ نیز واجب است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این‌جا روایتی وجود دارد که باید بررسی شود، آیا بر خلاف قاعده است یا 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عدّة من أصحابنا، عن سهل بن زیاد وعن علیّ بن إبراهیم، عن أبیه جمیعاً، عن إبن أبی نجران، عن عاصم بن حمید، عن محمّد بن قیس، عن أبی جعفر عن أمیر المؤمنین علیه السلام فی رجل أقرّ علی نفسه بحدّ</w:t>
      </w:r>
    </w:p>
    <w:p>
      <w:pPr>
        <w:pStyle w:val="BookText"/>
        <w:rPr/>
      </w:pPr>
      <w:r>
        <w:rPr>
          <w:rFonts w:ascii="Amiri" w:hAnsi="Amiri" w:eastAsia="Amiri" w:cs="Amiri"/>
          <w:color w:val="111111"/>
          <w:sz w:val="28"/>
          <w:sz w:val="28"/>
          <w:szCs w:val="28"/>
          <w:rtl w:val="true"/>
          <w:lang w:bidi="ar-SA"/>
        </w:rPr>
        <w:t>ولم یسمّ أیّ حدّ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یجلد حتّی یکون هو الّذی ینهی عن نفسه فی الحدّ</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طریق این روایت منتهی به محمّد بن قیس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اسم برای دو راوی از امام باقر علیه السلام است که یکی ثقه بوده و دیگری توثیق ندارد؛ از این‌رو، نمی‌دانیم روایت را کدام یک از این دو نفر نقل کرده، پس در حقّ ما حجّت نیست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در پاسخ از اشکال اوّل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سازی محمّد بن قیس ثقه از غیر ثقه با شواهد و قرائن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شواهد، روایت عاصم بن حمید از محمّد بن قیس ثقه است؛ زیرا، او از مشایخ عاصم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راحل رحمه الله از روایت به صحیحه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سهل بن زیاد نیز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طریق واقع شده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فی سهل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نباید وجود سهل بن زیاد را سبب ضعف روایت دانست، و نسبت به او باید به آسانی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امیرمؤمنان علیه السلام به حدّی اقرار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او به زنا نبوده، بلکه به حدّی که از طریق شرعی ثابت شده، اقرار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را نام نبرد که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تازیانه بزنید تا آن‌گاه که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دست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 عدم لزوم توضیح از مقِرّ و عدم اجبار او به بیان موجِب حدّ و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متضمّن حکمی بر خلاف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دلالت داشت بر این که حاکم شرع باید با تهدید و مانند آن، او را به توضیح و بیان مجبور کند؛ لذا، با وجود این روایت صحیحه، نمی‌توان به مقتضای قاعده عمل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شهید ثانی رحمه الله در نقد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 کتاب مسالک، علاوه بر اشکال</w:t>
      </w:r>
      <w:bookmarkStart w:id="463" w:name="pg16919_227037"/>
    </w:p>
    <w:p>
      <w:pPr>
        <w:pStyle w:val="BookText"/>
        <w:rPr/>
      </w:pPr>
      <w:bookmarkEnd w:id="463"/>
      <w:r>
        <w:rPr>
          <w:rFonts w:ascii="IRNazanin" w:hAnsi="IRNazanin" w:eastAsia="IRNazanin"/>
          <w:color w:val="111111"/>
          <w:sz w:val="28"/>
          <w:sz w:val="28"/>
          <w:szCs w:val="28"/>
          <w:rtl w:val="true"/>
          <w:lang w:bidi="fa-IR"/>
        </w:rPr>
        <w:t>در سند روایت که پاسخش گذشت، چند نقد 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حدّ اقسامی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سنگسار کردن، قتل به وسیله‌ی شمشیر، سوزاندن با آتش، پرتاب کردن از بلندی در حدّ لواط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شخصی که اقرار می‌کند حدّی به گردن من هست، چرا فقط تازیانه زده شود، با آن‌که احتمال حدود دیگر منتفی نیست؟</w:t>
      </w:r>
    </w:p>
    <w:p>
      <w:pPr>
        <w:pStyle w:val="BookText"/>
        <w:rPr/>
      </w:pPr>
      <w:r>
        <w:rPr>
          <w:rFonts w:ascii="IRNazanin" w:hAnsi="IRNazanin" w:eastAsia="IRNazanin"/>
          <w:color w:val="111111"/>
          <w:sz w:val="28"/>
          <w:sz w:val="28"/>
          <w:szCs w:val="28"/>
          <w:rtl w:val="true"/>
          <w:lang w:bidi="fa-IR"/>
        </w:rPr>
        <w:t>تازیانه چه خصوصیّتی دارد؟ او که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حدّ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حدّی که چنین دامنه‌ی وسیعی دارد را فقط در مورد تازیانه پیاده می‌کنید؟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اثبات حدود متفاوت است؛ پاره‌ای از آن‌ها همانند زنای غیر محصنه با چهار مرتبه و برخی با دو مرتبه اقرار و بعضی نیز با یک اقرار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مطلب، چگونه می‌توان با یک اقرار، حدّ را ثابت و اجرا کرد؛ در حالی‌که اجرای صد تازیانه بر چهار اقرار، و ضرب هشتاد تازیانه بر دو اقرار متوقّف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مراد مقِرّ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باشد، مقدار تعزیر به نظر حاکم بستگی دارد و مقِرّ در تعین آن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آن‌چه در این روایت آمده که او را می‌زنند تا زمانی که از زدن نهی کند، مباینت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میان حدود، حدّی نداریم که مقدار آن مشخّص نشده باشد و با پنج یا ده تازیانه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با روایت انس بن مالک</w:t>
      </w:r>
      <w:r>
        <w:rPr>
          <w:rStyle w:val="FootnoteAnchor"/>
          <w:rtl w:val="true"/>
        </w:rPr>
        <w:footnoteReference w:id="455"/>
      </w:r>
      <w:r>
        <w:rPr>
          <w:rFonts w:ascii="IRNazanin" w:hAnsi="IRNazanin" w:eastAsia="IRNazanin"/>
          <w:color w:val="111111"/>
          <w:sz w:val="28"/>
          <w:sz w:val="28"/>
          <w:szCs w:val="28"/>
          <w:rtl w:val="true"/>
          <w:lang w:bidi="fa-IR"/>
        </w:rPr>
        <w:t>معارضه دارد، و بر آن ترجیحی ندارد؛ در حالی‌که مفاد روایت انس، عدم ثبوت حدّ با اقرار اجمالی است؛ اگر حدّ با آن ثابت می‌شد، پیامبر صلی الله علیه و آله آن را تأخیر نمی‌انداخت</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464" w:name="__RefHeading___Toc78936_3244359995"/>
      <w:bookmarkStart w:id="465" w:name="_Toc176"/>
      <w:bookmarkEnd w:id="464"/>
      <w:r>
        <w:rPr>
          <w:rtl w:val="true"/>
        </w:rPr>
        <w:t>نقد نظر شهید ثانی رحمه الله</w:t>
      </w:r>
      <w:bookmarkEnd w:id="46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موردی که اقرار به موجب حدّ باشد با موردی که اقرار به خود حدّ است، خلط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جایی است که فردی اقرار می‌کند حدّی با موازین خودش به گردن من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 به تکرار اقرار نیست؛ هر چند موجِب حدّ</w:t>
      </w:r>
    </w:p>
    <w:p>
      <w:pPr>
        <w:pStyle w:val="BookText"/>
        <w:rPr/>
      </w:pPr>
      <w:r>
        <w:rPr>
          <w:rFonts w:ascii="IRNazanin" w:hAnsi="IRNazanin" w:eastAsia="IRNazanin"/>
          <w:color w:val="111111"/>
          <w:sz w:val="28"/>
          <w:sz w:val="28"/>
          <w:szCs w:val="28"/>
          <w:rtl w:val="true"/>
          <w:lang w:bidi="fa-IR"/>
        </w:rPr>
        <w:t>به یک اقرار ثابت نشود، امّا در حدّ آن یک اقرار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چه حقّی دست از ظهور این کلام برداریم و آن را بر تعزیر حمل کرده، و پس از آن، اشکال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تعزیر به دست حاکم است؟ هر چند استعمال حدّ در معنای تعزیر جایز است، امّا نیاز به قرینه و شاهد است، که در این مقام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انس بن مالک در صحیح بخاری</w:t>
      </w:r>
      <w:r>
        <w:rPr>
          <w:rStyle w:val="FootnoteAnchor"/>
          <w:rtl w:val="true"/>
        </w:rPr>
        <w:footnoteReference w:id="457"/>
      </w:r>
      <w:r>
        <w:rPr>
          <w:rFonts w:ascii="IRNazanin" w:hAnsi="IRNazanin" w:eastAsia="IRNazanin"/>
          <w:color w:val="111111"/>
          <w:sz w:val="28"/>
          <w:sz w:val="28"/>
          <w:szCs w:val="28"/>
          <w:rtl w:val="true"/>
          <w:lang w:bidi="fa-IR"/>
        </w:rPr>
        <w:t>نقل شده است و در کتاب‌های روایی شیعه اثری از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روایتی با این خصوصیّات، می‌تواند در برابر روایت صحیحه‌ی محمّد بن قیس ایستاده و با آن معارضه کند؟ روایت انس بن مالک اگر معارض هم نداشت، حجّت نبود تا به آن عمل شود؛ تا چه رسد به معارضه کردن با روایت صحیح السند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دیگر شهید ثانی رحمه الله با فرض قطع نظر ایشان از سند روایت بود، یعنی فرض را بر صحّت سند آن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ایشان سؤال می‌شود آیا پذیرفتن یک روایت صحیحه مشروط به تطبیق آن با قواعد است، یا باید بدون تأمّل آن را پذیرفت؟</w:t>
      </w:r>
    </w:p>
    <w:p>
      <w:pPr>
        <w:pStyle w:val="BookText"/>
        <w:rPr/>
      </w:pPr>
      <w:r>
        <w:rPr>
          <w:rFonts w:ascii="IRNazanin" w:hAnsi="IRNazanin" w:eastAsia="IRNazanin"/>
          <w:color w:val="111111"/>
          <w:sz w:val="28"/>
          <w:sz w:val="28"/>
          <w:szCs w:val="28"/>
          <w:rtl w:val="true"/>
          <w:lang w:bidi="fa-IR"/>
        </w:rPr>
        <w:t>اگر قرار است مقتضای قواعد را پیاده کنیم، باید به مجرّد چنین اقراری، شخص را مجبور به پاسخ دادن کرد؛ هر چند مستلزم بازداشت و حبس او شود؛ همان‌گونه که در اقرار به حقوق مردم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است‌که روایت صحیحه، خلاف این مطلب را دلالت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توضیح نخواهید و در عین حال به او تازیانه بزنید تا زمانی که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فرد در تازیانه‌ی دهم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معتبر باشد و مشهور از آن اعراض نکرده باشند، دیگر جای مناقشه و اشکال نیست؛ بلکه باید آن را پذیرفت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قیس از نظر سند اشکال ندارد؛ و از متقدّمان،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قاضی و دیگران تا متأخّران، مثل امام راحل رحمه الله به آن فتوا داده‌اند؛ و عدّه زیادی از فقها به طور کامل مسأله را مطرح نکرده‌اند</w:t>
      </w:r>
      <w:r>
        <w:rPr>
          <w:rFonts w:eastAsia="IRNazanin" w:cs="IRNazanin"/>
          <w:color w:val="111111"/>
          <w:sz w:val="28"/>
          <w:szCs w:val="28"/>
          <w:rtl w:val="true"/>
          <w:lang w:bidi="fa-IR"/>
        </w:rPr>
        <w:t>.</w:t>
      </w:r>
      <w:bookmarkStart w:id="466" w:name="pg16919_227039"/>
    </w:p>
    <w:p>
      <w:pPr>
        <w:pStyle w:val="BookText"/>
        <w:rPr/>
      </w:pPr>
      <w:bookmarkEnd w:id="466"/>
      <w:r>
        <w:rPr>
          <w:rFonts w:ascii="IRNazanin" w:hAnsi="IRNazanin" w:eastAsia="IRNazanin"/>
          <w:color w:val="111111"/>
          <w:sz w:val="28"/>
          <w:sz w:val="28"/>
          <w:szCs w:val="28"/>
          <w:rtl w:val="true"/>
          <w:lang w:bidi="fa-IR"/>
        </w:rPr>
        <w:t>لذا، آن‌چه را شهید اوّل رحمه الله در لمعه و شهید ثانی رحمه الله در شرح آن</w:t>
      </w:r>
      <w:r>
        <w:rPr>
          <w:rStyle w:val="FootnoteAnchor"/>
          <w:rtl w:val="true"/>
        </w:rPr>
        <w:footnoteReference w:id="458"/>
      </w:r>
      <w:r>
        <w:rPr>
          <w:rFonts w:ascii="IRNazanin" w:hAnsi="IRNazanin" w:eastAsia="IRNazanin"/>
          <w:color w:val="111111"/>
          <w:sz w:val="28"/>
          <w:sz w:val="28"/>
          <w:szCs w:val="28"/>
          <w:rtl w:val="true"/>
          <w:lang w:bidi="fa-IR"/>
        </w:rPr>
        <w:t>و فاضل هندی رحمه الله در کشف اللثام</w:t>
      </w:r>
      <w:r>
        <w:rPr>
          <w:rStyle w:val="FootnoteAnchor"/>
          <w:rtl w:val="true"/>
        </w:rPr>
        <w:footnoteReference w:id="459"/>
      </w:r>
      <w:r>
        <w:rPr>
          <w:rFonts w:ascii="IRNazanin" w:hAnsi="IRNazanin" w:eastAsia="IRNazanin"/>
          <w:color w:val="111111"/>
          <w:sz w:val="28"/>
          <w:sz w:val="28"/>
          <w:szCs w:val="28"/>
          <w:rtl w:val="true"/>
          <w:lang w:bidi="fa-IR"/>
        </w:rPr>
        <w:t>در حمل روایت و توضیح کلام اصحاب گفته‌اند،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از یک طرف نخواسته‌اند روایت را کنار بزنند، و از سوی دیگر عمل به آن را سنگین یافته‌اند؛ از 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فتوای اصحاب را حمل می‌کنیم بر این‌که اگر کسی به حدّی اقرار اجمالی کرد، ملاحظه می‌کنیم چند بار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مرتبه بود، آن را به زنا مرتبط می‌کنیم و اگر دو مرتبه بود، آن را به حدّی که دوبار اقرار لازم دارد، حمل کرده؛ و اگر یک مرتبه اقرار کرد، آن‌را به حدّی که یک اقرار در آن کافی است، مرتبط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 این بزرگان، همان اشکالی است که بر ظاهر عبارت تحریر الوسیله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محلّ نزاع را گم کرده‌اند؛ فرد مقِرّ، به زنا اقرار نمی‌کند که چهار مرتبه اقرار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آن است که اگر کسی بخواهد بر زنا شهادت دهد، چهار شاهد عادل لازم است؛ ولی در شهادت بر این‌که چهار شاهد شهادت دادند، بیّنه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نزد حاکم شرع قم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حاکم شرع اصفهان چهار بار اقرار به زنا کردم و او من را به حدّ زنا محکوم کرد، قاضی همین یک اقرار را از او می‌پذیرد، و تعدّد اقرار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نتیجه می‌گیریم اگر سند روایت اشکالی نداشته باشد، تمام این شبهات دور ریخته می‌شود، و باید مطابق آن عمل کرد؛ هر چند خلاف 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مقام، روایت مرسله‌ای وجود دارد که شیخ صدوق رحمه الله در مقنع آورده است، آن را نیز باید بررسی کرد</w:t>
      </w:r>
      <w:r>
        <w:rPr>
          <w:rFonts w:eastAsia="IRNazanin" w:cs="IRNazanin"/>
          <w:color w:val="111111"/>
          <w:sz w:val="28"/>
          <w:szCs w:val="28"/>
          <w:rtl w:val="true"/>
          <w:lang w:bidi="fa-IR"/>
        </w:rPr>
        <w:t>.</w:t>
      </w:r>
    </w:p>
    <w:p>
      <w:pPr>
        <w:pStyle w:val="Heading5"/>
        <w:numPr>
          <w:ilvl w:val="4"/>
          <w:numId w:val="1"/>
        </w:numPr>
        <w:rPr/>
      </w:pPr>
      <w:bookmarkStart w:id="467" w:name="__RefHeading___Toc78938_3244359995"/>
      <w:bookmarkStart w:id="468" w:name="_Toc177"/>
      <w:bookmarkEnd w:id="467"/>
      <w:r>
        <w:rPr>
          <w:rtl w:val="true"/>
        </w:rPr>
        <w:t>روایت صدوق رحمه الله در کتاب مقنع</w:t>
      </w:r>
      <w:bookmarkEnd w:id="46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صدوق در کتاب فقهی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حاجی نوری رحمه الله نیز آن را در کتاب مستدرک الوسائل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أمیر المؤمنین فی رجل أقرّ علی نفسه بحدٍّ ولم یبیّن أیّ حدّ هو، أن یجلد ثمانین فجلد،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اکملتُ جلدَک مائة ما أبغیتُ علیه بیّنةً غیر نفسک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مرسله است؛ امّا شیخ صدوق رحمه الله روایت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به آن حضرت نسبت می‌دهد؛ 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ارسال را می‌توان کنار گذاشت؟ و روایت را به عنوان مرسله بودن از حجّیت انداخت؟</w:t>
      </w:r>
    </w:p>
    <w:p>
      <w:pPr>
        <w:pStyle w:val="BookText"/>
        <w:rPr/>
      </w:pPr>
      <w:r>
        <w:rPr>
          <w:rFonts w:ascii="IRNazanin" w:hAnsi="IRNazanin" w:eastAsia="IRNazanin"/>
          <w:color w:val="111111"/>
          <w:sz w:val="28"/>
          <w:sz w:val="28"/>
          <w:szCs w:val="28"/>
          <w:rtl w:val="true"/>
          <w:lang w:bidi="fa-IR"/>
        </w:rPr>
        <w:t>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صدوق رحمه الله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نمی‌توان گفت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گاه شیخ صدوق رحمه الله روایت را به طور جزم به معصوم اسناد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علاوه بر مقام فقاهت، در علم حدیث متخصّص، و صاحب یکی از چهار کتاب اساسی شیعه در حدیث هست، آیا با چنین اسنادی از او می‌توان روایت را ساقط کرد؟ آیا این‌گونه اسناد دادن در حکم توثیق سند روایت نیست؟</w:t>
      </w:r>
    </w:p>
    <w:p>
      <w:pPr>
        <w:pStyle w:val="BookText"/>
        <w:rPr/>
      </w:pPr>
      <w:r>
        <w:rPr>
          <w:rFonts w:ascii="IRNazanin" w:hAnsi="IRNazanin" w:eastAsia="IRNazanin"/>
          <w:color w:val="111111"/>
          <w:sz w:val="28"/>
          <w:sz w:val="28"/>
          <w:szCs w:val="28"/>
          <w:rtl w:val="true"/>
          <w:lang w:bidi="fa-IR"/>
        </w:rPr>
        <w:t xml:space="preserve">شیخ صدوق رحمه الله هنگام قضاوت امیرمؤمنان علیه السلام حاضر نبوده و با وجود فاصله‌ی بین او و امیرمؤمنان علیه السلام به چند قرن، مطلب را به طور قطع اسناد می‌دهد که به منزله‌ی توثیق جمیع راویان آن واقعه است؛ همان گونه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نمی‌توان همانند صاحب جواهر رحمه الله</w:t>
      </w:r>
      <w:r>
        <w:rPr>
          <w:rStyle w:val="FootnoteAnchor"/>
          <w:rtl w:val="true"/>
        </w:rPr>
        <w:footnoteReference w:id="463"/>
      </w:r>
      <w:r>
        <w:rPr>
          <w:rFonts w:ascii="IRNazanin" w:hAnsi="IRNazanin" w:eastAsia="IRNazanin"/>
          <w:color w:val="111111"/>
          <w:sz w:val="28"/>
          <w:sz w:val="28"/>
          <w:szCs w:val="28"/>
          <w:rtl w:val="true"/>
          <w:lang w:bidi="fa-IR"/>
        </w:rPr>
        <w:t>روایت را به عنوان ارسال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اقرار به حدّی کرده، ولی آن را مشخّص و معیّن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هشتاد تازیانه به او بزنید؛ پس از اجرای 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 تازیانه‌ها را به صد می‌رساندم به مقتضای اقرار تو، به دلیل نیاز نبود؛ اقرارت اقتضای این مطلب را داشت و محتاج به بیّنه نبودیم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دلالت دارد اگر کسی به حدّی اقرار کند، باید هشتاد تازیانه به او زده شود؛ و کمتر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تعداد را به صد تازیانه رسانید، امّا نباید از آن تجاوز کرد</w:t>
      </w:r>
      <w:r>
        <w:rPr>
          <w:rFonts w:eastAsia="IRNazanin" w:cs="IRNazanin"/>
          <w:color w:val="111111"/>
          <w:sz w:val="28"/>
          <w:szCs w:val="28"/>
          <w:rtl w:val="true"/>
          <w:lang w:bidi="fa-IR"/>
        </w:rPr>
        <w:t>.</w:t>
      </w:r>
      <w:bookmarkStart w:id="469" w:name="pg16919_227041"/>
    </w:p>
    <w:p>
      <w:pPr>
        <w:pStyle w:val="Heading5"/>
        <w:numPr>
          <w:ilvl w:val="4"/>
          <w:numId w:val="1"/>
        </w:numPr>
        <w:rPr/>
      </w:pPr>
      <w:bookmarkStart w:id="470" w:name="__RefHeading___Toc78940_3244359995"/>
      <w:bookmarkStart w:id="471" w:name="_Toc178"/>
      <w:bookmarkEnd w:id="469"/>
      <w:bookmarkEnd w:id="470"/>
      <w:r>
        <w:rPr>
          <w:rtl w:val="true"/>
        </w:rPr>
        <w:t>استدلال ابن ادریس رحمه الله و نقد آن</w:t>
      </w:r>
      <w:bookmarkEnd w:id="471"/>
    </w:p>
    <w:p>
      <w:pPr>
        <w:pStyle w:val="BookText"/>
        <w:rPr/>
      </w:pPr>
      <w:r>
        <w:rPr>
          <w:rFonts w:ascii="IRNazanin" w:hAnsi="IRNazanin" w:eastAsia="IRNazanin"/>
          <w:color w:val="111111"/>
          <w:sz w:val="28"/>
          <w:sz w:val="28"/>
          <w:szCs w:val="28"/>
          <w:rtl w:val="true"/>
          <w:lang w:bidi="fa-IR"/>
        </w:rPr>
        <w:t>ابن ادریس رحمه الله</w:t>
      </w:r>
      <w:r>
        <w:rPr>
          <w:rStyle w:val="FootnoteAnchor"/>
          <w:rtl w:val="true"/>
        </w:rPr>
        <w:footnoteReference w:id="464"/>
      </w:r>
      <w:r>
        <w:rPr>
          <w:rFonts w:ascii="IRNazanin" w:hAnsi="IRNazanin" w:eastAsia="IRNazanin"/>
          <w:color w:val="111111"/>
          <w:sz w:val="28"/>
          <w:sz w:val="28"/>
          <w:szCs w:val="28"/>
          <w:rtl w:val="true"/>
          <w:lang w:bidi="fa-IR"/>
        </w:rPr>
        <w:t>به مضمون این روایت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ایشان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اقلّ حدود هشتاد و اکثر آن صد تازیانه است؛ و این فرد نیز به حدّ اقرار کرده است، از این‌رو، نباید از هشتاد کمتر و یا از صد تازیانه بیشتر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را به عنوان مؤیّد دلیل خودش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ادریس رحمه الله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اصول، خبر واحد صحیح را حجّت نمی‌دانید؛ در این‌جا چگونه به مرسله‌ای عمل می‌کنید که بیشتر علما به جرم ارسال آن را کنار زده‌اند؟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w:t>
      </w:r>
      <w:r>
        <w:rPr>
          <w:rStyle w:val="FootnoteAnchor"/>
          <w:rtl w:val="true"/>
        </w:rPr>
        <w:footnoteReference w:id="465"/>
      </w:r>
      <w:r>
        <w:rPr>
          <w:rFonts w:ascii="IRNazanin" w:hAnsi="IRNazanin" w:eastAsia="IRNazanin"/>
          <w:color w:val="111111"/>
          <w:sz w:val="28"/>
          <w:sz w:val="28"/>
          <w:szCs w:val="28"/>
          <w:rtl w:val="true"/>
          <w:lang w:bidi="fa-IR"/>
        </w:rPr>
        <w:t>و صاحب جواهر رحمهما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حدود، هفتاد و پنج تازیانه و مربوط به حدّ قیادت و قوّادی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بین زن و مرد نامحرم برای عمل حرام واسطه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رحمه الله</w:t>
      </w:r>
      <w:r>
        <w:rPr>
          <w:rStyle w:val="FootnoteAnchor"/>
          <w:rtl w:val="true"/>
        </w:rPr>
        <w:footnoteReference w:id="466"/>
      </w:r>
      <w:r>
        <w:rPr>
          <w:rFonts w:ascii="IRNazanin" w:hAnsi="IRNazanin" w:eastAsia="IRNazanin"/>
          <w:color w:val="111111"/>
          <w:sz w:val="28"/>
          <w:sz w:val="28"/>
          <w:szCs w:val="28"/>
          <w:rtl w:val="true"/>
          <w:lang w:bidi="fa-IR"/>
        </w:rPr>
        <w:t>پس از نقل کلام ابن ادریس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کلام ایشان در طرف زیادی، درست و تمام باشد؛ امّا در طرف کمی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مقِرّ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تعزیر کرده باشد؛ و تعزیر به کمتر از هشتاد تازیانه نیز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بر مرحوم محقّق رحمه الله در این مطلبی که فرموده‌اند، دو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هر جا کلمه‌ی حدّ استعمال شود، احتمال تعزیر داده می‌شود؛ لیکن این احتمال، بر خلاف ظاهر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کلمه آن است که در هر موردی که اطلاق می‌شود، همان حدّ شرعی الهی است و اراده‌ی معنای تعزیر از آن خلاف ظاهر و به قرینه نیاز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ما، در اقرار بدون قرینه است که نمی‌توان به مجرّد احتمال، دست از ظهور آن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این‌که مراد مقِرّ از حدّ، تعزیر باشد، تشخیص مقدار آن به عهده‌ی حاکم است و او تا نفهمد چه گناهی از مقِرّ سر زده، نمی‌تواند به کیفری مناسبِ حال مقِرّ حکم دهد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علاوه بر این دو اشکال، به مرحوم محقّق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روایات دیگری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قیس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حتّی ینهی عن نفسه</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در این روایت، حدّی معیّن نشده، و بلکه به عهده‌ی مقِرّ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پنج یا ده تازیانه نهی کرد، دست نگاه می‌داریم؛ و اگر پس از دویست تازیانه هم نهی نکرد، او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حدود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علّت‌های دیگری بر مقدار آن افزوده شود؛ مانند این‌که جنایت در ماه رمضان یا در مسجد الحرام واقع شده باشد، که به واسطه‌ی شرافت مکان یا زمان، مقدار حدّ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قضاوت‌های امیرمؤمنان علیه السلام مشهود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با توجّه به این نکات، چرا مرحوم محقّق در طرف زیاده اشکال نکرده، و ابن ادریس رحمه الله را تصدیق کرده است؟ در حالی که صحیحه‌ی محمّد بن قیس در هیچ یک از جانب قلّت و کثرت مقداری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عمل نمی‌کند؟</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بسیاری از این بزرگان، همانند محقّق و علّامه‌ی حلّی رحمه الله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می‌خواهند بر طبق قاعده عمل کنند؟ در این صورت، باید یکی از دو راه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اقرار اجمالی را کالعدم فرض کنند، یا مقِرّ را به زندان انداخته تا توضیح دهد، و یا بر طبق صحیحه‌ی محمّد بن قیس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روایت صدوق رحمه الله هم دخل و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را مشخّص نکرده‌اند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صاحب جواهر رحمه الله متین است؛ یا باید علی القاعده فتوا داد، یا به روایت محمّد بن قیس عمل شود، و یا بدون دخل و تصرّف، مرسل صدوق رحمه الله را مستند قرار داد</w:t>
      </w:r>
      <w:r>
        <w:rPr>
          <w:rFonts w:eastAsia="IRNazanin" w:cs="IRNazanin"/>
          <w:color w:val="111111"/>
          <w:sz w:val="28"/>
          <w:szCs w:val="28"/>
          <w:rtl w:val="true"/>
          <w:lang w:bidi="fa-IR"/>
        </w:rPr>
        <w:t>.</w:t>
      </w:r>
      <w:bookmarkStart w:id="472" w:name="pg16919_227043"/>
    </w:p>
    <w:p>
      <w:pPr>
        <w:pStyle w:val="Heading5"/>
        <w:numPr>
          <w:ilvl w:val="4"/>
          <w:numId w:val="1"/>
        </w:numPr>
        <w:rPr/>
      </w:pPr>
      <w:bookmarkStart w:id="473" w:name="__RefHeading___Toc78942_3244359995"/>
      <w:bookmarkStart w:id="474" w:name="_Toc179"/>
      <w:bookmarkEnd w:id="472"/>
      <w:bookmarkEnd w:id="473"/>
      <w:r>
        <w:rPr>
          <w:rtl w:val="true"/>
        </w:rPr>
        <w:t>نظر صاحب جواهر رحمه الله</w:t>
      </w:r>
      <w:bookmarkEnd w:id="474"/>
    </w:p>
    <w:p>
      <w:pPr>
        <w:pStyle w:val="BookText"/>
        <w:rPr/>
      </w:pPr>
      <w:r>
        <w:rPr>
          <w:rFonts w:ascii="IRNazanin" w:hAnsi="IRNazanin" w:eastAsia="IRNazanin"/>
          <w:color w:val="111111"/>
          <w:sz w:val="28"/>
          <w:sz w:val="28"/>
          <w:szCs w:val="28"/>
          <w:rtl w:val="true"/>
          <w:lang w:bidi="fa-IR"/>
        </w:rPr>
        <w:t>ایشان مرسله‌ی صدوق را به جهت ارسالش کنار زده و تمام تکیه را بر صحیحه‌ی محمّد بن قیس متمرکز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حتّی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تعبّدی است که به واسطه‌ی روایت صحیح السند و مورد عمل فقها به ما رسیده است؛ باید به آن عمل کنیم</w:t>
      </w:r>
      <w:r>
        <w:rPr>
          <w:rFonts w:eastAsia="IRNazanin" w:cs="IRNazanin"/>
          <w:color w:val="111111"/>
          <w:sz w:val="28"/>
          <w:szCs w:val="28"/>
          <w:rtl w:val="true"/>
          <w:lang w:bidi="fa-IR"/>
        </w:rPr>
        <w:t xml:space="preserve">. </w:t>
      </w:r>
      <w:r>
        <w:rPr>
          <w:rStyle w:val="FootnoteAnchor"/>
          <w:rtl w:val="true"/>
        </w:rPr>
        <w:footnoteReference w:id="470"/>
      </w:r>
    </w:p>
    <w:p>
      <w:pPr>
        <w:pStyle w:val="Heading5"/>
        <w:numPr>
          <w:ilvl w:val="4"/>
          <w:numId w:val="1"/>
        </w:numPr>
        <w:rPr/>
      </w:pPr>
      <w:bookmarkStart w:id="475" w:name="__RefHeading___Toc78944_3244359995"/>
      <w:bookmarkStart w:id="476" w:name="_Toc180"/>
      <w:bookmarkEnd w:id="475"/>
      <w:r>
        <w:rPr>
          <w:rtl w:val="true"/>
        </w:rPr>
        <w:t>بیان نظر برگزیده در جمع بین روایات</w:t>
      </w:r>
      <w:bookmarkEnd w:id="476"/>
    </w:p>
    <w:p>
      <w:pPr>
        <w:pStyle w:val="BookText"/>
        <w:rPr/>
      </w:pPr>
      <w:r>
        <w:rPr>
          <w:rFonts w:ascii="IRNazanin" w:hAnsi="IRNazanin" w:eastAsia="IRNazanin"/>
          <w:color w:val="111111"/>
          <w:sz w:val="28"/>
          <w:sz w:val="28"/>
          <w:szCs w:val="28"/>
          <w:rtl w:val="true"/>
          <w:lang w:bidi="fa-IR"/>
        </w:rPr>
        <w:t>اگر مرسل صدوق را طرح کنیم، کلام صاحب جواهر رحمه الله تمام است؛ ولی بر مبنای ما که این روایت حجّت است، جمع بین دو روایت مشکل می‌شود؛ به ویژه که هر دو روایت مربوط به امیرمؤمنان علیه السلام است؛ زیرا، مدلول صحیحه آن است که زده شود تا آن‌که خودش بگوید بس است؛ و مدلول مرسله این است‌که نباید از هشتاد ضربه کمتر و از صد تازیانه تمامی اینها به هم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مدلول با هم تنافی دارد؛ کدام یک از دو روایت مقدّم است؟ آیا صحیحه را به واسطه‌ی ارتباط با قول مشهور مقدّم، و مرسله را از جهت بی‌ارتباطی کنار بزنیم؟</w:t>
      </w:r>
    </w:p>
    <w:p>
      <w:pPr>
        <w:pStyle w:val="BookText"/>
        <w:rPr/>
      </w:pPr>
      <w:r>
        <w:rPr>
          <w:rFonts w:ascii="IRNazanin" w:hAnsi="IRNazanin" w:eastAsia="IRNazanin"/>
          <w:color w:val="111111"/>
          <w:sz w:val="28"/>
          <w:sz w:val="28"/>
          <w:szCs w:val="28"/>
          <w:rtl w:val="true"/>
          <w:lang w:bidi="fa-IR"/>
        </w:rPr>
        <w:t>اشکال این تقدیم، نبودن یک شهرت قوی بر عمل به صحیحه است؛ و با وجود مخالفت داشتن هر دو روایت با قاعده، نمی‌توان چنین ترجیحی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بین دو روایت جمع دلالی به تخییر کنیم؟ یعنی حاکم شرع مخیّر است بین این‌که تعیین مقدار را به عهده‌ی مقِرّ گذاشته، او را بزنند تا وقتی نهی کند؛ و یا خودش بین هشتاد تا صد تازیانه، عددی انتخاب کند؟</w:t>
      </w:r>
    </w:p>
    <w:p>
      <w:pPr>
        <w:pStyle w:val="BookText"/>
        <w:rPr/>
      </w:pPr>
      <w:r>
        <w:rPr>
          <w:rFonts w:ascii="IRNazanin" w:hAnsi="IRNazanin" w:eastAsia="IRNazanin"/>
          <w:color w:val="111111"/>
          <w:sz w:val="28"/>
          <w:sz w:val="28"/>
          <w:szCs w:val="28"/>
          <w:rtl w:val="true"/>
          <w:lang w:bidi="fa-IR"/>
        </w:rPr>
        <w:t>راه دیگر این‌که فقیه، مخیّر است یکی از این دو روایت را گرفته و به آن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دو حجّت است؛ پس، به مقتضای هر کدام که خواست می‌تواند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الوسیله مسامحه‌ای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نقل اقوال فرموده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قیّده قوم بأن لا یزید علی المائة وبعض بأن لا ینقص عن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استفاده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نباید از صد تازیانه تجاوز کند، ولی در ناحیه‌ی قلّت، به حدّی محدود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صاحب شرایع رحمه الله است؛</w:t>
      </w:r>
      <w:r>
        <w:rPr>
          <w:rStyle w:val="FootnoteAnchor"/>
          <w:rtl w:val="true"/>
        </w:rPr>
        <w:footnoteReference w:id="471"/>
      </w:r>
      <w:r>
        <w:rPr>
          <w:rFonts w:ascii="IRNazanin" w:hAnsi="IRNazanin" w:eastAsia="IRNazanin"/>
          <w:color w:val="111111"/>
          <w:sz w:val="28"/>
          <w:sz w:val="28"/>
          <w:szCs w:val="28"/>
          <w:rtl w:val="true"/>
          <w:lang w:bidi="fa-IR"/>
        </w:rPr>
        <w:t>امّا قسمت اخیر که کمتر از هشتاد تازیانه نباشد و در ناحیه‌ی اکثر تعیین نکرده باشد، کسی این قول را نگفته است؛ البته ابن ادریس رحمه الله هر دو طرف را محدود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هشتاد ضربه کمتر نباشد و از صد تازیانه نیز تجاوز نکند</w:t>
      </w:r>
      <w:r>
        <w:rPr>
          <w:rFonts w:eastAsia="IRNazanin" w:cs="IRNazanin"/>
          <w:color w:val="111111"/>
          <w:sz w:val="28"/>
          <w:szCs w:val="28"/>
          <w:rtl w:val="true"/>
          <w:lang w:bidi="fa-IR"/>
        </w:rPr>
        <w:t>.</w:t>
      </w:r>
      <w:r>
        <w:rPr>
          <w:rStyle w:val="FootnoteAnchor"/>
          <w:rtl w:val="true"/>
        </w:rPr>
        <w:footnoteReference w:id="472"/>
      </w:r>
      <w:bookmarkStart w:id="477" w:name="pg16919_227045"/>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الإنکار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بما یوجب الرجم ثمّ أنکر سقط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بما لا یوجبه لم یسقط بالإنکار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إلحاق القتل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أقرّ بما یوجب القتل ثمّ أنکر لم یحکم بالقتل</w:t>
      </w:r>
      <w:r>
        <w:rPr>
          <w:rFonts w:eastAsia="IRNazanin" w:cs="IRNazanin"/>
          <w:color w:val="111111"/>
          <w:sz w:val="28"/>
          <w:szCs w:val="28"/>
          <w:rtl w:val="true"/>
          <w:lang w:bidi="fa-IR"/>
        </w:rPr>
        <w:t>.</w:t>
      </w:r>
    </w:p>
    <w:p>
      <w:pPr>
        <w:pStyle w:val="Heading4"/>
        <w:numPr>
          <w:ilvl w:val="3"/>
          <w:numId w:val="1"/>
        </w:numPr>
        <w:rPr/>
      </w:pPr>
      <w:bookmarkStart w:id="478" w:name="__RefHeading___Toc78946_3244359995"/>
      <w:bookmarkStart w:id="479" w:name="_Toc181"/>
      <w:bookmarkEnd w:id="478"/>
      <w:r>
        <w:rPr>
          <w:rtl w:val="true"/>
        </w:rPr>
        <w:t>حکم انکار پس از اقرار</w:t>
      </w:r>
      <w:bookmarkEnd w:id="479"/>
    </w:p>
    <w:p>
      <w:pPr>
        <w:pStyle w:val="Heading5"/>
        <w:numPr>
          <w:ilvl w:val="4"/>
          <w:numId w:val="1"/>
        </w:numPr>
        <w:rPr/>
      </w:pPr>
      <w:bookmarkStart w:id="480" w:name="__RefHeading___Toc78948_3244359995"/>
      <w:bookmarkStart w:id="481" w:name="_Toc182"/>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در این مسأله 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موجب ثبوت رجم، اقرار و پس از آن انکار کند، رجم از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اقرار کند که موجب رجم نیست، و بلکه حدود دیگر با آن اثبات می‌شود، و سپس انکار نماید، با انکارش حدّ ساقط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نیز مانند رجم است؛ یعنی بنا بر احتیاط در این حکم به آن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کسی به موجب قتل اقرار و پس از آن انکار کند، کشته نمی‌شود</w:t>
      </w:r>
      <w:r>
        <w:rPr>
          <w:rFonts w:eastAsia="IRNazanin" w:cs="IRNazanin"/>
          <w:color w:val="111111"/>
          <w:sz w:val="28"/>
          <w:szCs w:val="28"/>
          <w:rtl w:val="true"/>
          <w:lang w:bidi="fa-IR"/>
        </w:rPr>
        <w:t>.</w:t>
      </w:r>
    </w:p>
    <w:p>
      <w:pPr>
        <w:pStyle w:val="Heading5"/>
        <w:numPr>
          <w:ilvl w:val="4"/>
          <w:numId w:val="1"/>
        </w:numPr>
        <w:rPr/>
      </w:pPr>
      <w:bookmarkStart w:id="482" w:name="__RefHeading___Toc78950_3244359995"/>
      <w:bookmarkStart w:id="483" w:name="_Toc183"/>
      <w:bookmarkEnd w:id="482"/>
      <w:r>
        <w:rPr>
          <w:rtl w:val="true"/>
        </w:rPr>
        <w:t>فرع اوّل</w:t>
      </w:r>
      <w:r>
        <w:rPr>
          <w:rtl w:val="true"/>
        </w:rPr>
        <w:t xml:space="preserve">: </w:t>
      </w:r>
      <w:r>
        <w:rPr>
          <w:rtl w:val="true"/>
        </w:rPr>
        <w:t>حکم انکار موجب رجم بعد از اقرار</w:t>
      </w:r>
      <w:bookmarkEnd w:id="483"/>
    </w:p>
    <w:p>
      <w:pPr>
        <w:pStyle w:val="BookText"/>
        <w:rPr/>
      </w:pPr>
      <w:r>
        <w:rPr>
          <w:rFonts w:ascii="IRNazanin" w:hAnsi="IRNazanin" w:eastAsia="IRNazanin"/>
          <w:color w:val="111111"/>
          <w:sz w:val="28"/>
          <w:sz w:val="28"/>
          <w:szCs w:val="28"/>
          <w:rtl w:val="true"/>
          <w:lang w:bidi="fa-IR"/>
        </w:rPr>
        <w:t>اگر نتیجه‌ی اقرار شخصی نزد حاکم ثبوت حدّ رجم بر او شد، مانند این‌که چهار مرتبه اقرار به وقوع زنای محصنه کند، در صورتی که پس از اتمام اقرار، منکر ارتکاب زنا شود، به مقتضای قواعد باب اقرار، این انکار مفید فایده نیست و پذیرفته نمی‌شود؛ لیکن در خصوص رجم، روایاتی بر خلاف این قاعده رسیده است که به مفاد آن نیز فتوا داده‌اند؛ و بلکه برخی از علما ادّعای اجماعی بودن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این روایات، پذیرش انکار و سقوط حدّ رجم است؛ هر چند پاره ای از روایات، بر ثبوت صد تازیانه بعد از سقوط رجم دلالت دارد؛ لیکن مقصود ما از این فرع، استدلال بر سقوط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روایات را بررسی کنیم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ابن محبوب، عن أبان، عن الحلبی، عن أبی عبداللّه علیه السلام فی رجل أقرّ علی</w:t>
      </w:r>
    </w:p>
    <w:p>
      <w:pPr>
        <w:pStyle w:val="BookText"/>
        <w:rPr/>
      </w:pPr>
      <w:r>
        <w:rPr>
          <w:rFonts w:ascii="IRNazanin" w:hAnsi="IRNazanin" w:eastAsia="IRNazanin"/>
          <w:color w:val="111111"/>
          <w:sz w:val="28"/>
          <w:sz w:val="28"/>
          <w:szCs w:val="28"/>
          <w:rtl w:val="true"/>
          <w:lang w:bidi="fa-IR"/>
        </w:rPr>
        <w:t>نفسه بحدّ ثمّ جحد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أنّه سرق ثمّ جحد قطعت یده، وإن 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أقرّ علی نفسه أنّه شرب خمراً أو بفریة فاجلدوه 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 علی نفسه بحدّ یجب فیه الرجم، أکنت راجمه؟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کنت ضاربه الحدّ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از امام صادق علیه السلام راجع به مردی که علیه خودش به حدّی اقرار کرده،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کلام در اقرار به حدّ معیّن است؛ البته نه به آن‌گونه که در مسأله‌ی گذشته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حدّ نبوده، بلکه از جواب امام علیه السلام استفاده می‌شود که اقرار به موجب حد است؛ یعنی اگر به سرقت اقرار داشته، دو مرتبه بوده و اگر مقِرّ به زنا بوده، چهار مرتبه بود؛ اما آن چیزی که محطّ نظر سائل بوده، کیفیّت اقرار نیست، بلکه حکم انکار بعد از اقرار را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سرقت بوده، انکار مسموع نیست و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اقرارش به شرب خمر، یا قذف زن یا مرد مسلمانی بوده، هشتاد تازیانه بر او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اقرار کرد که موجب ثبوت حدّ رجم بر او می‌شود، آیا او را سنگسار کنم، پس از آن‌که انکار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انکار این‌جا مؤثّر است و سبب سقوط رجم می‌شود؛ لیکن بر او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درآینده این بحث را خواهیم داشت که آیا در تمام موارد ثبوت رجم، صد تازیانه نیز ثابت است؛ و یا در پاره‌ای از موارد آن ثابت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 بر احتمال اوّل، معنای روایت سقوط رجم و بقای صد تازیانه می‌شود؛ و بنا بر احتمالی،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تعزیر است؛ زیرا، این شخص یا در اقرارش بر حقّ است و یا دروغ می‌گوید؛ در هر حال، باید بر گناهی که مرتکب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أبی عمیر، عن حمّاد بن عثمان،</w:t>
      </w:r>
      <w:bookmarkStart w:id="484" w:name="pg16919_227047"/>
    </w:p>
    <w:p>
      <w:pPr>
        <w:pStyle w:val="BookText"/>
        <w:rPr/>
      </w:pPr>
      <w:bookmarkEnd w:id="484"/>
      <w:r>
        <w:rPr>
          <w:rFonts w:ascii="IRNazanin" w:hAnsi="IRNazanin" w:eastAsia="IRNazanin"/>
          <w:color w:val="111111"/>
          <w:sz w:val="28"/>
          <w:sz w:val="28"/>
          <w:szCs w:val="28"/>
          <w:rtl w:val="true"/>
          <w:lang w:bidi="fa-IR"/>
        </w:rPr>
        <w:t>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بحدّ أو فریة ثمّ جحد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أقرّ علی نفسه بحدّ یبلغ فیه الرجم أکنت ترجمه؟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ولکن کنت ضاربه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صاحب جواهر رحمه الله آن را حسنه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با روایت قبلی متّحد و راوی آن هم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مبنایی که از مرحوم آیت اللّه بروجردی نقل کردیم، این‌ها دو روایت نیستند؛ بلکه یک روایت‌اند که یک‌بار مفصّل و یک‌بار هم مجمل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أبیه، عن ابن أبی عمیر، عن أبی أیّوب، عن محمّد بن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بحدّ أقمته علیه إلّاالرجم، فإنّه إذا أقرّ علی نفسه ثمّ جحد لم یرجم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476"/>
      </w:r>
      <w:r>
        <w:rPr>
          <w:rFonts w:ascii="IRNazanin" w:hAnsi="IRNazanin" w:eastAsia="IRNazanin"/>
          <w:color w:val="111111"/>
          <w:sz w:val="28"/>
          <w:sz w:val="28"/>
          <w:szCs w:val="28"/>
          <w:rtl w:val="true"/>
          <w:lang w:bidi="fa-IR"/>
        </w:rPr>
        <w:t>به واسطه‌ی وجود ابراهیم بن هاشم در سند حدیث، از آن به حسنه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علیه خود به حدّی اقرار کند، بر او آن حدّ را جاری می‌کنم؛ مگر در حدّ رجم که اگر پس از اقرارش انکار کرد، دیگر سنگسار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روایت که به نظر ما دو روایت بیشتر نیست، بر سقوط رجم پس از انکار، دلالت تام و تمام دارد</w:t>
      </w:r>
      <w:r>
        <w:rPr>
          <w:rFonts w:eastAsia="IRNazanin" w:cs="IRNazanin"/>
          <w:color w:val="111111"/>
          <w:sz w:val="28"/>
          <w:szCs w:val="28"/>
          <w:rtl w:val="true"/>
          <w:lang w:bidi="fa-IR"/>
        </w:rPr>
        <w:t>.</w:t>
      </w:r>
    </w:p>
    <w:p>
      <w:pPr>
        <w:pStyle w:val="Heading4"/>
        <w:numPr>
          <w:ilvl w:val="3"/>
          <w:numId w:val="1"/>
        </w:numPr>
        <w:rPr/>
      </w:pPr>
      <w:bookmarkStart w:id="485" w:name="__RefHeading___Toc78952_3244359995"/>
      <w:bookmarkStart w:id="486" w:name="_Toc184"/>
      <w:bookmarkEnd w:id="485"/>
      <w:r>
        <w:rPr>
          <w:rtl w:val="true"/>
        </w:rPr>
        <w:t>بررسی تأثیر سوگند در سقوط رجم</w:t>
      </w:r>
      <w:bookmarkEnd w:id="486"/>
    </w:p>
    <w:p>
      <w:pPr>
        <w:pStyle w:val="Heading5"/>
        <w:numPr>
          <w:ilvl w:val="4"/>
          <w:numId w:val="1"/>
        </w:numPr>
        <w:rPr/>
      </w:pPr>
      <w:bookmarkStart w:id="487" w:name="__RefHeading___Toc78954_3244359995"/>
      <w:bookmarkStart w:id="488" w:name="_Toc185"/>
      <w:bookmarkEnd w:id="487"/>
      <w:r>
        <w:rPr>
          <w:rtl w:val="true"/>
        </w:rPr>
        <w:t>اشاره</w:t>
      </w:r>
      <w:bookmarkEnd w:id="48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جامع بزنطی حکایت شده است، پس از انکار باید قسم بخورد تا رجم ساقط شود؛ و این مطلب را با سندهای متعدّد از امامان علیهما السلام نقل کرده است</w:t>
      </w:r>
      <w:r>
        <w:rPr>
          <w:rFonts w:eastAsia="IRNazanin" w:cs="IRNazanin"/>
          <w:color w:val="111111"/>
          <w:sz w:val="28"/>
          <w:szCs w:val="28"/>
          <w:rtl w:val="true"/>
          <w:lang w:bidi="fa-IR"/>
        </w:rPr>
        <w:t>.</w:t>
      </w:r>
      <w:r>
        <w:rPr>
          <w:rStyle w:val="FootnoteAnchor"/>
          <w:rtl w:val="true"/>
        </w:rPr>
        <w:footnoteReference w:id="477"/>
      </w:r>
      <w:bookmarkStart w:id="489" w:name="pg16919_227048"/>
    </w:p>
    <w:p>
      <w:pPr>
        <w:pStyle w:val="BookText"/>
        <w:rPr/>
      </w:pPr>
      <w:bookmarkEnd w:id="489"/>
      <w:r>
        <w:rPr>
          <w:rFonts w:ascii="IRNazanin" w:hAnsi="IRNazanin" w:eastAsia="IRNazanin"/>
          <w:color w:val="111111"/>
          <w:sz w:val="28"/>
          <w:sz w:val="28"/>
          <w:szCs w:val="28"/>
          <w:rtl w:val="true"/>
          <w:lang w:bidi="fa-IR"/>
        </w:rPr>
        <w:t>این حکایت منشأ این بحث شده است، لیکن در روایاتی که به آن‌ها اشاره شد و فتاوا و کلمات اصحاب هیچ اثری از قسم پس از انکار دیده نمی‌شود؛ لذا، به صرف این حکایت، نمی‌توان فتوا به انضمام سوگندی به انکار برای سقوط رجم داد</w:t>
      </w:r>
      <w:r>
        <w:rPr>
          <w:rFonts w:eastAsia="IRNazanin" w:cs="IRNazanin"/>
          <w:color w:val="111111"/>
          <w:sz w:val="28"/>
          <w:szCs w:val="28"/>
          <w:rtl w:val="true"/>
          <w:lang w:bidi="fa-IR"/>
        </w:rPr>
        <w:t>.</w:t>
      </w:r>
    </w:p>
    <w:p>
      <w:pPr>
        <w:pStyle w:val="Heading5"/>
        <w:numPr>
          <w:ilvl w:val="4"/>
          <w:numId w:val="1"/>
        </w:numPr>
        <w:rPr/>
      </w:pPr>
      <w:bookmarkStart w:id="490" w:name="__RefHeading___Toc78956_3244359995"/>
      <w:bookmarkStart w:id="491" w:name="_Toc186"/>
      <w:bookmarkEnd w:id="490"/>
      <w:r>
        <w:rPr>
          <w:rtl w:val="true"/>
        </w:rPr>
        <w:t>استدلال به جریان ماعز بن مالک بر عدم سقوط حدّ</w:t>
      </w:r>
      <w:bookmarkEnd w:id="491"/>
    </w:p>
    <w:p>
      <w:pPr>
        <w:pStyle w:val="BookText"/>
        <w:rPr/>
      </w:pPr>
      <w:r>
        <w:rPr>
          <w:rFonts w:ascii="IRNazanin" w:hAnsi="IRNazanin" w:eastAsia="IRNazanin"/>
          <w:color w:val="111111"/>
          <w:sz w:val="28"/>
          <w:sz w:val="28"/>
          <w:szCs w:val="28"/>
          <w:rtl w:val="true"/>
          <w:lang w:bidi="fa-IR"/>
        </w:rPr>
        <w:t>ممکن است کسی توهّم کند روایتی که اهل سنّت در جریان اقرار ماعز بن مالک نقل کرده‌اند، دلالت بر عدم سقوط رجم پس از انکار دارد؛ زیرا، در یکی از نقل‌ها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بار اقرار،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مرتبه‌ی چهارم اعتراف کنی و چهار بار اقرار تکمیل شود، تو را رجم خواهم کرد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در نقل دیگری، پس از چهار بار اقرار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شهادات چهار بار شد، زنای محصنه ثابت شد، بروید او را سنگسار کنید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از این روایت استفاده می‌شود که انکار هیچ نقشی در سقوط رجم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حضرت دلالت دارد که اگر اعترافت به چهار مرتبه رسید، تو را رجم می‌کنم؛ خواه انکاری از تو سر زند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را سنگسار کنید، منکر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روایت می‌توانید اثبات کنید پیامبر صلی الله علیه و آله در مقام بیان حدّ رجم حتّی از جهت انکار بعد از اقرار بوده، تا اطلاق ثابت شود؛ و به اطلاق کلام ایشان بر عدم سقوط حدّ تمسّک 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 صحیحه و یا حداقل حسنه که دلالتش بر سقوط حدّ رجم بعد از انکار تام بود، چگونه می‌توان بر اطلاق باقی ماند؟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پس از سقوط حدّ رجم به انکار، جای این بحث باقی است که آیا مقِرّ را رها می‌کنند و هیچ حدّی بر او جاری نمی‌شود؛ حتّی او را تعزیر و تنبیه‌نمی‌کنند؟ ظاهر برخی از این روایات اجرای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محلّ خودش تحقیق می‌شود که آیا علاوه بر رجم، صد تازیانه باید به زانی محصن زد یا نه؛ و یا این حکم، اختصاصیِ زنای پیرمرد و پیرزن است؟</w:t>
      </w:r>
      <w:bookmarkStart w:id="492" w:name="pg16919_227049"/>
    </w:p>
    <w:p>
      <w:pPr>
        <w:pStyle w:val="Heading5"/>
        <w:numPr>
          <w:ilvl w:val="4"/>
          <w:numId w:val="1"/>
        </w:numPr>
        <w:rPr/>
      </w:pPr>
      <w:bookmarkStart w:id="493" w:name="__RefHeading___Toc78958_3244359995"/>
      <w:bookmarkStart w:id="494" w:name="_Toc187"/>
      <w:bookmarkEnd w:id="492"/>
      <w:bookmarkEnd w:id="493"/>
      <w:r>
        <w:rPr>
          <w:rtl w:val="true"/>
        </w:rPr>
        <w:t>فرع دوم</w:t>
      </w:r>
      <w:r>
        <w:rPr>
          <w:rtl w:val="true"/>
        </w:rPr>
        <w:t xml:space="preserve">: </w:t>
      </w:r>
      <w:r>
        <w:rPr>
          <w:rtl w:val="true"/>
        </w:rPr>
        <w:t>حکم انکار حدود دیگر غیر از رجم</w:t>
      </w:r>
      <w:bookmarkEnd w:id="494"/>
    </w:p>
    <w:p>
      <w:pPr>
        <w:pStyle w:val="BookText"/>
        <w:rPr/>
      </w:pPr>
      <w:r>
        <w:rPr>
          <w:rFonts w:ascii="IRNazanin" w:hAnsi="IRNazanin" w:eastAsia="IRNazanin"/>
          <w:color w:val="111111"/>
          <w:sz w:val="28"/>
          <w:sz w:val="28"/>
          <w:szCs w:val="28"/>
          <w:rtl w:val="true"/>
          <w:lang w:bidi="fa-IR"/>
        </w:rPr>
        <w:t>اگر شخصی به زنای معمولی، یا شرب خمر، یا قذف و یا سرقت انکار کند به گونه‌ای که حدّ آن در حقّ او ثابت شود و بعد از آن، انکار کند، آیا این انکار مسموع است؟ مشهور به عدم سقوط حدّ فتوا داده‌اند؛ لیکن ظاهر کلام شیخ طوسی رحمه الله در کتاب خلاف</w:t>
      </w:r>
      <w:r>
        <w:rPr>
          <w:rStyle w:val="FootnoteAnchor"/>
          <w:rtl w:val="true"/>
        </w:rPr>
        <w:footnoteReference w:id="480"/>
      </w:r>
      <w:r>
        <w:rPr>
          <w:rFonts w:ascii="IRNazanin" w:hAnsi="IRNazanin" w:eastAsia="IRNazanin"/>
          <w:color w:val="111111"/>
          <w:sz w:val="28"/>
          <w:sz w:val="28"/>
          <w:szCs w:val="28"/>
          <w:rtl w:val="true"/>
          <w:lang w:bidi="fa-IR"/>
        </w:rPr>
        <w:t>و ابن زهره رحمه الله در کتاب غنیه</w:t>
      </w:r>
      <w:r>
        <w:rPr>
          <w:rStyle w:val="FootnoteAnchor"/>
          <w:rtl w:val="true"/>
        </w:rPr>
        <w:footnoteReference w:id="481"/>
      </w:r>
      <w:r>
        <w:rPr>
          <w:rFonts w:ascii="Amiri" w:hAnsi="Amiri" w:eastAsia="Amiri" w:cs="Amiri"/>
          <w:color w:val="111111"/>
          <w:sz w:val="28"/>
          <w:sz w:val="28"/>
          <w:szCs w:val="28"/>
          <w:rtl w:val="true"/>
          <w:lang w:bidi="ar-SA"/>
        </w:rPr>
        <w:t>سقوط 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کلام شیخ طوسی رحمه الله در خلاف</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أقرّ بحدّ، ثمّ رجع عنه، سقط الحدّ، وهو قول أبی حنیفة، والشافعی وإحدی الروایتین عن مالک وعنه روایة اخری أنّه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الحسن البصری وسعید بن جبیر وداوود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وأیضاً فإنّ ماعزاً أقرّ عند النبیّ صلی الله علیه و آله بالزنا فأعرض عنه مرّتین أو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لمست، لعلّک قبّلت، فعرض له بالرجوع حین أعرض عند إقراره وصرّح بذلک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لمست، لعلّک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ذلک یقبل منه وإلّا لم یکن له فائدة</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شیخ طوسی رحمه الله معتقد است انکار بعد از اقرار، موجب از بین رفتن 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استدلال می‌کند در جریان ماعز، پیامبر صلی الله علیه و آله در نوبت دوم و سوم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او نگاه کردی یا بوسیدی و مانند آن، تا بلکه او انکار کند و زمینه‌ای برای حدّ رجم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پیامبر صلی الله علیه و آله ماعز را به تردید می‌انداخت و باب احتمالات را به‌روی او می‌گشود تا چهار اقرارش کامل نشود، استفاده می‌شود اقرارهای معتبر به گونه‌ای است که اگر به دنبال آن انکار رخ ندهد، حدّ جاری می‌شود؛ امّا پس از انکار، جایی برای حدّ نیست</w:t>
      </w:r>
      <w:r>
        <w:rPr>
          <w:rFonts w:eastAsia="IRNazanin" w:cs="IRNazanin"/>
          <w:color w:val="111111"/>
          <w:sz w:val="28"/>
          <w:szCs w:val="28"/>
          <w:rtl w:val="true"/>
          <w:lang w:bidi="fa-IR"/>
        </w:rPr>
        <w:t>.</w:t>
      </w:r>
      <w:bookmarkStart w:id="495" w:name="pg16919_227050"/>
    </w:p>
    <w:p>
      <w:pPr>
        <w:pStyle w:val="Heading5"/>
        <w:numPr>
          <w:ilvl w:val="4"/>
          <w:numId w:val="1"/>
        </w:numPr>
        <w:rPr/>
      </w:pPr>
      <w:bookmarkStart w:id="496" w:name="__RefHeading___Toc78960_3244359995"/>
      <w:bookmarkStart w:id="497" w:name="_Toc188"/>
      <w:bookmarkEnd w:id="495"/>
      <w:bookmarkEnd w:id="496"/>
      <w:r>
        <w:rPr>
          <w:rtl w:val="true"/>
        </w:rPr>
        <w:t>نقد استدلال شیخ طوسی رحمه الله</w:t>
      </w:r>
      <w:bookmarkEnd w:id="49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ماعز مربوط به باب رجم است، در حالی‌که مدّعای ایشان مطلق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رجم، غیر از این روایت، ادلّه‌ی دیگر نیز داشتیم؛ و ایشان باید نسبت به باب‌های دیگر دلیل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دفعه‌ی دوم یا دفعه‌ی سوم اقرار به مقام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بعد از اقرار سوم یا دوم، فایده‌ای در سقوط حدّ ندارد؛ زیرا، اقرار به چهار مرتبه نرسیده تا حدّ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اثبات انکار بعد از اقرار چهارم است که روایت به آن هیچ اشعاری ندارد</w:t>
      </w:r>
      <w:r>
        <w:rPr>
          <w:rFonts w:eastAsia="IRNazanin" w:cs="IRNazanin"/>
          <w:color w:val="111111"/>
          <w:sz w:val="28"/>
          <w:szCs w:val="28"/>
          <w:rtl w:val="true"/>
          <w:lang w:bidi="fa-IR"/>
        </w:rPr>
        <w:t>.</w:t>
      </w:r>
    </w:p>
    <w:p>
      <w:pPr>
        <w:pStyle w:val="Heading5"/>
        <w:numPr>
          <w:ilvl w:val="4"/>
          <w:numId w:val="1"/>
        </w:numPr>
        <w:rPr/>
      </w:pPr>
      <w:bookmarkStart w:id="498" w:name="__RefHeading___Toc78962_3244359995"/>
      <w:bookmarkStart w:id="499" w:name="_Toc189"/>
      <w:bookmarkEnd w:id="498"/>
      <w:r>
        <w:rPr>
          <w:rtl w:val="true"/>
        </w:rPr>
        <w:t>تأیید استدلال شیخ رحمه الله به روایت مرسله‌ی جمیل</w:t>
      </w:r>
      <w:bookmarkEnd w:id="499"/>
    </w:p>
    <w:p>
      <w:pPr>
        <w:pStyle w:val="BookText"/>
        <w:rPr/>
      </w:pPr>
      <w:r>
        <w:rPr>
          <w:rFonts w:ascii="IRNazanin" w:hAnsi="IRNazanin" w:eastAsia="IRNazanin"/>
          <w:color w:val="111111"/>
          <w:sz w:val="28"/>
          <w:sz w:val="28"/>
          <w:szCs w:val="28"/>
          <w:rtl w:val="true"/>
          <w:lang w:bidi="fa-IR"/>
        </w:rPr>
        <w:t>روایت مرسله‌ی جمیل تنها چیزی است که امکان دارد در تأیید بیان شیخ طوسی رحمه الله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عن علیّ بن حدید، عن جمیل بن درّاج، عن بعض أصحابنا، عن أحدهما علیهما السلام فی رجل أقرّ علی نفسه بالزنا أربع مرّات وهو محصن رجم إلی أن یموت أو یکذّب نفسه قبل أن یرجم،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فإن قال ذلک ترک ولم یرجم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 فإن رجع ضمن السرقة ولم یقطع 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الزانی حتّی یقرّ أربع مرّات بالزنا إذا لم یکن شهود، فإن رجع ترک ولم یرجم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جمیل به طور مرسل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جمیل از اصحاب اجماع بوده و مرسلات او همانند مرسلات ابن ابی عمیر حجّت است؛ لیکن در سند آن علی بن حدید واقع شده که شیخ طوسی رحمه الله</w:t>
      </w:r>
      <w:r>
        <w:rPr>
          <w:rStyle w:val="FootnoteAnchor"/>
          <w:rtl w:val="true"/>
        </w:rPr>
        <w:footnoteReference w:id="484"/>
      </w:r>
      <w:r>
        <w:rPr>
          <w:rFonts w:ascii="IRNazanin" w:hAnsi="IRNazanin" w:eastAsia="IRNazanin"/>
          <w:color w:val="111111"/>
          <w:sz w:val="28"/>
          <w:sz w:val="28"/>
          <w:szCs w:val="28"/>
          <w:rtl w:val="true"/>
          <w:lang w:bidi="fa-IR"/>
        </w:rPr>
        <w:t>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سند آن مبتلا به ضعف است</w:t>
      </w:r>
      <w:r>
        <w:rPr>
          <w:rFonts w:eastAsia="IRNazanin" w:cs="IRNazanin"/>
          <w:color w:val="111111"/>
          <w:sz w:val="28"/>
          <w:szCs w:val="28"/>
          <w:rtl w:val="true"/>
          <w:lang w:bidi="fa-IR"/>
        </w:rPr>
        <w:t>.</w:t>
      </w:r>
      <w:bookmarkStart w:id="500" w:name="pg16919_227051"/>
    </w:p>
    <w:p>
      <w:pPr>
        <w:pStyle w:val="BookText"/>
        <w:rPr/>
      </w:pPr>
      <w:bookmarkEnd w:id="500"/>
      <w:r>
        <w:rPr>
          <w:rFonts w:ascii="IRNazanin" w:hAnsi="IRNazanin" w:eastAsia="IRNazanin"/>
          <w:color w:val="111111"/>
          <w:sz w:val="28"/>
          <w:sz w:val="28"/>
          <w:szCs w:val="28"/>
          <w:rtl w:val="true"/>
          <w:lang w:bidi="fa-IR"/>
        </w:rPr>
        <w:t>قسمت اوّل روایت با فتوا و مطلوب ما موافق است؛ یعنی انکار بعد از اقرار در باب رجم پذیرفته می‌شود؛ ولی قسمت دوم آن‌که مربوط به اقرار به سرقت است، اگر به حسب ظاهر روایت، بعد از دوبار اقرار، رجوع کرد، ضامن مال مسروقه بوده، دست او قطع نمی‌شود؛ یعنی با انکار، حدّ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 که با اقرار ثابت شود و نه با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دنباله‌ی روایت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رجم نمی‌شود تا آن‌که چهار مرتبه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شهودی وجود نداشته باشد، اگر پس از اقرار، رجوع کند، رها شده و رجم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حدّ سرقت مانند حدّ رجم فرض شده است؛ در صورتی‌که روایت 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علی نفسه عند الإمام أنّه سرق، ثمّ جحد، قطعت یده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تصریح به عدم نفوذ انکار و ثبوت حدّ قطع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روایت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حلّ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حتّی یقرّ بالسرقة مرّتین، فإن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تا دوبار اقرار نکند، حدّ قطع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پس از یک اقرار، رجوع کرد، ضامن سرقت هست ولی حدّ و قطع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تعارض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خلاف ظاهر روایت است، به‌ویژه با توجّه به جملات ذیل آن‌که ظهور در انکار بعد از چهار بار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عبارت، انکار سرقت پس از دو بار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با صحیحه‌ی حلبی صددرصد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تعارض در این صورت، به ترجیح روایت حلبی است؛ زیرا، نه تنها موافق با قول مشهور است، بلکه بالاتر از شهرت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 غیر از رجم از حدود دیگر، انکاری پس از اقرار بیاید، نافذ نخواهد بود</w:t>
      </w:r>
      <w:r>
        <w:rPr>
          <w:rFonts w:eastAsia="IRNazanin" w:cs="IRNazanin"/>
          <w:color w:val="111111"/>
          <w:sz w:val="28"/>
          <w:szCs w:val="28"/>
          <w:rtl w:val="true"/>
          <w:lang w:bidi="fa-IR"/>
        </w:rPr>
        <w:t>.</w:t>
      </w:r>
    </w:p>
    <w:p>
      <w:pPr>
        <w:pStyle w:val="Heading5"/>
        <w:numPr>
          <w:ilvl w:val="4"/>
          <w:numId w:val="1"/>
        </w:numPr>
        <w:rPr/>
      </w:pPr>
      <w:bookmarkStart w:id="501" w:name="__RefHeading___Toc78964_3244359995"/>
      <w:bookmarkStart w:id="502" w:name="_Toc190"/>
      <w:bookmarkEnd w:id="501"/>
      <w:r>
        <w:rPr>
          <w:rtl w:val="true"/>
        </w:rPr>
        <w:t>فرع سوم</w:t>
      </w:r>
      <w:r>
        <w:rPr>
          <w:rtl w:val="true"/>
        </w:rPr>
        <w:t xml:space="preserve">: </w:t>
      </w:r>
      <w:r>
        <w:rPr>
          <w:rtl w:val="true"/>
        </w:rPr>
        <w:t>حکم اقرار به موجب قتل و انکار آن</w:t>
      </w:r>
      <w:bookmarkEnd w:id="50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عملی اقرار کرد که حدّ آن قتل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زنای با محارم و یا اقرار به اکراه کردن زنی بر زنا و تمام شرایط اقرار برای اثبات حدّ موجود بود، اگر قبل از اجرای حدّ</w:t>
      </w:r>
    </w:p>
    <w:p>
      <w:pPr>
        <w:pStyle w:val="BookText"/>
        <w:rPr/>
      </w:pPr>
      <w:r>
        <w:rPr>
          <w:rFonts w:ascii="IRNazanin" w:hAnsi="IRNazanin" w:eastAsia="IRNazanin"/>
          <w:color w:val="111111"/>
          <w:sz w:val="28"/>
          <w:sz w:val="28"/>
          <w:szCs w:val="28"/>
          <w:rtl w:val="true"/>
          <w:lang w:bidi="fa-IR"/>
        </w:rPr>
        <w:t xml:space="preserve">انکار کند، آیا این انکار حکم انکار در حدّ رجم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باعث سقوط حدّ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انکار در حدود دیگر مسموع نیست؟</w:t>
      </w:r>
    </w:p>
    <w:p>
      <w:pPr>
        <w:pStyle w:val="BookText"/>
        <w:rPr/>
      </w:pPr>
      <w:r>
        <w:rPr>
          <w:rFonts w:ascii="IRNazanin" w:hAnsi="IRNazanin" w:eastAsia="IRNazanin"/>
          <w:color w:val="111111"/>
          <w:sz w:val="28"/>
          <w:sz w:val="28"/>
          <w:szCs w:val="28"/>
          <w:rtl w:val="true"/>
          <w:lang w:bidi="fa-IR"/>
        </w:rPr>
        <w:t>روایاتی که تا کنون ملاحظه شد، مربوط به نفوذ انکار در سقوط حدّ رجم بود؛ ولی‌حمزه رحمه الله در کتاب وسیله</w:t>
      </w:r>
      <w:r>
        <w:rPr>
          <w:rStyle w:val="FootnoteAnchor"/>
          <w:rtl w:val="true"/>
        </w:rPr>
        <w:footnoteReference w:id="486"/>
      </w:r>
      <w:r>
        <w:rPr>
          <w:rFonts w:ascii="IRNazanin" w:hAnsi="IRNazanin" w:eastAsia="IRNazanin"/>
          <w:color w:val="111111"/>
          <w:sz w:val="28"/>
          <w:sz w:val="28"/>
          <w:szCs w:val="28"/>
          <w:rtl w:val="true"/>
          <w:lang w:bidi="fa-IR"/>
        </w:rPr>
        <w:t>و صاحب ریاض رحمه الله در کتاب ریاض المسائل</w:t>
      </w:r>
      <w:r>
        <w:rPr>
          <w:rStyle w:val="FootnoteAnchor"/>
          <w:rtl w:val="true"/>
        </w:rPr>
        <w:footnoteReference w:id="487"/>
      </w:r>
      <w:r>
        <w:rPr>
          <w:rFonts w:ascii="IRNazanin" w:hAnsi="IRNazanin" w:eastAsia="IRNazanin"/>
          <w:color w:val="111111"/>
          <w:sz w:val="28"/>
          <w:sz w:val="28"/>
          <w:szCs w:val="28"/>
          <w:rtl w:val="true"/>
          <w:lang w:bidi="fa-IR"/>
        </w:rPr>
        <w:t>قتل را نیز به رجم ملحق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الحاق قتل به رجم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از روایات رجم الغای خصوصیّت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رجم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تحقّق قتل و دوم، وقوع آن به کیفیّت مخصوص؛ لذا، از روایاتی که بر سقوط حدّ و رجم پس از انکار دلالت داشت، ممکن است الغای خصوصیّت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مرسله‌ی جمیل بن درّاج نیز مستند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أبیه، عن ابن أبی عمیر، عن جمیل بن درّاج، عن بعض أصحابه،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الرجل علی نفسه بالقتل قتل إذا لم یکن علیه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ترک ولم یقتل</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سند روایت مبتلا به ارسال است، لیکن ارسال بعد از جمیل بن درّاج واقع شده است و از آن‌جا که سند مشتمل بر جمیل و ابن أبی عمیر که از اصحاب اجماع هستند، معتبر است؛ چرا که اگر سند روایت تا آن‌ها صحیح باشد، باید پس از آن را بپذیریم و نیازی به تحقیق و توثیق نیست، هرچند به نحو ارسال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مقبول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کشته شدن فردی است که به قتل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ذهن خطور کند بحث ما در اقرار به قتل نیست، بلکه در اقرار به چیزی است که حدّ آن قتل است؛ به</w:t>
      </w:r>
    </w:p>
    <w:p>
      <w:pPr>
        <w:pStyle w:val="BookText"/>
        <w:rPr/>
      </w:pPr>
      <w:r>
        <w:rPr>
          <w:rFonts w:ascii="IRNazanin" w:hAnsi="IRNazanin" w:eastAsia="IRNazanin"/>
          <w:color w:val="111111"/>
          <w:sz w:val="28"/>
          <w:sz w:val="28"/>
          <w:szCs w:val="28"/>
          <w:rtl w:val="true"/>
          <w:lang w:bidi="fa-IR"/>
        </w:rPr>
        <w:t>عبارت دیگر، بحث ما در کتاب حدود است؛ در حالی‌که موضوع روایت مربوط به کتاب قصاص است؛ در صورتی‌که قتل عمدی باشد؛ وإلّا مربوط به کتاب دیات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این سه کتاب نیز با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خطور و احتمال صحیح نیست؛ زیرا، از دنباله‌ی روایت که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روایت، به دو کتاب قصاص و دیات مربوط نیست؛ چرا که پس از اقرار به قتل، بلافاصله مقِرّ را نمی‌کشند، بلکه دست نگاه داشته تا معلوم شود قتل او خطایی بوده یا عمدی؛ و بر فرض عمد، اختیار به دست ورثه‌ی مقتول است؛ می‌توانند قصاص کرده یا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خطا،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قرائن، شهادت می‌دهد روایت مربوط به آن دو کتاب نیست؛ بلکه موضوع آن‌جایی است که اقرار به گناهی کرده که مجازات آن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مؤیّد این مطلب، کلام امام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احتمال صحیح بود،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تناسب داشته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 روایت، می‌توان فتوا به الحاق قتل به رجم داد؛ نه این‌که مانند امام رحمه الله در تحریر الوسیله احتیاط کرد؛ زیرا، ادلّه تمام بوده و شرایط فتوا موجود است</w:t>
      </w:r>
      <w:r>
        <w:rPr>
          <w:rFonts w:eastAsia="IRNazanin" w:cs="IRNazanin"/>
          <w:color w:val="111111"/>
          <w:sz w:val="28"/>
          <w:szCs w:val="28"/>
          <w:rtl w:val="true"/>
          <w:lang w:bidi="fa-IR"/>
        </w:rPr>
        <w:t>.</w:t>
      </w:r>
      <w:bookmarkStart w:id="503" w:name="pg16919_227054"/>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التوبة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بما یوجب الحدّ ثمّ تاب، کان للإمام علیه السلام عفوه أو إقامة الحدّ علیه رجماً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ثبوت التخییر لغیر إمام الأصل من نوّابه</w:t>
      </w:r>
      <w:r>
        <w:rPr>
          <w:rFonts w:eastAsia="IRNazanin" w:cs="IRNazanin"/>
          <w:color w:val="111111"/>
          <w:sz w:val="28"/>
          <w:szCs w:val="28"/>
          <w:rtl w:val="true"/>
          <w:lang w:bidi="fa-IR"/>
        </w:rPr>
        <w:t>.</w:t>
      </w:r>
    </w:p>
    <w:p>
      <w:pPr>
        <w:pStyle w:val="Heading4"/>
        <w:numPr>
          <w:ilvl w:val="3"/>
          <w:numId w:val="1"/>
        </w:numPr>
        <w:rPr/>
      </w:pPr>
      <w:bookmarkStart w:id="504" w:name="__RefHeading___Toc78966_3244359995"/>
      <w:bookmarkStart w:id="505" w:name="_Toc191"/>
      <w:bookmarkEnd w:id="504"/>
      <w:r>
        <w:rPr>
          <w:rtl w:val="true"/>
        </w:rPr>
        <w:t>توبه‌ی پس از اقرار</w:t>
      </w:r>
      <w:bookmarkEnd w:id="505"/>
    </w:p>
    <w:p>
      <w:pPr>
        <w:pStyle w:val="Heading5"/>
        <w:numPr>
          <w:ilvl w:val="4"/>
          <w:numId w:val="1"/>
        </w:numPr>
        <w:rPr/>
      </w:pPr>
      <w:bookmarkStart w:id="506" w:name="__RefHeading___Toc78968_3244359995"/>
      <w:bookmarkStart w:id="507" w:name="_Toc192"/>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اگر شخص اقرار به موجِب حدّ کرده و بعد از آن توبه کند،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مقِرّ تائب را عفو و حدّ را جاری نکند؛ و یا به اجرای آن بپردازد، خواه حدّ رجم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به تخییر نسبت به نوّاب عام امام معصوم علیه السلام نیز ثابت است؟ مرحوم امام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آنان نیز بین اجرای حدّ و عفو مقِرّ تائب مخیّر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فرع مطرح است</w:t>
      </w:r>
      <w:r>
        <w:rPr>
          <w:rFonts w:eastAsia="IRNazanin" w:cs="IRNazanin"/>
          <w:color w:val="111111"/>
          <w:sz w:val="28"/>
          <w:szCs w:val="28"/>
          <w:rtl w:val="true"/>
          <w:lang w:bidi="fa-IR"/>
        </w:rPr>
        <w:t>:</w:t>
      </w:r>
    </w:p>
    <w:p>
      <w:pPr>
        <w:pStyle w:val="Heading5"/>
        <w:numPr>
          <w:ilvl w:val="4"/>
          <w:numId w:val="1"/>
        </w:numPr>
        <w:rPr/>
      </w:pPr>
      <w:bookmarkStart w:id="508" w:name="__RefHeading___Toc78970_3244359995"/>
      <w:bookmarkStart w:id="509" w:name="_Toc193"/>
      <w:bookmarkEnd w:id="508"/>
      <w:r>
        <w:rPr>
          <w:rtl w:val="true"/>
        </w:rPr>
        <w:t>فرع اوّل</w:t>
      </w:r>
      <w:r>
        <w:rPr>
          <w:rtl w:val="true"/>
        </w:rPr>
        <w:t xml:space="preserve">: </w:t>
      </w:r>
      <w:r>
        <w:rPr>
          <w:rtl w:val="true"/>
        </w:rPr>
        <w:t>مختار بودن امام علیه السلام در عفو و اجرای حدّ</w:t>
      </w:r>
      <w:bookmarkEnd w:id="509"/>
    </w:p>
    <w:p>
      <w:pPr>
        <w:pStyle w:val="Heading6"/>
        <w:numPr>
          <w:ilvl w:val="5"/>
          <w:numId w:val="1"/>
        </w:numPr>
        <w:rPr/>
      </w:pPr>
      <w:bookmarkStart w:id="510" w:name="__RefHeading___Toc78972_3244359995"/>
      <w:bookmarkStart w:id="511" w:name="_Toc194"/>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این فرع در کلمات فقها مطرح است و تقریباً همه‌ی فقها به آن فتوا داده‌اند؛ و در بعضی از تعبیرات، ادّعای اجماع</w:t>
      </w:r>
      <w:r>
        <w:rPr>
          <w:rStyle w:val="FootnoteAnchor"/>
          <w:rtl w:val="true"/>
        </w:rPr>
        <w:footnoteReference w:id="489"/>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مستند اساسی آن روایاتی است که در این باب رسیده، لیکن سند آن‌ها از استحکام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شود راهی برای جبران ضعف سند آن‌ها هست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سهل بن زیاد وعن علیّ بن إبراهیم، عن أبیه، جمیعاً عن ابن محبوب، عن ابن رئاب، عن ضریس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الحدود الّتی للّه‌دون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کان من حقّ النّاس فی حدّ فلا بأس بأن یعفی عنه دون الإمام</w:t>
      </w:r>
      <w:r>
        <w:rPr>
          <w:rFonts w:eastAsia="IRNazanin" w:cs="IRNazanin"/>
          <w:color w:val="111111"/>
          <w:sz w:val="28"/>
          <w:szCs w:val="28"/>
          <w:rtl w:val="true"/>
          <w:lang w:bidi="fa-IR"/>
        </w:rPr>
        <w:t>.</w:t>
      </w:r>
      <w:r>
        <w:rPr>
          <w:rStyle w:val="FootnoteAnchor"/>
          <w:rtl w:val="true"/>
        </w:rPr>
        <w:footnoteReference w:id="49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و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کلینی به دو طریق از ابن محبوب نقل</w:t>
      </w:r>
    </w:p>
    <w:p>
      <w:pPr>
        <w:pStyle w:val="BookText"/>
        <w:rPr/>
      </w:pPr>
      <w:r>
        <w:rPr>
          <w:rFonts w:ascii="IRNazanin" w:hAnsi="IRNazanin" w:eastAsia="IRNazanin"/>
          <w:color w:val="111111"/>
          <w:sz w:val="28"/>
          <w:sz w:val="28"/>
          <w:szCs w:val="28"/>
          <w:rtl w:val="true"/>
          <w:lang w:bidi="fa-IR"/>
        </w:rPr>
        <w:t>می‌کند؛ 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 از اصحاب از سهل بن زیاد است؛ و طریق دوم، از علی بن ابراهیم از پدرش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ضریس کُناسی است که در حقّ او مدح و قدح، توثیق و تضعیفی نرسیده و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ضریس از امام باقر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حدودی که حقّ‌اللّه و مخصوص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حدّ لواط، حدّ شرب خمر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امام حقّ عفو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حدودی که به حقّ الناس مربوط است همانند حدّ قذف، دیگران نیز می‌توانند از آن عفو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طور اجمال اثبات می‌کند برای امام در حدود اللّه حقّ عفو هست، امّا اطلاقی ندارد که بتواند حتّی حدودی که با بیّنه ثابت شده را شامل شود؛ زیرا دلالتی ندارد که روایت فقط در مقام بیان جهت نفی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عفو در حدود الهی برای غیر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اجمالاً استفاده می‌شود برای امام حقّ عفو هست، امّا دلالتی ندارد که این حق در همه جا وجود دارد؛ چه حدّ با اقرار ثابت شده باشد یا با بیّنه و شاهد؛ لیکن قدر متیقّن از این اجمال در جایی است که حدّ با اقرار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معصوم علیه السلام است؛ یعنی چنین حقّی برای امامان معصوم علیهما السلام ثابت است؛ و یا مقصود از این واژه هر کسی است که از جانب خداوند متعال اداره‌ی حکومت و جامعه‌ی اسلامی به عهده‌ی او است؟</w:t>
      </w:r>
    </w:p>
    <w:p>
      <w:pPr>
        <w:pStyle w:val="BookText"/>
        <w:rPr/>
      </w:pPr>
      <w:r>
        <w:rPr>
          <w:rFonts w:ascii="IRNazanin" w:hAnsi="IRNazanin" w:eastAsia="IRNazanin"/>
          <w:color w:val="111111"/>
          <w:sz w:val="28"/>
          <w:sz w:val="28"/>
          <w:szCs w:val="28"/>
          <w:rtl w:val="true"/>
          <w:lang w:bidi="fa-IR"/>
        </w:rPr>
        <w:t>ظهور روایت در این است‌که عفو به دست شخصی می‌باشد که اجرای حدّ به عهده‌ی او است؛ پس، هر که مسؤولیّت اجرای حدّ را دارد، می‌تواند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است؛ باید تناسب حکم و موضوع را نیز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أحمد بن یحیی، عن أبی عبداللّه البرقی، عن بعض أصحابه، عن بعض الصادقین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أتقرء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ما هذا؟ إذا</w:t>
      </w:r>
      <w:bookmarkStart w:id="512" w:name="pg16919_227056"/>
    </w:p>
    <w:p>
      <w:pPr>
        <w:pStyle w:val="BookText"/>
        <w:rPr/>
      </w:pPr>
      <w:bookmarkEnd w:id="512"/>
      <w:r>
        <w:rPr>
          <w:rFonts w:ascii="IRNazanin" w:hAnsi="IRNazanin" w:eastAsia="IRNazanin"/>
          <w:color w:val="111111"/>
          <w:sz w:val="28"/>
          <w:sz w:val="28"/>
          <w:szCs w:val="28"/>
          <w:rtl w:val="true"/>
          <w:lang w:bidi="fa-IR"/>
        </w:rPr>
        <w:t>قامت البیّنة فلیس للإمام أن یعفو، وإذا أقرّ الرجل علی نفسه فذاک إلی الإمام إن شاء عفی وإن شاء قطع</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برقی است؛ لیکن مانند مرسلات ابن ابی عمیر نیست تا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امام علیه السلام را نیز معیّن نکرده، و از او به بعضی از صادقین علیهما السلام تعبیر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امیرمؤمنان علیه السلام به سرقت اقرار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اقراری که در اثبات حدّ سرقت اعتبار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سروکار داری؟ قرآن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سوره‌ی بقره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به سوره‌ی بقره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به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 از حدود خدا را تعطیل می‌کنی؟ مگر این فرد به سرقت اقرار نکرد؟ چرا حدّ را بر او جاری نمی‌کنی؟</w:t>
      </w:r>
    </w:p>
    <w:p>
      <w:pPr>
        <w:pStyle w:val="BookText"/>
        <w:rPr/>
      </w:pP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که مطلب چیست؟ اگر بیّنه بر حدّی اقامه شد، امام حقّ عفو ندارد؛ امّا اگر جرمی از راه اقرار ثابت شد، اختیارش به دست امام است، اگر بخواهد عفو، و اگر بخواهد حدّ را جاری می‌کند</w:t>
      </w:r>
      <w:r>
        <w:rPr>
          <w:rFonts w:eastAsia="IRNazanin" w:cs="IRNazanin"/>
          <w:color w:val="111111"/>
          <w:sz w:val="28"/>
          <w:szCs w:val="28"/>
          <w:rtl w:val="true"/>
          <w:lang w:bidi="fa-IR"/>
        </w:rPr>
        <w:t>.</w:t>
      </w:r>
    </w:p>
    <w:p>
      <w:pPr>
        <w:pStyle w:val="Heading6"/>
        <w:numPr>
          <w:ilvl w:val="5"/>
          <w:numId w:val="1"/>
        </w:numPr>
        <w:rPr/>
      </w:pPr>
      <w:bookmarkStart w:id="513" w:name="__RefHeading___Toc78974_3244359995"/>
      <w:bookmarkStart w:id="514" w:name="_Toc195"/>
      <w:bookmarkEnd w:id="513"/>
      <w:r>
        <w:rPr>
          <w:rtl w:val="true"/>
        </w:rPr>
        <w:t>دو اشکال بر استدلال به روایت</w:t>
      </w:r>
      <w:bookmarkEnd w:id="514"/>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سرقت است؛ زیرا، هم در مورد اقرار به سرقت رسیده و هم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عفا وإن شاء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حدود دیگر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ضعیف است؛ اگرچه روایت در مورد سرقت آمده و امام کلمه‌ی قطع را استعمال کرده، لیکن حکم مختص به این باب نیست؛ بلکه در تمام حدود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أقامت البیّنة فلیس للإمام أن یعفو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أقامت البیّنة علی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بالسرقة علی نفسه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خودش تخصیص خورده است؛ زیرا، بحث آن در آینده خواهد آمد که یکی از مواردی که توبه در آن اثر ندارد، توبه‌ی پس از اقرار به سرقت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می‌توان به روایت عمل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تخصیص خوردن روایت موجب سست شدن ضابطه می‌شود، امّا موجب نمی‌شود روایت از صلاحیّت استدلال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یحیی، عن طلحة بن زید، عن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بعض أهلی أنّ شابّاً أتی أمیر المؤمنین علیه السلام فأقرّ عنده بالسرقة،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شابّاً لا بأس بهبتک، فهل تقرء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منعه أن یقطعه لأنّه لم یقم علیه بیّنة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که راوی حدیث است غیر امامی می‌باشد؛ لیکن کتاب او نزد شیخ طوسی رحمه الله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روایت به معتبره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نزد امیرمؤمنان علیه السلام آمد و اقرار معتبری به سرقت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جوان می‌بینم، مانعی نیست چیزی به تو هبه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سوره‌ای یا آیه‌ای قرائت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سوره‌ی بقره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به سوره‌ی بقره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قطع دست او شد، عدم قیام بیّنه بر سرقت و اثبات ان به اقرار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روایت سابق با مختصری تفاوت است؛ و هر دو را شیخ طوسی رحمه الله از طلحة بن زید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راوی، تأیید گفتار ما است؛ لیکن در اثر تعدّد واسطه‌ها، در نقل، اختلافی پدید آمده است؛ لذا، هر چند در کتاب‌های فقهی، آن‌ها را دو روایت دانسته‌اند، امّا به اعتقاد ما یک روایت بیش‌تر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الرجل الّذی اعترف باللواط فإنّه لم یقم علیه البیّنة، وإنّما تطوّع بالاقرار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للإمام الّذی من اللّه أن یعاقب عن اللّه</w:t>
      </w:r>
    </w:p>
    <w:p>
      <w:pPr>
        <w:pStyle w:val="BookText"/>
        <w:rPr/>
      </w:pPr>
      <w:r>
        <w:rPr>
          <w:rFonts w:ascii="Amiri" w:hAnsi="Amiri" w:eastAsia="Amiri" w:cs="Amiri"/>
          <w:color w:val="111111"/>
          <w:sz w:val="28"/>
          <w:sz w:val="28"/>
          <w:szCs w:val="28"/>
          <w:rtl w:val="true"/>
          <w:lang w:bidi="ar-SA"/>
        </w:rPr>
        <w:t>کان له أن یمنّ عن اللّه، أما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سؤال فردی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لواط اعتراف کرد و بیّنه بر عمل او قائم نشد و اقرارش از روی تفضّل و تطوّع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امام علیه السلام زمینه‌سازی برای بیان حکم بعدی می‌کند؛ آنگاه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را که خداوند به وجود او بر مردم منّت گذاشته، اگر این حق را دارد که به‌عنوان نیابت از سوی خداوند حدود را جاری و به مجرمان عقوبت و کیفر بدهد، پس برای او این حق نیز هست که منّت گذاشته، عفو کرده و از مجازات مجرم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پروردگار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سلیمان علی نبیّنا و آله و علیه السلام پس از استجابت دعای او که آن‌همه عظمت و شوکت به او عنایت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 ما است که در اختیار تو گذاشتیم؛ نفی و اثباتش به‌دست تو است؛ اگر می‌خواهی به مردم ببخش یا در اختیار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استشهاد به این آیه بر مطلب استیناس می‌کند؛ یعنی اجرای حدّ منّت و عطایی از سوی پروردگار است، اختیار اجرا یا عفوش به دست ماست، هرکدام را خواستیم انتخاب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چند نکته</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روایاتی که برخی مرسل بوده و یا دارای افراد مجهول است، اصل حکم ثابت می‌شود؟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طلحة بن زید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عامّی و غیر امامی است؛ امّا شیخ طوسی رحمه الله به روایت و کتاب او اعتماد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ضریس کناسی را برخی از اصحاب اجماع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افراد آن است که اگر سند صحیح به آنان منتهی شود، کاری به راویان پس از اصحاب اجماع نداریم؛ حتّی اگر روایت مرسل هم بود، پذیرفته می‌شود تا چه رسد به مسندی که راوی آن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ضریس نزد ما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اعتبار روایات اشکال شود و آن‌ها را به‌عنوان عامی، یا مجهول و یا مرسله بودن ساقط کردیم، آیا برای اثبات این حکمِ خلاف قاعده راهی داریم؟</w:t>
      </w:r>
    </w:p>
    <w:p>
      <w:pPr>
        <w:pStyle w:val="BookText"/>
        <w:rPr/>
      </w:pPr>
      <w:r>
        <w:rPr>
          <w:rFonts w:ascii="Amiri" w:hAnsi="Amiri" w:eastAsia="Amiri" w:cs="Amiri"/>
          <w:color w:val="111111"/>
          <w:sz w:val="28"/>
          <w:sz w:val="28"/>
          <w:szCs w:val="28"/>
          <w:rtl w:val="true"/>
          <w:lang w:bidi="ar-SA"/>
        </w:rPr>
        <w:t>این حکم خلاف قاعده است؛ زیرا، در آیه‌ی شریفه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باید حدّ الهی بر زانی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چه مناسبت با توبه‌ی او می‌خواهیم حدّ را ساقط سازیم؟ عفو حدّ نسبت به این فرد به دلیلی بر استثنا نیازمند است که در این مقام چنین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خلاف قاعده بودن حکم و اجماعی بودن مسأله و نبودن مستندی در این فرع، غیر از همین روایات و استناد فقها به آن‌ها، نتیجه می‌گیریم که در اصل حکم جای هیچ انکار و اشکالی نیست؛ یعنی عمل فقها ضعف سند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 و فتوای علما اختلافی دیده می‌شود، در تمام فتاوا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مقرّ بعد از اقرارش توبه کند؛ در صورتی که روایات خالی از قید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و فتاوا به چیست؟</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امام آمده و به زنا، لواط و یا گناهی که مخفیانه انجام داده، اقرار می‌کند، معنای این اقرار، ندامت، پشیمانی و توبه است؛ و برای تطهیر نفس و تخفیف عذاب آخرت دست به چنین کاری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چند روایات خالی از این قید است، امّا به آن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تمام نیست؛ زیرا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اقرار ندامت نیست؛ بلکه برای تخفیف عذاب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از ارتکاب و تکرار عمل پشیمان است، ملازمه‌ای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تخفیف عذاب آخرت اقرار کند تا حدّ بر او جاری شود و از عذاب آخرت در امان بماند؛ علاوه آن‌که همه‌ی حدود که قتل و کشته شدن نیست، تا پس از دیدن مکافات نتواند دوباره دنبال آن عمل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اقراری که برای تهذیب نفس و تخفیف عذاب است، با ندامت و پشیمانی ملازمه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با توبه ملازمه دارد، چرا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ثمّ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توبه را زائد بر اقرار گرفته‌اند؛ و به عبارت دیگر، باید یک توبه‌ی رسمی و مستقل علاوه بر اقرار از او سر زند تا حاکم بتواند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در پاسخ گفته‌اند، ربطی به فتاوی قوم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دوّمی که از این جهت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هادی علیه السلام است که به توبه اشعار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 قدم شدن، بدون سابقه و اکراه تن به کاری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اشعاری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اشعار، اگر به حدّ ظهور نرسد،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ظهور کلمات اختلاف است، تا چه برسد به اشعار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اصل حکم را با روایات، و اعتبار قید توبه را با اجماع اثبات کرد؟ همه‌ی فقها قید توبه را آورده و در آن اشکال نکرده‌اند؛ البته در میان متأخّران، بعضی مناقشه دارند؛ امّا قدما و متوسّطین و بیشتر متأخّرین این قید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است با چنین اجماعی، بتوان مطلب را ثابت کرد؛ زیرا، می‌دانیم مستند همه‌ی فقها در این حکم، روایات است و مدرکی غیر از آن‌ها در دست آنان نبوده است؛ و این اخبار هیچ دلالتی بر قید توبه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اعتبار این قید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اقرار حدّ ساقط می‌شود، و صحبتی از امام و حاکم شرع به میان نمی‌آورند؛ اگر چنین باشد، برای توبه نقشی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مسأله را به اختیار امام و حاکم شرع می‌گذارند و گفته می‌شود اگر جرم با اقرار ثابت شد، عنان و اختیارش به دست حاکم است؛ می‌تواند عفو یا اقامه‌ی حدّ کند؛ و به تعبیر امیرمؤمنان علیه السلام در این روایت هبه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بخشیدن و عفو کردن باید زمینه‌ی مناسبی داشته باشد؛ زیرا، در واقع، این عفو و بخشش شعبه‌ای از عفو و مغفرت الهی است که در مورد توبه جاری 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نیز باید با توبه زمینه‌ی عفو آماده باشد، تا امام ببخشد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علیه السلام بدون مناسبت ببخشد، اعتراض اشعث جا دارد که چرا حدّی از حدود خدا</w:t>
      </w:r>
      <w:bookmarkStart w:id="515" w:name="pg16919_227061"/>
    </w:p>
    <w:p>
      <w:pPr>
        <w:pStyle w:val="BookText"/>
        <w:rPr/>
      </w:pPr>
      <w:bookmarkEnd w:id="515"/>
      <w:r>
        <w:rPr>
          <w:rFonts w:ascii="IRNazanin" w:hAnsi="IRNazanin" w:eastAsia="IRNazanin"/>
          <w:color w:val="111111"/>
          <w:sz w:val="28"/>
          <w:sz w:val="28"/>
          <w:szCs w:val="28"/>
          <w:rtl w:val="true"/>
          <w:lang w:bidi="fa-IR"/>
        </w:rPr>
        <w:t>را تعطیل می‌کنی؟ با توجّه به اتّفاق فقها و مناسبت بین عفو و توبه، انسان مطمئن به تأثیر توبه در عفو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 ادلّه جمود داشته باشد، می‌تواند برای توبه نقشی قائل نشود؛ امّا با وجود اتّفاق فتاوا بر نقش آن، فقیه جرأت نمی‌کند منکر تأثیر توبه شود</w:t>
      </w:r>
      <w:r>
        <w:rPr>
          <w:rFonts w:eastAsia="IRNazanin" w:cs="IRNazanin"/>
          <w:color w:val="111111"/>
          <w:sz w:val="28"/>
          <w:szCs w:val="28"/>
          <w:rtl w:val="true"/>
          <w:lang w:bidi="fa-IR"/>
        </w:rPr>
        <w:t>.</w:t>
      </w:r>
    </w:p>
    <w:p>
      <w:pPr>
        <w:pStyle w:val="Heading5"/>
        <w:numPr>
          <w:ilvl w:val="4"/>
          <w:numId w:val="1"/>
        </w:numPr>
        <w:rPr/>
      </w:pPr>
      <w:bookmarkStart w:id="516" w:name="__RefHeading___Toc78976_3244359995"/>
      <w:bookmarkStart w:id="517" w:name="_Toc196"/>
      <w:bookmarkEnd w:id="516"/>
      <w:r>
        <w:rPr>
          <w:rtl w:val="true"/>
        </w:rPr>
        <w:t>فرع دوم</w:t>
      </w:r>
      <w:r>
        <w:rPr>
          <w:rtl w:val="true"/>
        </w:rPr>
        <w:t xml:space="preserve">: </w:t>
      </w:r>
      <w:r>
        <w:rPr>
          <w:rtl w:val="true"/>
        </w:rPr>
        <w:t>تعمیم حکم اختیار به فقیه جامع الشرایط‌</w:t>
      </w:r>
      <w:bookmarkEnd w:id="517"/>
    </w:p>
    <w:p>
      <w:pPr>
        <w:pStyle w:val="BookText"/>
        <w:rPr/>
      </w:pPr>
      <w:r>
        <w:rPr>
          <w:rFonts w:ascii="IRNazanin" w:hAnsi="IRNazanin" w:eastAsia="IRNazanin"/>
          <w:color w:val="111111"/>
          <w:sz w:val="28"/>
          <w:sz w:val="28"/>
          <w:szCs w:val="28"/>
          <w:rtl w:val="true"/>
          <w:lang w:bidi="fa-IR"/>
        </w:rPr>
        <w:t>آیا مراد از امامی که اختیار عفو یا اجرای حدّ به عهده‌ی اوست، امام اصل و امام معصوم علیه السلام است و یا حکم، به نوّاب عامّ امام زمان عجّل اللّه فرجه الشریف نیز تعمیم دارد؟</w:t>
      </w:r>
    </w:p>
    <w:p>
      <w:pPr>
        <w:pStyle w:val="BookText"/>
        <w:rPr/>
      </w:pPr>
      <w:r>
        <w:rPr>
          <w:rFonts w:ascii="IRNazanin" w:hAnsi="IRNazanin" w:eastAsia="IRNazanin"/>
          <w:color w:val="111111"/>
          <w:sz w:val="28"/>
          <w:sz w:val="28"/>
          <w:szCs w:val="28"/>
          <w:rtl w:val="true"/>
          <w:lang w:bidi="fa-IR"/>
        </w:rPr>
        <w:t xml:space="preserve">در روایاتی که مطرح شد،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ظهور این واژه هر چند در امام معصوم علیه السلام است، امّا با توجّه به این که بحث در اجرای حدود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ثابت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مخصوص امام معصوم علیه السلام نیست، بلکه فقها نیز در زمان غیبت می‌توانند و بلکه باید به اقامه‌ی حدود بپردازند، معلوم می‌شود که مراد، خصوص امام معصوم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عفو نیز یکی از شؤون اجرای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حدود دو ضابطه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جرمی با بیّنه ثابت شود، هیچ کس حقّ عفو حدّ آن را ندارد، و باید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جرمی با اقرار ثابت شد و مقرّ تائب بود، امام، مختار در عفو یا اقامه‌ی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اختصاصی معصوم علیه السلام است و به مسأله‌ی اجرای حدّ ربطی ندارد؟ این احتمال خیلی ضعیف است؛ زیرا مسأله‌ی عفو یکی از شؤونات مُجری حدّ است؛ و به فردی که حدّ را اقامه می‌کند، این اختیار داده شده است که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تعبیری است که در روایت امام هادی علیه السلام ملاحظه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للإمام أن یعاقب عن اللّه کان له أن یمنّ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یعنی شخصی می‌تواند منّت گذاشته و عفو کند که حقّ اجرای عقوبت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باشد و یا اعم از او و نوّاب عامّش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اجرای حدّ و عفو ملازمه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مباحث گذشته، تعمیم حکم نسبت به حاکم شرع و فقها در زمان غیبت است</w:t>
      </w:r>
      <w:r>
        <w:rPr>
          <w:rFonts w:eastAsia="IRNazanin" w:cs="IRNazanin"/>
          <w:color w:val="111111"/>
          <w:sz w:val="28"/>
          <w:szCs w:val="28"/>
          <w:rtl w:val="true"/>
          <w:lang w:bidi="fa-IR"/>
        </w:rPr>
        <w:t>.</w:t>
      </w:r>
      <w:bookmarkStart w:id="518" w:name="pg16919_227062"/>
    </w:p>
    <w:p>
      <w:pPr>
        <w:pStyle w:val="Heading5"/>
        <w:numPr>
          <w:ilvl w:val="4"/>
          <w:numId w:val="1"/>
        </w:numPr>
        <w:rPr/>
      </w:pPr>
      <w:bookmarkStart w:id="519" w:name="__RefHeading___Toc78978_3244359995"/>
      <w:bookmarkStart w:id="520" w:name="_Toc197"/>
      <w:bookmarkEnd w:id="518"/>
      <w:bookmarkEnd w:id="519"/>
      <w:r>
        <w:rPr>
          <w:rtl w:val="true"/>
        </w:rPr>
        <w:t>فرع سوم</w:t>
      </w:r>
      <w:r>
        <w:rPr>
          <w:rtl w:val="true"/>
        </w:rPr>
        <w:t xml:space="preserve">: </w:t>
      </w:r>
      <w:r>
        <w:rPr>
          <w:rtl w:val="true"/>
        </w:rPr>
        <w:t>تعمیم حکم اختیار، نسبت به هر حدّی</w:t>
      </w:r>
      <w:bookmarkEnd w:id="520"/>
    </w:p>
    <w:p>
      <w:pPr>
        <w:pStyle w:val="BookText"/>
        <w:rPr/>
      </w:pPr>
      <w:r>
        <w:rPr>
          <w:rFonts w:ascii="IRNazanin" w:hAnsi="IRNazanin" w:eastAsia="IRNazanin"/>
          <w:color w:val="111111"/>
          <w:sz w:val="28"/>
          <w:sz w:val="28"/>
          <w:szCs w:val="28"/>
          <w:rtl w:val="true"/>
          <w:lang w:bidi="fa-IR"/>
        </w:rPr>
        <w:t>اطلاق فتوای اصحاب بیانگر تعمیم حکم نسبت به هر حدّی از حدود اللّه است؛ حدّ سرقت، حدّ زنا، حدّ شرب خمر، حدّ قذف، و به طور کلّی در مطلق حدود، امام علیه السلام و حاکم بین عفو و اقامه‌ی حدّ مختار هستند، نه فقط در باب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این باب رسیده بود، موضوع آن‌ها سرقت و لواط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تعمیم دارد و شامل هر حدّی می‌شود و یا بین روایات و فتاوا اختلاف است؟</w:t>
      </w:r>
    </w:p>
    <w:p>
      <w:pPr>
        <w:pStyle w:val="BookText"/>
        <w:rPr/>
      </w:pPr>
      <w:r>
        <w:rPr>
          <w:rFonts w:ascii="IRNazanin" w:hAnsi="IRNazanin" w:eastAsia="IRNazanin"/>
          <w:color w:val="111111"/>
          <w:sz w:val="28"/>
          <w:sz w:val="28"/>
          <w:szCs w:val="28"/>
          <w:rtl w:val="true"/>
          <w:lang w:bidi="fa-IR"/>
        </w:rPr>
        <w:t>مرحوم فاضل هندی در کشف اللثام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 که از حقوق اللّه خالص باشد و هیچ حقّی از مردم در آن نقش داشته باشد، اگر با اقرار ثابت شود، امام حقّ عفو دارد؛ امّا حدودی که با حق الناس سروکار دارد، حاکم حقّ عفو ندارد؛ مانند حدّ قذف که به چند چیز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شخص مقذوف به عمل قذفی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مقذوف از قاذف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اقامه‌ی بیّنه توسط قاذف بر وقوع آن فعل از مقذوف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قاذف مرد است و مقذوف همسر او، لعان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عفو امام در جمله‌ی مسقطات قذف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با اقرار، امام حقّ عفو ندارد، سرقت است؛ باید حتماً حدّ جاری شود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منشأ تفصیلی که در کشف اللثام آمده، روایت ضریس کناسی است؛ که می‌گوید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الحدود الّتی للّه‌دون الإمام، فأمّا ما کان من حقّ النّاس فی حدّ فلا بأس بأن یعفی عنه دون الإمام</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آیا این روایت بر مطلوب ایشان دلالت دارد؟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فقط حق اللّه و به او ارتباط دارد و حقّ مردم در آن مطرح نیست، کسی غیر از امام نمی‌تواند عفو کند، امّا حدودی که مردم نیز در آن حقّ دارند، مانعی ندارد که‌غیر امام نیز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توهّم، جمله‌ی دوم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امام علیه السلام این باشد که عفوِ در حدودِ مربوط به مردم، مخصوص به صاحب حقّ بوده و غیر او هیچ کس حقّ عفو ندارد، در این صورت، بر مطلوب فاضل هندی رحمه الله دلالت دارد؛ امّا اگر امام علیه السلام در مقام بیان تفصیل بین حدود است که چه حدّی را غیر امام می‌تواند عفو کند و چه حدّی را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نسبت به غیر امام تفصیل می‌دهد و کاری به امام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کمک اطلاق روایات دیگر حکم را به تمام حدود تعمیم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از کدام قسمت روایت معنای اوّل استفاده می‌شود؟ این عبارت، هیچ دلالتی بر این برداشت ندارد؛ بنابراین، اگر در حدّ سرقت مخصّصی نداشته باشیم تا آن را خارج کنیم، در تمام حدود فتوا به اختیار حاکم می‌دهیم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یک‌بار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اختیار امام در حدود حقّ‌الناسی نداریم؛ که این مطلب را ردّ کردیم؛ چرا که ادلّه اطلاق داشت و روایت ضریس نیز منافاتی با اطلاقش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لیکن مخصّص رسیده و بعضی از حدود را خارج کرده است؛ بحث ما در قسمت اخیر است که توانستیم اطلاق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بیان فاضل هندی رحمه الله هر چند مورد تأیید صاحب ریاض رحمه الله هم واقع شده است، لیکن تمام نیست</w:t>
      </w:r>
      <w:r>
        <w:rPr>
          <w:rFonts w:eastAsia="IRNazanin" w:cs="IRNazanin"/>
          <w:color w:val="111111"/>
          <w:sz w:val="28"/>
          <w:szCs w:val="28"/>
          <w:rtl w:val="true"/>
          <w:lang w:bidi="fa-IR"/>
        </w:rPr>
        <w:t>.</w:t>
      </w:r>
      <w:bookmarkStart w:id="521" w:name="pg16919_227064"/>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المرأة الّتی لا بعل لها إذا حملت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حملت المرأة الّتی لا بعل لها، لم تحدّ إلّامع الإقرار بالزنا أربعاً أو تقوم البیّنة علی ذلک ولیس علی أحد سؤالها ولا التفتیش عن الواقعة</w:t>
      </w:r>
      <w:r>
        <w:rPr>
          <w:rFonts w:eastAsia="IRNazanin" w:cs="IRNazanin"/>
          <w:color w:val="111111"/>
          <w:sz w:val="28"/>
          <w:szCs w:val="28"/>
          <w:rtl w:val="true"/>
          <w:lang w:bidi="fa-IR"/>
        </w:rPr>
        <w:t>.</w:t>
      </w:r>
    </w:p>
    <w:p>
      <w:pPr>
        <w:pStyle w:val="Heading4"/>
        <w:numPr>
          <w:ilvl w:val="3"/>
          <w:numId w:val="1"/>
        </w:numPr>
        <w:rPr/>
      </w:pPr>
      <w:bookmarkStart w:id="522" w:name="__RefHeading___Toc78980_3244359995"/>
      <w:bookmarkStart w:id="523" w:name="_Toc198"/>
      <w:bookmarkEnd w:id="522"/>
      <w:r>
        <w:rPr>
          <w:rtl w:val="true"/>
        </w:rPr>
        <w:t>حکم زنی که بدون شوهر حامله شده است</w:t>
      </w:r>
      <w:bookmarkEnd w:id="523"/>
    </w:p>
    <w:p>
      <w:pPr>
        <w:pStyle w:val="Heading5"/>
        <w:numPr>
          <w:ilvl w:val="4"/>
          <w:numId w:val="1"/>
        </w:numPr>
        <w:rPr/>
      </w:pPr>
      <w:bookmarkStart w:id="524" w:name="__RefHeading___Toc78982_3244359995"/>
      <w:bookmarkStart w:id="525" w:name="_Toc199"/>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بدون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بکر یا ثیّب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به مجرّد حامله بودن نمی‌توان بر او حدّ زنا جاری کرد؛ مگر این‌که چهار مرتبه اقرار به زنا کند و یا بیّنه‌ی معتبر بر وقوع زنا قائم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حقّ تفتیش و تحقیق ندارد؛ لذا، حاکم شرع و غیر او وظیفه ندارند درباره‌ی او جستجو کند</w:t>
      </w:r>
      <w:r>
        <w:rPr>
          <w:rFonts w:eastAsia="IRNazanin" w:cs="IRNazanin"/>
          <w:color w:val="111111"/>
          <w:sz w:val="28"/>
          <w:szCs w:val="28"/>
          <w:rtl w:val="true"/>
          <w:lang w:bidi="fa-IR"/>
        </w:rPr>
        <w:t>.</w:t>
      </w:r>
    </w:p>
    <w:p>
      <w:pPr>
        <w:pStyle w:val="Heading5"/>
        <w:numPr>
          <w:ilvl w:val="4"/>
          <w:numId w:val="1"/>
        </w:numPr>
        <w:rPr/>
      </w:pPr>
      <w:bookmarkStart w:id="526" w:name="__RefHeading___Toc78984_3244359995"/>
      <w:bookmarkStart w:id="527" w:name="_Toc200"/>
      <w:bookmarkEnd w:id="526"/>
      <w:r>
        <w:rPr>
          <w:rtl w:val="true"/>
        </w:rPr>
        <w:t>فرع اوّل</w:t>
      </w:r>
      <w:r>
        <w:rPr>
          <w:rtl w:val="true"/>
        </w:rPr>
        <w:t xml:space="preserve">: </w:t>
      </w:r>
      <w:r>
        <w:rPr>
          <w:rtl w:val="true"/>
        </w:rPr>
        <w:t>عدم دلالت حمل بر زنا</w:t>
      </w:r>
      <w:bookmarkEnd w:id="527"/>
    </w:p>
    <w:p>
      <w:pPr>
        <w:pStyle w:val="BookText"/>
        <w:rPr/>
      </w:pPr>
      <w:r>
        <w:rPr>
          <w:rFonts w:ascii="IRNazanin" w:hAnsi="IRNazanin" w:eastAsia="IRNazanin"/>
          <w:color w:val="111111"/>
          <w:sz w:val="28"/>
          <w:sz w:val="28"/>
          <w:szCs w:val="28"/>
          <w:rtl w:val="true"/>
          <w:lang w:bidi="fa-IR"/>
        </w:rPr>
        <w:t>وجود حمل، دلیل بر وقوع زنا نیست؛ چه آن‌که ممکن است این زن به واسطه‌ی اکراه به زنا، یا وطی به شبهه و یا جذب منی مرد توسّط رحم در حمّام یا غیر آن، آبستن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احتمال‌ها و راه‌های مختلف برای حمل، نمی‌توان مجرّد آبستنی را دلیل بر زنا گرفت؛ و بر این زن حدّ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پیشوایان اهل سنّت، حمل را شاهد و بیّنه زنا دانسته و حکم به حدّ زن داده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در توجیه کلامش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اکراه و عدم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توجیه،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صورت تحقّق دخول و جماع جاری است، امّا با احتمال این‌که اصلاً فعلی از او سر نزده، جایی برای این حرف‌ها نیست</w:t>
      </w:r>
      <w:r>
        <w:rPr>
          <w:rFonts w:eastAsia="IRNazanin" w:cs="IRNazanin"/>
          <w:color w:val="111111"/>
          <w:sz w:val="28"/>
          <w:szCs w:val="28"/>
          <w:rtl w:val="true"/>
          <w:lang w:bidi="fa-IR"/>
        </w:rPr>
        <w:t>.</w:t>
      </w:r>
    </w:p>
    <w:p>
      <w:pPr>
        <w:pStyle w:val="Heading5"/>
        <w:numPr>
          <w:ilvl w:val="4"/>
          <w:numId w:val="1"/>
        </w:numPr>
        <w:rPr/>
      </w:pPr>
      <w:bookmarkStart w:id="528" w:name="__RefHeading___Toc78986_3244359995"/>
      <w:bookmarkStart w:id="529" w:name="_Toc201"/>
      <w:bookmarkEnd w:id="528"/>
      <w:r>
        <w:rPr>
          <w:rtl w:val="true"/>
        </w:rPr>
        <w:t>فرع دوم</w:t>
      </w:r>
      <w:r>
        <w:rPr>
          <w:rtl w:val="true"/>
        </w:rPr>
        <w:t xml:space="preserve">: </w:t>
      </w:r>
      <w:r>
        <w:rPr>
          <w:rtl w:val="true"/>
        </w:rPr>
        <w:t>عدم جواز تفتیش و سؤال</w:t>
      </w:r>
      <w:bookmarkEnd w:id="52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تحقّق موضوع زنا، وظیفه ایجاب نمی‌کند که از زن بازجویی شود تا معلوم گردد</w:t>
      </w:r>
    </w:p>
    <w:p>
      <w:pPr>
        <w:pStyle w:val="BookText"/>
        <w:rPr/>
      </w:pPr>
      <w:r>
        <w:rPr>
          <w:rFonts w:ascii="IRNazanin" w:hAnsi="IRNazanin" w:eastAsia="IRNazanin"/>
          <w:color w:val="111111"/>
          <w:sz w:val="28"/>
          <w:sz w:val="28"/>
          <w:szCs w:val="28"/>
          <w:rtl w:val="true"/>
          <w:lang w:bidi="fa-IR"/>
        </w:rPr>
        <w:t>زنِ بدون شوهر از چه راهی آبستن شده است؟</w:t>
      </w:r>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وظیفه‌ای به عهده‌ی حاکم شرع یا غیر او گذاشته نشده است، و دلیلی بر لزوم تفحّص و جواز آن نداریم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مبسوط فرموده است تفحّص و تفتیش واجب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ولی کلام ایشان تمام نیست؛ زیرا، با عدم دلیل بر وجوب، نه تنها وجوبی نیست؛ بلکه می‌توان به حرمت تفتیش فتوا داد</w:t>
      </w:r>
      <w:r>
        <w:rPr>
          <w:rFonts w:eastAsia="IRNazanin" w:cs="IRNazanin"/>
          <w:color w:val="111111"/>
          <w:sz w:val="28"/>
          <w:szCs w:val="28"/>
          <w:rtl w:val="true"/>
          <w:lang w:bidi="fa-IR"/>
        </w:rPr>
        <w:t>.</w:t>
      </w:r>
      <w:bookmarkStart w:id="530" w:name="pg16919_227066"/>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الزنا فی حقّ الغیر إذا أقرّ بها الزانی أو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أربعاً أنّه زنی بامرأة حدّ دونها وإن صرّح بأنّها طاوعته علی الزنا وکذا لو أقرّت أربعاً بأنّه زنی بی وأنا طاوعته حدّت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أربعاً و وط‌ء امرأة ولم یعترف بالزنا لا یثبت علیه حدّ وإن ثبت أنّ المرأة لم تکن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فی الفرض أنّها زوجته وأنکرت هی الوط‌ء والزوجیّة لم یثبت علیه حدّ ولا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ادّعت أنّه أکرهها علی الزنا أو تشبّه علیها فلا حدّ علی أحد منهما</w:t>
      </w:r>
      <w:r>
        <w:rPr>
          <w:rFonts w:eastAsia="IRNazanin" w:cs="IRNazanin"/>
          <w:color w:val="111111"/>
          <w:sz w:val="28"/>
          <w:szCs w:val="28"/>
          <w:rtl w:val="true"/>
          <w:lang w:bidi="fa-IR"/>
        </w:rPr>
        <w:t>.</w:t>
      </w:r>
    </w:p>
    <w:p>
      <w:pPr>
        <w:pStyle w:val="Heading4"/>
        <w:numPr>
          <w:ilvl w:val="3"/>
          <w:numId w:val="1"/>
        </w:numPr>
        <w:rPr/>
      </w:pPr>
      <w:bookmarkStart w:id="531" w:name="__RefHeading___Toc78988_3244359995"/>
      <w:bookmarkStart w:id="532" w:name="_Toc202"/>
      <w:bookmarkEnd w:id="531"/>
      <w:r>
        <w:rPr>
          <w:rtl w:val="true"/>
        </w:rPr>
        <w:t>عدم تأثیر اقرار زانی در ثبوت حدّ بر دیگری</w:t>
      </w:r>
      <w:bookmarkEnd w:id="532"/>
    </w:p>
    <w:p>
      <w:pPr>
        <w:pStyle w:val="BookText"/>
        <w:rPr/>
      </w:pPr>
      <w:r>
        <w:rPr>
          <w:rFonts w:ascii="IRNazanin" w:hAnsi="IRNazanin" w:eastAsia="IRNazanin"/>
          <w:color w:val="111111"/>
          <w:sz w:val="28"/>
          <w:sz w:val="28"/>
          <w:szCs w:val="28"/>
          <w:rtl w:val="true"/>
          <w:lang w:bidi="fa-IR"/>
        </w:rPr>
        <w:t>در این مسأله چهار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چهار مرتبه به زنای با زنی اقرار کند، بر او حدّ جاری می‌شود؛ امّا به زن حدّ نمی‌زنند؛ هر چند آن مرد به مطاوعت و میل و رغبت زن تصریح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زنی به زنای مردی با او چهار مرتبه اقرار کند، حدّ می‌خورد؛ امّا به مرد حدّ زده نمی‌شود؛ هر چند زن ادّعا کند آن مرد با میل و رغبت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فتوا، عبارت است از این‌که اقرار مقِرّ در حقّ خودش نافذ است و نسبت به دیگری فایده ندارد؛ و فرض این است‌که طرف مقابل نه اقراری کرده و نه بیّنه‌ای بر زنایش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چهار بار اقرار کرد که با زنی وطی کرده‌ام،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زنا اعتراف نکرد، هر چند ثابت شود این موطوئه همسر و زوجه‌ی او نیست، با این‌حال، به این مرد و زن حدّ نمی‌زنند؛ زیرا، ممکن است وطی به شبهه باشد و با وجود احتمال، حدّ ساقط 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سابق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زوجه‌ی من است و چهار بار اقرار به وطی کند، ولی زن منکر وطی و زوجیّت شد، بر مرد، حدّ و مهری نیست و بر زن حدّ زده نمی‌شود و به او نیز مهری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نیز این است‌که مرد ادّعا دارد به زوجه‌اش وطی کرده است؛ پس، اقرار به زنا نبوده و زنا ثابت نمی‌شود؛ از طرف دیگر نیز زن انکار وطی و زوجیّت می‌کند؛ پس، به نفع او مهری اثبات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ادّعا کند فلان شخص مرا به زنا اکراه کرد، یا حال را بر من مشتبه کرد و من فکر می‌کردم او شوهرم هست، امّا او می‌دانست من زوجه‌ی او نیستم و با این وصف با من زنا کرد، بر هیچ‌کدام حدّ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فرع آن است‌که به مجرّد ادّعای زن، زنای مرد اثبات نمی‌شود تا حدّ بخورد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زن نیز با ادّعای شبهه یا اکراه، حدّی واجب نمی‌شود</w:t>
      </w:r>
      <w:r>
        <w:rPr>
          <w:rFonts w:eastAsia="IRNazanin" w:cs="IRNazanin"/>
          <w:color w:val="111111"/>
          <w:sz w:val="28"/>
          <w:szCs w:val="28"/>
          <w:rtl w:val="true"/>
          <w:lang w:bidi="fa-IR"/>
        </w:rPr>
        <w:t>.</w:t>
      </w:r>
      <w:bookmarkStart w:id="533" w:name="pg16919_227068"/>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الزنا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الزنا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أن لا تکون أقلّ من أربعة رجال أو ثلاثة رجال وامرأتین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تقبل شهادة النساء منفردات ولا شهادة رجل وستّ نساء فیه، ولا شهادة رجلین وأربع نساء فی الرجم ویثبت بها الحدّ دون الرجم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ما دون الأربعة وما فی حکمها لم یثبت الحدّ رجماً ولا جلداً بل حدّوا للفریة</w:t>
      </w:r>
      <w:r>
        <w:rPr>
          <w:rFonts w:eastAsia="IRNazanin" w:cs="IRNazanin"/>
          <w:color w:val="111111"/>
          <w:sz w:val="28"/>
          <w:szCs w:val="28"/>
          <w:rtl w:val="true"/>
          <w:lang w:bidi="fa-IR"/>
        </w:rPr>
        <w:t>.</w:t>
      </w:r>
    </w:p>
    <w:p>
      <w:pPr>
        <w:pStyle w:val="Heading4"/>
        <w:numPr>
          <w:ilvl w:val="3"/>
          <w:numId w:val="1"/>
        </w:numPr>
        <w:rPr/>
      </w:pPr>
      <w:bookmarkStart w:id="534" w:name="__RefHeading___Toc78990_3244359995"/>
      <w:bookmarkStart w:id="535" w:name="_Toc203"/>
      <w:bookmarkEnd w:id="534"/>
      <w:r>
        <w:rPr>
          <w:rtl w:val="true"/>
        </w:rPr>
        <w:t>ثبوت زنا به شهادت عدول</w:t>
      </w:r>
      <w:bookmarkEnd w:id="535"/>
    </w:p>
    <w:p>
      <w:pPr>
        <w:pStyle w:val="Heading5"/>
        <w:numPr>
          <w:ilvl w:val="4"/>
          <w:numId w:val="1"/>
        </w:numPr>
        <w:rPr/>
      </w:pPr>
      <w:bookmarkStart w:id="536" w:name="__RefHeading___Toc78992_3244359995"/>
      <w:bookmarkStart w:id="537" w:name="_Toc204"/>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در این مسأله چند مطلب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زنا به 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رجم و جلد، با شهادت چهار مرد یا سه مرد و دو زن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زنان به تنهایی یا شش زن و یک مرد مفید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شهادت دو مرد و چهار زن رجم ثابت نمی‌شود، ولی حدّ اثبات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تعداد شهود کمتر از مقدار مذکور و معتبر باشد، حدّ و رجمی ثابت نشده، و به آنان حدّ قذف می‌زنند</w:t>
      </w:r>
      <w:r>
        <w:rPr>
          <w:rFonts w:eastAsia="IRNazanin" w:cs="IRNazanin"/>
          <w:color w:val="111111"/>
          <w:sz w:val="28"/>
          <w:szCs w:val="28"/>
          <w:rtl w:val="true"/>
          <w:lang w:bidi="fa-IR"/>
        </w:rPr>
        <w:t>.</w:t>
      </w:r>
    </w:p>
    <w:p>
      <w:pPr>
        <w:pStyle w:val="Heading5"/>
        <w:numPr>
          <w:ilvl w:val="4"/>
          <w:numId w:val="1"/>
        </w:numPr>
        <w:rPr/>
      </w:pPr>
      <w:bookmarkStart w:id="538" w:name="__RefHeading___Toc78994_3244359995"/>
      <w:bookmarkStart w:id="539" w:name="_Toc205"/>
      <w:bookmarkEnd w:id="538"/>
      <w:r>
        <w:rPr>
          <w:rtl w:val="true"/>
        </w:rPr>
        <w:t>فرع اوّل</w:t>
      </w:r>
      <w:r>
        <w:rPr>
          <w:rtl w:val="true"/>
        </w:rPr>
        <w:t xml:space="preserve">: </w:t>
      </w:r>
      <w:r>
        <w:rPr>
          <w:rtl w:val="true"/>
        </w:rPr>
        <w:t>اثبات زنا به بیّنه</w:t>
      </w:r>
      <w:bookmarkEnd w:id="539"/>
    </w:p>
    <w:p>
      <w:pPr>
        <w:pStyle w:val="BookText"/>
        <w:rPr/>
      </w:pPr>
      <w:r>
        <w:rPr>
          <w:rFonts w:ascii="IRNazanin" w:hAnsi="IRNazanin" w:eastAsia="IRNazanin"/>
          <w:color w:val="111111"/>
          <w:sz w:val="28"/>
          <w:sz w:val="28"/>
          <w:szCs w:val="28"/>
          <w:rtl w:val="true"/>
          <w:lang w:bidi="fa-IR"/>
        </w:rPr>
        <w:t>ادلّه‌ی این مطلب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حجّیت بیّنه عمومیّت داشته و شامل زنا نیز می‌شود؛ مانند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إبراهیم، عن هارون بن مسلم، عن مسعدة بن صدقة، عن أبی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روایات دیگری نیز در حجّیت بیّنه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معنا جای تردید نیست که بیّنه یکی از راه‌های اثبات زنا است</w:t>
      </w:r>
      <w:r>
        <w:rPr>
          <w:rFonts w:eastAsia="IRNazanin" w:cs="IRNazanin"/>
          <w:color w:val="111111"/>
          <w:sz w:val="28"/>
          <w:szCs w:val="28"/>
          <w:rtl w:val="true"/>
          <w:lang w:bidi="fa-IR"/>
        </w:rPr>
        <w:t>.</w:t>
      </w:r>
      <w:bookmarkStart w:id="540" w:name="pg16919_227069"/>
    </w:p>
    <w:p>
      <w:pPr>
        <w:pStyle w:val="Heading5"/>
        <w:numPr>
          <w:ilvl w:val="4"/>
          <w:numId w:val="1"/>
        </w:numPr>
        <w:rPr/>
      </w:pPr>
      <w:bookmarkStart w:id="541" w:name="__RefHeading___Toc78996_3244359995"/>
      <w:bookmarkStart w:id="542" w:name="_Toc206"/>
      <w:bookmarkEnd w:id="540"/>
      <w:bookmarkEnd w:id="541"/>
      <w:r>
        <w:rPr>
          <w:rtl w:val="true"/>
        </w:rPr>
        <w:t>فرع دوم</w:t>
      </w:r>
      <w:r>
        <w:rPr>
          <w:rtl w:val="true"/>
        </w:rPr>
        <w:t xml:space="preserve">: </w:t>
      </w:r>
      <w:r>
        <w:rPr>
          <w:rtl w:val="true"/>
        </w:rPr>
        <w:t>اثبات زنا با شهادت چهار مرد عادل</w:t>
      </w:r>
      <w:bookmarkEnd w:id="542"/>
    </w:p>
    <w:p>
      <w:pPr>
        <w:pStyle w:val="BookText"/>
        <w:rPr/>
      </w:pPr>
      <w:r>
        <w:rPr>
          <w:rFonts w:ascii="IRNazanin" w:hAnsi="IRNazanin" w:eastAsia="IRNazanin"/>
          <w:color w:val="111111"/>
          <w:sz w:val="28"/>
          <w:sz w:val="28"/>
          <w:szCs w:val="28"/>
          <w:rtl w:val="true"/>
          <w:lang w:bidi="fa-IR"/>
        </w:rPr>
        <w:t>اگر چهار مرد عادل به وقوع زنا شهادت دهند، بدون هیچ شبهه‌ای زنا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آیات و روایاتی است که به برخی از آن‌ها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Style w:val="FootnoteAnchor"/>
          <w:rtl w:val="true"/>
        </w:rPr>
        <w:footnoteReference w:id="501"/>
      </w:r>
      <w:r>
        <w:rPr>
          <w:rFonts w:ascii="IRNazanin" w:hAnsi="IRNazanin" w:eastAsia="IRNazanin"/>
          <w:color w:val="111111"/>
          <w:sz w:val="28"/>
          <w:sz w:val="28"/>
          <w:szCs w:val="28"/>
          <w:rtl w:val="true"/>
          <w:lang w:bidi="fa-IR"/>
        </w:rPr>
        <w:t xml:space="preserve">کسانی که به زنان عفیف و پاکدامن نسبت زنا می‌دهند و چهار شاهد بر اثبات آن نمی‌آورند، باید به آنان حدّ قذف، یعنی هشتاد تازیانه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از گناهان موجب فسق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آنان پذیرفته نمی‌شود؛ زیرا، فاسق هستند؛ مگر آن افرادی که پس از قذف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آیه در مورد قذف وارد شده، ولی از آن استفاده می‌شود که اگر چهار مرد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تحقّق زنا بدهند، دیگر رمی و قذف نخواهد بود و حدّ قذف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یَرْمُونَ أَزْواجَهُمْ وَ لَمْ یَکُنْ لَهُمْ شُهَداءُ إِلاّ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جاؤُ عَلَیْهِ بِأَرْبَعَةِ شُهَداءَ فَإِذْ لَمْ یَأْتُوا بِالشُّهَداءِ فَأُولئِکَ عِنْدَ اللّهِ هُمُ الْکاذِبُونَ مردانی که به همسرانشان نسبت زنا می‌دهند و گواه و شاهدی بر آن غیر از خودشان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کیفیّت لعان را مطرح تا به این‌جا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شاهد نیاوردند؟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آیه استفاده می‌شود که اگر چهار شاهد وجود داشته باشد، مسأله تمام، و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مهم‌ترین آیاتی است که در باب زنا بر چهار شاهد عادل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نور ابتدا به بیان حدّ مرد و زن زناکار پرداخته، پس از آن، مسأله قذف و لعان را پیش می‌آورد؛ ارتباط آیات و تناسب، دلالت بر اثبات زنا به چهار شاهد عادل و</w:t>
      </w:r>
    </w:p>
    <w:p>
      <w:pPr>
        <w:pStyle w:val="BookText"/>
        <w:rPr/>
      </w:pPr>
      <w:r>
        <w:rPr>
          <w:rFonts w:ascii="IRNazanin" w:hAnsi="IRNazanin" w:eastAsia="IRNazanin"/>
          <w:color w:val="111111"/>
          <w:sz w:val="28"/>
          <w:sz w:val="28"/>
          <w:szCs w:val="28"/>
          <w:rtl w:val="true"/>
          <w:lang w:bidi="fa-IR"/>
        </w:rPr>
        <w:t>اجرای حدّ زناکار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بر لزوم چهار شاهد عادل دلالت دارد، این آیه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Style w:val="FootnoteAnchor"/>
          <w:rtl w:val="true"/>
        </w:rPr>
        <w:footnoteReference w:id="502"/>
      </w:r>
      <w:r>
        <w:rPr>
          <w:rFonts w:ascii="IRNazanin" w:hAnsi="IRNazanin" w:eastAsia="IRNazanin"/>
          <w:color w:val="111111"/>
          <w:sz w:val="28"/>
          <w:sz w:val="28"/>
          <w:szCs w:val="28"/>
          <w:rtl w:val="true"/>
          <w:lang w:bidi="fa-IR"/>
        </w:rPr>
        <w:t>زنانی که مرتکب عمل زشت شده‌اند، چهار شاهد مرد از شما بر آنان شهادت دهید؛ پس از شهادت آنان، زنان را در خانه زندانی کرده، مراقب آنان باشید تا مرگشان فرا رسد و یا خداوند راه حلّی برایشان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احتمال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زنا بوده، و بر اثبات زنا با چهار شاهد عادل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دلالت برای ما مفید فایده است؛ لیکن این اشکال مطرح می‌شود که آیه پس از اثبات زنا، فرمان به حبس و زندان داده؛ و نه حدّ و رجم که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نور و روایاتی که رجم را ثابت می‌کند، ناسخ این حکم در آیه‌ی سوره‌ی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هیچ ربطی به زنا نداشته و به مساحقه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 است‌که اگر آیه مربوط به زناست، چرا حکم را روی زن برده است؟ در زنا فرقی بین مرد و زن نیست؛ همان‌گونه که در آیه‌ی سوره‌ی نور فرمود الزّانِیَةُ وَ الزّانِی فَاجْلِدُوا کُلَّ واحِدٍ مِنْهُما مِائَةَ جَلْدَةٍ</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امّا در این آیه فرموده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اللاّتِی یَأْتِینَ الْفاحِشَةَ مِنْ نِسائِکُمْ </w:t>
      </w:r>
      <w:r>
        <w:rPr>
          <w:rStyle w:val="FootnoteAnchor"/>
          <w:rtl w:val="true"/>
        </w:rPr>
        <w:footnoteReference w:id="504"/>
      </w:r>
      <w:r>
        <w:rPr>
          <w:rFonts w:ascii="IRNazanin" w:hAnsi="IRNazanin" w:eastAsia="IRNazanin"/>
          <w:color w:val="111111"/>
          <w:sz w:val="28"/>
          <w:sz w:val="28"/>
          <w:szCs w:val="28"/>
          <w:rtl w:val="true"/>
          <w:lang w:bidi="fa-IR"/>
        </w:rPr>
        <w:t>، و فقط متعرّض حکم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543" w:name="pg16919_227071"/>
    </w:p>
    <w:p>
      <w:pPr>
        <w:pStyle w:val="BookText"/>
        <w:rPr/>
      </w:pPr>
      <w:bookmarkEnd w:id="543"/>
      <w:r>
        <w:rPr>
          <w:rFonts w:ascii="IRNazanin" w:hAnsi="IRNazanin" w:eastAsia="IRNazanin"/>
          <w:color w:val="111111"/>
          <w:sz w:val="28"/>
          <w:sz w:val="28"/>
          <w:szCs w:val="28"/>
          <w:rtl w:val="true"/>
          <w:lang w:bidi="fa-IR"/>
        </w:rPr>
        <w:t>مراد از فاحشه در آیه، عملی است که مخصوص زنان و در محدوده‌ی آنان رایج است؛ به عبارت دیگر مساحقه مقصود است نه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توجیه، آیه‌ی نور ناسخ این آیه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نسبت به مساحقه و زنای زنان تعمیم دارد؛ لیکن این احتمال با آیه‌ی بعد از آن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از شما فحشا انجام می‌دهند را مورد آزار قرار دهید؛ اگر توبه کردند و اصلاح شدند، از ایشان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مردی است که مرتکب فاحشه می‌شوند تا این آیه هم به آیه‌ی نور منسوخ شده باشد؟ باید گفت مذکّر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تغلیب هر چند صحیح است، امّا خلاف ظاهر است و نباید مرتکب آن شد؛ و ظاهر تثنیه مذکّر یعنی دو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آیه، دو مردی است که اتیان به فحشا یعنی لواط کنند؛ زیرا، فاحشه‌ی در محدوده‌ی مردان لواط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آیه‌ی اوّل مربوط به مساحقه و آیه‌ی دوم مربوط به لواط بوده و ربطی به باب ندارد؛ و آیات سوره‌ی نور بر حکم زنا و لزوم چهار شاهد عادل دلالتی تام و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اثبات زنا به شهادت چهار مرد عادل بین تمام مسلمانان از شیعه و سنّی اتّفاقی است</w:t>
      </w:r>
      <w:r>
        <w:rPr>
          <w:rFonts w:eastAsia="IRNazanin" w:cs="IRNazanin"/>
          <w:color w:val="111111"/>
          <w:sz w:val="28"/>
          <w:szCs w:val="28"/>
          <w:rtl w:val="true"/>
          <w:lang w:bidi="fa-IR"/>
        </w:rPr>
        <w:t>.</w:t>
      </w:r>
    </w:p>
    <w:p>
      <w:pPr>
        <w:pStyle w:val="Heading5"/>
        <w:numPr>
          <w:ilvl w:val="4"/>
          <w:numId w:val="1"/>
        </w:numPr>
        <w:rPr/>
      </w:pPr>
      <w:bookmarkStart w:id="544" w:name="__RefHeading___Toc78998_3244359995"/>
      <w:bookmarkStart w:id="545" w:name="_Toc207"/>
      <w:bookmarkEnd w:id="544"/>
      <w:r>
        <w:rPr>
          <w:rtl w:val="true"/>
        </w:rPr>
        <w:t>فرع سوم</w:t>
      </w:r>
      <w:r>
        <w:rPr>
          <w:rtl w:val="true"/>
        </w:rPr>
        <w:t xml:space="preserve">: </w:t>
      </w:r>
      <w:r>
        <w:rPr>
          <w:rtl w:val="true"/>
        </w:rPr>
        <w:t>تأثیر شهادت زنان در اثبات زنا</w:t>
      </w:r>
      <w:bookmarkEnd w:id="545"/>
    </w:p>
    <w:p>
      <w:pPr>
        <w:pStyle w:val="BookText"/>
        <w:rPr/>
      </w:pPr>
      <w:r>
        <w:rPr>
          <w:rFonts w:ascii="IRNazanin" w:hAnsi="IRNazanin" w:eastAsia="IRNazanin"/>
          <w:color w:val="111111"/>
          <w:sz w:val="28"/>
          <w:sz w:val="28"/>
          <w:szCs w:val="28"/>
          <w:rtl w:val="true"/>
          <w:lang w:bidi="fa-IR"/>
        </w:rPr>
        <w:t>آیا زنا به شهادت زنان به طور کلّی و اجمالاً ثابت می‌شود؟ مقصود از به نحو اجمال این است‌که اگر به جای یک مرد، دو زن شهادت دادند، کفایت می‌کند؟ این کمترین مرتبه‌ی جایگزینی زن به جای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اقوالی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فتاوای اهل سنّت، بدون تأثیر بودن شهادت زنان در اثبات زنا است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از شیخ مفید</w:t>
      </w:r>
      <w:r>
        <w:rPr>
          <w:rStyle w:val="FootnoteAnchor"/>
          <w:rtl w:val="true"/>
        </w:rPr>
        <w:footnoteReference w:id="506"/>
      </w:r>
      <w:r>
        <w:rPr>
          <w:rFonts w:ascii="Amiri" w:hAnsi="Amiri" w:eastAsia="Amiri" w:cs="Amiri"/>
          <w:color w:val="111111"/>
          <w:sz w:val="28"/>
          <w:sz w:val="28"/>
          <w:szCs w:val="28"/>
          <w:rtl w:val="true"/>
          <w:lang w:bidi="ar-SA"/>
        </w:rPr>
        <w:t>سلّار،</w:t>
      </w:r>
      <w:r>
        <w:rPr>
          <w:rStyle w:val="FootnoteAnchor"/>
          <w:rtl w:val="true"/>
        </w:rPr>
        <w:footnoteReference w:id="507"/>
      </w:r>
      <w:r>
        <w:rPr>
          <w:rFonts w:ascii="IRNazanin" w:hAnsi="IRNazanin" w:eastAsia="IRNazanin"/>
          <w:color w:val="111111"/>
          <w:sz w:val="28"/>
          <w:sz w:val="28"/>
          <w:szCs w:val="28"/>
          <w:rtl w:val="true"/>
          <w:lang w:bidi="fa-IR"/>
        </w:rPr>
        <w:t>عمانی</w:t>
      </w:r>
      <w:r>
        <w:rPr>
          <w:rStyle w:val="FootnoteAnchor"/>
          <w:rtl w:val="true"/>
        </w:rPr>
        <w:footnoteReference w:id="508"/>
      </w:r>
      <w:r>
        <w:rPr>
          <w:rFonts w:ascii="IRNazanin" w:hAnsi="IRNazanin" w:eastAsia="IRNazanin"/>
          <w:color w:val="111111"/>
          <w:sz w:val="28"/>
          <w:sz w:val="28"/>
          <w:szCs w:val="28"/>
          <w:rtl w:val="true"/>
          <w:lang w:bidi="fa-IR"/>
        </w:rPr>
        <w:t>، دیلمی رحمهما الله</w:t>
      </w:r>
      <w:r>
        <w:rPr>
          <w:rStyle w:val="FootnoteAnchor"/>
          <w:rtl w:val="true"/>
        </w:rPr>
        <w:footnoteReference w:id="509"/>
      </w:r>
      <w:r>
        <w:rPr>
          <w:rFonts w:ascii="IRNazanin" w:hAnsi="IRNazanin" w:eastAsia="IRNazanin"/>
          <w:color w:val="111111"/>
          <w:sz w:val="28"/>
          <w:sz w:val="28"/>
          <w:szCs w:val="28"/>
          <w:rtl w:val="true"/>
          <w:lang w:bidi="fa-IR"/>
        </w:rPr>
        <w:t>نیز حکایت عدم تأثیر شده است؛ امّا دیگر علمای</w:t>
      </w:r>
    </w:p>
    <w:p>
      <w:pPr>
        <w:pStyle w:val="BookText"/>
        <w:rPr/>
      </w:pPr>
      <w:r>
        <w:rPr>
          <w:rFonts w:ascii="IRNazanin" w:hAnsi="IRNazanin" w:eastAsia="IRNazanin"/>
          <w:color w:val="111111"/>
          <w:sz w:val="28"/>
          <w:sz w:val="28"/>
          <w:szCs w:val="28"/>
          <w:rtl w:val="true"/>
          <w:lang w:bidi="fa-IR"/>
        </w:rPr>
        <w:t>شیعه به تأثیر و نقش شهادت زنان معترف هستند؛ منتهی در مقدار آن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پدرش</w:t>
      </w:r>
      <w:r>
        <w:rPr>
          <w:rStyle w:val="FootnoteAnchor"/>
          <w:rtl w:val="true"/>
        </w:rPr>
        <w:footnoteReference w:id="510"/>
      </w:r>
      <w:r>
        <w:rPr>
          <w:rFonts w:ascii="IRNazanin" w:hAnsi="IRNazanin" w:eastAsia="IRNazanin"/>
          <w:color w:val="111111"/>
          <w:sz w:val="28"/>
          <w:sz w:val="28"/>
          <w:szCs w:val="28"/>
          <w:rtl w:val="true"/>
          <w:lang w:bidi="fa-IR"/>
        </w:rPr>
        <w:t>و ابن‌زهره رحمهما الله</w:t>
      </w:r>
      <w:r>
        <w:rPr>
          <w:rStyle w:val="FootnoteAnchor"/>
          <w:rtl w:val="true"/>
        </w:rPr>
        <w:footnoteReference w:id="511"/>
      </w:r>
      <w:r>
        <w:rPr>
          <w:rFonts w:ascii="IRNazanin" w:hAnsi="IRNazanin" w:eastAsia="IRNazanin"/>
          <w:color w:val="111111"/>
          <w:sz w:val="28"/>
          <w:sz w:val="28"/>
          <w:szCs w:val="28"/>
          <w:rtl w:val="true"/>
          <w:lang w:bidi="fa-IR"/>
        </w:rPr>
        <w:t>جانشینی دو زن به جای یک مرد را در شهادت قبول دارند، ولی بیشتر از آن را جایز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به جای یک مرد برای اثبات حدّ رجم و جلد کافی است؛ امّا با شهادت چهار زن و دو مرد فقط جلد ثابت می‌شود و برای اثبات رجم مؤثر نیست؛ ولی شیخ طوسی رحمه الله در کتاب خلاف این نوع شهادت را برای اثبات رجم نیز کافی می‌داند</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ادلّه‌ی قول اوّل</w:t>
      </w:r>
    </w:p>
    <w:p>
      <w:pPr>
        <w:pStyle w:val="BookText"/>
        <w:rPr/>
      </w:pPr>
      <w:r>
        <w:rPr>
          <w:rFonts w:ascii="IRNazanin" w:hAnsi="IRNazanin" w:eastAsia="IRNazanin"/>
          <w:color w:val="111111"/>
          <w:sz w:val="28"/>
          <w:sz w:val="28"/>
          <w:szCs w:val="28"/>
          <w:rtl w:val="true"/>
          <w:lang w:bidi="fa-IR"/>
        </w:rPr>
        <w:t>قائلین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آیات قرآن استناد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شهادت زن هیچ سخنی به میان نیاورده، فقط چهار شاهد مرد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ظاهر کتاب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روایاتی نیز در این موضوع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جمیل بن درّاج و محمّد بن حمران،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وحده، إنّ علیّاً علیه السلام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یبطل دم امریء مسلم</w:t>
      </w:r>
      <w:r>
        <w:rPr>
          <w:rFonts w:eastAsia="IRNazanin" w:cs="IRNazanin"/>
          <w:color w:val="111111"/>
          <w:sz w:val="28"/>
          <w:szCs w:val="28"/>
          <w:rtl w:val="true"/>
          <w:lang w:bidi="fa-IR"/>
        </w:rPr>
        <w:t>.</w:t>
      </w:r>
      <w:r>
        <w:rPr>
          <w:rStyle w:val="FootnoteAnchor"/>
          <w:rtl w:val="true"/>
        </w:rPr>
        <w:footnoteReference w:id="51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خاطر ابراهیم بن هاشم حسنه یا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 محمّد بن حمران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در باب حدود پذیرفته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قتل مقبول است؛ ولی در حدود دیگر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خون مسلمانی هدر رود 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نپذیرفتن شهادت زنان چه‌بسا ممکن است خون مسلمانی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أبی القاسم بن قولویه، عن أبیه، عن سعد بن عبداللّه، عن أحمد بن أبی عبداللّه البرقی، عن غیاث بن ابراهیم، عن جعفر بن محمّد،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الحدود ولا فی القود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عامّی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صادق از پدرانش از امیرمؤمنان علیهم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زنان در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دلالت بر عموم دارد؛ یعنی هیچ حدّی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قصاص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سایر جهات و احکام قتل مؤثّر است، فقط در حدود و قصاص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عبید اللّه بن المفضّل، عن محمّد بن هلال، عن محمّد بن محمّد بن الأشعث، عن موسی بن إسماعیل بن جعفر،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الحدود ولا قود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سند معتبری ندارد و با روایت گذشته فرقی نمی‌کند؛ مگر این‌که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آن را دو روایت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أحمد بن یحیی، عن بنان بن محمّد، عن أبیه، عن ابن المغیرة، عن السکونی، عن جعفر، عن أبیه، عن علّی علیه السلام، إنّه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النساء لا تجوز فی طلاق ولا نکاح ولا فی الحدود، إلّافی الدّیون وما لا یستطیع الرجال‌النظر إلیه</w:t>
      </w:r>
      <w:r>
        <w:rPr>
          <w:rFonts w:eastAsia="IRNazanin" w:cs="IRNazanin"/>
          <w:color w:val="111111"/>
          <w:sz w:val="28"/>
          <w:szCs w:val="28"/>
          <w:rtl w:val="true"/>
          <w:lang w:bidi="fa-IR"/>
        </w:rPr>
        <w:t>.</w:t>
      </w:r>
      <w:r>
        <w:rPr>
          <w:rStyle w:val="FootnoteAnchor"/>
          <w:rtl w:val="true"/>
        </w:rPr>
        <w:footnoteReference w:id="51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سند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زنان در طلاق، نکاح و حدود جایز نیست؛ مگر در 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الناس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که مردان در آن‌ها نمی‌توانند نظر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زنان و غیر آن‌که مخصوص به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ادلّه‌ی قول اوّل</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آیات قرآن حصر استفاده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وَ الَّذِینَ یَرْمُونَ الْمُحْصَناتِ ثُمَّ لَمْ یَأْتُوا بِأَرْبَعَةِ شُهَداءَ </w:t>
      </w:r>
      <w:r>
        <w:rPr>
          <w:rStyle w:val="FootnoteAnchor"/>
          <w:rtl w:val="true"/>
        </w:rPr>
        <w:footnoteReference w:id="517"/>
      </w:r>
      <w:r>
        <w:rPr>
          <w:rFonts w:ascii="IRNazanin" w:hAnsi="IRNazanin" w:eastAsia="IRNazanin"/>
          <w:color w:val="111111"/>
          <w:sz w:val="28"/>
          <w:sz w:val="28"/>
          <w:szCs w:val="28"/>
          <w:rtl w:val="true"/>
          <w:lang w:bidi="fa-IR"/>
        </w:rPr>
        <w:t>اگر بر منحصر بودن ثبوت زنا به شهادت چهار مرد عادل دلالت داشت، حقّ با این بزرگان بود؛ امّا ظاهر آیه هیچ منافات و مخالفتی با ثبوت زنا به راه‌های دیگر چون شهادت سه مرد و دو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این معنا قائم شد، با مفاد آیه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ظاهر قرآن جمود کنیم، باید در تمام موارد به مفهوم لقب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دلیلی که دو شاهد زن را نازل منزله‌ی یک شاهد مرد می‌کند حکومت است؛ یعنی توضیح می‌دهد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شاهد مرد و یا سه مرد و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ظاهر کتاب و روایات دال بر جواز شهادت زنان منافاتی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بر مطلوب آنان مطرح شد، باید آن‌ها را با روایات دیگر سنجید و نسبت بین آن‌ها بررسی شود؛ واگر هم به تعارض منتهی شد، راه حلّ آن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مشهور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عن یونس، عن عبداللّه بن سنان، قال 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رؤیة الهلال، ولا یجوز فی الرجم شهادة رجلین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فی ذلک ثلاثة رجال وامرأتان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وحدهنّ بلا رجال فی کلّ ما لا یجوز للرجال النظر إلیه</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عبداللّه بن سنان از امام صادق علیه السلام شنید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برای رؤیت هلال فایده ندارد؛ وبا شهادت دو مرد و چهار زن رجم ثابت نمی‌شود؛ و شهادت سه مرد و دو زن در اثبات رجم کافی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شهادت سه مرد و دو زن برای رجم کافی باشد، پس به طریق اولی در جَلْد نیز</w:t>
      </w:r>
    </w:p>
    <w:p>
      <w:pPr>
        <w:pStyle w:val="BookText"/>
        <w:rPr/>
      </w:pPr>
      <w:r>
        <w:rPr>
          <w:rFonts w:ascii="IRNazanin" w:hAnsi="IRNazanin" w:eastAsia="IRNazanin"/>
          <w:color w:val="111111"/>
          <w:sz w:val="28"/>
          <w:sz w:val="28"/>
          <w:szCs w:val="28"/>
          <w:rtl w:val="true"/>
          <w:lang w:bidi="fa-IR"/>
        </w:rPr>
        <w:t>کفایت می‌کند؛ زیرا، قطعاً خصوصیّتی برای 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الغای خصوصیّت از رجم، در جَلْد نیز حکم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سهل بن زیاد، عن ابن أبی نجران، عن مثنّی الحنّاط،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شهادة النساء تجوز فی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تجوز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الرجم إذا کان ثلاثة رجال وامرأتان و إذا کان أربع نسوة ورجلان فلا یجوز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مع الرجال فی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زراره از امام باقر علیه السلام از شهادت زنان در نکاح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امّا در باب طلاق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سه مرد و دو زن رجم ثابت می‌شود، امّا با شهادت چهار زن و دو مرد، رجم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شهادت زنان همراه با مردان در خون چیزی ثابت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القاسم، عن أبان، عن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المرأة یحضرها الموت ولیس عندها إلّاامرأة تجوز شهادتها؟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النساء فی العذرة والمنفوس،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زنی در هنگام احتضار و مرگ، هیچ کس مگر یک زن حضور ندارد، آیا شهادت این زن فایده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باب بکارت و نفاس و ولادت پذیرفته است؛ و در حدود، شهادتشان همراه با شهادت مردان مقبول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از این کلام امام علیه السلام موردی است که سه مرد و دو زن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p>
    <w:p>
      <w:pPr>
        <w:pStyle w:val="BookText"/>
        <w:rPr/>
      </w:pPr>
      <w:r>
        <w:rPr>
          <w:rFonts w:ascii="IRNazanin" w:hAnsi="IRNazanin" w:eastAsia="IRNazanin"/>
          <w:color w:val="111111"/>
          <w:sz w:val="28"/>
          <w:sz w:val="28"/>
          <w:szCs w:val="28"/>
          <w:rtl w:val="true"/>
          <w:lang w:bidi="fa-IR"/>
        </w:rPr>
        <w:t>بین این دسته از روایات که جایگزینی دو زن را به جای یک مرد اجازه می‌دهد و به طور کلّی بر جواز شهادت زنان در حدود اجمالاً دلالت دارد، با ادلّه‌ای که مستند قول اوّل بود، چه نسبتی برقرار است؟</w:t>
      </w:r>
    </w:p>
    <w:p>
      <w:pPr>
        <w:pStyle w:val="BookText"/>
        <w:rPr/>
      </w:pPr>
      <w:r>
        <w:rPr>
          <w:rFonts w:ascii="IRNazanin" w:hAnsi="IRNazanin" w:eastAsia="IRNazanin"/>
          <w:color w:val="111111"/>
          <w:sz w:val="28"/>
          <w:sz w:val="28"/>
          <w:szCs w:val="28"/>
          <w:rtl w:val="true"/>
          <w:lang w:bidi="fa-IR"/>
        </w:rPr>
        <w:t>نسبت عموم و خصوص مطلق یا اطلاق و تقیید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روایات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شهادة النساء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با روایت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به تقیید است؛ زیرا، 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جایز نیست و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همراه با شهادت مردان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کمک دلیل دوم دست از اطلاق دلیل اوّل برمی داریم و آن را حمل می‌کنیم بر جایی که شهادت زنان همراه با شهادت مردان نباشد؛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این جمع به ویژه با توجّه به روایات دیگر، موردی است که دو زن جانشین یک مرد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قرآن دلالتی بر حصر نداشت و این ادلّه در برابر آن ظواهر منافاتی ندارد؛ و جمع بین دو دسته روایت هم به تقیید یا به تخصیص است که از مجموع آن‌ها تأثیر و مدخلیّت شهادت زنان در اثبات حدود استفاده می‌شود، که قدر متیقّن مفروضِ مسأله ما جانشینی دو زن به‌جای یک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منافی با قول مشهور</w:t>
      </w:r>
    </w:p>
    <w:p>
      <w:pPr>
        <w:pStyle w:val="BookText"/>
        <w:rPr/>
      </w:pPr>
      <w:r>
        <w:rPr>
          <w:rFonts w:ascii="IRNazanin" w:hAnsi="IRNazanin" w:eastAsia="IRNazanin"/>
          <w:color w:val="111111"/>
          <w:sz w:val="28"/>
          <w:sz w:val="28"/>
          <w:szCs w:val="28"/>
          <w:rtl w:val="true"/>
          <w:lang w:bidi="fa-IR"/>
        </w:rPr>
        <w:t>روایت صحیحه‌ای از محمّد بن مسلم وارد شده که با مفروض بحث ما منافات دارد؛ و آن این‌که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ابن أبی عمیر، عن حمّاد، عن ربعی، عن محمّد بن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ثلاثة رجال وامرأتان لم یجز فی الرجم ولا تجوز شهادة النساء فی القتل</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مرد و دو زن شهادت دادند، این شهادت در رجم جایز و مُمضی نیست؛ و همین‌گونه شهادت زنان در قتل نیز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دلالت روایت هیچ ابهامی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روایات گذشته که به مقبولیّت شهادت دو زن و سه مرد برای اثبات رجم، تصریح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جواز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حمل به اطلاق و تقیید نیز نیست؛ زیرا، اگر مفاد آن دسته از روایات کفایت شهادت سه مرد و دو زن در اثبات زنا بود، صحیحه‌ی محمّد بن مسلم مقیّد آن می‌شد؛ لیکن هر دو دسته بر مدلول خود تصریح دارد؛ یکی بر جواز، و دیگری بر عدم جواز؛ پس، معارضه‌ی صددرصد بین دو دسته برقرار است و باید از راه‌های علاج تعارض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رحمه الله در استبصار در ذیل این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بر تقیّه می‌کنیم؛</w:t>
      </w:r>
      <w:r>
        <w:rPr>
          <w:rStyle w:val="FootnoteAnchor"/>
          <w:rtl w:val="true"/>
        </w:rPr>
        <w:footnoteReference w:id="522"/>
      </w:r>
      <w:r>
        <w:rPr>
          <w:rFonts w:ascii="IRNazanin" w:hAnsi="IRNazanin" w:eastAsia="IRNazanin"/>
          <w:color w:val="111111"/>
          <w:sz w:val="28"/>
          <w:sz w:val="28"/>
          <w:szCs w:val="28"/>
          <w:rtl w:val="true"/>
          <w:lang w:bidi="fa-IR"/>
        </w:rPr>
        <w:t>زیرا، به نظر علمای عامّه، شهادت زن در اثبات حدود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روایت را به موافقت عامّه در مقابل روایاتی که متعدّد و متکثّر هستند،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مباحث گذشته این می‌شود که با شهادت چهار مرد، یا سه مرد و دو زن در باب زنا حدّ جلد یا حدّ رجم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مورد شهادت چهار زن و مرد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معتقدند با شهادت چهار زن و دو مرد، فقط حدّ جلد ثابت می‌شود، نه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شیخ صدوق و پدرش،</w:t>
      </w:r>
      <w:r>
        <w:rPr>
          <w:rStyle w:val="FootnoteAnchor"/>
          <w:rtl w:val="true"/>
        </w:rPr>
        <w:footnoteReference w:id="523"/>
      </w:r>
      <w:r>
        <w:rPr>
          <w:rFonts w:ascii="IRNazanin" w:hAnsi="IRNazanin" w:eastAsia="IRNazanin"/>
          <w:color w:val="111111"/>
          <w:sz w:val="28"/>
          <w:sz w:val="28"/>
          <w:szCs w:val="28"/>
          <w:rtl w:val="true"/>
          <w:lang w:bidi="fa-IR"/>
        </w:rPr>
        <w:t>قاضی ابن برّاج،</w:t>
      </w:r>
      <w:r>
        <w:rPr>
          <w:rStyle w:val="FootnoteAnchor"/>
          <w:rtl w:val="true"/>
        </w:rPr>
        <w:footnoteReference w:id="524"/>
      </w:r>
      <w:r>
        <w:rPr>
          <w:rFonts w:ascii="IRNazanin" w:hAnsi="IRNazanin" w:eastAsia="IRNazanin"/>
          <w:color w:val="111111"/>
          <w:sz w:val="28"/>
          <w:sz w:val="28"/>
          <w:szCs w:val="28"/>
          <w:rtl w:val="true"/>
          <w:lang w:bidi="fa-IR"/>
        </w:rPr>
        <w:t>حلبی</w:t>
      </w:r>
      <w:r>
        <w:rPr>
          <w:rStyle w:val="FootnoteAnchor"/>
          <w:rtl w:val="true"/>
        </w:rPr>
        <w:footnoteReference w:id="525"/>
      </w:r>
      <w:r>
        <w:rPr>
          <w:rFonts w:ascii="IRNazanin" w:hAnsi="IRNazanin" w:eastAsia="IRNazanin"/>
          <w:color w:val="111111"/>
          <w:sz w:val="28"/>
          <w:sz w:val="28"/>
          <w:szCs w:val="28"/>
          <w:rtl w:val="true"/>
          <w:lang w:bidi="fa-IR"/>
        </w:rPr>
        <w:t>و علّامه رحمهما الله در مختلف</w:t>
      </w:r>
      <w:r>
        <w:rPr>
          <w:rStyle w:val="FootnoteAnchor"/>
          <w:rtl w:val="true"/>
        </w:rPr>
        <w:footnoteReference w:id="526"/>
      </w:r>
      <w:r>
        <w:rPr>
          <w:rFonts w:ascii="IRNazanin" w:hAnsi="IRNazanin" w:eastAsia="IRNazanin"/>
          <w:color w:val="111111"/>
          <w:sz w:val="28"/>
          <w:sz w:val="28"/>
          <w:szCs w:val="28"/>
          <w:rtl w:val="true"/>
          <w:lang w:bidi="fa-IR"/>
        </w:rPr>
        <w:t>و غیر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شهادتی هیچ یک از رجم وجلد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سوی‌دیگر، شیخ طوسی رحمه الله در کتاب خلاف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کفایت چنین شهادتی برای اثبات حدّ جلد و رجم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قول مشهور تفصیلی بین این نفی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مشهور در نفی رجم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صحیحه‌ی ابن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فی الرجم شهادة رجلین و أربع نسوة</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تامّ بر عدم ثبوت رجم به چنین شهادتی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روایتی بر اثبات رجم دلالت کند، به الغای خصوصیّت و اولویّت بر جلد نیز دلالت دارد؛ امّا اگر بر نفی رجم دلالت کند، هیچ دلالتی بر نفی تازیانه ندارد و نمی‌توان از آن الغای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روایات دقّت کرد تا توهّم پیش نیاید چگونه در صحیحه‌ی ابن‌سنان از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فی ذلک ثلاثة رجال وامرأتان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خصوصیّت کردید، امّا در جمله‌ی 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الرجم شهادة رجلین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نمی‌کنید؟</w:t>
      </w:r>
    </w:p>
    <w:p>
      <w:pPr>
        <w:pStyle w:val="BookText"/>
        <w:rPr/>
      </w:pPr>
      <w:r>
        <w:rPr>
          <w:rFonts w:ascii="IRNazanin" w:hAnsi="IRNazanin" w:eastAsia="IRNazanin"/>
          <w:color w:val="111111"/>
          <w:sz w:val="28"/>
          <w:sz w:val="28"/>
          <w:szCs w:val="28"/>
          <w:rtl w:val="true"/>
          <w:lang w:bidi="fa-IR"/>
        </w:rPr>
        <w:t>این توهّم بی‌جا است و الغای خصوصیّت معنا ندارد؛ زیرا، با احتمال این‌که رجم عقوبت سنگین و غیر قابل تحمّل است، شارع اثبات آن را به شهادت چهار زن و دو مرد قرار نداده است، امّا مسأله تازیانه به اهمیّت 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الغای خصوصیّت غیر ممکن می‌شود؛ امّا در طرف اثبات امکان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زرارة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أربع نسوة ورجلان فلا یجوز الرجم</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نیز مانند حدیث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روایت دیگری نیز در این مقام برخورد شود؛ به هر حال، دلیل تامّ بر نفی رجم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مشهور در اثبات تازیانه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بإسناده‌عن الحسین بن سعید، عن ابن محبوب، عن أبان، عن الحلبی، عن أبی عبداللّه علیه السلام إنّه سئل عن رجل محصن فجر بامرأة فشهد علیه ثلاثة رجال وامرأتان وجب علیه الرجم وإن شهد علیه رجلان وأربع نسوة فلا تجوز شهادتهم ولا یرجم ولکن یضرب حدّ الزانی</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راجع به مرد محصنی که با زنی زنا کرده، و سه مرد و دو زن بر زنای او شهادت داده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 مرد و چهار زن بر او شهادت بدهند، رجم ثابت نمی‌شود؛ لیکن باید فرد محصن تازیانه بخورد؛ یعنی با این‌که محصن است اگر چهار شاهد عادل بر زنای او گواهی می‌دادند، رجم می‌شد؛ امّا اکنون تازیان می‌خورد و رجم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متفاهم عرفی از این روایت چیست؟ آیا به زنای احصانی مربوط است، یعنی محصن بودن زانی خصوصیّتی دارد یا این‌که روایت در مقام بیان ضعف شهادت بوده، و مفاد آن اثبات تازیانه و عدم اثبات رجم به واسطه‌ی ضعیف بودن شهادت است؟</w:t>
      </w:r>
    </w:p>
    <w:p>
      <w:pPr>
        <w:pStyle w:val="BookText"/>
        <w:rPr/>
      </w:pPr>
      <w:r>
        <w:rPr>
          <w:rFonts w:ascii="IRNazanin" w:hAnsi="IRNazanin" w:eastAsia="IRNazanin"/>
          <w:color w:val="111111"/>
          <w:sz w:val="28"/>
          <w:sz w:val="28"/>
          <w:szCs w:val="28"/>
          <w:rtl w:val="true"/>
          <w:lang w:bidi="fa-IR"/>
        </w:rPr>
        <w:t>به نظر عرف، معنای روایت این است که جَلْد چون عقوبت سنگینی نیست، این نحوه از شهادت در آن مقبول است؛ ولی رجم کیفر و مجازاتی شدید بوده، پس در آن، این نوع شهادت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نیز نظر مشهور را با توجّه به روایات نفی و اثبات پذیرفته‌اند؛ لیکن در مقام، روایت معتبری وجود دارد که با این روایت معارضه دارد، باید به حلّ تعارض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معارض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وعن علیّ بن إبراهیم، عن أبیه، جمیعاً عن ابن محبوب،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نکاح أو طلا أو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ما لا یستطیع الرجال أن ینظروا إلیه ولیس معهنّ رجل وتجوز شهادتهنّ فی النکاح إذا کان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شهادتهنّ فی حدّ الزنا إذا کان ثلاثة رجال وامرأتان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ولاتجوز شهادة رجلین و أربع نسوة فی الزنا والرجم ولا تجوز شهادتهنّ فی الطلاق ولا فی الدم</w:t>
      </w:r>
      <w:r>
        <w:rPr>
          <w:rFonts w:eastAsia="IRNazanin" w:cs="IRNazanin"/>
          <w:color w:val="111111"/>
          <w:sz w:val="28"/>
          <w:szCs w:val="28"/>
          <w:rtl w:val="true"/>
          <w:lang w:bidi="fa-IR"/>
        </w:rPr>
        <w:t>.</w:t>
      </w:r>
      <w:r>
        <w:rPr>
          <w:rStyle w:val="FootnoteAnchor"/>
          <w:rtl w:val="true"/>
        </w:rPr>
        <w:footnoteReference w:id="53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 بن موسی الرضا علیه السلام درباره‌ی شهادت زنان در نکاح یا طلاق یا رجم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شهادتشان در مواردی که مردان نمی‌توانند آگاه شوند و به آن نظر کنند و مردی نیز همراه زنان نیست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نیز به همراه مردان و در حدّ زنا به شرط این‌که سه مرد و دو زن باشند، مقبول است؛ لیکن شهادت دو مرد و چهار زن در زنا و رجم جایز نیست؛ و شهادت زنان در طلاق و دم مُمضی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عدم مقبولیّت شهادت چهار زن و دو مرد در اثبات زنای معمولی و زنای محصنه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مشکل تعارض این روایت با روایت حلبی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واضح و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تجوز شهادة رجلین وأربع نسوة فی الزنا 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عطف زنا بر رجم، چه عطفی است و چه تناسبی دارد؟ 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الجلد 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بود؛ امّا رجم که عقوبت زنا است، چگونه بر زنا عطف شده است؟ از این‌رو، آن را باید توجیه کرد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برای زنا و مفسّر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تجوز شهادة رجلین وأربع نسوة 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روایت نه تنها معارض نیست، بلکه یکی از ادلّه‌ی مشهور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 روشن شد که ادلّه، با تفصیل مختار مشهور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معلوم گشت اگر در شهادت بر زنا کمتر از دو مرد حضور داشته باشد، هیچ یک از جلد و رجم ثابت نمی‌شود؛ خواه همراه زنان مردی نباشد و یا یک مرد و شش زن آماده‌ی شهادت دادن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شهادت کمتر از چهار نفر</w:t>
      </w:r>
    </w:p>
    <w:p>
      <w:pPr>
        <w:pStyle w:val="BookText"/>
        <w:rPr/>
      </w:pPr>
      <w:r>
        <w:rPr>
          <w:rFonts w:ascii="IRNazanin" w:hAnsi="IRNazanin" w:eastAsia="IRNazanin"/>
          <w:color w:val="111111"/>
          <w:sz w:val="28"/>
          <w:sz w:val="28"/>
          <w:szCs w:val="28"/>
          <w:rtl w:val="true"/>
          <w:lang w:bidi="fa-IR"/>
        </w:rPr>
        <w:t xml:space="preserve">اگر کمتر از چهار نفر در جایی که شهادت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لازم است، شهادت بدهند، مانند این‌که سه مرد، یا سه مرد به همراه یک زن، یا دو مرد و سه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تنها حدّ زنا ثابت نمی‌شود، بلکه به شهود حدّ قذف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جا با شهادت شهود حدّ ثابت نشود، بر خودشان حدّ قذف ثابت 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زنان عفیف نسبت زنا دهند و نتوانند آن را به</w:t>
      </w:r>
    </w:p>
    <w:p>
      <w:pPr>
        <w:pStyle w:val="BookText"/>
        <w:rPr/>
      </w:pPr>
      <w:r>
        <w:rPr>
          <w:rFonts w:ascii="IRNazanin" w:hAnsi="IRNazanin" w:eastAsia="IRNazanin"/>
          <w:color w:val="111111"/>
          <w:sz w:val="28"/>
          <w:sz w:val="28"/>
          <w:szCs w:val="28"/>
          <w:rtl w:val="true"/>
          <w:lang w:bidi="fa-IR"/>
        </w:rPr>
        <w:t xml:space="preserve">چهار شاهد اثبات کنند، باید هشتاد تازیانه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جاؤُ عَلَیْهِ بِأَرْبَعَةِ شُهَداءَ فَإِذْ لَمْ یَأْتُوا بِالشُّهَداءِ فَأُولئِکَ عِنْدَ اللّهِ هُمُ الْکاذِبُونَ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چهار شاهد نیاوردند، اکنون که نتوانستند شهودی اقامه کنند، آنان نزد خداوند کاذب اند و باید هشتاد تازیانه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آیه به رمی محصنات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این دو آیه، دوران امر بین اثبات زنا توسط نسبت دهنده و هشتاد تازیانه حدّ قذف خوردن است، راه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مستفاد از آیه عدم اختصاص حکم به غیر شهود است؛ به این معناکه مسأله‌ی رامیِ زنا از شهودِ زنا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امر دائر بین اثبات زنا یا حدّ قذف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آیه در مورد غیر شهود نازل شده، امّا برای مورد خصوصیّتی نیست؛ آنان نیز یا باید با تکمیل شدن عدّه و شرایط به اثبات زنا بپردازند و یا حدّ قذف را پذیرا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بین رامی به زنا و شهود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این است که کسی که چهار شاهد نیاورد، هر چند به حسب واقع راست هم بگوید، در محیط شرع و نزد خداوند متعال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سه شاهد بر زنای شخصی شهادت دادند باید حدّ قذف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روایاتی نیز در این خصوص رسیده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محمّد بن أحمد بن یحیی، عن بنان، عن أبیه، عن ابن المغیرة، عن السکونی، عن جعفر، عن أبیه، عن علیّ علیه السلام فی ثلاثة شهدوا علی رجل بالزنا، فقال علیّ علیه السلام أین الرابع؟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حدّوهم، فلیس فی الحدود نظر ساعة</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بر زنای مردی شهادت دادند،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 بن موسی الرضا علیه السلام درباره‌ی شهادت زنان در نکاح یا طلاق یا رجم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جایی که شاهد چهارمی وجود دارد، لیکن پس از اتمام شهادت آن سه نفر می‌آید، باید حدّ قذف جاری شود؛ بنابراین، به طریق اولی استفاده می‌شود در جایی که بیش از سه شاهد نیست باید حدّ قذف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نیز همانند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أبیه، عن ابن محبوب، عن نعیم بن إبراهیم، عن عباد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ثلاثة شهدوا علی رجل بالزنا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نأتی بالرابع،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حد القاذف ثمانین جلدة کلّ رجل منهم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عِباد یا عُبّاد بصری از امام باقر علیه السلام راجع به حکم سه شاهدی که شهادت به زنای مردی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شاهد چهارمی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آنان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لایجلد رجل ولا امرأة حتّی یشهد علیهما أربعة شهود علی الإیلاج والإخراج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أکون أوّل الشهود الأربعة، أخشی الروعة أن ینکل بعضهم فاُجلَد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که عاصم بن حمید از او روایت دارد، ثقه است؛ لذا، سند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از امیرمؤمنان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مردی تازیانه نمی‌خورند، مگر این‌که چهار شاهد به ایلاج و اخراج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شهادت بر زنا من اوّلین شاهد نخواهم بود؛ زیرا، وحشت و ترس دارم از این‌که دیگر شهود نکول کرده، و از شهادت دادن انصراف پیدا کنند؛ پس، حدّ قذف بخورم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نیز بر این فرع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شهود کمتر از چهار شاهد یا کمتر از به حکم چهار شاهد باشند، به آنان حدّ قذف می‌زنیم</w:t>
      </w:r>
      <w:r>
        <w:rPr>
          <w:rFonts w:eastAsia="IRNazanin" w:cs="IRNazanin"/>
          <w:color w:val="111111"/>
          <w:sz w:val="28"/>
          <w:szCs w:val="28"/>
          <w:rtl w:val="true"/>
          <w:lang w:bidi="fa-IR"/>
        </w:rPr>
        <w:t>.</w:t>
      </w:r>
      <w:bookmarkStart w:id="546" w:name="pg16919_227083"/>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لکیفیّة المعتبرة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شهادة الشهود علی الزنا من التصریح أو نحوه علی مشاهدة الولوج فی الفرج کالمیل فی المکحلة أو الإخراج منه من غیر عقد ولاملک ولاشبهة ولا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یکفی أن یقولوا لا نعلم بینهما سبباً للتحلیل؟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والأشبه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کفایة الشهادة مع الیقین وإن لم یبصر به وجه لا یخلو من شبهة فی المقام</w:t>
      </w:r>
      <w:r>
        <w:rPr>
          <w:rFonts w:eastAsia="IRNazanin" w:cs="IRNazanin"/>
          <w:color w:val="111111"/>
          <w:sz w:val="28"/>
          <w:szCs w:val="28"/>
          <w:rtl w:val="true"/>
          <w:lang w:bidi="fa-IR"/>
        </w:rPr>
        <w:t>.</w:t>
      </w:r>
    </w:p>
    <w:p>
      <w:pPr>
        <w:pStyle w:val="Heading4"/>
        <w:numPr>
          <w:ilvl w:val="3"/>
          <w:numId w:val="1"/>
        </w:numPr>
        <w:rPr/>
      </w:pPr>
      <w:bookmarkStart w:id="547" w:name="__RefHeading___Toc79000_3244359995"/>
      <w:bookmarkStart w:id="548" w:name="_Toc208"/>
      <w:bookmarkEnd w:id="547"/>
      <w:r>
        <w:rPr>
          <w:rtl w:val="true"/>
        </w:rPr>
        <w:t>شرطهای لازم در شهادت</w:t>
      </w:r>
      <w:bookmarkEnd w:id="548"/>
    </w:p>
    <w:p>
      <w:pPr>
        <w:pStyle w:val="Heading5"/>
        <w:numPr>
          <w:ilvl w:val="4"/>
          <w:numId w:val="1"/>
        </w:numPr>
        <w:rPr/>
      </w:pPr>
      <w:bookmarkStart w:id="549" w:name="__RefHeading___Toc79002_3244359995"/>
      <w:bookmarkStart w:id="550" w:name="_Toc209"/>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در این مسأله چند مطلب مطرح کرده‌اند که مهم‌تر از همه، مستند شهادت شهود در باب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باید مدرک شهادتشان باشد؟</w:t>
      </w:r>
    </w:p>
    <w:p>
      <w:pPr>
        <w:pStyle w:val="BookText"/>
        <w:rPr/>
      </w:pPr>
      <w:r>
        <w:rPr>
          <w:rFonts w:ascii="IRNazanin" w:hAnsi="IRNazanin" w:eastAsia="IRNazanin"/>
          <w:color w:val="111111"/>
          <w:sz w:val="28"/>
          <w:sz w:val="28"/>
          <w:szCs w:val="28"/>
          <w:rtl w:val="true"/>
          <w:lang w:bidi="fa-IR"/>
        </w:rPr>
        <w:t>این مطلب در کتاب شهادات به طور کلّی مطرح شده است و کاری به زنا و امثال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مستند شهادت باید علم باشد، یا اگر بیّنه‌ای قائم شد، شاهد به استناد آن می‌تواند شهادت بدهد؟ و همین‌طور اگر استصحابی اقتضا کرد؟</w:t>
      </w:r>
    </w:p>
    <w:p>
      <w:pPr>
        <w:pStyle w:val="BookText"/>
        <w:rPr/>
      </w:pPr>
      <w:r>
        <w:rPr>
          <w:rFonts w:ascii="IRNazanin" w:hAnsi="IRNazanin" w:eastAsia="IRNazanin"/>
          <w:color w:val="111111"/>
          <w:sz w:val="28"/>
          <w:sz w:val="28"/>
          <w:szCs w:val="28"/>
          <w:rtl w:val="true"/>
          <w:lang w:bidi="fa-IR"/>
        </w:rPr>
        <w:t xml:space="preserve">کسانی که گفته‌اند شاهد فقط بر طبق علم خود می‌تواند شهادت بدهد، بحث کرده‌اند آیا علم او از هر راهی حاصل شود، هر چند خودش ندیده باشد، کافی است؟ مثلاً اگر با خبر متواتر فهمید زید خانه‌اش را به بکر فروخته، آیا می‌تواند شهادت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باع داره 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خودش در مجلس بیع حاضر باشد تا بتواند چنین شهادتی بدهد؟ چرا که شاهد یعنی کسی که حاضر در جریان باشد؛ والّا اگر مطلق علم کافی بود، باید به جای شاهد، عالم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یعنی ناظر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دیدنی است، خودش ببیند؛ واگر شنیدنی است، خودش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 در کتاب شهادات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شهادت شاهد باید حواس ظاهری متناسب با واقعه باشد؛ دیدنی‌ها را دیده، شنیدنی‌ها را شنیده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شهادت، نه تنها علم و رؤیت لازم نیست، بلکه شاهد می‌تواند به استناد بیّنه و استصحاب شهادت بدهد</w:t>
      </w:r>
      <w:r>
        <w:rPr>
          <w:rFonts w:eastAsia="IRNazanin" w:cs="IRNazanin"/>
          <w:color w:val="111111"/>
          <w:sz w:val="28"/>
          <w:szCs w:val="28"/>
          <w:rtl w:val="true"/>
          <w:lang w:bidi="fa-IR"/>
        </w:rPr>
        <w:t>.</w:t>
      </w:r>
      <w:bookmarkStart w:id="551" w:name="pg16919_227084"/>
    </w:p>
    <w:p>
      <w:pPr>
        <w:pStyle w:val="BookText"/>
        <w:rPr/>
      </w:pPr>
      <w:bookmarkEnd w:id="55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باید عالم باشد و علم او از راهی حاصل شده باشد، هر چند از طریق خواب دیدن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این نظریه را برگزیده است</w:t>
      </w:r>
      <w:r>
        <w:rPr>
          <w:rFonts w:eastAsia="IRNazanin" w:cs="IRNazanin"/>
          <w:color w:val="111111"/>
          <w:sz w:val="28"/>
          <w:szCs w:val="28"/>
          <w:rtl w:val="true"/>
          <w:lang w:bidi="fa-IR"/>
        </w:rPr>
        <w:t xml:space="preserve">. </w:t>
      </w:r>
      <w:r>
        <w:rPr>
          <w:rStyle w:val="FootnoteAnchor"/>
          <w:rtl w:val="true"/>
        </w:rPr>
        <w:footnoteReference w:id="536"/>
      </w:r>
    </w:p>
    <w:p>
      <w:pPr>
        <w:pStyle w:val="Heading5"/>
        <w:numPr>
          <w:ilvl w:val="4"/>
          <w:numId w:val="1"/>
        </w:numPr>
        <w:rPr/>
      </w:pPr>
      <w:bookmarkStart w:id="552" w:name="__RefHeading___Toc79004_3244359995"/>
      <w:bookmarkStart w:id="553" w:name="_Toc210"/>
      <w:bookmarkEnd w:id="552"/>
      <w:r>
        <w:rPr>
          <w:rtl w:val="true"/>
        </w:rPr>
        <w:t>ادلّه‌ی مستند شاهد در باب زنا</w:t>
      </w:r>
      <w:bookmarkEnd w:id="553"/>
    </w:p>
    <w:p>
      <w:pPr>
        <w:pStyle w:val="BookText"/>
        <w:rPr/>
      </w:pPr>
      <w:r>
        <w:rPr>
          <w:rFonts w:ascii="IRNazanin" w:hAnsi="IRNazanin" w:eastAsia="IRNazanin"/>
          <w:color w:val="111111"/>
          <w:sz w:val="28"/>
          <w:sz w:val="28"/>
          <w:szCs w:val="28"/>
          <w:rtl w:val="true"/>
          <w:lang w:bidi="fa-IR"/>
        </w:rPr>
        <w:t>این اختلافات در کتاب شهادات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حتّی اگر علم را در مطلق شاهد کافی بدانیم، امّا به سبب ورود روایاتی در باب زنا، علم به زنا کافی نیست؛ بلکه زنا از واقعه‌های دیدنی است؛ لذا، باید شاهد با چشم خود ایلاج و اخراج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شارع می‌خواهد تخفیفی در اجرای حدود قائل شود و نگذارد حیثیّت زن و مرد مسلمان در معرض خطر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شهادت را به رؤیت و مشاهده تضییق کرده است؛ یعنی شاهد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زن و مرد عمل زنا انجام می‌دادند و ایلاج و اخراج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اتّفاق فتوای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وعن علیّ بن إبراهیم، عن أبیه، جمیعاً عن ابن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أن یشهد أربع أنّهم رأوه یدخل ویخرج</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صحیح و حسن مردّد است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رجم به شهادت چهار مرد به رؤیت ادخال و اخراج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علم و یقین ملاک شهادت نیست؛ بلکه بالاتر از آن، باید بگویند با چشم خود اخراج و ادخال را دیدیم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سهل بن زیاد، عن محمّد بن الحسن</w:t>
      </w:r>
    </w:p>
    <w:p>
      <w:pPr>
        <w:pStyle w:val="BookText"/>
        <w:rPr/>
      </w:pPr>
      <w:r>
        <w:rPr>
          <w:rFonts w:ascii="IRNazanin" w:hAnsi="IRNazanin" w:eastAsia="IRNazanin"/>
          <w:color w:val="111111"/>
          <w:sz w:val="28"/>
          <w:sz w:val="28"/>
          <w:szCs w:val="28"/>
          <w:rtl w:val="true"/>
          <w:lang w:bidi="fa-IR"/>
        </w:rPr>
        <w:t>البصری، عن حمّاد بن عیسی، عن شعیب العقرقوفی،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الرجم فی الزنا أن یشهد أربعة أنّهم رأوه یدخل ویخرج</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 امّا دلالتش مانند روایت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 یجلد رجل ولا امرأة حتّی یشهد علیهما أربعة شهود علی الإیلاج والإخراج</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باقر از امیرمؤمنان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مرد و زن زده نمی‌شود مگر آن‌که چهار نفر بر ایلاج و اخراج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از دو حدیث قبلی ضعیف‌تر است؛ زیرا، در آن دو، به رؤیت تصریح شده بود؛ ولی در این روایت، تصریحی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می‌توان بیان داشت اگر شهادت از باب علم کافی بود، لزومی به شهادت دادن بر ایلاج و اخراج نبود؛ رؤیت است که با این دو لفظ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حلبی و ابی بصیر، امام علیه السلام حدّ رجم را بر شهادت به ایلاج و اخراج معلّق دانسته بود، ولی در این روایت، حدّ جلد و تازیانه را نیز منوط به این شهادت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ثبوت هر دو حدّ بر رؤیت و مشاهده معلّق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مشهور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فقط در حدّ رجم شهادت باید مستند به دیدن باشد؟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مسأله‌ی اجتماع مرد و زن زیر یک 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جمع بین روایات، مختار مرحوم مجلسی رحمه الله بود که ریشه‌اش در کلام شیخ طوسی رحمه الله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در جایی است که شهادت به رؤیت باشد، وإلّا جای جلد و تازیانه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اشکالی که پیش می‌آید این است که در روایت محمّد بین قیس، حدّ جلد را نیز منوط به شهادت بر معاینه‌ی ایلاج و اخراج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به طریق شیخ کلینی رحمه الله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وعن علیّ، عن أبیه، جمیعاً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رجل ولا امرأة حتّی یشهد علیه أربعة شهود علی الإیلاج والإخراج</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سند هر دو روایت به عاصم بن حمید و محمّد بن قیس منتهی می‌شود؛ لیکن در روایت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کلینی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روایت یک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دو مضمون از معصوم علیهما السلام صادر شده است؟ و آیا امام علیه السلام در یک‌جا مسأله رجم و در جای دیگر مسأله تازیانه را فرموده است؟ به هر حال، ما بین این دو مطلب مردد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این روایات، معلّق بودن رجم به رؤیت ایلاج و اخراج است؛ و این نظریه، مختار شیخ طوسی رحمه الله و مرحوم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نظریه، مشهور قریب به اتّفاق، فرقی بین زنای احصانی و غیر آن نگذاشته، مطلق شهادت بر زنا را منوط به معاینه و مشاهده دانسته‌اند؛ در حالی که روایات به رجم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قیس نیز بین رجم و جلد مردّد است و بر خلاف صاحب جواهر رحمه الله</w:t>
      </w:r>
      <w:r>
        <w:rPr>
          <w:rStyle w:val="FootnoteAnchor"/>
          <w:rtl w:val="true"/>
        </w:rPr>
        <w:footnoteReference w:id="543"/>
      </w:r>
      <w:r>
        <w:rPr>
          <w:rFonts w:ascii="IRNazanin" w:hAnsi="IRNazanin" w:eastAsia="IRNazanin"/>
          <w:color w:val="111111"/>
          <w:sz w:val="28"/>
          <w:sz w:val="28"/>
          <w:szCs w:val="28"/>
          <w:rtl w:val="true"/>
          <w:lang w:bidi="fa-IR"/>
        </w:rPr>
        <w:t>که اعتماد بر روایت جلد کرده؛ ما نمی‌توانیم به آن اتّکا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ما، یک روایت بیشتر نیست؛ و نمی‌دانیم کدام لفظ از امام علیه السلام صادر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مردّد بین صحیح و حسن داریم که اطلاق آن شامل زنای احصانی و غیر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فی تفسیره عن أبیه، عن حمّاد، عن حریز،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یجلد ثمانین جلدةً ولا تقبل له شهادة أبداً إلّابعد</w:t>
      </w:r>
    </w:p>
    <w:p>
      <w:pPr>
        <w:pStyle w:val="BookText"/>
        <w:rPr/>
      </w:pPr>
      <w:r>
        <w:rPr>
          <w:rFonts w:ascii="IRNazanin" w:hAnsi="IRNazanin" w:eastAsia="IRNazanin"/>
          <w:color w:val="111111"/>
          <w:sz w:val="28"/>
          <w:sz w:val="28"/>
          <w:szCs w:val="28"/>
          <w:rtl w:val="true"/>
          <w:lang w:bidi="fa-IR"/>
        </w:rPr>
        <w:t>التوبة أو یکذّب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شهد له ثلاثة وأبی واحد یجلد الثلاثة ولا تقبل شهادتهم حتّی یقول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مثل المیل فی المکحلة</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به قاذف هشتاد تازیانه می‌زنند و شهادت او پذیرفته نمی‌شود؛ مگر آن‌که توبه کرده، یا خودش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شهادت دادند و یکی از شهود از ادای شهادت امتناع ورزید، به آن سه نفر حدّ قذف زده و شهادت آنان مقبول نیست، تا آن‌که هر چهار نفر در مقام شهادت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 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میله در سرمه دان،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شهادتهم حتّی یقول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عدم فرق بین زنای احصانی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از این جهت نیست تا به اطلاق در هر دو نوع زنا تمسّک شود، بلکه در مقام بیان ثبوت قذف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هر دو قسم از زنا بود، می‌توانستیم به اطلاق آن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روایت به ذکر خصوصیّات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 مثل المیل فی 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از این جهت نیز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حدّ رجم و جلد، شهادت به رؤیت و معاینه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 روایت حریز</w:t>
      </w:r>
    </w:p>
    <w:p>
      <w:pPr>
        <w:pStyle w:val="BookText"/>
        <w:rPr/>
      </w:pPr>
      <w:r>
        <w:rPr>
          <w:rFonts w:ascii="IRNazanin" w:hAnsi="IRNazanin" w:eastAsia="IRNazanin"/>
          <w:color w:val="111111"/>
          <w:sz w:val="28"/>
          <w:sz w:val="28"/>
          <w:szCs w:val="28"/>
          <w:rtl w:val="true"/>
          <w:lang w:bidi="fa-IR"/>
        </w:rPr>
        <w:t>بإسناده عن الحسین بن سعید، عن فضالة، عن أبان،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جلس منها مجلس الرجل من امرأته اقیم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التعزیر أو حدّ الشاهد</w:t>
      </w:r>
      <w:r>
        <w:rPr>
          <w:rFonts w:eastAsia="IRNazanin" w:cs="IRNazanin"/>
          <w:color w:val="111111"/>
          <w:sz w:val="28"/>
          <w:szCs w:val="28"/>
          <w:rtl w:val="true"/>
          <w:lang w:bidi="fa-IR"/>
        </w:rPr>
        <w:t>.</w:t>
      </w:r>
      <w:r>
        <w:rPr>
          <w:rStyle w:val="FootnoteAnchor"/>
          <w:rtl w:val="true"/>
        </w:rPr>
        <w:footnoteReference w:id="54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زراره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در برابر فلان زن اجنبی به گونه‌ای نشسته بود که مرد در مقابل زوجه‌اش می‌نشیند، بر او حدّ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حدّ زنا بر مشهود، علیه زانی است؛ و مراد از شاهد نیز چهار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احتمال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بوده و مقصود از حدّ، حدّ قذف باشد؛ و یا حدّ در این روایت به معنای تعزیر باشد،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معنای این روایت داده می‌شود که هر کدام با آن چیزی که مطلوب ما در این مسأله است،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جلس منها مجلس الرجل من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نظر به یک عبارت کنایه‌ای برای بیان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شهادت به زنا، یک‌بار از الفاظ صریح استفاده می‌شود و یک‌بار هم انسان متین و خجالتی است و حیا می‌کند که در مقام شهادت، آن‌چه را دیده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کنایه آن‌را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 این عبارت، از آن چیزی که دیده است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دیدیم کیفیّت جلوس و نشستن بود، امّا اخراج و ادخال را مشاهده نکردیم تا به آن شهادت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با مطلوب ما مخالفت دارد؛ زیرا، در مورد شهادت به زنا، کنایه را کافی نمی‌دانیم؛ بلکه همان‌گونه که از تحریرالوسیله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فی شهادة الشهود علی الزنا من التصریح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شهود باید به صراحت یا مانند آن یک درجه پایین‌تر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روایت بیانگر شهادت کنایه‌ای به زنا باشد، با این فتوا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نیز با مطلوب مخالفت دارد؛ زیرا، این مقدار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کیفیّت جلوس و نه شهادت به ایلاج و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مختار علّامه‌ی مجلسی رحمه الله می‌شود که می‌فرمود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ایلاج و اخراج فقط در باب رجم و زنای احصانی لازم است؛</w:t>
      </w:r>
      <w:r>
        <w:rPr>
          <w:rStyle w:val="FootnoteAnchor"/>
          <w:rtl w:val="true"/>
        </w:rPr>
        <w:footnoteReference w:id="546"/>
      </w:r>
      <w:r>
        <w:rPr>
          <w:rFonts w:ascii="IRNazanin" w:hAnsi="IRNazanin" w:eastAsia="IRNazanin"/>
          <w:color w:val="111111"/>
          <w:sz w:val="28"/>
          <w:sz w:val="28"/>
          <w:szCs w:val="28"/>
          <w:rtl w:val="true"/>
          <w:lang w:bidi="fa-IR"/>
        </w:rPr>
        <w:t>در زنای غیر احصانی که حدّ آن صد تازیانه است، شاهد لازم نیست ادّعای معاینه و رؤیت کند؛ بلکه</w:t>
      </w:r>
      <w:bookmarkStart w:id="554" w:name="pg16919_227089"/>
    </w:p>
    <w:p>
      <w:pPr>
        <w:pStyle w:val="BookText"/>
        <w:rPr/>
      </w:pPr>
      <w:bookmarkEnd w:id="554"/>
      <w:r>
        <w:rPr>
          <w:rFonts w:ascii="IRNazanin" w:hAnsi="IRNazanin" w:eastAsia="IRNazanin"/>
          <w:color w:val="111111"/>
          <w:sz w:val="28"/>
          <w:sz w:val="28"/>
          <w:szCs w:val="28"/>
          <w:rtl w:val="true"/>
          <w:lang w:bidi="fa-IR"/>
        </w:rPr>
        <w:t xml:space="preserve">اگر مقدّماتی را ذکر کند که به طور عادت و قاعده به دنبالش زنا واقع می‌شود، شهادتش مقبول و صد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روایت، با فتوای مشهور که در زنای احصانی و غیر آن، مشاهده را لازم می‌دانند،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حلّ اشکال تعارض</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روایت زراره صحیحه است و هیچ‌کس نمی‌تواند در سند مناقشه کند، ولی صاحب جواهر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کنار گذاشتن این صحیحه نیست؛ زیرا، فقها در مقام فتوا فرقی بین جلد و رجم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حدس می‌زنیم ایشان روایت محمّد بن قیس به طریق صدوق رحمه الله را انکار کرده است</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وسائل رحمه الله است که حدّ را به معنای تعزیر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حدّ، ظهور در حدّ زنا دارد، امّا وقتی در مقابل این همه دلیل و فتوا و روایت حریز واقع شدیم که فرقی بین حدّ جلد و رجم نمی‌گذارد، و در هر دو، مشاهده و معاینه را لازم می‌داند، لذا، چاره‌ای از حمل حدّ بر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استعمال حدّ در معنای تعزیر، در روایات زیادی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جمعی که از مرحوم مجلسی رحمه الله حکایت شده و در بحث‌های گذشته آن‌را مطرح کرده و برای آن مبعّداتی گفتیم،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حدّ در این روایت بر تعزیر بعید نیست</w:t>
      </w:r>
      <w:r>
        <w:rPr>
          <w:rFonts w:eastAsia="IRNazanin" w:cs="IRNazanin"/>
          <w:color w:val="111111"/>
          <w:sz w:val="28"/>
          <w:szCs w:val="28"/>
          <w:rtl w:val="true"/>
          <w:lang w:bidi="fa-IR"/>
        </w:rPr>
        <w:t>.</w:t>
      </w:r>
    </w:p>
    <w:p>
      <w:pPr>
        <w:pStyle w:val="Heading5"/>
        <w:numPr>
          <w:ilvl w:val="4"/>
          <w:numId w:val="1"/>
        </w:numPr>
        <w:rPr/>
      </w:pPr>
      <w:bookmarkStart w:id="555" w:name="__RefHeading___Toc79006_3244359995"/>
      <w:bookmarkStart w:id="556" w:name="_Toc211"/>
      <w:bookmarkEnd w:id="555"/>
      <w:r>
        <w:rPr>
          <w:rtl w:val="true"/>
        </w:rPr>
        <w:t>امکان الغای خصوصیّت از رؤیت</w:t>
      </w:r>
      <w:bookmarkEnd w:id="55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گذشته دیدیم مشتقّات رؤیت استعمال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تمایل خود را به الغای خصوصیّت اظهار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برای رؤیت و معاینه و مشاهده نیست؛ بلکه یکی از راه‌های حصول علم،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شهادت به زنا موضوعیّت دارد، این است‌که شهادت از روی علم و یقین باشد و نه از روی ظن و گمان</w:t>
      </w:r>
      <w:r>
        <w:rPr>
          <w:rFonts w:eastAsia="IRNazanin" w:cs="IRNazanin"/>
          <w:color w:val="111111"/>
          <w:sz w:val="28"/>
          <w:szCs w:val="28"/>
          <w:rtl w:val="true"/>
          <w:lang w:bidi="fa-IR"/>
        </w:rPr>
        <w:t>.</w:t>
      </w:r>
      <w:r>
        <w:rPr>
          <w:rStyle w:val="FootnoteAnchor"/>
          <w:rtl w:val="true"/>
        </w:rPr>
        <w:footnoteReference w:id="548"/>
      </w:r>
      <w:bookmarkStart w:id="557" w:name="pg16919_227090"/>
    </w:p>
    <w:p>
      <w:pPr>
        <w:pStyle w:val="BookText"/>
        <w:rPr/>
      </w:pPr>
      <w:bookmarkEnd w:id="557"/>
      <w:r>
        <w:rPr>
          <w:rFonts w:ascii="IRNazanin" w:hAnsi="IRNazanin" w:eastAsia="IRNazanin"/>
          <w:color w:val="111111"/>
          <w:sz w:val="28"/>
          <w:sz w:val="28"/>
          <w:szCs w:val="28"/>
          <w:rtl w:val="true"/>
          <w:lang w:bidi="fa-IR"/>
        </w:rPr>
        <w:t>آیا تمایل ایشان صحیح است و یا آن‌که رؤیت و معاینه در جواز شهادت به زنا دخالت دارد؛ یعنی علم خاص که از طریق مشاهده و معاینه حاصل شده، لازم است؛ و حقّ الغای خصوصیّت نداریم؟</w:t>
      </w:r>
    </w:p>
    <w:p>
      <w:pPr>
        <w:pStyle w:val="BookText"/>
        <w:rPr/>
      </w:pPr>
      <w:r>
        <w:rPr>
          <w:rFonts w:ascii="IRNazanin" w:hAnsi="IRNazanin" w:eastAsia="IRNazanin"/>
          <w:color w:val="111111"/>
          <w:sz w:val="28"/>
          <w:sz w:val="28"/>
          <w:szCs w:val="28"/>
          <w:rtl w:val="true"/>
          <w:lang w:bidi="fa-IR"/>
        </w:rPr>
        <w:t>به نظر ما، حقّ این است که از ظاهر روایات نمی‌توان دست کشید؛ زیرا، شارع مقدّس در باب زنا، مسأله را مشکل گرفته و نمی‌خواهد آبروی مسلمانان از بین برود و گرفتار عذاب دنیا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همه جا دو شاهد را کافی می‌داند، امّا در این باب، چهار شاهد را لازم می‌داند؛ با آن که اگر سه نفر هم شهادت دهند، 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بینهم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هستند؛ با این حال، پیش خدا کاذب‌اند و باید حدّ قذف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خصوصیّات، به چه حقّی می‌توان الغای خصوصیّت کرد؟ و رؤیت و معاینه را از باب مثال و یکی از راه‌های حصول علم دانست</w:t>
      </w:r>
      <w:r>
        <w:rPr>
          <w:rFonts w:eastAsia="IRNazanin" w:cs="IRNazanin"/>
          <w:color w:val="111111"/>
          <w:sz w:val="28"/>
          <w:szCs w:val="28"/>
          <w:rtl w:val="true"/>
          <w:lang w:bidi="fa-IR"/>
        </w:rPr>
        <w:t>.</w:t>
      </w:r>
    </w:p>
    <w:p>
      <w:pPr>
        <w:pStyle w:val="Heading4"/>
        <w:numPr>
          <w:ilvl w:val="3"/>
          <w:numId w:val="1"/>
        </w:numPr>
        <w:rPr/>
      </w:pPr>
      <w:bookmarkStart w:id="558" w:name="__RefHeading___Toc79008_3244359995"/>
      <w:bookmarkStart w:id="559" w:name="_Toc212"/>
      <w:bookmarkEnd w:id="558"/>
      <w:r>
        <w:rPr>
          <w:rtl w:val="true"/>
        </w:rPr>
        <w:t>کیفیّت شهادت بر زنا</w:t>
      </w:r>
      <w:bookmarkEnd w:id="559"/>
    </w:p>
    <w:p>
      <w:pPr>
        <w:pStyle w:val="Heading5"/>
        <w:numPr>
          <w:ilvl w:val="4"/>
          <w:numId w:val="1"/>
        </w:numPr>
        <w:rPr/>
      </w:pPr>
      <w:bookmarkStart w:id="560" w:name="__RefHeading___Toc79010_3244359995"/>
      <w:bookmarkStart w:id="561" w:name="_Toc213"/>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مرحوم امام در کتاب تحریر الوسیله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مشاهدة الولوج فی الفرج کالمیل فی المکحلة أو الإخراج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است‌که آیا مشاهده‌ی لازم برای شهادت، مشاهده‌ی ادخال و اخراج با هم است؛ یا اگر کسی فقط ادخال یا اخراج را مشاهده کرده باشد، کافی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این اشکال، ورود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رأوه یدخل ویخرج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روایت</w:t>
      </w:r>
      <w:r>
        <w:rPr>
          <w:rStyle w:val="FootnoteAnchor"/>
          <w:rtl w:val="true"/>
        </w:rPr>
        <w:footnoteReference w:id="5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این مقام، عدم ضرورت مشاهده‌ی هر دو است؛ زیرا، اگر ادخال رؤیت شده، طبعاً اخراجی نیز به دنبال دارد؛ و به عکس، اگر اخراج مشاهده شده، پس از ادخال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هرچند در روایات، عطف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تحریر عبارت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 لیکن مشکلی به وجود نمی‌آید و جمود بر ظاهر روایات لازم نیست؛ چراکه این معنا هرگز به ذهن نمی‌آید که باید ادخال و اخراج هر دو مورد مشاهده واقع شود و یکی از آن‌ها کفایت نمی‌کند</w:t>
      </w:r>
      <w:r>
        <w:rPr>
          <w:rFonts w:eastAsia="IRNazanin" w:cs="IRNazanin"/>
          <w:color w:val="111111"/>
          <w:sz w:val="28"/>
          <w:szCs w:val="28"/>
          <w:rtl w:val="true"/>
          <w:lang w:bidi="fa-IR"/>
        </w:rPr>
        <w:t>.</w:t>
      </w:r>
      <w:bookmarkStart w:id="562" w:name="pg16919_227091"/>
    </w:p>
    <w:p>
      <w:pPr>
        <w:pStyle w:val="Heading5"/>
        <w:numPr>
          <w:ilvl w:val="4"/>
          <w:numId w:val="1"/>
        </w:numPr>
        <w:rPr/>
      </w:pPr>
      <w:bookmarkStart w:id="563" w:name="__RefHeading___Toc79012_3244359995"/>
      <w:bookmarkStart w:id="564" w:name="_Toc214"/>
      <w:bookmarkEnd w:id="562"/>
      <w:bookmarkEnd w:id="563"/>
      <w:r>
        <w:rPr>
          <w:rtl w:val="true"/>
        </w:rPr>
        <w:t>خصوصیّات لازم در هنگام شهادت دادن</w:t>
      </w:r>
      <w:bookmarkEnd w:id="564"/>
    </w:p>
    <w:p>
      <w:pPr>
        <w:pStyle w:val="BookText"/>
        <w:rPr/>
      </w:pPr>
      <w:r>
        <w:rPr>
          <w:rFonts w:ascii="IRNazanin" w:hAnsi="IRNazanin" w:eastAsia="IRNazanin"/>
          <w:color w:val="111111"/>
          <w:sz w:val="28"/>
          <w:sz w:val="28"/>
          <w:szCs w:val="28"/>
          <w:rtl w:val="true"/>
          <w:lang w:bidi="fa-IR"/>
        </w:rPr>
        <w:t>شهود ممکن است به یکی از سه صورت زیر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مرد با هم زنا کردند و ما مشاهده‌ی ایلاج و اخراج کرده و می‌دانیم که بین این دو نفر، عقد یا ملک یمین یا شبهه و اکراهی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اشکالی در اجرای 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شهادت به ادخال و اخراج داده، امّا نسبت به وجود سببِ حلّیت بین آن دو نفر اظهار بی‌اطّلاعی می‌کنند؛ هر چند احتمال زوجیّت آن دو نیز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مرحوم محقّق</w:t>
      </w:r>
      <w:r>
        <w:rPr>
          <w:rStyle w:val="FootnoteAnchor"/>
          <w:rtl w:val="true"/>
        </w:rPr>
        <w:footnoteReference w:id="550"/>
      </w:r>
      <w:r>
        <w:rPr>
          <w:rFonts w:ascii="IRNazanin" w:hAnsi="IRNazanin" w:eastAsia="IRNazanin"/>
          <w:color w:val="111111"/>
          <w:sz w:val="28"/>
          <w:sz w:val="28"/>
          <w:szCs w:val="28"/>
          <w:rtl w:val="true"/>
          <w:lang w:bidi="fa-IR"/>
        </w:rPr>
        <w:t>در شرایع پذیرفتن شهادت شهود است اگر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سبباً للتحلیل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ادخال و اخراج شهادت می‌دهند و یقین دارند سبب حلّیتی در کار نبوده است؛ امّا احتمال وطی به شبهه و اکراه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مرحوم محقّق</w:t>
      </w:r>
      <w:r>
        <w:rPr>
          <w:rStyle w:val="FootnoteAnchor"/>
          <w:rtl w:val="true"/>
        </w:rPr>
        <w:footnoteReference w:id="551"/>
      </w:r>
      <w:r>
        <w:rPr>
          <w:rFonts w:ascii="IRNazanin" w:hAnsi="IRNazanin" w:eastAsia="IRNazanin"/>
          <w:color w:val="111111"/>
          <w:sz w:val="28"/>
          <w:sz w:val="28"/>
          <w:szCs w:val="28"/>
          <w:rtl w:val="true"/>
          <w:lang w:bidi="fa-IR"/>
        </w:rPr>
        <w:t>فرموده شهادتشان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هر دو مورد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نعم والأشبه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به کلام مرحوم محقّق اشاره دارند؛ ولی مختارشان عدم مقبولیّت چنین شهادتی است؛ زیرا، با احتمال زوجیّت زن و مرد، وجهی برای پذیرش شهادت 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اطّلاعی شهود چه نقشی می‌تواند داشته باشد؟ سؤال دیگر این است‌که آیا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حدّ از او برداشته می‌شود یا نه؟ در جایی که یقین به عدم زوجیّت دارند و احتمال وقوع وطی به شبهه یا اکراه داده می‌شود،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وجود مقتضی برای تحقّق زنا احراز شده است، با اصل عدم مانع، بنا را بر وقوع زنا می‌گذاریم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در صغری و کبری مبتلا به اشکال است؛ چه آن‌که در این صورت، اصلاً مقتضی نداریم؛ زیرا، عدم اکراه و شبهه در تحقّق زنا تأثیر دارد؛ همان‌گونه که عدم زوجیّت</w:t>
      </w:r>
    </w:p>
    <w:p>
      <w:pPr>
        <w:pStyle w:val="BookText"/>
        <w:rPr/>
      </w:pPr>
      <w:r>
        <w:rPr>
          <w:rFonts w:ascii="IRNazanin" w:hAnsi="IRNazanin" w:eastAsia="IRNazanin"/>
          <w:color w:val="111111"/>
          <w:sz w:val="28"/>
          <w:sz w:val="28"/>
          <w:szCs w:val="28"/>
          <w:rtl w:val="true"/>
          <w:lang w:bidi="fa-IR"/>
        </w:rPr>
        <w:t>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احتمال زوجیّت، یا وطی به شبهه و یا اکراه، هرگز مقتضی برای زنا محرز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کبری نیز دچار اشکال بوده و آن را نمی‌توان پذیرفت؛ زیرا، بیشتر محقّقان، بلکه نود درصد از آنان، قاعده‌ی مقتضی موجود و مانع مفقود را به سبب بی‌دلیلی ردّ کرده‌اند</w:t>
      </w:r>
      <w:r>
        <w:rPr>
          <w:rFonts w:eastAsia="IRNazanin" w:cs="IRNazanin"/>
          <w:color w:val="111111"/>
          <w:sz w:val="28"/>
          <w:szCs w:val="28"/>
          <w:rtl w:val="true"/>
          <w:lang w:bidi="fa-IR"/>
        </w:rPr>
        <w:t>.</w:t>
      </w:r>
      <w:bookmarkStart w:id="565" w:name="pg16919_227093"/>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الشهادة مع الإطلاق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تکفی الشهادة علی نحو الإطلاق بأن یشهد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زنی وأولج کالمیل فی المکحلة من غیر ذکر زمان أو مکان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ذکروا الخصوصیات واختلف شهادتهم فیها، کأن شهد أحدهم بأنّه زنی یوم الجمعة والآخر فی مکان غیره أو بفلانة والآخر بغیرها لم تسمع شهادتهم ولا یحدّ ویحدّ الشهود للقذف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 بعضهم خصوصیة وأطلق بعضهم فهل یکفی ذلک أو لابدّ مع ذکر أحدهم الخصوصیة أن یذکرها الباقون؟ فیه إشکال والأحوط لزومه</w:t>
      </w:r>
      <w:r>
        <w:rPr>
          <w:rFonts w:eastAsia="IRNazanin" w:cs="IRNazanin"/>
          <w:color w:val="111111"/>
          <w:sz w:val="28"/>
          <w:szCs w:val="28"/>
          <w:rtl w:val="true"/>
          <w:lang w:bidi="fa-IR"/>
        </w:rPr>
        <w:t>.</w:t>
      </w:r>
    </w:p>
    <w:p>
      <w:pPr>
        <w:pStyle w:val="Heading4"/>
        <w:numPr>
          <w:ilvl w:val="3"/>
          <w:numId w:val="1"/>
        </w:numPr>
        <w:rPr/>
      </w:pPr>
      <w:bookmarkStart w:id="566" w:name="__RefHeading___Toc79014_3244359995"/>
      <w:bookmarkStart w:id="567" w:name="_Toc215"/>
      <w:bookmarkEnd w:id="566"/>
      <w:r>
        <w:rPr>
          <w:rtl w:val="true"/>
        </w:rPr>
        <w:t>حکم شهادت مطلق و مقیّد</w:t>
      </w:r>
      <w:bookmarkEnd w:id="567"/>
    </w:p>
    <w:p>
      <w:pPr>
        <w:pStyle w:val="Heading5"/>
        <w:numPr>
          <w:ilvl w:val="4"/>
          <w:numId w:val="1"/>
        </w:numPr>
        <w:rPr/>
      </w:pPr>
      <w:bookmarkStart w:id="568" w:name="__RefHeading___Toc79016_3244359995"/>
      <w:bookmarkStart w:id="569" w:name="_Toc216"/>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در این مسأله سه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شهود در باب زنا، علاوه بر شهادت به این‌که ایلاج و دخول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کرده‌اند، باید شهادت به خصوصیّات زمانی و مکانی و مزنیّ بها نیز بدهند و یا آن‌که ذکر خصوصیّات لازم نیست و شهادت مطلق کافی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کفایت شهادت مطلق، اگر شهود بعضی از خصوصیّات را گفتند، در صورتی که در خصوصیّات مذکوره اتّفاق نظر داشتند، مشکلی نیست و حدّ جاری می‌شود؛ امّا اگر در پاره‌ای از خصوصیّات اختلاف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به زنای زید در روز جمعه و دیگری به زنای او در روز شنبه شهادت داد، یکی مکان زنا را خانه‌ی زید، دیگری خانه‌ی عمرو و یا یکی مزنیّ‌بها را هند و دیگری غیر او گفت، به این شهادت ترتیب اثر داده نشده، و حدّی جاری نمی‌شود؛ لیکن بر شهود حدّ قذف می‌زنند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تعدادی از شهود، شهادت مطلق داده و برخی از آنان به ذکر خصوصیّات پرداختند، آیا لازم است شهود دیگر نیز به بیان خصوصیّات بپردازند؟ در این فرع اشکال است؛ احتیاط در بیان خصوصیّات می‌باشد</w:t>
      </w:r>
      <w:r>
        <w:rPr>
          <w:rFonts w:eastAsia="IRNazanin" w:cs="IRNazanin"/>
          <w:color w:val="111111"/>
          <w:sz w:val="28"/>
          <w:szCs w:val="28"/>
          <w:rtl w:val="true"/>
          <w:lang w:bidi="fa-IR"/>
        </w:rPr>
        <w:t>.</w:t>
      </w:r>
      <w:bookmarkStart w:id="570" w:name="pg16919_227094"/>
    </w:p>
    <w:p>
      <w:pPr>
        <w:pStyle w:val="Heading5"/>
        <w:numPr>
          <w:ilvl w:val="4"/>
          <w:numId w:val="1"/>
        </w:numPr>
        <w:rPr/>
      </w:pPr>
      <w:bookmarkStart w:id="571" w:name="__RefHeading___Toc79018_3244359995"/>
      <w:bookmarkStart w:id="572" w:name="_Toc217"/>
      <w:bookmarkEnd w:id="570"/>
      <w:bookmarkEnd w:id="571"/>
      <w:r>
        <w:rPr>
          <w:rtl w:val="true"/>
        </w:rPr>
        <w:t>فرع اوّل</w:t>
      </w:r>
      <w:r>
        <w:rPr>
          <w:rtl w:val="true"/>
        </w:rPr>
        <w:t xml:space="preserve">: </w:t>
      </w:r>
      <w:r>
        <w:rPr>
          <w:rtl w:val="true"/>
        </w:rPr>
        <w:t>کفایت شهادت مطلق</w:t>
      </w:r>
      <w:bookmarkEnd w:id="572"/>
    </w:p>
    <w:p>
      <w:pPr>
        <w:pStyle w:val="BookText"/>
        <w:rPr/>
      </w:pPr>
      <w:r>
        <w:rPr>
          <w:rFonts w:ascii="IRNazanin" w:hAnsi="IRNazanin" w:eastAsia="IRNazanin"/>
          <w:color w:val="111111"/>
          <w:sz w:val="28"/>
          <w:sz w:val="28"/>
          <w:szCs w:val="28"/>
          <w:rtl w:val="true"/>
          <w:lang w:bidi="fa-IR"/>
        </w:rPr>
        <w:t xml:space="preserve">در مقام شهادت، علاوه بر ذکر رؤیت ایلاج 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خصوصیّات زمان و مکان و غیر آن لازم نبوده و مطلق شهادت به زنا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فقها به لزوم بیان خصوصیّات فتوا نداده‌اند؛ هرچند عبارت مرحوم محقّق موهم لزوم ذکر خصوصیّات است؛ چراکه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ولابدّ فی شهادتهم من ذکر المشاهدة للولوج کالمیل فی المکحلة من غیر عقد ولا ملک ولا شبهة</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ولی با دقّت، از کلام ایشان نیز استفاده می‌شود که در مقام بیان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روایاتی است که در گذشته به طور مفصّل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آن‌ها، ذکری از بیان قیود و خصوصیّات نیست؛ به ویژه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الرجل والمرأة حتّی یشهد علیهما أربعة شهداء علی الجماع والإیلاج والإدخال کالمیل فی المکحلة</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حدّ در صورتی مترتّب می‌شود که چهار شاهد زنا را به رؤیت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قید مکان و زمان و این‌که مزنیّ بها کیست، دیده نمی‌شود، بقیّه روایات این باب هم فقط بر مشاهده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عمده‌ای که به آن اعتماد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کلمات دیگران آن را ندیده‌ایم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ذکر خصوصیّات لازم باشد، به بی‌نهایت می‌رسد و امکان ذکر آن‌ها نیست؛ زیرا، اگر برای زمان یا مکان ویژگی باشد، چرا برای ساعت، دقیقه، ثانیه در زمان و یا نقطه، اتاق و مانند آن در مکان لازم نباشد؟ چرا بیان خصوصیّت لباس مرد یا جهت او از نظر شرق و غرب، حالات او مثل خندان، متأثّر، با هیبت یا بدون آن و امثال آن نیاز نباشد؟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نه‌تنها ذکر همه‌ی خصوصیّات لازم نیست، بلکه امکان ندارد؛ و این خود، شاهدی است بر عدم دخالت ذکر قیود در اثبات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مقدار که شهادت دهند زید را با زنی دیدیم که با او مانند میل در سرمه‌دان نزدیکی می‌کرد، کافی است</w:t>
      </w:r>
      <w:r>
        <w:rPr>
          <w:rFonts w:eastAsia="IRNazanin" w:cs="IRNazanin"/>
          <w:color w:val="111111"/>
          <w:sz w:val="28"/>
          <w:szCs w:val="28"/>
          <w:rtl w:val="true"/>
          <w:lang w:bidi="fa-IR"/>
        </w:rPr>
        <w:t>.</w:t>
      </w:r>
      <w:bookmarkStart w:id="573" w:name="pg16919_227095"/>
    </w:p>
    <w:p>
      <w:pPr>
        <w:pStyle w:val="Heading5"/>
        <w:numPr>
          <w:ilvl w:val="4"/>
          <w:numId w:val="1"/>
        </w:numPr>
        <w:rPr/>
      </w:pPr>
      <w:bookmarkStart w:id="574" w:name="__RefHeading___Toc79020_3244359995"/>
      <w:bookmarkStart w:id="575" w:name="_Toc218"/>
      <w:bookmarkEnd w:id="573"/>
      <w:bookmarkEnd w:id="574"/>
      <w:r>
        <w:rPr>
          <w:rtl w:val="true"/>
        </w:rPr>
        <w:t>فرع دوم</w:t>
      </w:r>
      <w:r>
        <w:rPr>
          <w:rtl w:val="true"/>
        </w:rPr>
        <w:t xml:space="preserve">: </w:t>
      </w:r>
      <w:r>
        <w:rPr>
          <w:rtl w:val="true"/>
        </w:rPr>
        <w:t>اختلاف شهود در خصوصیّات</w:t>
      </w:r>
      <w:bookmarkEnd w:id="575"/>
    </w:p>
    <w:p>
      <w:pPr>
        <w:pStyle w:val="BookText"/>
        <w:rPr/>
      </w:pPr>
      <w:r>
        <w:rPr>
          <w:rFonts w:ascii="IRNazanin" w:hAnsi="IRNazanin" w:eastAsia="IRNazanin"/>
          <w:color w:val="111111"/>
          <w:sz w:val="28"/>
          <w:sz w:val="28"/>
          <w:szCs w:val="28"/>
          <w:rtl w:val="true"/>
          <w:lang w:bidi="fa-IR"/>
        </w:rPr>
        <w:t>اگر شهود در ذکر خصوصیّات متّفق باشند، مشکلی نیست و حدّ جاری می‌شود؛ امّا اگر یکی به زنای زید در روز جمعه و دیگری به زنای او در روز شنبه شهادت داد و یا نسبت به مکان و وقوع زنا اختلاف کردند، آیا این شهادت‌ها به اعتبار این‌که همه‌ی آن‌ها در اصل وقوع زنا اتّفاق دارند، پذیرفته می‌شود؟</w:t>
      </w:r>
    </w:p>
    <w:p>
      <w:pPr>
        <w:pStyle w:val="BookText"/>
        <w:rPr/>
      </w:pPr>
      <w:r>
        <w:rPr>
          <w:rFonts w:ascii="IRNazanin" w:hAnsi="IRNazanin" w:eastAsia="IRNazanin"/>
          <w:color w:val="111111"/>
          <w:sz w:val="28"/>
          <w:sz w:val="28"/>
          <w:szCs w:val="28"/>
          <w:rtl w:val="true"/>
          <w:lang w:bidi="fa-IR"/>
        </w:rPr>
        <w:t>از آن‌جا که تعدّد خصوصیّت بیانگر تعدّد واقعه است، در حقیقت شهود به زنای واحد شهادت نداده‌اند؛ لذا، زنای روز جمعه چهار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گفته‌ی مرحوم محقّق صاحب شرایع</w:t>
      </w:r>
      <w:r>
        <w:rPr>
          <w:rStyle w:val="FootnoteAnchor"/>
          <w:rtl w:val="true"/>
        </w:rPr>
        <w:footnoteReference w:id="555"/>
      </w:r>
      <w:r>
        <w:rPr>
          <w:rFonts w:ascii="IRNazanin" w:hAnsi="IRNazanin" w:eastAsia="IRNazanin"/>
          <w:color w:val="111111"/>
          <w:sz w:val="28"/>
          <w:sz w:val="28"/>
          <w:szCs w:val="28"/>
          <w:rtl w:val="true"/>
          <w:lang w:bidi="fa-IR"/>
        </w:rPr>
        <w:t>این شهادت‌ها بر فعل واحد توارد ندارد؛ لذا، به این شهود حدّ قذف زده می‌شود؛ و بیان تحریر الوسیله تمام است</w:t>
      </w:r>
      <w:r>
        <w:rPr>
          <w:rFonts w:eastAsia="IRNazanin" w:cs="IRNazanin"/>
          <w:color w:val="111111"/>
          <w:sz w:val="28"/>
          <w:szCs w:val="28"/>
          <w:rtl w:val="true"/>
          <w:lang w:bidi="fa-IR"/>
        </w:rPr>
        <w:t>.</w:t>
      </w:r>
    </w:p>
    <w:p>
      <w:pPr>
        <w:pStyle w:val="Heading5"/>
        <w:numPr>
          <w:ilvl w:val="4"/>
          <w:numId w:val="1"/>
        </w:numPr>
        <w:rPr/>
      </w:pPr>
      <w:bookmarkStart w:id="576" w:name="__RefHeading___Toc79022_3244359995"/>
      <w:bookmarkStart w:id="577" w:name="_Toc219"/>
      <w:bookmarkEnd w:id="576"/>
      <w:r>
        <w:rPr>
          <w:rtl w:val="true"/>
        </w:rPr>
        <w:t>فرع سوم</w:t>
      </w:r>
      <w:r>
        <w:rPr>
          <w:rtl w:val="true"/>
        </w:rPr>
        <w:t xml:space="preserve">: </w:t>
      </w:r>
      <w:r>
        <w:rPr>
          <w:rtl w:val="true"/>
        </w:rPr>
        <w:t>اختلاف شهود در اطلاق و تقیید</w:t>
      </w:r>
      <w:bookmarkEnd w:id="577"/>
    </w:p>
    <w:p>
      <w:pPr>
        <w:pStyle w:val="BookText"/>
        <w:rPr/>
      </w:pPr>
      <w:r>
        <w:rPr>
          <w:rFonts w:ascii="IRNazanin" w:hAnsi="IRNazanin" w:eastAsia="IRNazanin"/>
          <w:color w:val="111111"/>
          <w:sz w:val="28"/>
          <w:sz w:val="28"/>
          <w:szCs w:val="28"/>
          <w:rtl w:val="true"/>
          <w:lang w:bidi="fa-IR"/>
        </w:rPr>
        <w:t>اگر برخی از شهود، به طور مطلق و بعضی با ذکر خصوصیّت‌ها شهادت دادند، آیا شهودی که شهادتشان مطلق است، به بیان خصوصیّت وادار می‌شود؟</w:t>
      </w:r>
    </w:p>
    <w:p>
      <w:pPr>
        <w:pStyle w:val="BookText"/>
        <w:rPr/>
      </w:pPr>
      <w:r>
        <w:rPr>
          <w:rFonts w:ascii="IRNazanin" w:hAnsi="IRNazanin" w:eastAsia="IRNazanin"/>
          <w:color w:val="111111"/>
          <w:sz w:val="28"/>
          <w:sz w:val="28"/>
          <w:szCs w:val="28"/>
          <w:rtl w:val="true"/>
          <w:lang w:bidi="fa-IR"/>
        </w:rPr>
        <w:t>شهید ثانی رحمه الله در کتاب مسالک و شرح لمعه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تعدادی از شهود متعرّض برخی خصوصیّت‌ها شدند، بر شهود دیگر تعرّض آن قیود لازم نیست؛ زیرا، در روایات و کلام اصحاب به چنین قیدی برخورد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بقیّه می‌توانند به اطلاق شهادت داده و بر زانی حدّ جاری کنند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نقد نظر شهید 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روایتی هست که باید دلالت آن‌را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علیّ بن محبوب، عن أحمد بن الحسن، عن عمرو بن سعید، عن مصدّق بن صدقة،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یشهد علیه ثلاثة رجال أنّه قد زنی بفلانة ویشهد الرابع أنّه لایدری بمن 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 ولا یرجم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 بإسناده عن عمّار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عن محمّد بن یحیی، عن أحمد بن محمّد، عن 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ما لو لم یشهد الرابع بالزنا بل أظهر الشک فیه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طوسی رحمه الله به محمّد بن علیّ بن محبوب صحیح؛ وبقیّه‌ی رجال سند، فطحی و موثّق هستند؛ لذا، 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از امام صادق علیه السلام از مردی پرسید که سه عادل بر زنای او با زن معیّنی شهادت دادند، لیکن چهارمی فقط شهادت به زنای او داده امّا نمی‌داند زنِ مزنیٌّ بها چه کسی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وقوع زنا را شهادت می‌دهد، امّا طرف زنا چه فردی بوده؟ این را نمی‌داند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رجمی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دو فرض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شهادت به وقوع زنا می‌دهد و بر آن چیزی اضافه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ارتکاب زنا داده و اضافه می‌کند نمی‌دانم چه کسی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بر فرض دوم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رحمه الله</w:t>
      </w:r>
      <w:r>
        <w:rPr>
          <w:rStyle w:val="FootnoteAnchor"/>
          <w:rtl w:val="true"/>
        </w:rPr>
        <w:footnoteReference w:id="55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در چنین فرضی آمده، امّا به کمک اجماع مرکّب می‌توان آن را به تمام خصوصیّات از مکان و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بعضی از شهود به بیان خصوصیّتی پرداختند، شهود دیگر نیز باید از آنان متابعت کرده و خصوصیّت را بیان کنند؛ و اگر به اطلاق اکتفا یا ادّعای عدم علم به خصوصیّت کنند، این شهادت مقبول نیست و حدّ و رجم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559"/>
      </w:r>
      <w:r>
        <w:rPr>
          <w:rFonts w:ascii="IRNazanin" w:hAnsi="IRNazanin" w:eastAsia="IRNazanin"/>
          <w:color w:val="111111"/>
          <w:sz w:val="28"/>
          <w:sz w:val="28"/>
          <w:szCs w:val="28"/>
          <w:rtl w:val="true"/>
          <w:lang w:bidi="fa-IR"/>
        </w:rPr>
        <w:t>در نقد نظر مرحوم صاحب ریاض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 مرکّبی ثابت نشده، و از کلمات اصحاب چنین مطلبی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روایت در مورد خودش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غیر مزنیّ‌بها، به اطلاق یا ادّعای عدم علم نسبت به خصوصیّت شهادت دهند، به آن ترتیب اثر می‌دهیم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که ناقل روایت است، در توجیه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موردی حمل</w:t>
      </w:r>
    </w:p>
    <w:p>
      <w:pPr>
        <w:pStyle w:val="BookText"/>
        <w:rPr/>
      </w:pPr>
      <w:r>
        <w:rPr>
          <w:rFonts w:ascii="IRNazanin" w:hAnsi="IRNazanin" w:eastAsia="IRNazanin"/>
          <w:color w:val="111111"/>
          <w:sz w:val="28"/>
          <w:sz w:val="28"/>
          <w:szCs w:val="28"/>
          <w:rtl w:val="true"/>
          <w:lang w:bidi="fa-IR"/>
        </w:rPr>
        <w:t>می‌کنیم که شاهد چهارم به اصل زنا شهادت ندهد و در وقوع آن اظهار شکّ و تردید کند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از مرحوم شیخ طوسی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حمل چیست؟ آیا به واسطه‌ی روایت معارض یا مقابلی دست به این توجیه زده‌اید؟ که در این مقام، فقط همین یک روایت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این مسأله تعبّدی است، و برای عقل، در آن نقشی متصوّر نیست؛ چگونه دست از ظاهر روایت بر می‌دارید؟ این حمل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سخن صاحب جواهر رحمه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حکم وارد در روایت تعبّدی است، امّا اقتصار و اکتفا به مورد روایت و نفی دیگر خصوصیّات زمانی و مکانی،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فقط در رابطه با تعیین مزنیّ‌بها حکم را گفته، ولی اگر سه شاهد بر وقوع زنا در روز جمعه شهادت دادند و دیگری نسبت به روز ارتکاب فحشا بی‌اطّلاعی کرد، روایت حکم آن را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رحمه الله</w:t>
      </w:r>
      <w:r>
        <w:rPr>
          <w:rStyle w:val="FootnoteAnchor"/>
          <w:rtl w:val="true"/>
        </w:rPr>
        <w:footnoteReference w:id="561"/>
      </w:r>
      <w:r>
        <w:rPr>
          <w:rFonts w:ascii="IRNazanin" w:hAnsi="IRNazanin" w:eastAsia="IRNazanin"/>
          <w:color w:val="111111"/>
          <w:sz w:val="28"/>
          <w:sz w:val="28"/>
          <w:szCs w:val="28"/>
          <w:rtl w:val="true"/>
          <w:lang w:bidi="fa-IR"/>
        </w:rPr>
        <w:t>برای تعمیم، از اجماع مرکّب استفاده کرده است و ما بالاتر از آن را ادّعا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این کلام، عدم خصوصیّت برای مورد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از این روایت، مورد زمان و مکان را نیز می‌فهمد و نیازی به اجماع مرکّب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ما، اگر بعضی از شهود متعرّض خصوصیّات شدند، دیگران نیز ملزم به بیان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صورتی که یکی از شهود، شهادت را مطلق گذاشت و سه نفر شهادت به زنای با زن معیّنی دادند، می‌توان حکم آن را از روایت فهمید؟ در این جهت، مقداری تردید و تأمّل است؛ هر چند از عبارت مرحوم صاحب جواهر</w:t>
      </w:r>
      <w:r>
        <w:rPr>
          <w:rStyle w:val="FootnoteAnchor"/>
          <w:rtl w:val="true"/>
        </w:rPr>
        <w:footnoteReference w:id="562"/>
      </w:r>
      <w:r>
        <w:rPr>
          <w:rFonts w:ascii="IRNazanin" w:hAnsi="IRNazanin" w:eastAsia="IRNazanin"/>
          <w:color w:val="111111"/>
          <w:sz w:val="28"/>
          <w:sz w:val="28"/>
          <w:szCs w:val="28"/>
          <w:rtl w:val="true"/>
          <w:lang w:bidi="fa-IR"/>
        </w:rPr>
        <w:t>و تحریر الوسیله استفاده می‌شود بین این‌ها فرقی نیست؛ ولی به نظر می‌رسد بین دو فرض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صورت عدم علم به خصوصیّت را بیان کرد، نمی‌توان از آن صورت، اطلاق را فهمید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تحریر الوسیله هر دو فرض را بنا بر ظاهر متعرّض شده‌اند؛ و با توجّه به این روایت، احتیاط وجوبی بر ذکر خصوصیّت دارند و فرقی بین خصوصیّات نمی‌گذارند</w:t>
      </w:r>
      <w:r>
        <w:rPr>
          <w:rFonts w:eastAsia="IRNazanin" w:cs="IRNazanin"/>
          <w:color w:val="111111"/>
          <w:sz w:val="28"/>
          <w:szCs w:val="28"/>
          <w:rtl w:val="true"/>
          <w:lang w:bidi="fa-IR"/>
        </w:rPr>
        <w:t>.</w:t>
      </w:r>
      <w:bookmarkStart w:id="578" w:name="pg16919_227098"/>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تأخیر الشهود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حضر بعض الشهود وشهد بالزنا فی غیبة بعض آخر، حدّ من شهد للفریة، ولم ینتظر مجیء البقیّة لاتمام البیّنة، فلو شهد ثلاثة منهم علی الزنا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رابع سیجیء 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أن یکونوا حاضرین دفعة، فلو شهد واحد وجاء الآخر بلا فصل فشهد وهکذا ثبت الزنا ولا حدّ علی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تواطؤهم علی الشهادة، فلو شهد الأربعة بلا علم منهم بشهادة السائرین تمّ النصاب وثبت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بعضهم بعد حضورهم جمیعاً للشهادة ونکل بعض یحدّ من شهد للفریة</w:t>
      </w:r>
      <w:r>
        <w:rPr>
          <w:rFonts w:eastAsia="IRNazanin" w:cs="IRNazanin"/>
          <w:color w:val="111111"/>
          <w:sz w:val="28"/>
          <w:szCs w:val="28"/>
          <w:rtl w:val="true"/>
          <w:lang w:bidi="fa-IR"/>
        </w:rPr>
        <w:t>.</w:t>
      </w:r>
    </w:p>
    <w:p>
      <w:pPr>
        <w:pStyle w:val="Heading4"/>
        <w:numPr>
          <w:ilvl w:val="3"/>
          <w:numId w:val="1"/>
        </w:numPr>
        <w:rPr/>
      </w:pPr>
      <w:bookmarkStart w:id="579" w:name="__RefHeading___Toc79024_3244359995"/>
      <w:bookmarkStart w:id="580" w:name="_Toc220"/>
      <w:bookmarkEnd w:id="579"/>
      <w:r>
        <w:rPr>
          <w:rtl w:val="true"/>
        </w:rPr>
        <w:t>تأخیر شهود در شهادت</w:t>
      </w:r>
      <w:bookmarkEnd w:id="580"/>
    </w:p>
    <w:p>
      <w:pPr>
        <w:pStyle w:val="Heading5"/>
        <w:numPr>
          <w:ilvl w:val="4"/>
          <w:numId w:val="1"/>
        </w:numPr>
        <w:rPr/>
      </w:pPr>
      <w:bookmarkStart w:id="581" w:name="__RefHeading___Toc79026_3244359995"/>
      <w:bookmarkStart w:id="582" w:name="_Toc221"/>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در این مسأله نیز چند فرع را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شهود برای اقامه‌ی شهادت با هم‌دیگر در دادگاه حاضر نشدند، مانند این‌که سه نفر به زنا شهادت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برای شهادت به زودی می‌آید، و در حقیقت، بین شهادت‌ها یک فاصله‌ی فرعی افتاد، این فاصله سبب می‌شود شهود محکوم به حدّ قذف شوند و منتظر آمدن بقیّه برای شهادت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شاهدان با هم در جلسه‌ی دادگاه برای ادای شهادت لازم نیست؛ بلکه اگر یکی یکی وارد شوند تا اجتماعشان تکمیل شود و شهادت دهند،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این، اگر یکی یکی وارد شدند و شهادت دادند به گونه‌ای که اتمام شهادت یکی مقارن با آمدن دیگری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شهادت لازم نیست شهود با هم در اقامه‌ی شهادت اتّفاق داشته و از حال یکدیگر آگاه باشند، همین مقدار که چهار شاهد عادل بدون فاصله‌ی عرفی شهادت بدهند، کافی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چهار شاهد عادل به اتّفاق یکدیگر برای شهادت به دادگاه آمدند، امّا بعضی شهادت داده و برخی دیگر از اقامه‌ی آن پشیمان شده و نکول کردند، افرادی که شهادت داده‌اند، محکوم به حدّ قذف می‌شوند</w:t>
      </w:r>
      <w:r>
        <w:rPr>
          <w:rFonts w:eastAsia="IRNazanin" w:cs="IRNazanin"/>
          <w:color w:val="111111"/>
          <w:sz w:val="28"/>
          <w:szCs w:val="28"/>
          <w:rtl w:val="true"/>
          <w:lang w:bidi="fa-IR"/>
        </w:rPr>
        <w:t>.</w:t>
      </w:r>
      <w:bookmarkStart w:id="583" w:name="pg16919_227099"/>
    </w:p>
    <w:p>
      <w:pPr>
        <w:pStyle w:val="Heading5"/>
        <w:numPr>
          <w:ilvl w:val="4"/>
          <w:numId w:val="1"/>
        </w:numPr>
        <w:rPr/>
      </w:pPr>
      <w:bookmarkStart w:id="584" w:name="__RefHeading___Toc79028_3244359995"/>
      <w:bookmarkStart w:id="585" w:name="_Toc222"/>
      <w:bookmarkEnd w:id="583"/>
      <w:bookmarkEnd w:id="584"/>
      <w:r>
        <w:rPr>
          <w:rtl w:val="true"/>
        </w:rPr>
        <w:t>فرع اوّل</w:t>
      </w:r>
      <w:r>
        <w:rPr>
          <w:rtl w:val="true"/>
        </w:rPr>
        <w:t xml:space="preserve">: </w:t>
      </w:r>
      <w:r>
        <w:rPr>
          <w:rtl w:val="true"/>
        </w:rPr>
        <w:t>لزوم عدم فاصله‌ی عرفی بین شهادت‌ها</w:t>
      </w:r>
      <w:bookmarkEnd w:id="585"/>
    </w:p>
    <w:p>
      <w:pPr>
        <w:pStyle w:val="BookText"/>
        <w:rPr/>
      </w:pPr>
      <w:r>
        <w:rPr>
          <w:rFonts w:ascii="IRNazanin" w:hAnsi="IRNazanin" w:eastAsia="IRNazanin"/>
          <w:color w:val="111111"/>
          <w:sz w:val="28"/>
          <w:sz w:val="28"/>
          <w:szCs w:val="28"/>
          <w:rtl w:val="true"/>
          <w:lang w:bidi="fa-IR"/>
        </w:rPr>
        <w:t>فتوای بیشتر فقها این است که حدّ، تأخیر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سه نفر شهادت دادند، حاکم نباید منتظر آمدن شاهد چهارم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عنوان قذف محقّق بوده و زنا ثابت نشده است؛ پس، بر این سه شاهد باید حدّ قذف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جامع</w:t>
      </w:r>
      <w:r>
        <w:rPr>
          <w:rStyle w:val="FootnoteAnchor"/>
          <w:rtl w:val="true"/>
        </w:rPr>
        <w:footnoteReference w:id="563"/>
      </w:r>
      <w:r>
        <w:rPr>
          <w:rFonts w:ascii="IRNazanin" w:hAnsi="IRNazanin" w:eastAsia="IRNazanin"/>
          <w:color w:val="111111"/>
          <w:sz w:val="28"/>
          <w:sz w:val="28"/>
          <w:szCs w:val="28"/>
          <w:rtl w:val="true"/>
          <w:lang w:bidi="fa-IR"/>
        </w:rPr>
        <w:t>ابن سعید رحمه الله حکایت مخالف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معمولاً در فتوا متفرّد است و از هم مسلکان خود و علمای شیعه مقداری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خلاف، مسأله را به‌عنوان مسأله‌ای خلافی بین شیعه و سنّی مطرح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شهود زنا در یک مجلس شهادت بدهند؛ بلکه اگر در مجالس متعدّد و متفرّق شهادت دهند،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مجالس متفرّق شهادت دهند به احتیاط نزدیک‌تر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باب شهادت را به باب اقرار تنزیل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گفتیم احتیاط در اقرار در مجالس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شیعه و برخی از علمای اهل سنّت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ابوحنیفه در مقابل شیخ طوسی رحمه الله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همه‌ی شهادت‌ها در یک مجلس باشد و اگر در مجالس متفرّق اقامه شود، فایده ندارد؛ بلکه این شهود قَذَفه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به آنان حدّ قذف زده شود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این بیان شیخ طوسی رحمه الله مخالفت با فتوای 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تفرقه‌ی در شهادت را احوط دانسته، امّا قوم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بین شهادت‌ها فاصله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حلّی رحمه الله در کتاب مختلف</w:t>
      </w:r>
      <w:r>
        <w:rPr>
          <w:rStyle w:val="FootnoteAnchor"/>
          <w:rtl w:val="true"/>
        </w:rPr>
        <w:footnoteReference w:id="566"/>
      </w:r>
      <w:r>
        <w:rPr>
          <w:rFonts w:ascii="IRNazanin" w:hAnsi="IRNazanin" w:eastAsia="IRNazanin"/>
          <w:color w:val="111111"/>
          <w:sz w:val="28"/>
          <w:sz w:val="28"/>
          <w:szCs w:val="28"/>
          <w:rtl w:val="true"/>
          <w:lang w:bidi="fa-IR"/>
        </w:rPr>
        <w:t>کلام مرحوم شیخ طوسی را توجیه کرده، می‌گوید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فتوا در موضوع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موردی را می‌گویند که سه شاهد در محضر حاکم حاضر و اعلام می‌دارند شاهد چهارمی وجود دارد که به زودی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چهار شاهد نزد حاکم تکمیل نشده‌اند؛ لیکن شیخ طوسی رحمه الله موردی را می‌گوید</w:t>
      </w:r>
    </w:p>
    <w:p>
      <w:pPr>
        <w:pStyle w:val="BookText"/>
        <w:rPr/>
      </w:pPr>
      <w:r>
        <w:rPr>
          <w:rFonts w:ascii="IRNazanin" w:hAnsi="IRNazanin" w:eastAsia="IRNazanin"/>
          <w:color w:val="111111"/>
          <w:sz w:val="28"/>
          <w:sz w:val="28"/>
          <w:szCs w:val="28"/>
          <w:rtl w:val="true"/>
          <w:lang w:bidi="fa-IR"/>
        </w:rPr>
        <w:t>که چهار شاهد نزد حاکم اعلام آمادگی کرده‌اند، و پس از تکمیل آنان، اگر تک‌تک شهادت دهند و گواهی آنان متفرّق باشد،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شیخ طوسی رحمه الله در خلاف فقط متعرّض فتوای خودش نمی‌شود، بلکه هر فرعی را که عنوان می‌کند، دلیل آن را اجماع فرقه‌ی امامیه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ایشان را باید به گونه‌ای توجیه کنیم که با اصحاب مخالفتی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توجیهی که مرحوم علّامه از کلام شیخ طوسی رحمه الله کرد، تنها مخالف در این مسأله فقط ابن سعید خواهد بود، و دیگران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w:t>
      </w:r>
    </w:p>
    <w:p>
      <w:pPr>
        <w:pStyle w:val="BookText"/>
        <w:rPr/>
      </w:pPr>
      <w:r>
        <w:rPr>
          <w:rFonts w:ascii="IRNazanin" w:hAnsi="IRNazanin" w:eastAsia="IRNazanin"/>
          <w:color w:val="111111"/>
          <w:sz w:val="28"/>
          <w:sz w:val="28"/>
          <w:szCs w:val="28"/>
          <w:rtl w:val="true"/>
          <w:lang w:bidi="fa-IR"/>
        </w:rPr>
        <w:t>دلیل عمده این فتوا، روایات است؛ باید به استناد آن‌ها این مطلب را اثبات کنیم که اگر چند نفر از شهود نزد حاکم شهادت دادند و از او بخواهند منتظر آمدن بقیّه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حاکم نباید منتظر بنشیند و به قول مرحوم محقّق حالت ترقّب و انتظار وجود ندارد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این شهادت کامل نبوده و موضوع آیه‌ی رمی محصنات</w:t>
      </w:r>
      <w:r>
        <w:rPr>
          <w:rStyle w:val="FootnoteAnchor"/>
          <w:rtl w:val="true"/>
        </w:rPr>
        <w:footnoteReference w:id="568"/>
      </w:r>
      <w:r>
        <w:rPr>
          <w:rFonts w:ascii="IRNazanin" w:hAnsi="IRNazanin" w:eastAsia="IRNazanin"/>
          <w:color w:val="111111"/>
          <w:sz w:val="28"/>
          <w:sz w:val="28"/>
          <w:szCs w:val="28"/>
          <w:rtl w:val="true"/>
          <w:lang w:bidi="fa-IR"/>
        </w:rPr>
        <w:t>است؛ لذا، حدّ قذف محقّق می‌شود و باید حدّ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محمّد بن أحمد بن یحیی، عن بنان، عن أبیه، عن ابن المغیرة، عن السکونی، عن جعفر، عن أبیه، عن علیّ علیه السلام فی ثلاثة شهدوا علی رجل بالزنا،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الرابع،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یجیء، فقال علیّ علیه السلام حدّوهم فلیس فی الحدود نظر ساعة</w:t>
      </w:r>
      <w:r>
        <w:rPr>
          <w:rFonts w:eastAsia="IRNazanin" w:cs="IRNazanin"/>
          <w:color w:val="111111"/>
          <w:sz w:val="28"/>
          <w:szCs w:val="28"/>
          <w:rtl w:val="true"/>
          <w:lang w:bidi="fa-IR"/>
        </w:rPr>
        <w:t>.</w:t>
      </w:r>
      <w:r>
        <w:rPr>
          <w:rStyle w:val="FootnoteAnchor"/>
          <w:rtl w:val="true"/>
        </w:rPr>
        <w:footnoteReference w:id="56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لیکن بنای اصحاب بر عمل به روایت سکونی است، هر چند خودش مورد وثوق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این روایت دارد آن است که مورد عمل اصحاب غیر از ابن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سند آن ضعفی باشد با عمل اصحاب و مشهور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است‌که سه نفر علیه مردی شهادت به زنا دادند،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چهارمی کجا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می‌آید کمی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فرمان داد بر این سه نفر حدّ بزنید؛ در باب حدود به اندازه‌ی ساعتی تأخیر و مهلت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ساعت،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نیست، بلکه فاصله‌ی عرفی مقصود است؛ اگر ده دقیقه نیز فاصله شود، به تعبیر روایات عنوان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أبیه، عن ابن محبوب، عن نعیم بن إبراهیم، عن عباد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ثلاثة شهدوا علی رجل بالزنا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نأتی بالرابع،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حدّ القاذف ثمانین جلدة کلّ رجل منهم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عباد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علیه مردی شهادت به زنا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الآن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آنان حدّ قاذف، یعنی هشتاد تازیانه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این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به‌ویژه حدیث اوّل مورد تأمّل واقع شده است؛ زیرا، بر طبق قواعد فقهی حدّ قذف در صورتی جاری می‌شود که مقذوف اجرای حدّ را مطالبه کند؛ و این حدّ مانند حدّ زنا نیست؛ بلکه حقّ الناس است و تا هنگامی که مقذوف تقاضای اجرای آن را نکند، حاکم شرع حقّ اجرای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در روایت اوّل مولی الموحّدین بدون مطالبه‌ی مقذوف، دستور اجرای حدّ قذف داد، وهمین طور در روایت دوم،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زده می‌شود؟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مانند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w:t>
      </w:r>
      <w:r>
        <w:rPr>
          <w:rStyle w:val="FootnoteAnchor"/>
          <w:rtl w:val="true"/>
        </w:rPr>
        <w:footnoteReference w:id="5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قید مطالبه‌ی مقذوف نیست؛ بلکه بیان قید به عهده‌ی دلیل دیگری است که این آیه را تقیید می‌زند</w:t>
      </w:r>
      <w:r>
        <w:rPr>
          <w:rFonts w:eastAsia="IRNazanin" w:cs="IRNazanin"/>
          <w:color w:val="111111"/>
          <w:sz w:val="28"/>
          <w:szCs w:val="28"/>
          <w:rtl w:val="true"/>
          <w:lang w:bidi="fa-IR"/>
        </w:rPr>
        <w:t>.</w:t>
      </w:r>
      <w:bookmarkStart w:id="586" w:name="pg16919_227102"/>
    </w:p>
    <w:p>
      <w:pPr>
        <w:pStyle w:val="BookText"/>
        <w:rPr/>
      </w:pPr>
      <w:bookmarkEnd w:id="586"/>
      <w:r>
        <w:rPr>
          <w:rFonts w:ascii="IRNazanin" w:hAnsi="IRNazanin" w:eastAsia="IRNazanin"/>
          <w:color w:val="111111"/>
          <w:sz w:val="28"/>
          <w:sz w:val="28"/>
          <w:szCs w:val="28"/>
          <w:rtl w:val="true"/>
          <w:lang w:bidi="fa-IR"/>
        </w:rPr>
        <w:t>در این مقام نیز وقتی امام علیه السلام فرمان می‌دهد حقّ قذف اجرا کنید، یعنی با شرایطش آن را اجرا کنند که یکی از آن شرایط، مطالبه‌ی مقذوف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مطابق با فتوای مشهور بوده و تمام است</w:t>
      </w:r>
      <w:r>
        <w:rPr>
          <w:rFonts w:eastAsia="IRNazanin" w:cs="IRNazanin"/>
          <w:color w:val="111111"/>
          <w:sz w:val="28"/>
          <w:szCs w:val="28"/>
          <w:rtl w:val="true"/>
          <w:lang w:bidi="fa-IR"/>
        </w:rPr>
        <w:t>.</w:t>
      </w:r>
    </w:p>
    <w:p>
      <w:pPr>
        <w:pStyle w:val="Heading5"/>
        <w:numPr>
          <w:ilvl w:val="4"/>
          <w:numId w:val="1"/>
        </w:numPr>
        <w:rPr/>
      </w:pPr>
      <w:bookmarkStart w:id="587" w:name="__RefHeading___Toc79030_3244359995"/>
      <w:bookmarkStart w:id="588" w:name="_Toc223"/>
      <w:bookmarkEnd w:id="587"/>
      <w:r>
        <w:rPr>
          <w:rtl w:val="true"/>
        </w:rPr>
        <w:t>فرع دوم</w:t>
      </w:r>
      <w:r>
        <w:rPr>
          <w:rtl w:val="true"/>
        </w:rPr>
        <w:t xml:space="preserve">: </w:t>
      </w:r>
      <w:r>
        <w:rPr>
          <w:rtl w:val="true"/>
        </w:rPr>
        <w:t>کیفیّت حضور شهود در دادگاه</w:t>
      </w:r>
      <w:bookmarkEnd w:id="588"/>
    </w:p>
    <w:p>
      <w:pPr>
        <w:pStyle w:val="BookText"/>
        <w:rPr/>
      </w:pPr>
      <w:r>
        <w:rPr>
          <w:rFonts w:ascii="IRNazanin" w:hAnsi="IRNazanin" w:eastAsia="IRNazanin"/>
          <w:color w:val="111111"/>
          <w:sz w:val="28"/>
          <w:sz w:val="28"/>
          <w:szCs w:val="28"/>
          <w:rtl w:val="true"/>
          <w:lang w:bidi="fa-IR"/>
        </w:rPr>
        <w:t>آیا همه شهود باید با هم وارد دادگاه شوند؟ و یا اگر یکی وارد شد و در گوشه‌ای نشست، بدون این که شهادت بدهد، پس از گذشت نیم ساعت دوّمی وارد شود و به همین کیفیّت، دو شاهد دیگر به دادگاه بیایند، پس از حضور چهار نفر، به اقامه‌ی شهادت بپردازند؟</w:t>
      </w:r>
    </w:p>
    <w:p>
      <w:pPr>
        <w:pStyle w:val="BookText"/>
        <w:rPr/>
      </w:pPr>
      <w:r>
        <w:rPr>
          <w:rFonts w:ascii="IRNazanin" w:hAnsi="IRNazanin" w:eastAsia="IRNazanin"/>
          <w:color w:val="111111"/>
          <w:sz w:val="28"/>
          <w:sz w:val="28"/>
          <w:szCs w:val="28"/>
          <w:rtl w:val="true"/>
          <w:lang w:bidi="fa-IR"/>
        </w:rPr>
        <w:t>علّامه‌ی حلّی رحمه الله در کتاب قواعد</w:t>
      </w:r>
      <w:r>
        <w:rPr>
          <w:rStyle w:val="FootnoteAnchor"/>
          <w:rtl w:val="true"/>
        </w:rPr>
        <w:footnoteReference w:id="572"/>
      </w:r>
      <w:r>
        <w:rPr>
          <w:rFonts w:ascii="IRNazanin" w:hAnsi="IRNazanin" w:eastAsia="IRNazanin"/>
          <w:color w:val="111111"/>
          <w:sz w:val="28"/>
          <w:sz w:val="28"/>
          <w:szCs w:val="28"/>
          <w:rtl w:val="true"/>
          <w:lang w:bidi="fa-IR"/>
        </w:rPr>
        <w:t>و فرزندش مرحوم فخر المحقّقین در کتاب ایضاح القواعد</w:t>
      </w:r>
      <w:r>
        <w:rPr>
          <w:rStyle w:val="FootnoteAnchor"/>
          <w:rtl w:val="true"/>
        </w:rPr>
        <w:footnoteReference w:id="57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باید یک‌دفعه و با هم به محکمه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ورودشان به نحو تعاقب باشد، هرچند با هم شهادت بدهند، باید حدّ قذف به آنان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بیان این دو بزرگوار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چیست؟ روایاتی که در این باب رسیده، هیچ دلالتی بر حضور دفعی و باهم شهود ندارد؛ بلکه بالاتر از این را ادّعا داریم؛ وآن این‌که لازم نیست، شهود هر کدام از شهادت دیگری و یا از اصل وجود شاهد دیگر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یکی وارد دادگاه شده و شهادت بدهد و با اتمام شهادت او، دومی وارد شود به گونه‌ای که فاصله‌ای بین شهادات محقّق نشود،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آن‌چه مرحوم علّامه حلّی و فرزندش گفته‌اند، نه‌تنها دلیلی ندارد؛ بلکه ادلّه، بر وقوع شهادات پی‌درپی و بدون فاصله دلالت دارد</w:t>
      </w:r>
      <w:r>
        <w:rPr>
          <w:rFonts w:eastAsia="IRNazanin" w:cs="IRNazanin"/>
          <w:color w:val="111111"/>
          <w:sz w:val="28"/>
          <w:szCs w:val="28"/>
          <w:rtl w:val="true"/>
          <w:lang w:bidi="fa-IR"/>
        </w:rPr>
        <w:t>.</w:t>
      </w:r>
    </w:p>
    <w:p>
      <w:pPr>
        <w:pStyle w:val="Heading5"/>
        <w:numPr>
          <w:ilvl w:val="4"/>
          <w:numId w:val="1"/>
        </w:numPr>
        <w:rPr/>
      </w:pPr>
      <w:bookmarkStart w:id="589" w:name="__RefHeading___Toc79032_3244359995"/>
      <w:bookmarkStart w:id="590" w:name="_Toc224"/>
      <w:bookmarkEnd w:id="589"/>
      <w:r>
        <w:rPr>
          <w:rtl w:val="true"/>
        </w:rPr>
        <w:t>فرع سوم</w:t>
      </w:r>
      <w:r>
        <w:rPr>
          <w:rtl w:val="true"/>
        </w:rPr>
        <w:t xml:space="preserve">: </w:t>
      </w:r>
      <w:r>
        <w:rPr>
          <w:rtl w:val="true"/>
        </w:rPr>
        <w:t>نکول بعضی از شهود</w:t>
      </w:r>
      <w:bookmarkEnd w:id="59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چهار شاهد عادل با هم اتّفاق کنند که به دادگاه بیایند و به زنای فردی شهادت داده و آن را به اثبات برسانند، اما بعد از حضور در دادگاه، یکی دو نفر از آنان که شهادت داد، بقیه پشیمان شده، و از شهادت دادن نکول کنند، مرحوم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شهادت</w:t>
      </w:r>
    </w:p>
    <w:p>
      <w:pPr>
        <w:pStyle w:val="BookText"/>
        <w:rPr/>
      </w:pPr>
      <w:r>
        <w:rPr>
          <w:rFonts w:ascii="IRNazanin" w:hAnsi="IRNazanin" w:eastAsia="IRNazanin"/>
          <w:color w:val="111111"/>
          <w:sz w:val="28"/>
          <w:sz w:val="28"/>
          <w:szCs w:val="28"/>
          <w:rtl w:val="true"/>
          <w:lang w:bidi="fa-IR"/>
        </w:rPr>
        <w:t>داده‌اند، باید حدّ قذف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تمام مقدّمات شهادت آماده بود، امّا از جهت این‌که شهادت شهود کامل نشده، باید حدّ قذف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دو روایت زیر نیز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أکون أوّل الشهود الأربعة فی الزنا أخشی أن ینکل بعضهم فاُجلد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محمّد بن قیس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شهادت بر زنا، شاهد اوّل واقع نمی‌شوم،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در مقابل آخر است نه در مقابل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آخرین شاهد خواهم بود؛ زیرا، می‌ترسم بعضی از شهود نکول کرده 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گرفتار حدّ قذف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أبیه، عن حمّاد، عن حریز،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یجلد ثمانین جلدة ولا تقبل له شهادة أبداً إلّابعد التوبة أو یکذّب نفسه، فإن شهد له ثلاثة وأبی واحد یجلد الثلاثة ولا تقبل شهادتهم حتّی یقول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مثل المیل فی المکحلة</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بین صحیحه و حسنه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قاذف هشتاد تازیانه زده می‌شود و شهادت او پذیرفته نمی‌شود، مگر این‌که توبه یا تکذیب نفس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نفر از آنان شهادت دادند و یکی امتناع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ظهور در این دارد که قبلاً آمادگی برای شهادت داشته است، امّا هنگامی که به دادگاه آمده، پشیمان شده و از اقامه‌ی شهادت امتناع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حال، آن سه نفر را حدّ قذف می‌زنند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این گروه، پذیرفته نیست؛ مگر آن‌که چهار نفر به رؤیت، مانند میل در سرمه‌دان،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صحیحه است، و دلالتی تمام و کامل بر مطلب دارند، امّا مضمون این فتوا تا اندازه‌ای با اعتبارات عقلی مطابقت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علّامه‌ی حلّی رحمه الله وجوهی اعتباری برای مانع تراشی در برابر حدّ قذف فرموده است 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شاهد با هم نزد حاکم برای اقامه‌ی شهادت بیایند و سه نفر از آنان شهادت داده و یکی نکول کند، آیا نکول در اختیار دیگران است یا خارج از اختیارشان؟</w:t>
      </w:r>
    </w:p>
    <w:p>
      <w:pPr>
        <w:pStyle w:val="BookText"/>
        <w:rPr/>
      </w:pPr>
      <w:r>
        <w:rPr>
          <w:rFonts w:ascii="IRNazanin" w:hAnsi="IRNazanin" w:eastAsia="IRNazanin"/>
          <w:color w:val="111111"/>
          <w:sz w:val="28"/>
          <w:sz w:val="28"/>
          <w:szCs w:val="28"/>
          <w:rtl w:val="true"/>
          <w:lang w:bidi="fa-IR"/>
        </w:rPr>
        <w:t>این افراد با خلوص نیّت به هدف جلوگیری از فحشا و برای اجرای حدّ الهی قدم در دادگاه گذاشته‌اند، الآن که فرد چهارم نکول می‌کند، چگونه می‌گویید به آنان حدّ قذف بزنند؛ مگر در قرآن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احسانی بالاتر از اقامه‌ی شهادت برای اجرای حدود؟ و مگر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تَکْتُمُوا الشَّهادَةَ</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خاطر عدم کتمان شهادت به دادگاه آمدند، چه جرمی دارند؟ آیا هدفی غیر از اجرای حدود الهی در ذهن آنان نقش بسته بود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این وجوهی است که علّامه‌ی حلّی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آن دو روایت صحیحه که مورد عمل هم واقع شده است، نمی‌تواند مانع تراشی کرده و نقشی ایفا کند؛ به خصوص با توجّه به این که شارع مقدّس بالاتر از اجرای حدود الهی، هم‌چنین اراده داشته است که آبرو و حیثیّت مردم مسلمان نیز محفوظ بماند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پنجاه سال آبرو و حیثیّت کسب کرده باشد، با اجرای یک حدّ بر او تمام حیثیّتش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دو آیه‌ی مذکور دلالت تام دارد، امّا با این وجوه اعتباری نمی‌توان دو روایت صحیحه را کنار گذاشت</w:t>
      </w:r>
      <w:r>
        <w:rPr>
          <w:rFonts w:eastAsia="IRNazanin" w:cs="IRNazanin"/>
          <w:color w:val="111111"/>
          <w:sz w:val="28"/>
          <w:szCs w:val="28"/>
          <w:rtl w:val="true"/>
          <w:lang w:bidi="fa-IR"/>
        </w:rPr>
        <w:t>.</w:t>
      </w:r>
      <w:bookmarkStart w:id="591" w:name="pg16919_227105"/>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فقدان بعض الشرائط فی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شهد أربعة بالزنا وکانوا غیر مرضیّین کلّهم أو بعضهم کالفسّاق حدّوا للقذف،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ردّ الشهادة لأمر ظاهر کالعمی والفسق الظاهر حدّوا وإن کان الردّ لأمر خفیّ کالفسق الخفیّ لا یحدّ إلّاالمردود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الشهود مستورین ولم یثبت عدالتهم ولا فسقهم فلا حدّ علیهم للشبهة</w:t>
      </w:r>
      <w:r>
        <w:rPr>
          <w:rFonts w:eastAsia="IRNazanin" w:cs="IRNazanin"/>
          <w:color w:val="111111"/>
          <w:sz w:val="28"/>
          <w:szCs w:val="28"/>
          <w:rtl w:val="true"/>
          <w:lang w:bidi="fa-IR"/>
        </w:rPr>
        <w:t>.</w:t>
      </w:r>
    </w:p>
    <w:p>
      <w:pPr>
        <w:pStyle w:val="Heading4"/>
        <w:numPr>
          <w:ilvl w:val="3"/>
          <w:numId w:val="1"/>
        </w:numPr>
        <w:rPr/>
      </w:pPr>
      <w:bookmarkStart w:id="592" w:name="__RefHeading___Toc79034_3244359995"/>
      <w:bookmarkStart w:id="593" w:name="_Toc225"/>
      <w:bookmarkEnd w:id="592"/>
      <w:r>
        <w:rPr>
          <w:rtl w:val="true"/>
        </w:rPr>
        <w:t>عدم اجتماع شرایط در شهود</w:t>
      </w:r>
      <w:bookmarkEnd w:id="593"/>
    </w:p>
    <w:p>
      <w:pPr>
        <w:pStyle w:val="Heading5"/>
        <w:numPr>
          <w:ilvl w:val="4"/>
          <w:numId w:val="1"/>
        </w:numPr>
        <w:rPr/>
      </w:pPr>
      <w:bookmarkStart w:id="594" w:name="__RefHeading___Toc79036_3244359995"/>
      <w:bookmarkStart w:id="595" w:name="_Toc226"/>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چهار نفر به زنایی شهادت دادند، امّا به جهتی شهادتشان پذیرفته نشود، مانند این‌که همگی یا تعدادی از آنان فاسق یا نابینا و فاقد حسّ باشند، با توجّه به اعتبار وصف عدالت و لزوم مشاهده و رؤیت، شهادت این افراد مردود است و با آن زنا ثابت نمی‌شود و به آنان حدّ قذف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ملازمه‌ای بین عدم ثبوت زنا و ثبوت حدّ قذف وجود دارد؛ یعنی یا باید با این شهادت زنا ثابت شود تا حدّ قذف مترتّب نگردد، و اگر زنا اثبات نشد، باید حدّ قذف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عدالت یا فسق شهود برای حاکم شرع روشن نباشد، آنان را به سبب حصول شبهه حدّ نمی‌زند</w:t>
      </w:r>
      <w:r>
        <w:rPr>
          <w:rFonts w:eastAsia="IRNazanin" w:cs="IRNazanin"/>
          <w:color w:val="111111"/>
          <w:sz w:val="28"/>
          <w:szCs w:val="28"/>
          <w:rtl w:val="true"/>
          <w:lang w:bidi="fa-IR"/>
        </w:rPr>
        <w:t>.</w:t>
      </w:r>
    </w:p>
    <w:p>
      <w:pPr>
        <w:pStyle w:val="Heading5"/>
        <w:numPr>
          <w:ilvl w:val="4"/>
          <w:numId w:val="1"/>
        </w:numPr>
        <w:rPr/>
      </w:pPr>
      <w:bookmarkStart w:id="596" w:name="__RefHeading___Toc79038_3244359995"/>
      <w:bookmarkStart w:id="597" w:name="_Toc227"/>
      <w:bookmarkEnd w:id="596"/>
      <w:r>
        <w:rPr>
          <w:rtl w:val="true"/>
        </w:rPr>
        <w:t>بیان تفصیل و دلیل آن در فرع اوّل</w:t>
      </w:r>
      <w:bookmarkEnd w:id="59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 مانند مرحوم شیخ در مبسوط‌</w:t>
      </w:r>
      <w:r>
        <w:rPr>
          <w:rStyle w:val="FootnoteAnchor"/>
          <w:rtl w:val="true"/>
        </w:rPr>
        <w:footnoteReference w:id="579"/>
      </w:r>
      <w:r>
        <w:rPr>
          <w:rFonts w:ascii="IRNazanin" w:hAnsi="IRNazanin" w:eastAsia="IRNazanin"/>
          <w:color w:val="111111"/>
          <w:sz w:val="28"/>
          <w:sz w:val="28"/>
          <w:szCs w:val="28"/>
          <w:rtl w:val="true"/>
          <w:lang w:bidi="fa-IR"/>
        </w:rPr>
        <w:t>و خلاف</w:t>
      </w:r>
      <w:r>
        <w:rPr>
          <w:rStyle w:val="FootnoteAnchor"/>
          <w:rtl w:val="true"/>
        </w:rPr>
        <w:footnoteReference w:id="580"/>
      </w:r>
      <w:r>
        <w:rPr>
          <w:rFonts w:ascii="IRNazanin" w:hAnsi="IRNazanin" w:eastAsia="IRNazanin"/>
          <w:color w:val="111111"/>
          <w:sz w:val="28"/>
          <w:sz w:val="28"/>
          <w:szCs w:val="28"/>
          <w:rtl w:val="true"/>
          <w:lang w:bidi="fa-IR"/>
        </w:rPr>
        <w:t>، ابن ادریس رحمه الله در کتاب سرائر</w:t>
      </w:r>
      <w:r>
        <w:rPr>
          <w:rStyle w:val="FootnoteAnchor"/>
          <w:rtl w:val="true"/>
        </w:rPr>
        <w:footnoteReference w:id="581"/>
      </w:r>
      <w:r>
        <w:rPr>
          <w:rFonts w:ascii="IRNazanin" w:hAnsi="IRNazanin" w:eastAsia="IRNazanin"/>
          <w:color w:val="111111"/>
          <w:sz w:val="28"/>
          <w:sz w:val="28"/>
          <w:szCs w:val="28"/>
          <w:rtl w:val="true"/>
          <w:lang w:bidi="fa-IR"/>
        </w:rPr>
        <w:t>، ابن سعید رحمه الله در کتاب جامع</w:t>
      </w:r>
      <w:r>
        <w:rPr>
          <w:rStyle w:val="FootnoteAnchor"/>
          <w:rtl w:val="true"/>
        </w:rPr>
        <w:footnoteReference w:id="582"/>
      </w:r>
      <w:r>
        <w:rPr>
          <w:rFonts w:ascii="IRNazanin" w:hAnsi="IRNazanin" w:eastAsia="IRNazanin"/>
          <w:color w:val="111111"/>
          <w:sz w:val="28"/>
          <w:sz w:val="28"/>
          <w:szCs w:val="28"/>
          <w:rtl w:val="true"/>
          <w:lang w:bidi="fa-IR"/>
        </w:rPr>
        <w:t>و علّامه حلّی رحمه الله در کتاب تحریر الاحکام</w:t>
      </w:r>
      <w:r>
        <w:rPr>
          <w:rStyle w:val="FootnoteAnchor"/>
          <w:rtl w:val="true"/>
        </w:rPr>
        <w:footnoteReference w:id="583"/>
      </w:r>
      <w:r>
        <w:rPr>
          <w:rFonts w:ascii="IRNazanin" w:hAnsi="IRNazanin" w:eastAsia="IRNazanin"/>
          <w:color w:val="111111"/>
          <w:sz w:val="28"/>
          <w:sz w:val="28"/>
          <w:szCs w:val="28"/>
          <w:rtl w:val="true"/>
          <w:lang w:bidi="fa-IR"/>
        </w:rPr>
        <w:t>تفصیلی داده‌اند به</w:t>
      </w:r>
    </w:p>
    <w:p>
      <w:pPr>
        <w:pStyle w:val="BookText"/>
        <w:rPr/>
      </w:pPr>
      <w:r>
        <w:rPr>
          <w:rFonts w:ascii="IRNazanin" w:hAnsi="IRNazanin" w:eastAsia="IRNazanin"/>
          <w:color w:val="111111"/>
          <w:sz w:val="28"/>
          <w:sz w:val="28"/>
          <w:szCs w:val="28"/>
          <w:rtl w:val="true"/>
          <w:lang w:bidi="fa-IR"/>
        </w:rPr>
        <w:t>این‌که اگر ردّ شهادت به‌سبب یک امر ظاهری و روشن مانند نابینایی یا فسق ظاهر باشد، در این‌صورت، شهود دیگر که می‌دانند فرد نابینا فاقد شرط شهادت است و همین‌طور شخصی که مرتکب فسق علنی و آشکار می‌شود، شهادتش پذیرفته نیست، و با این حال شهادت می‌دهند، به آنان حدّ قذف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مستند ردّ شهادت یک امر مخفی و پنهانی مانند فسق مستور باشد که رفقایش از آن خبر ندارند و چه‌بسا خیال می‌کردند رفیق‌شان فرد عادلی است و از این‌رو، به اقامه‌ی شهادت حاضر شدند، در این صورت فقط شاهدی که شهادتش ردّ می‌شود، حدّ قذف می‌خورد؛ ولی بر دیگران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دلیلی بر کلامشان اقامه نکرده‌اند، ولی ممکن است نظرشان به این مطلب باشد که افرادی که فی نفسه شهادتشان مقبول است، مرتکب گناه و مسامحه و تقصیری نشده‌اند، تا به سبب آن مستحقّ حدّ قذف باشند، و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نیز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ناتمام است؛ زیرا، با مراجعه‌ی به روایات ملازمه‌ای بین عدم ثبوت زنا و ثبوت حدّ قذف ثابت می‌شود؛ یا باید به شهادت شهود زنا ثابت شود و حدّ آن مترتّب گردد و یا اگر این شهادت قدرت اثبات زنا را ندارد، شهود باید خود را آماده‌ی شلّاق و تازیانه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ملازمه، باب شهادت بسته و کسی به شهادت دادن حاضر نمی‌شود، چرا که هر کسی احتمال می‌دهد رفیقش دارای فسق خفیّ باشد و به سبب آن شهادتش مردود و بر همگی حدّ قذف جاری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از قذف، مطرح کردن مطلب با حاکم شرع است؛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شهادت بر زنایی بدهیم، آیا شهادتمان مقبول است؟ در صورتی‌که به آنان جواب مثبت‌داد، شهادت می‌دهند و الّا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فسق خفیّ دارید، از شهادت دادن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باب شهادت مسدود نمی‌شود</w:t>
      </w:r>
      <w:r>
        <w:rPr>
          <w:rFonts w:eastAsia="IRNazanin" w:cs="IRNazanin"/>
          <w:color w:val="111111"/>
          <w:sz w:val="28"/>
          <w:szCs w:val="28"/>
          <w:rtl w:val="true"/>
          <w:lang w:bidi="fa-IR"/>
        </w:rPr>
        <w:t>.</w:t>
      </w:r>
      <w:bookmarkStart w:id="598" w:name="pg16919_227107"/>
    </w:p>
    <w:p>
      <w:pPr>
        <w:pStyle w:val="Heading5"/>
        <w:numPr>
          <w:ilvl w:val="4"/>
          <w:numId w:val="1"/>
        </w:numPr>
        <w:rPr/>
      </w:pPr>
      <w:bookmarkStart w:id="599" w:name="__RefHeading___Toc79040_3244359995"/>
      <w:bookmarkStart w:id="600" w:name="_Toc228"/>
      <w:bookmarkEnd w:id="598"/>
      <w:bookmarkEnd w:id="599"/>
      <w:r>
        <w:rPr>
          <w:rtl w:val="true"/>
        </w:rPr>
        <w:t>فرع دوم</w:t>
      </w:r>
      <w:r>
        <w:rPr>
          <w:rtl w:val="true"/>
        </w:rPr>
        <w:t xml:space="preserve">: </w:t>
      </w:r>
      <w:r>
        <w:rPr>
          <w:rtl w:val="true"/>
        </w:rPr>
        <w:t>شهادت افراد مستور</w:t>
      </w:r>
      <w:bookmarkEnd w:id="600"/>
    </w:p>
    <w:p>
      <w:pPr>
        <w:pStyle w:val="BookText"/>
        <w:rPr/>
      </w:pPr>
      <w:r>
        <w:rPr>
          <w:rFonts w:ascii="IRNazanin" w:hAnsi="IRNazanin" w:eastAsia="IRNazanin"/>
          <w:color w:val="111111"/>
          <w:sz w:val="28"/>
          <w:sz w:val="28"/>
          <w:szCs w:val="28"/>
          <w:rtl w:val="true"/>
          <w:lang w:bidi="fa-IR"/>
        </w:rPr>
        <w:t>اگر چهار نفر شهادت دادند ولی این افراد مستور باشند، یعنی حاکم شرع هرچه تحقیق کرد، نتوانست بفهمد آیا عادل هستند یا فاسق؟ در متن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حدّ زنا و حدّ قذف ثابت نمی‌شود؛ و در این‌جا ملازمه هم نیست؛ زیرا، ملازمه در جایی است که شهادت مردود باشد؛ یعنی عدم مقبولیّت شهادت را به واسطه‌ی نقصان در کمّیت یا فقدان صفت عدالت و مانند آن احراز کنیم، امّا در مقام ما، چنین چیزی را احراز نکرده‌ایم، فسق یا عدالت شهود برای ما معلوم نشده است؛ لذا، از راه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حدّ قذف و حدّ زنا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در این‌جا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فسق و ساقط شدن حدّ زنا و ثبوت حدّ قذف، و احتمال عدالت شهود و ثبوت حدّ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روایت ابی‌بصیر با این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ابن محبوب، عن علیّ بن أبی حمزه، عن أبی بصیر، عن أبی عبداللّه علیه السلام فی أربعة شهدوا علی رجل بالزنا فلم یعدلوا،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الحدّ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مشتمل بر علیّ بن ابی‌حمزه‌ی بطائنی است که وثاقتش محلّ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در مورد مردی که چهار نفر بر زنای او شهادت دادند، ولی این چهار نفر تعدیل نشدند،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حدّ قذف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راوی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شهادت به فسق این چهار نفر داده و فسق آنان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مجهول مانده، تعدیل و تفسیق نشده‌اند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این دو احتمال اقرب است؟ آیا روایت ظهور عرفی در تفسیق شهود دارد؛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متانت در تعبیر اقتضا کرده به‌جای حکم به فسق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 یا این‌که روایت اطلاق دارد و شامل این مقام نیز می‌شود؟ با قطع نظر از سند، اگر روایت اطلاقی داشته باشد، در این فرع نیز باید به حدّ قذف حکم کنیم؛ امّا در دلالت آن بر اطلاق و عموم و سندش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عمل، و حدّ قذف و زنا را ساقط کرد؛ همان‌گونه که امام رحمه الله در تحریر الوسیله روایت را مطرح نکرده،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حدّ علیهم للشبهة</w:t>
      </w:r>
      <w:r>
        <w:rPr>
          <w:rFonts w:eastAsia="IRNazanin" w:cs="IRNazanin"/>
          <w:color w:val="111111"/>
          <w:sz w:val="28"/>
          <w:szCs w:val="28"/>
          <w:rtl w:val="true"/>
          <w:lang w:bidi="fa-IR"/>
        </w:rPr>
        <w:t>».</w:t>
      </w:r>
      <w:bookmarkStart w:id="601" w:name="pg16919_227109"/>
    </w:p>
    <w:p>
      <w:pPr>
        <w:pStyle w:val="BookText"/>
        <w:rPr/>
      </w:pPr>
      <w:bookmarkEnd w:id="6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شهادة الشهود لو شهدوا علی الإثنین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تقبل شهادة الأربعة علی الإثنین فما زاد، فلو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وفلاناً زنیا قبل منهم وجری علیهما الحدّ</w:t>
      </w:r>
      <w:r>
        <w:rPr>
          <w:rFonts w:eastAsia="IRNazanin" w:cs="IRNazanin"/>
          <w:color w:val="111111"/>
          <w:sz w:val="28"/>
          <w:szCs w:val="28"/>
          <w:rtl w:val="true"/>
          <w:lang w:bidi="fa-IR"/>
        </w:rPr>
        <w:t>.</w:t>
      </w:r>
    </w:p>
    <w:p>
      <w:pPr>
        <w:pStyle w:val="Heading4"/>
        <w:numPr>
          <w:ilvl w:val="3"/>
          <w:numId w:val="1"/>
        </w:numPr>
        <w:rPr/>
      </w:pPr>
      <w:bookmarkStart w:id="602" w:name="__RefHeading___Toc79042_3244359995"/>
      <w:bookmarkStart w:id="603" w:name="_Toc229"/>
      <w:bookmarkEnd w:id="602"/>
      <w:r>
        <w:rPr>
          <w:rtl w:val="true"/>
        </w:rPr>
        <w:t>شهادت شهود بر زنای دو نفر یا بیشتر</w:t>
      </w:r>
      <w:bookmarkEnd w:id="603"/>
    </w:p>
    <w:p>
      <w:pPr>
        <w:pStyle w:val="BookText"/>
        <w:rPr/>
      </w:pPr>
      <w:r>
        <w:rPr>
          <w:rFonts w:ascii="IRNazanin" w:hAnsi="IRNazanin" w:eastAsia="IRNazanin"/>
          <w:color w:val="111111"/>
          <w:sz w:val="28"/>
          <w:sz w:val="28"/>
          <w:szCs w:val="28"/>
          <w:rtl w:val="true"/>
          <w:lang w:bidi="fa-IR"/>
        </w:rPr>
        <w:t>در صورتی‌که شهود بر زنای یک فرد شهادت دادند، اگر شرایط دیگر موجود باشد، شهادتشان در ثبوت زنا مؤثّر است و جای بحث وکلام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است‌که اگر شهود به زنای چند نفر شهادت دادند، آیا با یک شهادت می‌توان بیش از یک زنا را اثبات کرد؟</w:t>
      </w:r>
    </w:p>
    <w:p>
      <w:pPr>
        <w:pStyle w:val="BookText"/>
        <w:rPr/>
      </w:pPr>
      <w:r>
        <w:rPr>
          <w:rFonts w:ascii="IRNazanin" w:hAnsi="IRNazanin" w:eastAsia="IRNazanin"/>
          <w:color w:val="111111"/>
          <w:sz w:val="28"/>
          <w:sz w:val="28"/>
          <w:szCs w:val="28"/>
          <w:rtl w:val="true"/>
          <w:lang w:bidi="fa-IR"/>
        </w:rPr>
        <w:t>بنا بر قاعده، مانعی از شهادت بر بیش از یک زنا نیست؛ مانند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وبکراً و عمراً زنوا و رأینا 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 چند یک شهادت داده‌اند، لیکن از آن‌جا که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گویا چهار شاهد بر زنای هر کدام شهادت داده‌اند؛ لذا، اشکالی در مسأله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آن است‌که در نوع شهادت‌ها، شهادت به زنای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هند زنا کرد، در واقع شهادت به تحقّق زنا از مرد و زن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شهادت داده شود یکی بر زنای مرد، و دیگری بر زنای زن؟ البتّه معمول شهادت‌ها این‌گونه است، ولی در بعضی از مواقع شهادت را مطلق می‌گذارند؛ مانند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زنا کرد، امّا متعرّض مزنیٌ‌بها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جایی‌که دو طرف را مشخّص کنند، کسی نمی‌تواند ایراد کند که با یک شهادت، زنای دو طرف اثبات نمی‌شود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روایتی است که در این باب رسیده؛ هرچند به آن نیازی نیست، امّا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علیّ، عن محمّد بن یحیی الخزّاز، عن الحسن بن علیّ الوشّاء عن أبی إسحاق، عن جابر، عن عبداللّه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نفر شهدوا علی رجلین وامرأتین بالزنا، قال یرجمون</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جذاعه از امام علیه السلام درباره‌ی چهار مردی می‌پرسد که بر زنای دو مرد و دو زن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رجم می‌کنند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آن که این شهادت با شهود واحد، و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روایت به بحث ما مربوط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بعید و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مطلب تمام است</w:t>
      </w:r>
      <w:r>
        <w:rPr>
          <w:rFonts w:eastAsia="IRNazanin" w:cs="IRNazanin"/>
          <w:color w:val="111111"/>
          <w:sz w:val="28"/>
          <w:szCs w:val="28"/>
          <w:rtl w:val="true"/>
          <w:lang w:bidi="fa-IR"/>
        </w:rPr>
        <w:t>.</w:t>
      </w:r>
      <w:bookmarkStart w:id="604" w:name="pg16919_227111"/>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تکذیب المشهود علیه بالزنا أو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کملت الشهادة ثبت الحدّ ولا یسقط بتصدیق المشهود علیه مرّة أو مرّات دون الأربع، خلافاً لبعض أهل الخلاف وکذا لا یسقط بتکذیبه</w:t>
      </w:r>
      <w:r>
        <w:rPr>
          <w:rFonts w:eastAsia="IRNazanin" w:cs="IRNazanin"/>
          <w:color w:val="111111"/>
          <w:sz w:val="28"/>
          <w:szCs w:val="28"/>
          <w:rtl w:val="true"/>
          <w:lang w:bidi="fa-IR"/>
        </w:rPr>
        <w:t>.</w:t>
      </w:r>
    </w:p>
    <w:p>
      <w:pPr>
        <w:pStyle w:val="Heading4"/>
        <w:numPr>
          <w:ilvl w:val="3"/>
          <w:numId w:val="1"/>
        </w:numPr>
        <w:rPr/>
      </w:pPr>
      <w:bookmarkStart w:id="605" w:name="__RefHeading___Toc79044_3244359995"/>
      <w:bookmarkStart w:id="606" w:name="_Toc230"/>
      <w:bookmarkEnd w:id="605"/>
      <w:r>
        <w:rPr>
          <w:rtl w:val="true"/>
        </w:rPr>
        <w:t>تکذیب و تصدیق زانی نسبت به شهود</w:t>
      </w:r>
      <w:bookmarkEnd w:id="606"/>
    </w:p>
    <w:p>
      <w:pPr>
        <w:pStyle w:val="Heading5"/>
        <w:numPr>
          <w:ilvl w:val="4"/>
          <w:numId w:val="1"/>
        </w:numPr>
        <w:rPr/>
      </w:pPr>
      <w:bookmarkStart w:id="607" w:name="__RefHeading___Toc79046_3244359995"/>
      <w:bookmarkStart w:id="608" w:name="_Toc231"/>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مرحوم امام در این مسأله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شاهد با شرایط شهادت دهند، حدّ ثابت می‌شود؛ و با تصدیق مشهودعلیه یا تکذیب او حدّ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برخی از اهل خلاف مخالفت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Heading5"/>
        <w:numPr>
          <w:ilvl w:val="4"/>
          <w:numId w:val="1"/>
        </w:numPr>
        <w:rPr/>
      </w:pPr>
      <w:bookmarkStart w:id="609" w:name="__RefHeading___Toc79048_3244359995"/>
      <w:bookmarkStart w:id="610" w:name="_Toc232"/>
      <w:bookmarkEnd w:id="609"/>
      <w:r>
        <w:rPr>
          <w:rtl w:val="true"/>
        </w:rPr>
        <w:t>فرع اوّل</w:t>
      </w:r>
      <w:r>
        <w:rPr>
          <w:rtl w:val="true"/>
        </w:rPr>
        <w:t xml:space="preserve">: </w:t>
      </w:r>
      <w:r>
        <w:rPr>
          <w:rtl w:val="true"/>
        </w:rPr>
        <w:t>تکذیب مشهودٌ علیه نسبت به شهود</w:t>
      </w:r>
      <w:bookmarkEnd w:id="610"/>
    </w:p>
    <w:p>
      <w:pPr>
        <w:pStyle w:val="BookText"/>
        <w:rPr/>
      </w:pPr>
      <w:r>
        <w:rPr>
          <w:rFonts w:ascii="IRNazanin" w:hAnsi="IRNazanin" w:eastAsia="IRNazanin"/>
          <w:color w:val="111111"/>
          <w:sz w:val="28"/>
          <w:sz w:val="28"/>
          <w:szCs w:val="28"/>
          <w:rtl w:val="true"/>
          <w:lang w:bidi="fa-IR"/>
        </w:rPr>
        <w:t>در صورتی که شهود با تمام شرایط شهادت دادند، اگر زانی آنان را تکذیب کند، آیا تکذیب او لطمه‌ای به قبول شهادت می‌زند یا نه؟</w:t>
      </w:r>
    </w:p>
    <w:p>
      <w:pPr>
        <w:pStyle w:val="BookText"/>
        <w:rPr/>
      </w:pPr>
      <w:r>
        <w:rPr>
          <w:rFonts w:ascii="IRNazanin" w:hAnsi="IRNazanin" w:eastAsia="IRNazanin"/>
          <w:color w:val="111111"/>
          <w:sz w:val="28"/>
          <w:sz w:val="28"/>
          <w:szCs w:val="28"/>
          <w:rtl w:val="true"/>
          <w:lang w:bidi="fa-IR"/>
        </w:rPr>
        <w:t>اگر تکذیب زانی سبب تزلزل شهادت شهود شود، طبیعی است که همه یا اکثر شهادت‌ها از جانب مشهودٌ علیه تکذیب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شهادت‌ها متزلزل خواهد بود و فایده‌ای برای آن نخواهد بود</w:t>
      </w:r>
      <w:r>
        <w:rPr>
          <w:rFonts w:eastAsia="IRNazanin" w:cs="IRNazanin"/>
          <w:color w:val="111111"/>
          <w:sz w:val="28"/>
          <w:szCs w:val="28"/>
          <w:rtl w:val="true"/>
          <w:lang w:bidi="fa-IR"/>
        </w:rPr>
        <w:t>.</w:t>
      </w:r>
    </w:p>
    <w:p>
      <w:pPr>
        <w:pStyle w:val="Heading5"/>
        <w:numPr>
          <w:ilvl w:val="4"/>
          <w:numId w:val="1"/>
        </w:numPr>
        <w:rPr/>
      </w:pPr>
      <w:bookmarkStart w:id="611" w:name="__RefHeading___Toc79050_3244359995"/>
      <w:bookmarkStart w:id="612" w:name="_Toc233"/>
      <w:bookmarkEnd w:id="611"/>
      <w:r>
        <w:rPr>
          <w:rtl w:val="true"/>
        </w:rPr>
        <w:t>فرع دوم</w:t>
      </w:r>
      <w:r>
        <w:rPr>
          <w:rtl w:val="true"/>
        </w:rPr>
        <w:t xml:space="preserve">: </w:t>
      </w:r>
      <w:r>
        <w:rPr>
          <w:rtl w:val="true"/>
        </w:rPr>
        <w:t>تصدیق مشهود علیه نسبت به مورد شهادت</w:t>
      </w:r>
      <w:bookmarkEnd w:id="612"/>
    </w:p>
    <w:p>
      <w:pPr>
        <w:pStyle w:val="BookText"/>
        <w:rPr/>
      </w:pPr>
      <w:r>
        <w:rPr>
          <w:rFonts w:ascii="IRNazanin" w:hAnsi="IRNazanin" w:eastAsia="IRNazanin"/>
          <w:color w:val="111111"/>
          <w:sz w:val="28"/>
          <w:sz w:val="28"/>
          <w:szCs w:val="28"/>
          <w:rtl w:val="true"/>
          <w:lang w:bidi="fa-IR"/>
        </w:rPr>
        <w:t>ابوحنیفه</w:t>
      </w:r>
      <w:r>
        <w:rPr>
          <w:rStyle w:val="FootnoteAnchor"/>
          <w:rtl w:val="true"/>
        </w:rPr>
        <w:footnoteReference w:id="58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مشهود علیه، مشهودٌ به را تصدیق کرد؛ یعنی اقرار به زنا کند، با چهار مرتبه اقرارش، زنا از راه اقرار ثابت شده و مشهود بی اثر می‌گردد؛ امّا اگر یک‌بار یا دو بار یا سه بار اقرار کند، نتیجه‌ی این اقرار پایمال شدن شهادت و ثابت نشدن زنا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این راه عجیب را برای فرار از اجرای حدّ مطرح کرده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ابوحنیفه سؤال می‌شود اقرار به چه دلیل بیّنه را از کار می‌اندازد؟ حتّی اگر چهار</w:t>
      </w:r>
    </w:p>
    <w:p>
      <w:pPr>
        <w:pStyle w:val="BookText"/>
        <w:rPr/>
      </w:pPr>
      <w:r>
        <w:rPr>
          <w:rFonts w:ascii="IRNazanin" w:hAnsi="IRNazanin" w:eastAsia="IRNazanin"/>
          <w:color w:val="111111"/>
          <w:sz w:val="28"/>
          <w:sz w:val="28"/>
          <w:szCs w:val="28"/>
          <w:rtl w:val="true"/>
          <w:lang w:bidi="fa-IR"/>
        </w:rPr>
        <w:t xml:space="preserve">مرتبه نیز تصدیق کند، باز مؤثّر نبوده، و بیّنه نقش خود را ایفا می‌کند؛ و نمی‌گذارد احکام خاصّ اقرار که در آینده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مخیّر بودن حاکم در عفو و اجرای حدّ بعد از توبه‌ی 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جرم با بیّنه ثابت شده و برای اقرار اثری بعد از ثبوت حدّ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مسأله تمام بوده و حدّ جاری می‌شود؛ و آن‌چه که ابوحنیفه گفته، بدون دلیل است</w:t>
      </w:r>
      <w:r>
        <w:rPr>
          <w:rFonts w:eastAsia="IRNazanin" w:cs="IRNazanin"/>
          <w:color w:val="111111"/>
          <w:sz w:val="28"/>
          <w:szCs w:val="28"/>
          <w:rtl w:val="true"/>
          <w:lang w:bidi="fa-IR"/>
        </w:rPr>
        <w:t>.</w:t>
      </w:r>
      <w:bookmarkStart w:id="613" w:name="pg16919_227113"/>
    </w:p>
    <w:p>
      <w:pPr>
        <w:pStyle w:val="BookText"/>
        <w:rPr/>
      </w:pPr>
      <w:bookmarkEnd w:id="6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سقوط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الحدّ لو تاب قبل قیام البیّنة رجماً کان أو جلداً ولا یسقط لو تاب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للإمام علیه السلام أن یعفو بعد قیام البیّنة وله العفو بعد الإقرار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تاب قبل الإقرار سقط الحدّ</w:t>
      </w:r>
      <w:r>
        <w:rPr>
          <w:rFonts w:eastAsia="IRNazanin" w:cs="IRNazanin"/>
          <w:color w:val="111111"/>
          <w:sz w:val="28"/>
          <w:szCs w:val="28"/>
          <w:rtl w:val="true"/>
          <w:lang w:bidi="fa-IR"/>
        </w:rPr>
        <w:t>.</w:t>
      </w:r>
    </w:p>
    <w:p>
      <w:pPr>
        <w:pStyle w:val="Heading4"/>
        <w:numPr>
          <w:ilvl w:val="3"/>
          <w:numId w:val="1"/>
        </w:numPr>
        <w:rPr/>
      </w:pPr>
      <w:bookmarkStart w:id="614" w:name="__RefHeading___Toc79052_3244359995"/>
      <w:bookmarkStart w:id="615" w:name="_Toc234"/>
      <w:bookmarkEnd w:id="614"/>
      <w:r>
        <w:rPr>
          <w:rtl w:val="true"/>
        </w:rPr>
        <w:t>موارد سقوط حدّ</w:t>
      </w:r>
      <w:bookmarkEnd w:id="615"/>
    </w:p>
    <w:p>
      <w:pPr>
        <w:pStyle w:val="BookText"/>
        <w:rPr/>
      </w:pPr>
      <w:r>
        <w:rPr>
          <w:rFonts w:ascii="IRNazanin" w:hAnsi="IRNazanin" w:eastAsia="IRNazanin"/>
          <w:color w:val="111111"/>
          <w:sz w:val="28"/>
          <w:sz w:val="28"/>
          <w:szCs w:val="28"/>
          <w:rtl w:val="true"/>
          <w:lang w:bidi="fa-IR"/>
        </w:rPr>
        <w:t>در مسائل گذشته گفته شد به سه راه حدّ زنا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بیّنه و علم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بیّنه و اقرار یک جهت اشتراک و یک جهت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یا زانیه قبل از اقرار و یا پیش از قیام بیّنه توبه کنند، این توبه، سبب اسقاط حدّ می‌شود؛ یعنی اگر توبه کرده و بعد از آن اقرار کند یا بیّنه قائم شود، حدّ، خواه رجم باشد یا جلد،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بعد از اقرار باشد، حاکم مخیّر بین اجرای حدّ و عفو است؛ ولی اگر بعد از قیام بیّنه و شهادت چهار شاهد و ثبوت زنا باشد، در این صورت، برای حاکم تخییری نیست، بلکه باید حدّ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مشتمل بر سه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توبه‌ی قبل از اقرار حدّ ساقط است؟</w:t>
      </w:r>
    </w:p>
    <w:p>
      <w:pPr>
        <w:pStyle w:val="BookText"/>
        <w:rPr/>
      </w:pPr>
      <w:r>
        <w:rPr>
          <w:rFonts w:ascii="IRNazanin" w:hAnsi="IRNazanin" w:eastAsia="IRNazanin"/>
          <w:color w:val="111111"/>
          <w:sz w:val="28"/>
          <w:sz w:val="28"/>
          <w:szCs w:val="28"/>
          <w:rtl w:val="true"/>
          <w:lang w:bidi="fa-IR"/>
        </w:rPr>
        <w:t>وقتی در توبه‌ی بعد از اقرار، توبه پذیرفته می‌شود، در توبه‌ی قبل از اقرار نیز به طریق اولی مقبول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توبه‌ی قبل از قیام بیّنه موجب سقوط حدّ زنا است؟</w:t>
      </w:r>
    </w:p>
    <w:p>
      <w:pPr>
        <w:pStyle w:val="BookText"/>
        <w:rPr/>
      </w:pPr>
      <w:r>
        <w:rPr>
          <w:rFonts w:ascii="IRNazanin" w:hAnsi="IRNazanin" w:eastAsia="IRNazanin"/>
          <w:color w:val="111111"/>
          <w:sz w:val="28"/>
          <w:sz w:val="28"/>
          <w:szCs w:val="28"/>
          <w:rtl w:val="true"/>
          <w:lang w:bidi="fa-IR"/>
        </w:rPr>
        <w:t>حکم این فرع اتّفاقی بوده، و هیچ فقیهی در آن مخالفت نکرده است؛ لیکن می‌توان برای آن دلیل‌های زیر را آورد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در این مورد پیاده می‌شود؛ زیرا، با تحقّق توبه</w:t>
      </w:r>
    </w:p>
    <w:p>
      <w:pPr>
        <w:pStyle w:val="BookText"/>
        <w:rPr/>
      </w:pPr>
      <w:r>
        <w:rPr>
          <w:rFonts w:ascii="IRNazanin" w:hAnsi="IRNazanin" w:eastAsia="IRNazanin"/>
          <w:color w:val="111111"/>
          <w:sz w:val="28"/>
          <w:sz w:val="28"/>
          <w:szCs w:val="28"/>
          <w:rtl w:val="true"/>
          <w:lang w:bidi="fa-IR"/>
        </w:rPr>
        <w:t>قبل از قیام بیّنه شک می‌کنیم که آیا پس از اقامه‌ی بیّنه حدّی واجب است یا نه؟ مصداق قاعده، محقّق بوده و حدّ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واضح‌تر، از اوّل حدّی ثابت نمی‌شود تا بعداً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بیّنه هیچ نقش و تأثیری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عن علیّ بن حدید وابن أبی عمیر جمیعاً عن جمیل بن درّاج، عن رجل، عن أحدهما علیهما السلام، فی رجل سرق أو شرب الخمر أو زنی، فلم یعلم ذلک منه ولم یؤخذ حتّی تاب وصلح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وعرف منه أمر جمیل لم یقم علیه الحدّ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تا جمیل بن درّاج معتبر است، از آن‌جا که وی از اصحاب اجماع است، لذا روایت را می‌پذیریم؛ هر چند پس از وی، حدیث مرسل و یا مشتمل بر راوی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سارق یا شارب خمر یا زناکاری می‌پرسد که کسی بر حال وی آگاه نشده و بر گناهانش اطّلاع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دستگیر نکردند؛ تا آن که در اثر توبه انسان صالح و شایسته‌ای گشته و آثار صلاح و نیکی در رفتارش هویدا شد به گونه‌ای که معلوم گشت در او تغییر حالت پیدا شده و اهل عمل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آثار توبه از او آشکار است، حدّ بر او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روایت معتبره جایی است‌که توبه‌ای قبل از اثبات گناه محقّق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حکم به سقوط حدّ در صورت ظهور آثار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قاعده‌ی درأ و این روایت مرسله بر عدم ثبوت حدّ در این فرض دلالت دارد؛ و بین اقرار و بیّنه نیز فرقی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واسطه‌ی اقرار، حدّ ثابت شده باشد، اختیار اجرای حدّ یا عفو آن به دست حاکم است؛ واگر ثبوت حدّ به بیّنه باشد، مشهور فقهای متقدّم و متأخّر قائل‌اند که</w:t>
      </w:r>
    </w:p>
    <w:p>
      <w:pPr>
        <w:pStyle w:val="BookText"/>
        <w:rPr/>
      </w:pPr>
      <w:r>
        <w:rPr>
          <w:rFonts w:ascii="IRNazanin" w:hAnsi="IRNazanin" w:eastAsia="IRNazanin"/>
          <w:color w:val="111111"/>
          <w:sz w:val="28"/>
          <w:sz w:val="28"/>
          <w:szCs w:val="28"/>
          <w:rtl w:val="true"/>
          <w:lang w:bidi="fa-IR"/>
        </w:rPr>
        <w:t>حاکم نمی‌تواند در توبه‌ی بعد از بیّنه نقشی داشته باشد؛ ولی به اعتقاد شیخ مفید</w:t>
      </w:r>
      <w:r>
        <w:rPr>
          <w:rStyle w:val="FootnoteAnchor"/>
          <w:rtl w:val="true"/>
        </w:rPr>
        <w:footnoteReference w:id="592"/>
      </w:r>
      <w:r>
        <w:rPr>
          <w:rFonts w:ascii="IRNazanin" w:hAnsi="IRNazanin" w:eastAsia="IRNazanin"/>
          <w:color w:val="111111"/>
          <w:sz w:val="28"/>
          <w:sz w:val="28"/>
          <w:szCs w:val="28"/>
          <w:rtl w:val="true"/>
          <w:lang w:bidi="fa-IR"/>
        </w:rPr>
        <w:t>و ابوصلاح حلبی</w:t>
      </w:r>
      <w:r>
        <w:rPr>
          <w:rStyle w:val="FootnoteAnchor"/>
          <w:rtl w:val="true"/>
        </w:rPr>
        <w:footnoteReference w:id="593"/>
      </w:r>
      <w:r>
        <w:rPr>
          <w:rFonts w:ascii="IRNazanin" w:hAnsi="IRNazanin" w:eastAsia="IRNazanin"/>
          <w:color w:val="111111"/>
          <w:sz w:val="28"/>
          <w:sz w:val="28"/>
          <w:szCs w:val="28"/>
          <w:rtl w:val="true"/>
          <w:lang w:bidi="fa-IR"/>
        </w:rPr>
        <w:t>و إبن زهره صلی الله علیه و سلم</w:t>
      </w:r>
      <w:r>
        <w:rPr>
          <w:rStyle w:val="FootnoteAnchor"/>
          <w:rtl w:val="true"/>
        </w:rPr>
        <w:footnoteReference w:id="594"/>
      </w:r>
      <w:r>
        <w:rPr>
          <w:rFonts w:ascii="IRNazanin" w:hAnsi="IRNazanin" w:eastAsia="IRNazanin"/>
          <w:color w:val="111111"/>
          <w:sz w:val="28"/>
          <w:sz w:val="28"/>
          <w:szCs w:val="28"/>
          <w:rtl w:val="true"/>
          <w:lang w:bidi="fa-IR"/>
        </w:rPr>
        <w:t>بین بیّنه و اقرار فرقی نبوده، و در هر دو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مشهور در تفصیل بین اقرار و بیّنه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بیّنه و ثبوت زنا، یقین به ثبوت حدّ داریم؛ پس از توبه‌ی زانی، در سقوط حدّ شک شده، استصحاب بقای حدّ را جاری می‌کنیم؛ و حکم قبل از توبه را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توبه سریان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قیام بیّنه فرقی نیست که شخص توبه کند یا نه؛ در هر صورت، حدّ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جریان استصحاب، جایی برای تمسّک به اصالة‌البرائة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مواردی که جای اجرای استصحاب و برائت است، استصحاب بر برائت مقدّم می‌شود؛ خواه مفاد آن با مفاد برائت متّحد باشد یا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درباره‌ی سقوط حدّ به توبه‌ی بعد از اقرار بیان شد، تصریح داشتند که حاکم بین عفو و اجرای حکم مخیّر است، تا زمانی که زنا با بیّنه ثابت نشده، یا برای اثبات سرقت بیّنه‌ای در کار نباشد؛ بلکه خودش پیش قدم شده باشد و آن مطلب مخفیّ را آشکار نماید بدون این‌که کسی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از روی تفضّل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اختیارش به دست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بیّنه را با اقرار مخلوط نکنید؛ زیرا، این‌ها دو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مقِرّ به اقرار، چنین تسهیلی را برای او قائل شده است امّا در مورد قیام بیّنه این جهت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بیّنه به اختیار زانی شهادت نداده‌اند؛ و چه بسا، زانی سعی دارد که بیّنه محقّق نشود، لیکن بر خلاف میل او بیّنه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جایی برای تخییر حاکم و یا سقوط حدّ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علیّ الأشعری، عن محمّد بن عبدالجبّار، عن صفوان بن یحیی، عن بعض أصحابنا، عن أبی بصیر، عن أبی عبداللّه علیه السلام فی رجل اقیمت علیه البیّنة بأنّه زنی، ثمّ هرب قبل أن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 فما علیه شیء وإن وقع فی ید الإمام أقام علیه الحدّ، وإن علم مکانه بعث إلیه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مورد استناد هر دو طرف واقع شده است؛ یعنی مشهور، شیخ مفید</w:t>
      </w:r>
      <w:r>
        <w:rPr>
          <w:rStyle w:val="FootnoteAnchor"/>
          <w:rtl w:val="true"/>
        </w:rPr>
        <w:footnoteReference w:id="596"/>
      </w:r>
      <w:r>
        <w:rPr>
          <w:rFonts w:ascii="IRNazanin" w:hAnsi="IRNazanin" w:eastAsia="IRNazanin"/>
          <w:color w:val="111111"/>
          <w:sz w:val="28"/>
          <w:sz w:val="28"/>
          <w:szCs w:val="28"/>
          <w:rtl w:val="true"/>
          <w:lang w:bidi="fa-IR"/>
        </w:rPr>
        <w:t>، ابن‌زهره</w:t>
      </w:r>
      <w:r>
        <w:rPr>
          <w:rStyle w:val="FootnoteAnchor"/>
          <w:rtl w:val="true"/>
        </w:rPr>
        <w:footnoteReference w:id="597"/>
      </w:r>
      <w:r>
        <w:rPr>
          <w:rFonts w:ascii="IRNazanin" w:hAnsi="IRNazanin" w:eastAsia="IRNazanin"/>
          <w:color w:val="111111"/>
          <w:sz w:val="28"/>
          <w:sz w:val="28"/>
          <w:szCs w:val="28"/>
          <w:rtl w:val="true"/>
          <w:lang w:bidi="fa-IR"/>
        </w:rPr>
        <w:t>و قاضی ابوصلاح حلبی</w:t>
      </w:r>
      <w:r>
        <w:rPr>
          <w:rStyle w:val="FootnoteAnchor"/>
          <w:rtl w:val="true"/>
        </w:rPr>
        <w:footnoteReference w:id="598"/>
      </w:r>
      <w:r>
        <w:rPr>
          <w:rFonts w:ascii="IRNazanin" w:hAnsi="IRNazanin" w:eastAsia="IRNazanin"/>
          <w:color w:val="111111"/>
          <w:sz w:val="28"/>
          <w:sz w:val="28"/>
          <w:szCs w:val="28"/>
          <w:rtl w:val="true"/>
          <w:lang w:bidi="fa-IR"/>
        </w:rPr>
        <w:t>رحمهما الله به آن تمسّک کرده‌اند؛ لیکن هر کدام برداشتی از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از امام صادق علیه السلام درباره‌ی مردی می‌پرسد که بیّنه بر زنای او قائم شده است، امّا قبل از آن که به او تازیانه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زنای او غیر محصنه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چیست؟</w:t>
      </w:r>
    </w:p>
    <w:p>
      <w:pPr>
        <w:pStyle w:val="BookText"/>
        <w:rPr/>
      </w:pPr>
      <w:r>
        <w:rPr>
          <w:rFonts w:ascii="IRNazanin" w:hAnsi="IRNazanin" w:eastAsia="IRNazanin"/>
          <w:color w:val="111111"/>
          <w:sz w:val="28"/>
          <w:sz w:val="28"/>
          <w:szCs w:val="28"/>
          <w:rtl w:val="true"/>
          <w:lang w:bidi="fa-IR"/>
        </w:rPr>
        <w:t>امام علیه السلام سه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حدّی بر او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اختیار امام واقع شد، بر او حدّ جاری می‌کند؛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جای او را فهمید، افرادی را برای دستگیری او می‌فرستد تا او را بیاورند و بر او حدّ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مشهور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تاب فما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توبه‌ی بعد از قیام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دو حساب هست، یک وقت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بینه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وقت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بینه وبین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بدانیم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تاب فما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بین خود و خدایش توبه کند، در این بُعد، خداوند توبه‌ی تائب را می‌پذیرد و توبه‌اش مقبول است؛ ولی همین فرد اگر در اختیار حاکم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توبه‌اش نزد خداوند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نظر ظاهر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فرد شبیه حال مرتدی است که توبه‌اش بین خود و خدایش مقبول است، ولی از نظر ظاهر پذیرفته نیست؛ و هرگاه به او دسترسی پیدا کنند،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غیر مشهور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روایت مشتمل بر دو قضیه‌ی شرطیه بوده، و در مقام تعیین وظیفه‌ی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وقع فی ید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قضیه‌ی شرطیه مقابل با هم هستند؛ و ظاهر مقابله این است که در قضیه‌ی دوم مسأله‌ی توبه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تاب بعد قیام البیّنة فما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است‌که هر دو طرف قضیه مربوط به ظاهر و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این دو قضیه‌ی شرطیه این است‌که اگر توبه کند، بر او چیزی نیست؛ امّا اگر بدون توبه به دست حاکم بیفتد، بر او حدّ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این دو برداشت آن است که مشهور قضیه‌ی شرطیه‌ی اوّل را مربوط به واقع دانسته و شرطیه‌ی دوم را به ظاهر و حاکم مربوط می‌داند؛ لیکن غیر مشهور هر دو قضیه را مربوط به ظاهر و وظیفه‌ی حاکم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انصاف این است‌که هر دو احتمال در روایت جریان دارد و نمی‌توان یکی از دو احتمال را استظهار کرد؛ از طرفی سند صحیحی هم ندارد، لذا نمی‌تواند دلیل برای مشهور و شیخ مفید و حلبی و ابن زهره رحمهما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عن أبی عبداللّه البرقی، عن بعض أصحابه، عن بعض الصادقین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ما هذا؟ إذا قامت البیّنة فلیس للإمام أن یعفو، وإذا أقرّ</w:t>
      </w:r>
    </w:p>
    <w:p>
      <w:pPr>
        <w:pStyle w:val="BookText"/>
        <w:rPr/>
      </w:pPr>
      <w:r>
        <w:rPr>
          <w:rFonts w:ascii="IRNazanin" w:hAnsi="IRNazanin" w:eastAsia="IRNazanin"/>
          <w:color w:val="111111"/>
          <w:sz w:val="28"/>
          <w:sz w:val="28"/>
          <w:szCs w:val="28"/>
          <w:rtl w:val="true"/>
          <w:lang w:bidi="fa-IR"/>
        </w:rPr>
        <w:t>الرجل علی نفسه فذاک إلی الإمام إن شاء عفی وإن شاء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إلی قضایا أمیر المؤمنین علیه السلام وبإسناده عن الحسین بن سعید، عن محمّد بن یحیی، عن طلحة بن زید، عن جعفر بن محمّد علیهما السلام نحوه</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طریق شیخ طوسی رحمه الله مرسله است؛ لیکن به سند دیگری که از طلحة بن زید نقل کرده، صحیح است؛ زیرا این فرد با آن‌که عامّی مذهب است، امّا شیخ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روایی او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امیرمؤمنان علیه السلام آمده به سرقت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را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سوره‌ی بقره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به سوره‌ی بقره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از حدود خدا را تعطیل می‌کنی؟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که مطلب چیست؟</w:t>
      </w:r>
    </w:p>
    <w:p>
      <w:pPr>
        <w:pStyle w:val="BookText"/>
        <w:rPr/>
      </w:pPr>
      <w:r>
        <w:rPr>
          <w:rFonts w:ascii="IRNazanin" w:hAnsi="IRNazanin" w:eastAsia="IRNazanin"/>
          <w:color w:val="111111"/>
          <w:sz w:val="28"/>
          <w:sz w:val="28"/>
          <w:szCs w:val="28"/>
          <w:rtl w:val="true"/>
          <w:lang w:bidi="fa-IR"/>
        </w:rPr>
        <w:t xml:space="preserve">هنگامی که بیّنه قائم شود، امام حقّ عفو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کلام بیان یک حکم کلّی است؛ نه این‌که مخصوص باب سرقت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شخص بر ضرر خود اقرار کند، اختیار عفو یا اجرای حدّ با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ضابطه‌ی کلّی در فرق بین بیّنه و اقرار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 فرار از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درباره‌ی کیفیت رجم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حفر کرده، زانی محصن را به کیفیّت خاصّی در آن قرار داده و سنگسار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باب رجم وارد شده‌اند، مورد یک دسته از آن‌ها جایی است که زانی محصنی را وارد گودال کردند، و مردم مشغول سنگ زدن به او هستند؛ که در این‌حال، از دست مردم فرار می‌کند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زنای احصانی او به اقرار ثابت شده باشد، این فرار در حکم توبه او است؛ به او کار نداشته باشید؛ ولی اگر به بیّنه ثابت شده باشد، نه تنها باید او را تعقیب کرده به محلّ سنگسار بازگردانند، بلکه باید با کمال اهانت و خواری او را ارجاع بدهند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ادلّه‌ی مفید و حلبی و إبن زهره رحمهما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ابی‌بصیر</w:t>
      </w:r>
      <w:r>
        <w:rPr>
          <w:rStyle w:val="FootnoteAnchor"/>
          <w:rtl w:val="true"/>
        </w:rPr>
        <w:footnoteReference w:id="601"/>
      </w:r>
      <w:r>
        <w:rPr>
          <w:rFonts w:ascii="IRNazanin" w:hAnsi="IRNazanin" w:eastAsia="IRNazanin"/>
          <w:color w:val="111111"/>
          <w:sz w:val="28"/>
          <w:sz w:val="28"/>
          <w:szCs w:val="28"/>
          <w:rtl w:val="true"/>
          <w:lang w:bidi="fa-IR"/>
        </w:rPr>
        <w:t>که مشهور نیز به آن تمسّک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عذاب آخرت مهم‌تر از عذاب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توبه‌ی این فرد را نسبت به عذاب آخرت می‌پذیرد، پس در باب عذاب دنیا به طریق اولی باید پذیرفته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این است‌که در برابر این روایات، انسان نمی‌تواند به چنین مطالبی استناد کند؛ جایی برای جریان اصل برائت نیست؛ لذا، آن‌چه مشهور و امام راحل رحمه الله در این فرع اختیار کرده‌اند، مختار ما است؛ یعنی توبه بعد از قیام بیّنه اثری ندارد</w:t>
      </w:r>
      <w:r>
        <w:rPr>
          <w:rFonts w:eastAsia="IRNazanin" w:cs="IRNazanin"/>
          <w:color w:val="111111"/>
          <w:sz w:val="28"/>
          <w:szCs w:val="28"/>
          <w:rtl w:val="true"/>
          <w:lang w:bidi="fa-IR"/>
        </w:rPr>
        <w:t>.</w:t>
      </w:r>
      <w:bookmarkStart w:id="616" w:name="pg16919_227120"/>
    </w:p>
    <w:p>
      <w:pPr>
        <w:pStyle w:val="Heading3"/>
        <w:numPr>
          <w:ilvl w:val="2"/>
          <w:numId w:val="1"/>
        </w:numPr>
        <w:rPr/>
      </w:pPr>
      <w:bookmarkStart w:id="617" w:name="__RefHeading___Toc79054_3244359995"/>
      <w:bookmarkStart w:id="618" w:name="_Toc235"/>
      <w:bookmarkEnd w:id="616"/>
      <w:bookmarkEnd w:id="617"/>
      <w:r>
        <w:rPr>
          <w:rtl w:val="true"/>
        </w:rPr>
        <w:t>فصل سوم</w:t>
      </w:r>
      <w:r>
        <w:rPr>
          <w:rtl w:val="true"/>
        </w:rPr>
        <w:t xml:space="preserve">: </w:t>
      </w:r>
      <w:r>
        <w:rPr>
          <w:rtl w:val="true"/>
        </w:rPr>
        <w:t>در اقسام حدّ زناو برخی فروعات آن</w:t>
      </w:r>
      <w:bookmarkEnd w:id="61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9" w:name="__RefHeading___Toc79056_3244359995"/>
      <w:bookmarkStart w:id="620" w:name="_Toc236"/>
      <w:bookmarkEnd w:id="619"/>
      <w:r>
        <w:rPr>
          <w:rtl w:val="true"/>
        </w:rPr>
        <w:t>اشاره</w:t>
      </w:r>
      <w:bookmarkStart w:id="621" w:name="pg16919_227122"/>
      <w:bookmarkEnd w:id="620"/>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من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فیجب علی من زنی بذات محرم للنسب کالاُمّ والبنت والاُخت 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ذات محرم للرضاع بالنسب علی الأحوط لو لم یکن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تلحق الاُمّ والبنت نحوهما من الزنا بالشرعی منها؟ فیه تردّد، والأحوط عدم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 إلحاق المحارم السببیّة کبنت الزوجة واُمّها بالنسبیّة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الأقوی إلحاق امرأة الأب بها فیقتل بالزنا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الّذی إذا زنی بمسلمة مطاوعة أو مکرهة سواء کان علی شرائط الذمّة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جریان الحکم فی مطلق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أسلم هل یسقط عنه الحدّ أم لا؟ فیه إشکال، وإن لا یبعد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یقتل من زنی بامرأة مکرهاً لها</w:t>
      </w:r>
      <w:r>
        <w:rPr>
          <w:rFonts w:eastAsia="IRNazanin" w:cs="IRNazanin"/>
          <w:color w:val="111111"/>
          <w:sz w:val="28"/>
          <w:szCs w:val="28"/>
          <w:rtl w:val="true"/>
          <w:lang w:bidi="fa-IR"/>
        </w:rPr>
        <w:t>.</w:t>
      </w:r>
    </w:p>
    <w:p>
      <w:pPr>
        <w:pStyle w:val="Heading4"/>
        <w:numPr>
          <w:ilvl w:val="3"/>
          <w:numId w:val="1"/>
        </w:numPr>
        <w:rPr/>
      </w:pPr>
      <w:bookmarkStart w:id="622" w:name="__RefHeading___Toc79058_3244359995"/>
      <w:bookmarkStart w:id="623" w:name="_Toc237"/>
      <w:bookmarkEnd w:id="622"/>
      <w:r>
        <w:rPr>
          <w:rtl w:val="true"/>
        </w:rPr>
        <w:t>نوع اوّل حدّ زنا</w:t>
      </w:r>
      <w:r>
        <w:rPr>
          <w:rtl w:val="true"/>
        </w:rPr>
        <w:t xml:space="preserve">: </w:t>
      </w:r>
      <w:r>
        <w:rPr>
          <w:rtl w:val="true"/>
        </w:rPr>
        <w:t>قتل</w:t>
      </w:r>
      <w:bookmarkEnd w:id="623"/>
    </w:p>
    <w:p>
      <w:pPr>
        <w:pStyle w:val="Heading5"/>
        <w:numPr>
          <w:ilvl w:val="4"/>
          <w:numId w:val="1"/>
        </w:numPr>
        <w:rPr/>
      </w:pPr>
      <w:bookmarkStart w:id="624" w:name="__RefHeading___Toc79060_3244359995"/>
      <w:bookmarkStart w:id="625" w:name="_Toc23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بحث اوّل کتاب حدود در رابطه‌ی با موجبات حدّ زنا بود؛ در بحث دوم آن نیز پیرامون راه‌های اثبات زنا از راه اقرار و بیّنه و علم قاضی سخن گفته شد؛ بحث سوم کتاب حدود در دو مقام، اقسام حدّ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رجم، تازیانه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اجرای حد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حدّ زنا که قتل است، در سه مورد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محارم نسبی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خواهر و دخترش زنا کند، حدّ او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اگر اقوی نباشد؛ و محارم رضاعی به محارم نسبی در این حکم ملحق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زنای با خویشانی که نسبت آنان با فرد زناکار از راه زنا محقّق شده، مانند مادر و ولد زنا یا دختر مرد زناکار، با حکم زنای محارم نسبی یکسان است؟ در این مطلب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عدم الحاق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احتیاط، محارم سببی همانند مادر زن و ربیبه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محارم نسبی در این حکم ملحق نمی‌شوند؛ هر چند اقوا الحاق زنِ پدر به خویشان نسبی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فردی با زن پدرش زنا کند، کشته خواهد شد</w:t>
      </w:r>
      <w:r>
        <w:rPr>
          <w:rFonts w:eastAsia="IRNazanin" w:cs="IRNazanin"/>
          <w:color w:val="111111"/>
          <w:sz w:val="28"/>
          <w:szCs w:val="28"/>
          <w:rtl w:val="true"/>
          <w:lang w:bidi="fa-IR"/>
        </w:rPr>
        <w:t>.</w:t>
      </w:r>
      <w:bookmarkStart w:id="626" w:name="pg16919_227123"/>
    </w:p>
    <w:p>
      <w:pPr>
        <w:pStyle w:val="BookText"/>
        <w:rPr/>
      </w:pPr>
      <w:bookmarkEnd w:id="62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با زن مسلمانی زنا کند، خواه آن زن به میل و رغبت به این کار تن دهد و یا او را به زنا اکراه کند، کافر ذمّی باید کشته شود؛ فرقی نمی‌کند آن ذمّی مجری به شرایط ذمه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حکم در مورد هر 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 و غیر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کافری پس از زنای با زن مسلمان، اسلام آورد، آیا اسلامش سبب سقوط حدّ قتل از او می‌شود یا نه؟ در سقوط حدّ اشکال است؛ هر چند عدم سقوط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زنی را به زنا مجبور کرد، حدّ مردِ مکرِه قتل است، اگر چه دو طرف مسلمان باشند</w:t>
      </w:r>
      <w:r>
        <w:rPr>
          <w:rFonts w:eastAsia="IRNazanin" w:cs="IRNazanin"/>
          <w:color w:val="111111"/>
          <w:sz w:val="28"/>
          <w:szCs w:val="28"/>
          <w:rtl w:val="true"/>
          <w:lang w:bidi="fa-IR"/>
        </w:rPr>
        <w:t>.</w:t>
      </w:r>
    </w:p>
    <w:p>
      <w:pPr>
        <w:pStyle w:val="Heading5"/>
        <w:numPr>
          <w:ilvl w:val="4"/>
          <w:numId w:val="1"/>
        </w:numPr>
        <w:rPr/>
      </w:pPr>
      <w:bookmarkStart w:id="627" w:name="__RefHeading___Toc79062_3244359995"/>
      <w:bookmarkStart w:id="628" w:name="_Toc239"/>
      <w:bookmarkEnd w:id="627"/>
      <w:r>
        <w:rPr>
          <w:rtl w:val="true"/>
        </w:rPr>
        <w:t>فرع اوّل</w:t>
      </w:r>
      <w:r>
        <w:rPr>
          <w:rtl w:val="true"/>
        </w:rPr>
        <w:t xml:space="preserve">: </w:t>
      </w:r>
      <w:r>
        <w:rPr>
          <w:rtl w:val="true"/>
        </w:rPr>
        <w:t>حکم زنا با محارم نسبی</w:t>
      </w:r>
      <w:bookmarkEnd w:id="628"/>
    </w:p>
    <w:p>
      <w:pPr>
        <w:pStyle w:val="Heading6"/>
        <w:numPr>
          <w:ilvl w:val="5"/>
          <w:numId w:val="1"/>
        </w:numPr>
        <w:rPr/>
      </w:pPr>
      <w:bookmarkStart w:id="629" w:name="__RefHeading___Toc79064_3244359995"/>
      <w:bookmarkStart w:id="630" w:name="_Toc240"/>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از بیان امام راحل رحمه الله دو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چنین عملی قتل و ازهاق روح است، به گونه‌ای که باید این عنصر ناپاک از روی زمین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هر وسیله و کیفیّتی باشد، باید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مسأله از نظر فتاوا و روایات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فقها در مورد حکم زانی به محارم</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فقهای مقدّم بر صاحب ریاض رحمه الله و متأخّر از ایشان، در مسأله‌ی زنای با محارم، حکم قتل را عنوان کرده‌اند؛ فقط صاحب ریاض رحمه الله بیان جداگانه‌ای دارد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با مراجعه‌ی به کلمات فقها سه نوع تعبیر در عبارات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کتاب‌ها</w:t>
      </w:r>
      <w:r>
        <w:rPr>
          <w:rStyle w:val="FootnoteAnchor"/>
          <w:rtl w:val="true"/>
        </w:rPr>
        <w:footnoteReference w:id="603"/>
      </w:r>
      <w:r>
        <w:rPr>
          <w:rFonts w:ascii="IRNazanin" w:hAnsi="IRNazanin" w:eastAsia="IRNazanin"/>
          <w:color w:val="111111"/>
          <w:sz w:val="28"/>
          <w:sz w:val="28"/>
          <w:szCs w:val="28"/>
          <w:rtl w:val="true"/>
          <w:lang w:bidi="fa-IR"/>
        </w:rPr>
        <w:t>، حکم مسأله را قتل گفته‌اند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عنقه</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زده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در المقنع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ضربة بالسیف</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یک ضربت با شمشیر به او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 و سوم در برخی از روایات آمده است؛ لذا، آن‌چه را که صاحب جواهر رحمه الله فرموده و بر آن ادّعای اجماع منقول و محصّل کرده، تمام نیست؛ بلکه بیانات فقها در مسأله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نیافتم، بلکه اجماع محصّل و منقول بر آن دلالت دارد و به طور استفاضه، هر دو قسم اجماع نقل شده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با وجود روایات متعدّدی که در این فرع رسیده، اجماع نمی‌تواند اصالتی داشته باشد و به عنوان یک دلیل مستقلّ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روایات رفت و مفاد آن‌ها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روایاتی که در این فرع رسیده است، چهار تعبیر دیده می‌شود، که بر هر کدام، یک یا چند روایت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عناوین را ملاحظه کرد؛ اگر ممکن بود بین آن‌ها التیام و توافقی برقرار کنیم وگرنه در مقام جمع، باید ببینیم به کدام عنوان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سالم، عن بعض أصحابنا، عن الحکم بن مسکین،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ذات محرم، أین یضرب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مرسل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محارم خود نزدیکی کند، با شمشیر به</w:t>
      </w:r>
    </w:p>
    <w:p>
      <w:pPr>
        <w:pStyle w:val="BookText"/>
        <w:rPr/>
      </w:pPr>
      <w:r>
        <w:rPr>
          <w:rFonts w:ascii="IRNazanin" w:hAnsi="IRNazanin" w:eastAsia="IRNazanin"/>
          <w:color w:val="111111"/>
          <w:sz w:val="28"/>
          <w:sz w:val="28"/>
          <w:szCs w:val="28"/>
          <w:rtl w:val="true"/>
          <w:lang w:bidi="fa-IR"/>
        </w:rPr>
        <w:t>کجای او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سؤال جمیل استفاده می‌شود که او می‌دانسته باید شمشیری به زانی زد، اما محل ضرب برایش مجهول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أحمد بن محمّد، عن علیّ بن الحسن، عن علیّ بن أسباط، عن الحکم بن مسکین،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یضرب الّذی یأتی ذات محرم بالسیف؟ أین هذه الضربة؟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عنقه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رقبته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 عن سهل، عن علیّ بن أسباط، عن الحکم بن مسکین،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یضرب هذه الضربة؟ یعنی من أتی ذات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عنقه،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این دو روایت مانند روایت اوّل است؛ در هر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جمیل نقل کرده است؛ جای تعجّب است که صاحب وسائل آن‌ها را جداگانه آورده با آن‌که مفادش متّحد است؛ و حدیث چهارمی نیز از جمیل می‌آورد که مانند سه روایت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مرحوم آیت اللّه بروجردی بر صاحب وسائل الشیعه رحمه الله داشت همین بود که یک روایت و یک مطلب را به طور مکرّر و مستقلّ نقل می‌کند، به گونه‌ای که انسان خیال می‌کند آن‌ها چند روایت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روایت‌ها آمده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محبوب، 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بکیر بن أعین یروی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محرم حتّی یواقعها ضرب ضربة بالسیف أخذت منه ما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تابعة ضربت ضربة بالسیف أخذت منها ما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یضربهما ولیس لهما خصم؟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الإمام إذا رفعا إلیه</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جهت آن‌که بر ابراهیم بن هاشم مشتمل است، بین صحیح و حسن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بکیر برادرزاده‌ی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با محارم خود زنا کند یعنی واقعاً مجامعتی واقع شود، یک ضربه‌ی شمشیر به او زده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محل ضرب را معیّن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هر مقدار از زانی را بگیرد؛ یعنی به هر کجا منتهی شود، حدّ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زانیه نیز از او متابعت کرده و با میل و رغبت به آن عمل تن داده است، همان معامله‌ای که با زانی می‌شود، در حق او نیز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به این عمل راضی بودند، و کسی از آنان شکایت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مطلب علنی نمی‌شود و خصمی ندارند که دست به افشاگری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متصدّی زدن شمشیر چه کسی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امام است، اگر قضیه نزد امام مطرح شد؛ مثل این است که خودشان نزد امام علیه السلام بیایند و از او بخواهند تا آنان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گذشته مواردی داشتیم که می‌آمدند و نزد امام علیه السلام اقرار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عدّة من أصحابنا، عن أحمد بن محمّد بن خالد، عن أبیه، عن ابن بکیر،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 الرجل یأتی ذات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حریز عن بکیر بذلک</w:t>
      </w:r>
      <w:r>
        <w:rPr>
          <w:rFonts w:eastAsia="IRNazanin" w:cs="IRNazanin"/>
          <w:color w:val="111111"/>
          <w:sz w:val="28"/>
          <w:szCs w:val="28"/>
          <w:rtl w:val="true"/>
          <w:lang w:bidi="fa-IR"/>
        </w:rPr>
        <w:t>.</w:t>
      </w:r>
      <w:r>
        <w:rPr>
          <w:rStyle w:val="FootnoteAnchor"/>
          <w:rtl w:val="true"/>
        </w:rPr>
        <w:footnoteReference w:id="61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ابن‌بکیر از حریز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مردی که با محارم خود زنا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شمشیر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 عن سهل بن زیاد، عن علیّ بن أسباط، عن عبداللّه بن بکیر،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ذات محرم ضرب ضربة بالسیف أخذت منه ما أخذت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نیز ابن‌بکیر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سه روایت هستند یا یک روایت؟ به قرینه دو روایت دیگر می‌فهمیم مراد از رجل و بکیر، پدر ابن‌بکیر یعنی بکیر بن اعین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روایت از جمیل برای ضرب عنق یا ضرب رقبه داشتیم و یک روایت نیز از ابن‌بکیر بر زدن شمشیر تا هر جایی که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محمّد بن أحمد، عن بعض أصحابه، عن محمّد بن عبداللّه بن مهران،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علی اخته؟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یحبس أبداً حتّی یموت</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مشتمل بر دو ارسال، و محمّد بن عبداللّه بن مهران است که علمای رجال او را ضعیف و متّصف به غلوّ و کذب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صادق علیه السلام از مردی که با خواهرش نزدیکی کرده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شمشیری به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ضربت نجات می‌یابد، و زنده می‌ماند؟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ابد می‌کنند تا بمیرد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صفوان بن مهران، عن عامر بن السمط، عن علیّ بن الحسین علیهما السلام فی الرجل یقع علی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ضربة بالسیف بلغت منه ما بلغت، فإن عاش خلّد السجن حتّی یموت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مشتمل بر عامر بن سمط است که وثاقت او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درباره‌ی مردی که با خواهرش مواقعه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ضربتی به او زده می‌شود، به هر کجا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زنده ماند، باید او را به زندان ابد انداخت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محمّد بن علیّ محبوب، عن أحمد، عن الحسین، عن صفوان بن یحیی، عن إسحاق بن عمّار،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بذات محرم حدّ حدّ الزانی إلّاأنّه أعظم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رحمه الله علی أنّ الإمام مخیّر بین قتله بالسیف وبین رجمه</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با محارمش زنا کند، همان حدّ زنای معمولی به او زده می‌شود؛ فقط از نظر گناه و عذاب آخرت عذابش بیش‌تر است، ولی حدّ قانونی این زنا با زنای معمولی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روایت را توجیه، و حمل بر زنای محصنه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زنای با محارم باشد، حاکم مخیّر است او را بکشد یا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شخص زانی از بین برود، فرقی نمی‌کند به چه طریقی باشد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اشکال بر شیخ طوسی رحمه الله این است که به چه دلیل روایت مطلق را بر صورت احصان حمل می‌کنید؟ روایت در خصوص این مورد وارد نشده است؛ فقط این روایت را داشتیم،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زنای به محارم محصنه باشد، مکافاتش سنگسار، وگرنه تازیانه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جمع بین اخباراین مسأله از فروع مشکل باب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عنوان چهارم ممکن نیست؛ زیرا، هیچ یک از علما به آن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روایتی شاذّ و مهجور است که با اعراض</w:t>
      </w:r>
    </w:p>
    <w:p>
      <w:pPr>
        <w:pStyle w:val="BookText"/>
        <w:rPr/>
      </w:pPr>
      <w:r>
        <w:rPr>
          <w:rFonts w:ascii="IRNazanin" w:hAnsi="IRNazanin" w:eastAsia="IRNazanin"/>
          <w:color w:val="111111"/>
          <w:sz w:val="28"/>
          <w:sz w:val="28"/>
          <w:szCs w:val="28"/>
          <w:rtl w:val="true"/>
          <w:lang w:bidi="fa-IR"/>
        </w:rPr>
        <w:t>اصحاب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متقدّمین و متأخرین حتّی خود شیخ رحمه الله، به یکسان بودن حکم زنای با محارم و غیر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عنوان چهارم از دور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عنوان سوم دو روایت دلالت داشت؛ یکی روایت محمّد بن عبداللّه بن مهران که مبتلا به ارسال و ضعف این راوی است؛ زیرا، علمای رجال او را کذّاب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روایت عامر بن السمط است که این فرد نیز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عنوان تا حدّی به واسطه‌ی ضعف سند از دور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کردن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نکته‌ای است که در آینده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روایت باقی مانده است؛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ضربة بالسیف بلغت منه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باید به گردن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دسته تعارضی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در روایت جمیل بود؛ مبنی بر این که وی وقوع ضربه را مفروغٌ عنه دانسته، از محل آن سؤال می‌کند و امام علیه السلام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چند این دو دسته را تحت دو عنوان آوردیم، امّا در واقع، این دسته از روایات مفسّر دسته‌ی دیگر است؛ یعنی مجموع این دو دسته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ضربة بعنقه بالسیف بلغت، ما بلغت أخذت منه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با شمشیر به گردنش زده شود، به هر کجا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موجود در مدلول روایات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این روایات استفاده می‌شود فرد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مطلب تا حدّی پیش رفته که می‌گوید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قتل او به یک ضربه باشد؛ حتّی اگر به ضربه‌های متعدّد نیز نیاز گردید،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گردن نیز موضوعیّت ندارد؛ بلکه بالاتر، برای شمشیر نیز خصوصیّتی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از هر چیزی که سبب قتل او شود، بدون مانع است و به هر نقطه از بدنش که وارد آید کفایت می‌کند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حقیقت، ایشان از این روایات تحقّق قتل را فهمیده، همان‌گونه که امام راحل رحمه الله در تحریر الوسیله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القتل، فیجب علی من زنی بذات محرم للنسب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زنای با محارم قتل است؛ امّا نفرموده به چه کیفیتی و با چه وسیله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بزرگواران آن است که اگر سلطانی دستور داد شخصی را گردن بزنند، چنین فرمانی، کنایه از کشتن اوست؛ نه این‌که باید حتماً گردن او زده شود؛ آن‌هم با شمشیر و نه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این کلام قتل و اعدام فرد و باقی نماندن او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دو مطلب فهمیده می‌شود؛ یکی قتل به شمشیر، و دیگری با وقوع آن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قتل به وسیله‌ای غیر از شمشیر، و یا با ضربه‌ی بر غیر گردن محقّق شود، به مفاد روایات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خصوصیّاتی که روایت مطرح کرده، صرف نظر کنیم؛ شاید عنایتی در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هیچ دلالتی بر قتل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آن‌ها وقوع ضربتی بر گردن زانی است، به هر کجا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چنین ضربتی به قتل زانی منجر گردد و احتمال هم دارد که تخلّف کرده و به کشتن وی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بر طبق مفاد روایات فتوا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عنقه ضربة بالسیف بلغت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ضربه سبب قتل او 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قتل شدن نیست، بلکه مقصود آن است‌که به هر جایی برسد، به قتل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مسأله‌ی قتل را نمی‌توان مستند به روایات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 نتیجه می‌گیریم در این مسأله سه احتمال و سه قول وجود دارد؛ و برای بیان مختار و استدلال بر آن، باید چند نکته به عنوان مقدّمه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شیعی و سنی حدّ زنای با محارم را قتل گفته‌اند؛ مانند این روایات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ذات محرم یقتل</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ذات محرم فاقتلوه</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در کتاب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معتبری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و در عوالی‌اللئالی از پیامبر اکرم صلی الله علیه و آله حدّ زنای به محارم را قتل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 علی ذات محرم فاقتلوه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لواط روایتی قابل توجّه وجود دارد که مفادش با روایات گذشته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عن الحسین بن سعید، عن القاسم بن محمّد الجوهری، عن عبدالصّمد بن بشیر، عن سلیمان بن هلال، عن أبی عبداللّه صلی الله علیه و آله فی الرجل یفعل بالرجل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دون الثقب فالجلد، وان کان ثقب اقیم قائماً ثمّ ضرب بالسیف ضربة أخذ السیف منه 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هوالقتل؟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هلال از امام صادق علیه السلام درباره‌ی مردی که با مرد دیگر لواط کرده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نکرده، او را تازیانه می‌زنند؛ و اگر دخول واقع شده باشد، آن مرد را قائم نگاه داشته، ضربتی با شمشیر بر او فرود آورده تا شمشیر هر چه می‌خواهد از او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در روایات زنای با محارم نیز بود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ضربت، قتل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فروع مشکل باب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عنوان چهارم ممکن نیست؛ زیرا، هیچ یک از علما به آن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روایتی شاذّ و مهجور است که با اعراض</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همانند روایت جمیل بن درّاج</w:t>
      </w:r>
      <w:r>
        <w:rPr>
          <w:rStyle w:val="FootnoteAnchor"/>
          <w:rtl w:val="true"/>
        </w:rPr>
        <w:footnoteReference w:id="622"/>
      </w:r>
      <w:r>
        <w:rPr>
          <w:rFonts w:ascii="IRNazanin" w:hAnsi="IRNazanin" w:eastAsia="IRNazanin"/>
          <w:color w:val="111111"/>
          <w:sz w:val="28"/>
          <w:sz w:val="28"/>
          <w:szCs w:val="28"/>
          <w:rtl w:val="true"/>
          <w:lang w:bidi="fa-IR"/>
        </w:rPr>
        <w:t>باشد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ضربه‌ی شمشیر کجای بدن فرود آید؟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احتمال زیر در آن ممکن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می‌دانسته باید ضربتی زده شود، امّا نمی‌دانسته باید منتهی به قتل بشود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ضربه‌ی به سیف را دیده که شامل ضربت به گردن،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بر هر نقطه‌ای از بدن صادق است، جمیل از محل فرود ضربت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سؤال از موضع ضربت است، و در متفاهم عرفی از چنین سؤال و جوابی، استفاده‌ی قتل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روایتی که آن‌ها را از دور خارج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مرسله‌ی محمّد بن عبداللّه بن مهران و خبر عامر بن سمط</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مطلب قابل توجّهی است که می‌توانیم از آن استفاده کنیم؛ هر چند روایت را ضعیف و مجعول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ظهورگیری باید به آشنای به لغت عرب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این عبارت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ضربة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فإنّه یخلص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أبداً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ضربة بالسیف بلغت منه ما بلغت، فإن عاش خلّد فی السجن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ضربت با شمشیر به هر جا منتهی شود، کشتن مجرم است، راویِ عرب، متخصّص در لغت، چگونه به خود اجازه می‌دهد از امام علیه السلام بپرسد اگر پس از آن ضربت زنده ماند، تکلیف چیست؟ اگر مقصود قتل است، دیگر جای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می‌خندند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امکان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متفاهم عرفی از این عبارت را قتل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خلاصه‌ی مباحث گذشته و نتیجه‌ی جمع بین روایات در مورد کسی که با محارم خود زنا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ضربة بالسیف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مراد و مقصود از این جمله،</w:t>
      </w:r>
    </w:p>
    <w:p>
      <w:pPr>
        <w:pStyle w:val="BookText"/>
        <w:rPr/>
      </w:pPr>
      <w:r>
        <w:rPr>
          <w:rFonts w:ascii="IRNazanin" w:hAnsi="IRNazanin" w:eastAsia="IRNazanin"/>
          <w:color w:val="111111"/>
          <w:sz w:val="28"/>
          <w:sz w:val="28"/>
          <w:szCs w:val="28"/>
          <w:rtl w:val="true"/>
          <w:lang w:bidi="fa-IR"/>
        </w:rPr>
        <w:t>اختلاف شده و از آن سه قول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هر کیفیّت و به هر وسیله‌ای؛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وقوع ضربتی با شمشیر بر گردن؛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ضربتی بر گردن که منتهی به قتل زانی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قول در ریاض المسائل تصریح کرده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قول سوم یا احتمال سوم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مراجعه‌ی به کلمات اصحاب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مستندشان همین روایات است؛ و اگر اجماعی هم ادّعاشده باشد، مستند به این روایات است؛ نه این‌که اجماع اصالت و تحقّق و کشفی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فقها از این تعبیر، قتل را استفاده کرده‌اند؛ و برخی از آنان در عباراتشان عنوان قتل را مطرح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 یقتل، أو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اندازه‌ای مطمئن بودند که این روایات دلالت بر قتل دارد که در فتاوا تعبیر روایات را نیاورده‌اند؛ بلکه صریح و آشکار به قتل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که متفاهم عرفی از آن نیز قتل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در کتاب مقنع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ضربة بالسیف اخذت منه ما اخذت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را آورده، و مطلب اضافی وجود ندارد که مشعر به استفاده‌ی غیر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فقها به الفاظی که به غیر قتل اشعار داشته باشد، برخورد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فقها با کثرتی که دارند، و گروهی از آنان عرب و متخصّص در لغت و ادبیات عرب با آن علوّ مقام در اجتهاد و فقاهت، از این روایات قتل را فهمیده‌اند، فقط صاحب ریاض رحمه الله که از متأخّرین است، شبهه‌ای مطرح کرده، ولی قبل از ایشان همه در این معنا اتّفاق دارند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تأیید این مطالب، روایتی را از ابواب لواط ذکر کردیم‌که در حقیقت، شارح و مفسّر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بالسیف ضربة أخذ السیف منه ما أخذ،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امام رحمه الله ضربت به شمشیر راکه راوی به قتل تفسیر کرد، امضا نمود</w:t>
      </w:r>
      <w:r>
        <w:rPr>
          <w:rFonts w:eastAsia="IRNazanin" w:cs="IRNazanin"/>
          <w:color w:val="111111"/>
          <w:sz w:val="28"/>
          <w:szCs w:val="28"/>
          <w:rtl w:val="true"/>
          <w:lang w:bidi="fa-IR"/>
        </w:rPr>
        <w:t>.</w:t>
      </w:r>
      <w:bookmarkStart w:id="631" w:name="pg16919_227134"/>
    </w:p>
    <w:p>
      <w:pPr>
        <w:pStyle w:val="BookText"/>
        <w:rPr/>
      </w:pPr>
      <w:bookmarkEnd w:id="631"/>
      <w:r>
        <w:rPr>
          <w:rFonts w:ascii="IRNazanin" w:hAnsi="IRNazanin" w:eastAsia="IRNazanin"/>
          <w:color w:val="111111"/>
          <w:sz w:val="28"/>
          <w:sz w:val="28"/>
          <w:szCs w:val="28"/>
          <w:rtl w:val="true"/>
          <w:lang w:bidi="fa-IR"/>
        </w:rPr>
        <w:t>مؤیّد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است که در آن طرف قضیه وجود دارد؛ زیرا، در موارد مشابه می‌بینیم شارع مقدار و اندازه‌ی حدود را معیّن کرده است و معنای حدّ نیز اندازه‌ی مشخّص است؛ ولی در این موردکه جرمی شدید سرزده به گونه‌ای که فاعل آن باید از صفحه‌ی وجود محو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ضربتی با شمشیر به گردنش زده شود؛ منتهی به قتل او 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 اگر جرم سنگین باشد باید او را کشت و ملاک یک ضربت یا دو ضربت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می‌آید که ضربت موضوعیّتی ندارد؛ آن‌چه موضوعیّت دارد، محو شدن این فرد و نابود شدنش است؛ والّا اگر از بین رفتن فرد موضوعیّت ندارد، چرا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منه ما بلغت، أخذت منه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گاه به مرگ منتهی می‌شود و گاه نمی‌شود؟ چنین حدّی با ذهن ناآشنا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روایات قتل را استفاده کرده، و می‌گوییم در این ضربه میزان خاصّ و محدودیّتی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مختار ما نقطه‌ی مقابل کسانی است که از روایت قتل را نمی‌فهمند و می‌گویند ممکن است به قتل منتهی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ضربه هیچ محدودیّتی نیست، نه ترخیصاً و نه عملاً، چه بسا مؤکّد و مؤیّد قتل است؛ نه این‌که با قتل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زیاد و تحقیق در جوانب مسأله به ذهن ما می‌آید که نمی‌توان از حکم قتل در مورد این مجرم صرف‌نظر کرده و بگوییم از این روایات چنین مطلبی استفاده نمی‌شود</w:t>
      </w:r>
      <w:r>
        <w:rPr>
          <w:rFonts w:eastAsia="IRNazanin" w:cs="IRNazanin"/>
          <w:color w:val="111111"/>
          <w:sz w:val="28"/>
          <w:szCs w:val="28"/>
          <w:rtl w:val="true"/>
          <w:lang w:bidi="fa-IR"/>
        </w:rPr>
        <w:t>.</w:t>
      </w:r>
    </w:p>
    <w:p>
      <w:pPr>
        <w:pStyle w:val="Heading6"/>
        <w:numPr>
          <w:ilvl w:val="5"/>
          <w:numId w:val="1"/>
        </w:numPr>
        <w:rPr/>
      </w:pPr>
      <w:bookmarkStart w:id="632" w:name="__RefHeading___Toc79066_3244359995"/>
      <w:bookmarkStart w:id="633" w:name="_Toc241"/>
      <w:bookmarkEnd w:id="632"/>
      <w:r>
        <w:rPr>
          <w:rtl w:val="true"/>
        </w:rPr>
        <w:t>کیفیّت وقوع قتل</w:t>
      </w:r>
      <w:bookmarkEnd w:id="63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نحوه‌ی اجرای این حدّ چگونه است؟ آیا از روایات مطلق قتل به هر نحوی که باشد، استفاده می‌شود؟ همان‌گونه که مرحوم صاحب جواهر</w:t>
      </w:r>
      <w:r>
        <w:rPr>
          <w:rStyle w:val="FootnoteAnchor"/>
          <w:rtl w:val="true"/>
        </w:rPr>
        <w:footnoteReference w:id="627"/>
      </w:r>
      <w:r>
        <w:rPr>
          <w:rFonts w:ascii="IRNazanin" w:hAnsi="IRNazanin" w:eastAsia="IRNazanin"/>
          <w:color w:val="111111"/>
          <w:sz w:val="28"/>
          <w:sz w:val="28"/>
          <w:szCs w:val="28"/>
          <w:rtl w:val="true"/>
          <w:lang w:bidi="fa-IR"/>
        </w:rPr>
        <w:t xml:space="preserve">فهمیده و خواسته آن را به اصحاب‌نسبت بدهد؛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کنایه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او را با طناب خفه کنند یا به دار کشیده، یا با وسائل امروزی بکشند، کفایت می‌کند</w:t>
      </w:r>
      <w:r>
        <w:rPr>
          <w:rFonts w:eastAsia="IRNazanin" w:cs="IRNazanin"/>
          <w:color w:val="111111"/>
          <w:sz w:val="28"/>
          <w:szCs w:val="28"/>
          <w:rtl w:val="true"/>
          <w:lang w:bidi="fa-IR"/>
        </w:rPr>
        <w:t>.</w:t>
      </w:r>
      <w:bookmarkStart w:id="634" w:name="pg16919_227135"/>
    </w:p>
    <w:p>
      <w:pPr>
        <w:pStyle w:val="BookText"/>
        <w:rPr/>
      </w:pPr>
      <w:bookmarkEnd w:id="634"/>
      <w:r>
        <w:rPr>
          <w:rFonts w:ascii="IRNazanin" w:hAnsi="IRNazanin" w:eastAsia="IRNazanin"/>
          <w:color w:val="111111"/>
          <w:sz w:val="28"/>
          <w:sz w:val="28"/>
          <w:szCs w:val="28"/>
          <w:rtl w:val="true"/>
          <w:lang w:bidi="fa-IR"/>
        </w:rPr>
        <w:t>نظر برگزیده</w:t>
      </w:r>
    </w:p>
    <w:p>
      <w:pPr>
        <w:pStyle w:val="BookText"/>
        <w:rPr/>
      </w:pPr>
      <w:r>
        <w:rPr>
          <w:rFonts w:ascii="IRNazanin" w:hAnsi="IRNazanin" w:eastAsia="IRNazanin"/>
          <w:color w:val="111111"/>
          <w:sz w:val="28"/>
          <w:sz w:val="28"/>
          <w:szCs w:val="28"/>
          <w:rtl w:val="true"/>
          <w:lang w:bidi="fa-IR"/>
        </w:rPr>
        <w:t>به نظر می‌رسد نمی‌توان خصوصیّاتی را که در روایت آمده،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ضرب قتّال و موجب قتل را استفاده کرد؛ امّا الغای خصوصیّت ضربتِ با شمشیر آن‌هم به گردن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حذف آن نداریم و احتمال می‌دهیم خصوصیّتی در ضربت با شمشیر به گردن باشد؛ که با وجود این احتمال، راهی برای طرح خصوصیّات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فلانی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عرفی، این عبد حق دارد شکم او را پاره، و به این ترتیب او را بکشد؟ درست است‌که از ضرب عنق، قتل فهمیده می‌شود، امّا نه مطلق قتل، بلکه قتل خاص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آن‌چه را که می‌توانیم از روایت در نظر نگیریم، ضربت واحده است؛ اگر با یک ضربت، قتل محقّق نشد، حقّ نداریم به همان اکتفا کنیم؛ بلکه باید تا سرحدّ مرگ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به کمک روایات و شواهد استفاده کردیم</w:t>
      </w:r>
      <w:r>
        <w:rPr>
          <w:rFonts w:eastAsia="IRNazanin" w:cs="IRNazanin"/>
          <w:color w:val="111111"/>
          <w:sz w:val="28"/>
          <w:szCs w:val="28"/>
          <w:rtl w:val="true"/>
          <w:lang w:bidi="fa-IR"/>
        </w:rPr>
        <w:t>.</w:t>
      </w:r>
    </w:p>
    <w:p>
      <w:pPr>
        <w:pStyle w:val="Heading6"/>
        <w:numPr>
          <w:ilvl w:val="5"/>
          <w:numId w:val="1"/>
        </w:numPr>
        <w:rPr/>
      </w:pPr>
      <w:bookmarkStart w:id="635" w:name="__RefHeading___Toc79068_3244359995"/>
      <w:bookmarkStart w:id="636" w:name="_Toc242"/>
      <w:bookmarkEnd w:id="635"/>
      <w:r>
        <w:rPr>
          <w:rtl w:val="true"/>
        </w:rPr>
        <w:t>مقصود از محارم</w:t>
      </w:r>
      <w:bookmarkEnd w:id="636"/>
    </w:p>
    <w:p>
      <w:pPr>
        <w:pStyle w:val="BookText"/>
        <w:rPr/>
      </w:pPr>
      <w:r>
        <w:rPr>
          <w:rFonts w:ascii="IRNazanin" w:hAnsi="IRNazanin" w:eastAsia="IRNazanin"/>
          <w:color w:val="111111"/>
          <w:sz w:val="28"/>
          <w:sz w:val="28"/>
          <w:szCs w:val="28"/>
          <w:rtl w:val="true"/>
          <w:lang w:bidi="fa-IR"/>
        </w:rPr>
        <w:t>آیا حدّ قتل برای زنای با محارم، به همه‌ی محارم مربوط است یا گروه خاصّی مراد است؟ محارم بر سه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خواهر، عمّه، خاله، دختر برادر و مانند آن که قدر متیقّن از محارم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رضاعی؛ افراد فوق، لیکن نه از راه نسب، بلکه از راه رضاع؛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رضاعی، دختر رضاعی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محارم مصاهره‌ای؛ کسانی که در اثر ازدواج با خانمی برای شوهر آن خانم حرام می‌شوند؛ مانند مادر زن، دختر زن از شوهر دیگر و هم‌چنین عروس انسان، زن پدر که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است‌که آیا حدّ قتل شامل هر سه دسته می‌شود یا باید تفصیل داد؟</w:t>
      </w:r>
    </w:p>
    <w:p>
      <w:pPr>
        <w:pStyle w:val="BookText"/>
        <w:rPr/>
      </w:pPr>
      <w:r>
        <w:rPr>
          <w:rFonts w:ascii="IRNazanin" w:hAnsi="IRNazanin" w:eastAsia="IRNazanin"/>
          <w:color w:val="111111"/>
          <w:sz w:val="28"/>
          <w:sz w:val="28"/>
          <w:szCs w:val="28"/>
          <w:rtl w:val="true"/>
          <w:lang w:bidi="fa-IR"/>
        </w:rPr>
        <w:t>ذکر محارم در قرآن</w:t>
      </w:r>
    </w:p>
    <w:p>
      <w:pPr>
        <w:pStyle w:val="BookText"/>
        <w:rPr/>
      </w:pPr>
      <w:r>
        <w:rPr>
          <w:rFonts w:ascii="Amiri" w:hAnsi="Amiri" w:eastAsia="Amiri" w:cs="Amiri"/>
          <w:color w:val="111111"/>
          <w:sz w:val="28"/>
          <w:sz w:val="28"/>
          <w:szCs w:val="28"/>
          <w:rtl w:val="true"/>
          <w:lang w:bidi="ar-SA"/>
        </w:rPr>
        <w:t>در آیه‌ای از سوره‌ی نساء خداوند هر سه دسته از محارم را بیان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Style w:val="FootnoteAnchor"/>
          <w:rtl w:val="true"/>
        </w:rPr>
        <w:footnoteReference w:id="628"/>
      </w:r>
      <w:r>
        <w:rPr>
          <w:rFonts w:ascii="IRNazanin" w:hAnsi="IRNazanin" w:eastAsia="IRNazanin"/>
          <w:color w:val="111111"/>
          <w:sz w:val="28"/>
          <w:sz w:val="28"/>
          <w:szCs w:val="28"/>
          <w:rtl w:val="true"/>
          <w:lang w:bidi="fa-IR"/>
        </w:rPr>
        <w:t>عنوان مأخوذ از محارم در روایات</w:t>
      </w:r>
    </w:p>
    <w:p>
      <w:pPr>
        <w:pStyle w:val="BookText"/>
        <w:rPr/>
      </w:pPr>
      <w:r>
        <w:rPr>
          <w:rFonts w:ascii="IRNazanin" w:hAnsi="IRNazanin" w:eastAsia="IRNazanin"/>
          <w:color w:val="111111"/>
          <w:sz w:val="28"/>
          <w:sz w:val="28"/>
          <w:szCs w:val="28"/>
          <w:rtl w:val="true"/>
          <w:lang w:bidi="fa-IR"/>
        </w:rPr>
        <w:t xml:space="preserve">تعبیری که در روایات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 اخته</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کسی که با محارم خود یا خواهرش زنا کند،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هیچ ذکری از محارم نسبی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عنوان محرم را مورد تحقیق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مَحرم و مَحرم کیست؟ مقصود از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یحرم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صحاح اللغة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محرم منها إذا لم یحلّ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کسی است که ازدواج با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مأخوذ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با مادر نسبی و خواهر نسبی نمی‌توان ازدواج کرد، با مادر رضاعی و مادر زن نیز نکاح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تحریر 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لایحلق ذات محرم للرضاع بالنسب علی الأحوط لو لم یکن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محارم رضاعی به محارم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اگر اقوا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نمی‌شوند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محارم سببی را متعرّض نشده‌اند، و حکم محارم سببی در فتاوا مسکوت گذاشته</w:t>
      </w:r>
      <w:bookmarkStart w:id="637" w:name="pg16919_227137"/>
    </w:p>
    <w:p>
      <w:pPr>
        <w:pStyle w:val="BookText"/>
        <w:rPr/>
      </w:pPr>
      <w:bookmarkEnd w:id="637"/>
      <w:r>
        <w:rPr>
          <w:rFonts w:ascii="IRNazanin" w:hAnsi="IRNazanin" w:eastAsia="IRNazanin"/>
          <w:color w:val="111111"/>
          <w:sz w:val="28"/>
          <w:sz w:val="28"/>
          <w:szCs w:val="28"/>
          <w:rtl w:val="true"/>
          <w:lang w:bidi="fa-IR"/>
        </w:rPr>
        <w:t>شده است؛ این مطلب بدان معنا نیست که فقها محارم نسبی را متعرّض و حکم محارم سببی را مهمل بگذارند، بلکه عبارت اصحاب همانند روایات است؛ اکثر آنان تعبیر به ذات محرم کرده‌اند؛ حتّی مثالی نیز ذکر نکرده‌اند که از آن استفاده کنیم مقصودشان محارم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مبسوط‌</w:t>
      </w:r>
      <w:r>
        <w:rPr>
          <w:rStyle w:val="FootnoteAnchor"/>
          <w:rtl w:val="true"/>
        </w:rPr>
        <w:footnoteReference w:id="631"/>
      </w:r>
      <w:r>
        <w:rPr>
          <w:rFonts w:ascii="IRNazanin" w:hAnsi="IRNazanin" w:eastAsia="IRNazanin"/>
          <w:color w:val="111111"/>
          <w:sz w:val="28"/>
          <w:sz w:val="28"/>
          <w:szCs w:val="28"/>
          <w:rtl w:val="true"/>
          <w:lang w:bidi="fa-IR"/>
        </w:rPr>
        <w:t>و خلاف</w:t>
      </w:r>
      <w:r>
        <w:rPr>
          <w:rStyle w:val="FootnoteAnchor"/>
          <w:rtl w:val="true"/>
        </w:rPr>
        <w:footnoteReference w:id="632"/>
      </w:r>
      <w:r>
        <w:rPr>
          <w:rFonts w:ascii="IRNazanin" w:hAnsi="IRNazanin" w:eastAsia="IRNazanin"/>
          <w:color w:val="111111"/>
          <w:sz w:val="28"/>
          <w:sz w:val="28"/>
          <w:szCs w:val="28"/>
          <w:rtl w:val="true"/>
          <w:lang w:bidi="fa-IR"/>
        </w:rPr>
        <w:t>و برخی دیگر از علما، محارم رضاعی را مطرح و آنان را به محارم نسبی ملحق کرده‌اند؛ مرحوم شهید ثانی نیز در لمعه</w:t>
      </w:r>
      <w:r>
        <w:rPr>
          <w:rStyle w:val="FootnoteAnchor"/>
          <w:rtl w:val="true"/>
        </w:rPr>
        <w:footnoteReference w:id="633"/>
      </w:r>
      <w:r>
        <w:rPr>
          <w:rFonts w:ascii="IRNazanin" w:hAnsi="IRNazanin" w:eastAsia="IRNazanin"/>
          <w:color w:val="111111"/>
          <w:sz w:val="28"/>
          <w:sz w:val="28"/>
          <w:szCs w:val="28"/>
          <w:rtl w:val="true"/>
          <w:lang w:bidi="fa-IR"/>
        </w:rPr>
        <w:t>الحاق را خالی از وجه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محارم سببی، زن پدر دلیل خاص دارد و جداگانه خواهد آمد؛ امّا در غیر او از بقیّه‌ی محارم سببی و محارم رضاعی، چه باید گفت؟ آیا وجهی برای الحاق یا اخراج داریم؟</w:t>
      </w:r>
    </w:p>
    <w:p>
      <w:pPr>
        <w:pStyle w:val="Heading6"/>
        <w:numPr>
          <w:ilvl w:val="5"/>
          <w:numId w:val="1"/>
        </w:numPr>
        <w:rPr/>
      </w:pPr>
      <w:bookmarkStart w:id="638" w:name="__RefHeading___Toc79070_3244359995"/>
      <w:bookmarkStart w:id="639" w:name="_Toc243"/>
      <w:bookmarkEnd w:id="638"/>
      <w:r>
        <w:rPr>
          <w:rtl w:val="true"/>
        </w:rPr>
        <w:t>راه‌های الحاق محارم رضاعی و سببی به نسبی</w:t>
      </w:r>
      <w:bookmarkEnd w:id="639"/>
    </w:p>
    <w:p>
      <w:pPr>
        <w:pStyle w:val="BookText"/>
        <w:rPr/>
      </w:pPr>
      <w:r>
        <w:rPr>
          <w:rFonts w:ascii="IRNazanin" w:hAnsi="IRNazanin" w:eastAsia="IRNazanin"/>
          <w:color w:val="111111"/>
          <w:sz w:val="28"/>
          <w:sz w:val="28"/>
          <w:szCs w:val="28"/>
          <w:rtl w:val="true"/>
          <w:lang w:bidi="fa-IR"/>
        </w:rPr>
        <w:t>چند راه برای اخراج و عدم الحاق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کلام صاحب جواهر رحمه الله</w:t>
      </w:r>
      <w:r>
        <w:rPr>
          <w:rStyle w:val="FootnoteAnchor"/>
          <w:rtl w:val="true"/>
        </w:rPr>
        <w:footnoteReference w:id="634"/>
      </w:r>
      <w:r>
        <w:rPr>
          <w:rFonts w:ascii="IRNazanin" w:hAnsi="IRNazanin" w:eastAsia="IRNazanin"/>
          <w:color w:val="111111"/>
          <w:sz w:val="28"/>
          <w:sz w:val="28"/>
          <w:szCs w:val="28"/>
          <w:rtl w:val="true"/>
          <w:lang w:bidi="fa-IR"/>
        </w:rPr>
        <w:t>و دیگران این است‌که ظهور ذات محرم و محرم، در محرم نسبی به نحو حقیقت، و استعمال آن در محارم رضاعی و سببی محتاج به علاقه، عنایت، تجوّز و 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ادّعای تبادر از محارم به محارم نسبی می‌کند،</w:t>
      </w:r>
      <w:r>
        <w:rPr>
          <w:rStyle w:val="FootnoteAnchor"/>
          <w:rtl w:val="true"/>
        </w:rPr>
        <w:footnoteReference w:id="635"/>
      </w:r>
      <w:r>
        <w:rPr>
          <w:rFonts w:ascii="IRNazanin" w:hAnsi="IRNazanin" w:eastAsia="IRNazanin"/>
          <w:color w:val="111111"/>
          <w:sz w:val="28"/>
          <w:sz w:val="28"/>
          <w:szCs w:val="28"/>
          <w:rtl w:val="true"/>
          <w:lang w:bidi="fa-IR"/>
        </w:rPr>
        <w:t>و صاحب جواهر رحمه الله هر چند در جهتی دیگر به او اعتراض دارد، امّا در این مطلب با او موافقت کرده، و این معنا را تأیید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پیمودن این راه در مقام استدلال واضح است؛ هر چند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و صاحب جواهر رحمهما الله فرموده باشند؛ زیرا، ما حقّ نداریم در لغت تصرّف کنیم؛ با وجود آن‌که متخصّصی در لغت عرب همانند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یعنی کسی که حرام است انسان با او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کلام او را مختصّ به محارم نسبی کرد؟ در</w:t>
      </w:r>
    </w:p>
    <w:p>
      <w:pPr>
        <w:pStyle w:val="BookText"/>
        <w:rPr/>
      </w:pPr>
      <w:r>
        <w:rPr>
          <w:rFonts w:ascii="IRNazanin" w:hAnsi="IRNazanin" w:eastAsia="IRNazanin"/>
          <w:color w:val="111111"/>
          <w:sz w:val="28"/>
          <w:sz w:val="28"/>
          <w:szCs w:val="28"/>
          <w:rtl w:val="true"/>
          <w:lang w:bidi="fa-IR"/>
        </w:rPr>
        <w:t xml:space="preserve">کلمات فقها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یحرم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و در قرآن نیز آیه‌ی شریفه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سببی و رضاعی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از راه انحصار معنای حقیقی محرم در محرم نسبی وارد شود، جوابش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و مطلقی دارد که شامل هر سه گروه می‌شود، لیکن در مقام کاربرد، انصراف به محرم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انصراف این نیست که تنها در محرم نسبی حقیقت باشد، بلکه وقتی در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محارم نسبی به ذهن می‌آید، گویا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این‌راه را می‌توان پذیرفت؟ منشأ انصراف کثرت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اندازه‌ای در خصوص محرم نسبی به کار رفته باشد که با شنیدن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معنا به ذهن آید؛ مثلاً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من محرم است، در ذهن به محرم نسبی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انصرافی به محرم نسبی دارد، به گونه‌ای که احتمال خویشان سببی یا رضاعی داده نشود؟ حق این است‌که نمی‌توان ادّعای انصراف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احتمالات وسیع است؛ و به همین جهت، سؤال می‌شود که چه نسبتی با شما دارد؟</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فتاوای اصحاب متمسّک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محارم رضاعی و سببی را متعرّض نشده‌اند؛ پس، معلوم می‌شود آنان را ملحق نمی‌دانسته‌اند که حکم‌شان را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جواب این مطلب در گذشته اشاره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عنوان مسأله را همان عنوان مأخوذ در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چگونه به آنان نسبت دهیم که متعرّض این نکته نشده‌اند، مگر باید هر موردی را به صراحت مطرح کنند؟ اگر یک عنوان عامّ و مطلقی را به عنوان موضوع بحث قرار بدهند، کافی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پاره‌ای از کلمات به خواهر، مادر، دختر، عمّه، خاله، خواهرزاده، برادرزاده، اشاره شده، امّا از باب مثال و تطبیق عام و مطلق بر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اظهر مصادیق عام بوده، لذا آن‌ها را برای مثال ذکر کرده‌اند؛ و معنای این اختصاص حکم به محارم نسبی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اگر مثال به مادر یا خواهر و مانند آن زده شد، از کجا و به چه دلیل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محارم نسبی مُراد است؟ بلکه شامل محارم رضاعی نیز می‌شود؛ زیرا، این نسبت‌ها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رضاعی؛ و خصوص نسبی محتاج به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مرحوم محقّق در کتاب شرایع مثال به مادر و خواهر می‌زند،</w:t>
      </w:r>
      <w:r>
        <w:rPr>
          <w:rStyle w:val="FootnoteAnchor"/>
          <w:rtl w:val="true"/>
        </w:rPr>
        <w:footnoteReference w:id="636"/>
      </w:r>
      <w:r>
        <w:rPr>
          <w:rFonts w:ascii="IRNazanin" w:hAnsi="IRNazanin" w:eastAsia="IRNazanin"/>
          <w:color w:val="111111"/>
          <w:sz w:val="28"/>
          <w:sz w:val="28"/>
          <w:szCs w:val="28"/>
          <w:rtl w:val="true"/>
          <w:lang w:bidi="fa-IR"/>
        </w:rPr>
        <w:t>قرینه‌ای نداریم بر این‌که محرم نسبی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رحمه الله این راه را مطرح و به نقد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الحاق محارم رضاعی به محارم نسبی نظرتان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یک حالت اتّصالی به وجود می‌آورد مانند حالت اتصالی که در نسب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مطلب را به صورت موجبه‌ی جزئیّه قبول داریم؛ زیرا، در تمام موارد به این قاعده عمل نشده است؛ مثلاً در باب مواریث و ولایت، هیچ کس نگفته مادر رضاعی یا دختر رضاعی و یا خواهر رضاعی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در باب نکاح پیاده می‌شود؛ و آن این‌که با این گروه از محارم رضاعی نمی‌توان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نفقه‌ی آنان نیز واجب است، کسی خیال این مطلب را هم نکرده است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در نقد نظر مرحوم صاحب جواهر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قاعده در باب ارث و نفقه و غیر آن نمی‌خواهیم تمسّک کنیم؛ بلکه جریان آن در باب نکاح برای ما کافی بوده و موضوع بحث ما با آن محقّق می‌شود؛ زیرا، موضوع این حدّ، زنای به ذات محرم است و معنای ذات محرم به تصریح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یحرم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بحث ما از آثار باب نکاح است و به باب ارث و نفقه و سایر ابواب فقهی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در کتاب نکاح مطرح است که در روایات باب حدود آن را موضوع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حدود موضوع حدّ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باب نکاح، ذات محرم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یحرم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دارد؛ مادر رضاعی در تمام احکام و خصوصیّات همانند مادر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که در باب نکاح محرمیّت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یحرم نکاحها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شد، موضوع برای عنوان مأخوذ در روایات و فتاوا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اگر کسی نذر کند در صورت تحقّق محرمیّت با فلان دختر، صد تومان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نذر، آن دختر از عیال مرد شیر خورده و رضاع با شرایطش محقّق شد، در این‌جا وفای به نذر واجب است؛ زیرا، با این قاعده، موضوع نذر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چه ربطی به باب نذر دارد؟ موضوع نذر محرمیّت با دختر بود که در باب نکاح و با این قاعده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ریاض رحمه الله بر عدم الحاق</w:t>
      </w:r>
    </w:p>
    <w:p>
      <w:pPr>
        <w:pStyle w:val="BookText"/>
        <w:rPr/>
      </w:pPr>
      <w:r>
        <w:rPr>
          <w:rFonts w:ascii="IRNazanin" w:hAnsi="IRNazanin" w:eastAsia="IRNazanin"/>
          <w:color w:val="111111"/>
          <w:sz w:val="28"/>
          <w:sz w:val="28"/>
          <w:szCs w:val="28"/>
          <w:rtl w:val="true"/>
          <w:lang w:bidi="fa-IR"/>
        </w:rPr>
        <w:t>روایاتی که در این مسأله داشتیم، بیشتر آن‌ها سند خوبی نداشت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حسنه داشتیم که هیچ‌گاه مانند صحیحه نمی‌شود و فقط روایت صحیحه‌ی ابی‌ایّوب باقی می‌ماند که به خاطر این یک روایت، نمی‌توان دست خود را به خون مردم آلوده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جرأت می‌کنید به جهت یک روایت، دست خود را به خون مردم آغشته سازید؟</w:t>
      </w:r>
      <w:r>
        <w:rPr>
          <w:rStyle w:val="FootnoteAnchor"/>
          <w:rtl w:val="true"/>
        </w:rPr>
        <w:footnoteReference w:id="639"/>
      </w:r>
      <w:r>
        <w:rPr>
          <w:rFonts w:ascii="IRNazanin" w:hAnsi="IRNazanin" w:eastAsia="IRNazanin"/>
          <w:color w:val="111111"/>
          <w:sz w:val="28"/>
          <w:sz w:val="28"/>
          <w:szCs w:val="28"/>
          <w:rtl w:val="true"/>
          <w:lang w:bidi="fa-IR"/>
        </w:rPr>
        <w:t>اشکال نظر ایشان آن است که چرا در محرم نسبی این مطلب را نمی‌گویید؟ اگر وجود یک روایت در تضعیف مطلب دخالت دارد، شما با چه جسارتی با همین یک روایت صحیحه به خون مردم دست‌تان را آلوده کرده و محارم نسبی را می‌کشید؟</w:t>
      </w:r>
    </w:p>
    <w:p>
      <w:pPr>
        <w:pStyle w:val="BookText"/>
        <w:rPr/>
      </w:pPr>
      <w:r>
        <w:rPr>
          <w:rFonts w:ascii="IRNazanin" w:hAnsi="IRNazanin" w:eastAsia="IRNazanin"/>
          <w:color w:val="111111"/>
          <w:sz w:val="28"/>
          <w:sz w:val="28"/>
          <w:szCs w:val="28"/>
          <w:rtl w:val="true"/>
          <w:lang w:bidi="fa-IR"/>
        </w:rPr>
        <w:t>علاوه بر این که تعداد روایت مدخلیّتی ندارد؛ اگر روایت معتبر باشد، یکی یا متعدّد، برای ما حجّت است و باید به مضمون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وجود اطلاق و شمول، و حجیّت آن، چگونه در مطلب تزلزل و تردید پیدا می‌شود؟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اطلاق حجّت نیست، بحثی نداریم؛ امّا بر فرض حجیّت اطلاق، این مطلب که صاحب کشف اللثام رحمه الله</w:t>
      </w:r>
      <w:r>
        <w:rPr>
          <w:rStyle w:val="FootnoteAnchor"/>
          <w:rtl w:val="true"/>
        </w:rPr>
        <w:footnoteReference w:id="640"/>
      </w:r>
      <w:r>
        <w:rPr>
          <w:rFonts w:ascii="IRNazanin" w:hAnsi="IRNazanin" w:eastAsia="IRNazanin"/>
          <w:color w:val="111111"/>
          <w:sz w:val="28"/>
          <w:sz w:val="28"/>
          <w:szCs w:val="28"/>
          <w:rtl w:val="true"/>
          <w:lang w:bidi="fa-IR"/>
        </w:rPr>
        <w:t>فرموده به استناد اطلاق تهجّم را نیز قبول دارد، برای او فرقی در</w:t>
      </w:r>
      <w:bookmarkStart w:id="640" w:name="pg16919_227141"/>
    </w:p>
    <w:p>
      <w:pPr>
        <w:pStyle w:val="BookText"/>
        <w:rPr/>
      </w:pPr>
      <w:bookmarkEnd w:id="640"/>
      <w:r>
        <w:rPr>
          <w:rFonts w:ascii="IRNazanin" w:hAnsi="IRNazanin" w:eastAsia="IRNazanin"/>
          <w:color w:val="111111"/>
          <w:sz w:val="28"/>
          <w:sz w:val="28"/>
          <w:szCs w:val="28"/>
          <w:rtl w:val="true"/>
          <w:lang w:bidi="fa-IR"/>
        </w:rPr>
        <w:t>تعداد خبر و دلالت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قواعد و ضوابط مشی کنیم، فرقی بین محارم نسبی با رضاعی و سببی نیست؛ و مطالبی که در بیان فرق گفته بودند،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که تصریح اصحاب، جرأت فتوا دادن نداشته باشد، بحثی دیگر است</w:t>
      </w:r>
      <w:r>
        <w:rPr>
          <w:rFonts w:eastAsia="IRNazanin" w:cs="IRNazanin"/>
          <w:color w:val="111111"/>
          <w:sz w:val="28"/>
          <w:szCs w:val="28"/>
          <w:rtl w:val="true"/>
          <w:lang w:bidi="fa-IR"/>
        </w:rPr>
        <w:t>.</w:t>
      </w:r>
    </w:p>
    <w:p>
      <w:pPr>
        <w:pStyle w:val="Heading6"/>
        <w:numPr>
          <w:ilvl w:val="5"/>
          <w:numId w:val="1"/>
        </w:numPr>
        <w:rPr/>
      </w:pPr>
      <w:bookmarkStart w:id="641" w:name="__RefHeading___Toc79072_3244359995"/>
      <w:bookmarkStart w:id="642" w:name="_Toc244"/>
      <w:bookmarkEnd w:id="641"/>
      <w:r>
        <w:rPr>
          <w:rtl w:val="true"/>
        </w:rPr>
        <w:t>تعمیم حکم نسبت به زنی که نکاح با او حرام است</w:t>
      </w:r>
      <w:bookmarkEnd w:id="642"/>
    </w:p>
    <w:p>
      <w:pPr>
        <w:pStyle w:val="BookText"/>
        <w:rPr/>
      </w:pPr>
      <w:r>
        <w:rPr>
          <w:rFonts w:ascii="IRNazanin" w:hAnsi="IRNazanin" w:eastAsia="IRNazanin"/>
          <w:color w:val="111111"/>
          <w:sz w:val="28"/>
          <w:sz w:val="28"/>
          <w:szCs w:val="28"/>
          <w:rtl w:val="true"/>
          <w:lang w:bidi="fa-IR"/>
        </w:rPr>
        <w:t xml:space="preserve">اگر موضوع روایات و فتاوا،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یحرم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گروهی که جزء هیچ یک از سه گروه به حساب نمی‌آیند، امّا نکاحشان حرام است نیز داخل می‌شوند؛ مانند زنی که او را نُه طلاق داده و برای همیشه ازدواج با او بر مرد حرام است؛ و همین گونه اگر کسی با پسری لواط کند، با خواهر و مادر او نمی‌تواند ازدواج کند، آیا زنای با چنین زنانی نیز زنای به ذات محرم است؟</w:t>
      </w:r>
    </w:p>
    <w:p>
      <w:pPr>
        <w:pStyle w:val="BookText"/>
        <w:rPr/>
      </w:pPr>
      <w:r>
        <w:rPr>
          <w:rFonts w:ascii="IRNazanin" w:hAnsi="IRNazanin" w:eastAsia="IRNazanin"/>
          <w:color w:val="111111"/>
          <w:sz w:val="28"/>
          <w:sz w:val="28"/>
          <w:szCs w:val="28"/>
          <w:rtl w:val="true"/>
          <w:lang w:bidi="fa-IR"/>
        </w:rPr>
        <w:t>حقّ این است که ذات محرم از چنین مواردی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شنیدن لفظ ذات محرم، این موارد هرگز به ذهن انسان خطور نمی‌کند؛ بلکه باید مقدّمات و تمهیداتی چیده شود تا به این معانی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با معنای لغوی که از صحاح اللغة نیز نقل کردیم، انصراف به حدّی است که این‌گونه موارد به ذهن نمی‌آید</w:t>
      </w:r>
      <w:r>
        <w:rPr>
          <w:rFonts w:eastAsia="IRNazanin" w:cs="IRNazanin"/>
          <w:color w:val="111111"/>
          <w:sz w:val="28"/>
          <w:szCs w:val="28"/>
          <w:rtl w:val="true"/>
          <w:lang w:bidi="fa-IR"/>
        </w:rPr>
        <w:t>.</w:t>
      </w:r>
    </w:p>
    <w:p>
      <w:pPr>
        <w:pStyle w:val="Heading6"/>
        <w:numPr>
          <w:ilvl w:val="5"/>
          <w:numId w:val="1"/>
        </w:numPr>
        <w:rPr/>
      </w:pPr>
      <w:bookmarkStart w:id="643" w:name="__RefHeading___Toc79074_3244359995"/>
      <w:bookmarkStart w:id="644" w:name="_Toc245"/>
      <w:bookmarkEnd w:id="643"/>
      <w:r>
        <w:rPr>
          <w:rtl w:val="true"/>
        </w:rPr>
        <w:t>محرمیّت به واسطه‌ی نسب غیر شرعی</w:t>
      </w:r>
      <w:bookmarkEnd w:id="644"/>
    </w:p>
    <w:p>
      <w:pPr>
        <w:pStyle w:val="BookText"/>
        <w:rPr/>
      </w:pPr>
      <w:r>
        <w:rPr>
          <w:rFonts w:ascii="IRNazanin" w:hAnsi="IRNazanin" w:eastAsia="IRNazanin"/>
          <w:color w:val="111111"/>
          <w:sz w:val="28"/>
          <w:sz w:val="28"/>
          <w:szCs w:val="28"/>
          <w:rtl w:val="true"/>
          <w:lang w:bidi="fa-IR"/>
        </w:rPr>
        <w:t>اگر محرمیّت به واسطه‌ی نسب غیر شرعی مثل زنا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پدر و مادر زناکارش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نمی‌تواند با والدین خود ازدواج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یحرم نکاحها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حکم زنای ولد زنا با مادرش یا زانی با دختری که از زنای او متولد شده، همانند حکم زنای با محارم است، و عنوانی که در روایات و فتاوا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این مورد می‌شود؟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الحاق این مورد به زنای به محرم نسبی‌است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زنایی موجب ثبوت قتل نیست</w:t>
      </w:r>
      <w:r>
        <w:rPr>
          <w:rFonts w:eastAsia="IRNazanin" w:cs="IRNazanin"/>
          <w:color w:val="111111"/>
          <w:sz w:val="28"/>
          <w:szCs w:val="28"/>
          <w:rtl w:val="true"/>
          <w:lang w:bidi="fa-IR"/>
        </w:rPr>
        <w:t>.</w:t>
      </w:r>
      <w:r>
        <w:rPr>
          <w:rStyle w:val="FootnoteAnchor"/>
          <w:rtl w:val="true"/>
        </w:rPr>
        <w:footnoteReference w:id="641"/>
      </w:r>
      <w:bookmarkStart w:id="645" w:name="pg16919_227142"/>
    </w:p>
    <w:p>
      <w:pPr>
        <w:pStyle w:val="BookText"/>
        <w:rPr/>
      </w:pPr>
      <w:bookmarkEnd w:id="645"/>
      <w:r>
        <w:rPr>
          <w:rFonts w:ascii="IRNazanin" w:hAnsi="IRNazanin" w:eastAsia="IRNazanin"/>
          <w:color w:val="111111"/>
          <w:sz w:val="28"/>
          <w:sz w:val="28"/>
          <w:szCs w:val="28"/>
          <w:rtl w:val="true"/>
          <w:lang w:bidi="fa-IR"/>
        </w:rPr>
        <w:t>ممکن است در نقد نظر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مأخوذ در روایت، اطلاق دارد و شامل این مورد نیز می‌شود؛ زیرا، روایت مقیّد به نسب و سبب شرعی نیست، پس اطلاق ذات محرم این مورد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در پاره‌ای از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ظهور در خواهر شرعی دارد، و همین‌گونه دلالت آیه‌ی شریفه بر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اخت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در شرعی از این نسب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ظهور عرفی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شرعی آن است و شامل ولد زنا نیز می‌شود؛ فرقی بین موضوعِ در این باب و مسأله با سایر ابواب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برای فهم معنای موضوع و عنوان مأخوذ در ادلّه باید به عرف مراجعه 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عرف خمر می‌بیند،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بعید نیست به الحاق این مورد به نسب شرعی حکم کنیم؛ هر چند در تحریر الوسیله در هر سه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رضاع، سبب و نسب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عدم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صاحب جواهر</w:t>
      </w:r>
      <w:r>
        <w:rPr>
          <w:rStyle w:val="FootnoteAnchor"/>
          <w:rtl w:val="true"/>
        </w:rPr>
        <w:footnoteReference w:id="642"/>
      </w:r>
      <w:r>
        <w:rPr>
          <w:rFonts w:ascii="IRNazanin" w:hAnsi="IRNazanin" w:eastAsia="IRNazanin"/>
          <w:color w:val="111111"/>
          <w:sz w:val="28"/>
          <w:sz w:val="28"/>
          <w:szCs w:val="28"/>
          <w:rtl w:val="true"/>
          <w:lang w:bidi="fa-IR"/>
        </w:rPr>
        <w:t>وصاحب ریاض</w:t>
      </w:r>
      <w:r>
        <w:rPr>
          <w:rStyle w:val="FootnoteAnchor"/>
          <w:rtl w:val="true"/>
        </w:rPr>
        <w:footnoteReference w:id="643"/>
      </w:r>
      <w:r>
        <w:rPr>
          <w:rFonts w:ascii="IRNazanin" w:hAnsi="IRNazanin" w:eastAsia="IRNazanin"/>
          <w:color w:val="111111"/>
          <w:sz w:val="28"/>
          <w:sz w:val="28"/>
          <w:szCs w:val="28"/>
          <w:rtl w:val="true"/>
          <w:lang w:bidi="fa-IR"/>
        </w:rPr>
        <w:t>در این مسأله تبعیّت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ضوابط و قواعد اقتضای الحاق دارد؛ هر چند احتیاط غیر لزومی بر عدم الحاق است</w:t>
      </w:r>
      <w:r>
        <w:rPr>
          <w:rFonts w:eastAsia="IRNazanin" w:cs="IRNazanin"/>
          <w:color w:val="111111"/>
          <w:sz w:val="28"/>
          <w:szCs w:val="28"/>
          <w:rtl w:val="true"/>
          <w:lang w:bidi="fa-IR"/>
        </w:rPr>
        <w:t>.</w:t>
      </w:r>
    </w:p>
    <w:p>
      <w:pPr>
        <w:pStyle w:val="Heading6"/>
        <w:numPr>
          <w:ilvl w:val="5"/>
          <w:numId w:val="1"/>
        </w:numPr>
        <w:rPr/>
      </w:pPr>
      <w:bookmarkStart w:id="646" w:name="__RefHeading___Toc79076_3244359995"/>
      <w:bookmarkStart w:id="647" w:name="_Toc246"/>
      <w:bookmarkEnd w:id="646"/>
      <w:r>
        <w:rPr>
          <w:rtl w:val="true"/>
        </w:rPr>
        <w:t>حکم زنا با همسر پدر</w:t>
      </w:r>
      <w:bookmarkEnd w:id="64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کسانی که در محارم سببی به عدم الحاق فتوا داده‌اند، به سبب ورود روایاتی درباره‌ی زن پدر، او را استثنا کرده و حکم محارم نسبی را بر وی مترتّب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افرادی که به این معنا تصریح دارند، می‌توان شیخ طوسی</w:t>
      </w:r>
      <w:r>
        <w:rPr>
          <w:rStyle w:val="FootnoteAnchor"/>
          <w:rtl w:val="true"/>
        </w:rPr>
        <w:footnoteReference w:id="644"/>
      </w:r>
      <w:r>
        <w:rPr>
          <w:rFonts w:ascii="IRNazanin" w:hAnsi="IRNazanin" w:eastAsia="IRNazanin"/>
          <w:color w:val="111111"/>
          <w:sz w:val="28"/>
          <w:sz w:val="28"/>
          <w:szCs w:val="28"/>
          <w:rtl w:val="true"/>
          <w:lang w:bidi="fa-IR"/>
        </w:rPr>
        <w:t>، حلبی</w:t>
      </w:r>
      <w:r>
        <w:rPr>
          <w:rStyle w:val="FootnoteAnchor"/>
          <w:rtl w:val="true"/>
        </w:rPr>
        <w:footnoteReference w:id="645"/>
      </w:r>
      <w:r>
        <w:rPr>
          <w:rFonts w:ascii="IRNazanin" w:hAnsi="IRNazanin" w:eastAsia="IRNazanin"/>
          <w:color w:val="111111"/>
          <w:sz w:val="28"/>
          <w:sz w:val="28"/>
          <w:szCs w:val="28"/>
          <w:rtl w:val="true"/>
          <w:lang w:bidi="fa-IR"/>
        </w:rPr>
        <w:t>، ابن‌زهره</w:t>
      </w:r>
      <w:r>
        <w:rPr>
          <w:rStyle w:val="FootnoteAnchor"/>
          <w:rtl w:val="true"/>
        </w:rPr>
        <w:footnoteReference w:id="646"/>
      </w:r>
      <w:r>
        <w:rPr>
          <w:rFonts w:ascii="IRNazanin" w:hAnsi="IRNazanin" w:eastAsia="IRNazanin"/>
          <w:color w:val="111111"/>
          <w:sz w:val="28"/>
          <w:sz w:val="28"/>
          <w:szCs w:val="28"/>
          <w:rtl w:val="true"/>
          <w:lang w:bidi="fa-IR"/>
        </w:rPr>
        <w:t>، ابن</w:t>
      </w:r>
    </w:p>
    <w:p>
      <w:pPr>
        <w:pStyle w:val="BookText"/>
        <w:rPr/>
      </w:pPr>
      <w:r>
        <w:rPr>
          <w:rFonts w:ascii="IRNazanin" w:hAnsi="IRNazanin" w:eastAsia="IRNazanin"/>
          <w:color w:val="111111"/>
          <w:sz w:val="28"/>
          <w:sz w:val="28"/>
          <w:szCs w:val="28"/>
          <w:rtl w:val="true"/>
          <w:lang w:bidi="fa-IR"/>
        </w:rPr>
        <w:t>ادریس</w:t>
      </w:r>
      <w:r>
        <w:rPr>
          <w:rStyle w:val="FootnoteAnchor"/>
          <w:rtl w:val="true"/>
        </w:rPr>
        <w:footnoteReference w:id="647"/>
      </w:r>
      <w:r>
        <w:rPr>
          <w:rFonts w:ascii="IRNazanin" w:hAnsi="IRNazanin" w:eastAsia="IRNazanin"/>
          <w:color w:val="111111"/>
          <w:sz w:val="28"/>
          <w:sz w:val="28"/>
          <w:szCs w:val="28"/>
          <w:rtl w:val="true"/>
          <w:lang w:bidi="fa-IR"/>
        </w:rPr>
        <w:t>، ابن حمزه</w:t>
      </w:r>
      <w:r>
        <w:rPr>
          <w:rStyle w:val="FootnoteAnchor"/>
          <w:rtl w:val="true"/>
        </w:rPr>
        <w:footnoteReference w:id="648"/>
      </w:r>
      <w:r>
        <w:rPr>
          <w:rFonts w:ascii="IRNazanin" w:hAnsi="IRNazanin" w:eastAsia="IRNazanin"/>
          <w:color w:val="111111"/>
          <w:sz w:val="28"/>
          <w:sz w:val="28"/>
          <w:szCs w:val="28"/>
          <w:rtl w:val="true"/>
          <w:lang w:bidi="fa-IR"/>
        </w:rPr>
        <w:t>و ابن سعید رحمه الله</w:t>
      </w:r>
      <w:r>
        <w:rPr>
          <w:rStyle w:val="FootnoteAnchor"/>
          <w:rtl w:val="true"/>
        </w:rPr>
        <w:footnoteReference w:id="649"/>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قائل شویم محارم سببی هم ملحق هستند، زن پدر نیز در زمره‌ی آنان داخل است؛ به همان دلیلی که در آن‌جا گفتیم؛ مبنی بر آن‌که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عامّ و گسترده بوده، و زوجه‌ی او نیز از محارم است؛ پس، عنوان ذات محرم او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قائل شویم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محارم نسبی است و محارم سببی را ملحق ندانیم؛ در این صورت، باید بر الحاق زن پدر دنبال دلیل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روایت در کتب خاصّه بر این مطلب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عیسی العبیدی، عن عبداللّه بن المغیرة، عن إسماعیل بن أبی زیاد، عن جعفر، عن أبیه، عن أمیر المؤمنین علیه السلام أنّه رفع إلیه رجل وقع علی المرأة أبیه فرجمه وکان غیر محصن</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اسماعیل بن ابی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 پدرش مواقعه کرده بود را نزد امیرمؤمنان علیه السلام آوردند؛ حضرت او را سنگسار کرد، با آن‌که محصن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است‌که امیرمؤمنان علیه السلام خود در سنگسار کردن وی مباشرت داشت، نه این‌که فرمان به رجم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عامه نیز روایتی از براء بن عازب آورده‌اند؛ که مرحوم شیخ طوسی نیز آن را در خلاف</w:t>
      </w:r>
      <w:r>
        <w:rPr>
          <w:rStyle w:val="FootnoteAnchor"/>
          <w:rtl w:val="true"/>
        </w:rPr>
        <w:footnoteReference w:id="651"/>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حدیث این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می‌رفتم به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برخوردکردم که به دست او پرچمی بود و به دنبال مأموریتی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احوال پرسیدم، گفت</w:t>
      </w:r>
      <w:r>
        <w:rPr>
          <w:rFonts w:eastAsia="IRNazanin" w:cs="IRNazanin"/>
          <w:color w:val="111111"/>
          <w:sz w:val="28"/>
          <w:szCs w:val="28"/>
          <w:rtl w:val="true"/>
          <w:lang w:bidi="fa-IR"/>
        </w:rPr>
        <w:t>:</w:t>
      </w:r>
      <w:bookmarkStart w:id="648" w:name="pg16919_227144"/>
    </w:p>
    <w:p>
      <w:pPr>
        <w:pStyle w:val="BookText"/>
        <w:rPr/>
      </w:pPr>
      <w:bookmarkEnd w:id="648"/>
      <w:r>
        <w:rPr>
          <w:rFonts w:ascii="IRNazanin" w:hAnsi="IRNazanin" w:eastAsia="IRNazanin"/>
          <w:color w:val="111111"/>
          <w:sz w:val="28"/>
          <w:sz w:val="28"/>
          <w:szCs w:val="28"/>
          <w:rtl w:val="true"/>
          <w:lang w:bidi="fa-IR"/>
        </w:rPr>
        <w:t>رسول اللّه صلی الله علیه و آله فرمان داده به دنبال مردی که با زن پدرش نزدیکی کرده بروم؛ او را گردن زده، و اموالش را ضبط کنم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بنابراین، در حکم قتل زانی با زن پدر نباید تردید کرد؛ زیرا، اگر او را داخل در محارم و ذات محرم بدانیم که مطلب روشن است؛ وگرنه، روایت سکونی که مورد اعتماد مشهور و واجد شرایط حجیّت است، بر آن دلالت دارد</w:t>
      </w:r>
      <w:r>
        <w:rPr>
          <w:rFonts w:eastAsia="IRNazanin" w:cs="IRNazanin"/>
          <w:color w:val="111111"/>
          <w:sz w:val="28"/>
          <w:szCs w:val="28"/>
          <w:rtl w:val="true"/>
          <w:lang w:bidi="fa-IR"/>
        </w:rPr>
        <w:t>.</w:t>
      </w:r>
    </w:p>
    <w:p>
      <w:pPr>
        <w:pStyle w:val="Heading6"/>
        <w:numPr>
          <w:ilvl w:val="5"/>
          <w:numId w:val="1"/>
        </w:numPr>
        <w:rPr/>
      </w:pPr>
      <w:bookmarkStart w:id="649" w:name="__RefHeading___Toc79078_3244359995"/>
      <w:bookmarkStart w:id="650" w:name="_Toc247"/>
      <w:bookmarkEnd w:id="649"/>
      <w:r>
        <w:rPr>
          <w:rtl w:val="true"/>
        </w:rPr>
        <w:t>کیفیّت قتل زانی زن پدر</w:t>
      </w:r>
      <w:bookmarkEnd w:id="650"/>
    </w:p>
    <w:p>
      <w:pPr>
        <w:pStyle w:val="BookText"/>
        <w:rPr/>
      </w:pPr>
      <w:r>
        <w:rPr>
          <w:rFonts w:ascii="IRNazanin" w:hAnsi="IRNazanin" w:eastAsia="IRNazanin"/>
          <w:color w:val="111111"/>
          <w:sz w:val="28"/>
          <w:sz w:val="28"/>
          <w:szCs w:val="28"/>
          <w:rtl w:val="true"/>
          <w:lang w:bidi="fa-IR"/>
        </w:rPr>
        <w:t>روایت سکونی که مستند مشهور است، قتل این زانی را به سبب رجم بیان کرده، امّا در فتاوای مشهور، فقط به قتل اشاره شده، و کیفیّت آن بیان نشده است؛ در این حال، اشکال عدم تطابق فتوا با دلیل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فتوا وقوع قتل به هر صورتِ ممکن است، ولی ظاهر روایت وقوع آن با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متأخّرین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بر این‌که رجم مختصّ به زانی محصن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چنین فردی نیز روایت سکونی دلالت بر رجم دارد؛ لذا، فتوای به قتل نمی‌دهیم؛ بلکه به رجم حکم می‌کنیم، هر چند زانی محصن هم نباشد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اگر زن پدر را داخل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می‌توانیم روایت سکونی را نادیده گرفته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مشهور فتوای به قتل داده‌اند و حکم به رجم نکرده‌اند، معلوم می‌شود که به مفاد آن فتوا نداده‌اند؛ والّا چرا مسأله رجم را مطرح نکرده‌اند؟ پس، به روایت چندان اعتنایی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محرّمات سببی می‌شود و یکی از مصادیق آن زن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حکمی که بر دیگر محارم مترتّب است، بر این مورد نیز بار می‌شود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مستند ما روایت سکونی باشد، به چه مناسبت رجم را نادیده بگیریم؛ از آن الغای خصوصیّت کرده،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او است؟ بنابراین، چنین افرادی باید فتوای به رجم بدهند</w:t>
      </w:r>
      <w:r>
        <w:rPr>
          <w:rFonts w:eastAsia="IRNazanin" w:cs="IRNazanin"/>
          <w:color w:val="111111"/>
          <w:sz w:val="28"/>
          <w:szCs w:val="28"/>
          <w:rtl w:val="true"/>
          <w:lang w:bidi="fa-IR"/>
        </w:rPr>
        <w:t>.</w:t>
      </w:r>
      <w:bookmarkStart w:id="651" w:name="pg16919_227145"/>
    </w:p>
    <w:p>
      <w:pPr>
        <w:pStyle w:val="Heading5"/>
        <w:numPr>
          <w:ilvl w:val="4"/>
          <w:numId w:val="1"/>
        </w:numPr>
        <w:rPr/>
      </w:pPr>
      <w:bookmarkStart w:id="652" w:name="__RefHeading___Toc79080_3244359995"/>
      <w:bookmarkStart w:id="653" w:name="_Toc248"/>
      <w:bookmarkEnd w:id="651"/>
      <w:bookmarkEnd w:id="652"/>
      <w:r>
        <w:rPr>
          <w:rtl w:val="true"/>
        </w:rPr>
        <w:t>فرع دوم</w:t>
      </w:r>
      <w:r>
        <w:rPr>
          <w:rtl w:val="true"/>
        </w:rPr>
        <w:t xml:space="preserve">: </w:t>
      </w:r>
      <w:r>
        <w:rPr>
          <w:rtl w:val="true"/>
        </w:rPr>
        <w:t>حکم زنای کافر با زن مسلمان</w:t>
      </w:r>
      <w:bookmarkEnd w:id="653"/>
    </w:p>
    <w:p>
      <w:pPr>
        <w:pStyle w:val="BookText"/>
        <w:rPr/>
      </w:pPr>
      <w:r>
        <w:rPr>
          <w:rFonts w:ascii="IRNazanin" w:hAnsi="IRNazanin" w:eastAsia="IRNazanin"/>
          <w:color w:val="111111"/>
          <w:sz w:val="28"/>
          <w:sz w:val="28"/>
          <w:szCs w:val="28"/>
          <w:rtl w:val="true"/>
          <w:lang w:bidi="fa-IR"/>
        </w:rPr>
        <w:t>مورد دوّمی که بر زنای او حکم قتل مترتّب است، زنای کافر ذمّی با زن مسلمان است؛ خواه این کافر به شرایط ذمّه عمل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 حدّ زنای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یا غیر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مسلمان قتل است؛ خواه زن مسلمان به اکراه، یا به میل و رغبت به این کار تن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ملاک، زنای کافر و غیر مسلمان با زن مسلمان است؛ هر چند که محصن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صاحب جواهر رحمه الله اجماع محصّل و منقول بر این فتوا قائم است؛ و از نظر روایات و فتاوا، در اصل حکم هیچ اشکالی نبوده، و از یک نفر هم مخالفتی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آن نیز موثّقه‌ی حنّان بن سدیر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یحیی، عن محمّد بن الحسین، عن حنّان بن سدیر،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یهودی فجر بمسلمة،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امام صادق علیه السلام از زنای یک مرد یهودی با زن مسلمان می‌پرسد؛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w:t>
      </w:r>
      <w:r>
        <w:rPr>
          <w:rStyle w:val="FootnoteAnchor"/>
          <w:rtl w:val="true"/>
        </w:rPr>
        <w:footnoteReference w:id="655"/>
      </w:r>
      <w:r>
        <w:rPr>
          <w:rFonts w:ascii="IRNazanin" w:hAnsi="IRNazanin" w:eastAsia="IRNazanin"/>
          <w:color w:val="111111"/>
          <w:sz w:val="28"/>
          <w:sz w:val="28"/>
          <w:szCs w:val="28"/>
          <w:rtl w:val="true"/>
          <w:lang w:bidi="fa-IR"/>
        </w:rPr>
        <w:t>هم در این باب وجود دارد که در آینده آن را مطرح خواهیم کرد؛ و به اصل مطلب، یعنی قتل زانی،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تردید کرد، و هیچ نقطه‌ی ابهامی از نظر فتوا و دلیل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اسلامِ کافر بعد از زنای با زن مسلمان</w:t>
      </w:r>
    </w:p>
    <w:p>
      <w:pPr>
        <w:pStyle w:val="BookText"/>
        <w:rPr/>
      </w:pPr>
      <w:r>
        <w:rPr>
          <w:rFonts w:ascii="IRNazanin" w:hAnsi="IRNazanin" w:eastAsia="IRNazanin"/>
          <w:color w:val="111111"/>
          <w:sz w:val="28"/>
          <w:sz w:val="28"/>
          <w:szCs w:val="28"/>
          <w:rtl w:val="true"/>
          <w:lang w:bidi="fa-IR"/>
        </w:rPr>
        <w:t>اگر کافری ذمّی پس از زنا کردن با زن مسلمان، و قبل از اجرای حدّ شهادتین گفته و اسلام اختیار کرد، آیا اسلام او سبب سقوط حدّ می‌شود یا نه؟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در تحریر الوسیله در ابتدا حکم به تردید و اشکال می‌کند؛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p>
    <w:p>
      <w:pPr>
        <w:pStyle w:val="BookText"/>
        <w:rPr/>
      </w:pPr>
      <w:r>
        <w:rPr>
          <w:rFonts w:ascii="IRNazanin" w:hAnsi="IRNazanin" w:eastAsia="IRNazanin"/>
          <w:color w:val="111111"/>
          <w:sz w:val="28"/>
          <w:sz w:val="28"/>
          <w:szCs w:val="28"/>
          <w:rtl w:val="true"/>
          <w:lang w:bidi="fa-IR"/>
        </w:rPr>
        <w:t>نیست حدّ از او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رحمه الله در طرف پذیرش سقوط حدّ و عدم آن مطلق است و تفصیلی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اسلام برای فرار از عقوبت</w:t>
      </w:r>
    </w:p>
    <w:p>
      <w:pPr>
        <w:pStyle w:val="BookText"/>
        <w:rPr/>
      </w:pPr>
      <w:r>
        <w:rPr>
          <w:rFonts w:ascii="IRNazanin" w:hAnsi="IRNazanin" w:eastAsia="IRNazanin"/>
          <w:color w:val="111111"/>
          <w:sz w:val="28"/>
          <w:sz w:val="28"/>
          <w:szCs w:val="28"/>
          <w:rtl w:val="true"/>
          <w:lang w:bidi="fa-IR"/>
        </w:rPr>
        <w:t>حقّ این است که باید دقّت شود آیا مسلمان شدن کافر برای رهایی از قتل و فرار از اجرای حد بوده، و اسلامی ظاهری آورده است یا نه؟ چنین اسلامی حدّ را ساقط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یکی اطلاقِ روایت حنّان بن سدیر است که امام علیه السلام بدون هیچ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استفصال نشانه‌ی اطلاق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نیز روایت جعفر بن رزق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أحمد بن یحیی، عن جعفر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المتوکّل رجل نصرانیّ فجر بامرأة مسلمة و أراد أن یقیم علیه الحدّ فأسلم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هدم إیمانه شرکه وفعله،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حدود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المتوکّل بالکتاب إلی أبی الحسن الثالث علیه السلام وسؤاله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الکتاب، کتب أبو الحسن علیه السلام یضرب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 یحیی بن أکثم و أنکر فقهاء العسکر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عن هذا، فانّه شیء لم ینطق به کتاب ولم تجیء به السنّة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المسلمین قد أنکروا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تجیء به سنّة ولم ینطق به کتاب، فبیّن لنا بما أوجبت علیه الضرب حتّی یموت؟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Style w:val="FootnoteAnchor"/>
          <w:rtl w:val="true"/>
        </w:rPr>
        <w:footnoteReference w:id="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المتوکّل فضرب حتّی مات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مردی نصرانی با زنی مسلمان زنا کرده بود او را نزد متوکّل خلیفه‌ی معروف عباسی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صدد برآمد حدّ را بر او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وقتی احساس خطر کرد، اسلام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اسلامش در رابطه با فرار از حدّ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حیران و سرگردان شد که آیا باید حدّ را جاری کند یا حدّ ساقط می‌شود؟</w:t>
      </w:r>
    </w:p>
    <w:p>
      <w:pPr>
        <w:pStyle w:val="BookText"/>
        <w:rPr/>
      </w:pPr>
      <w:r>
        <w:rPr>
          <w:rFonts w:ascii="IRNazanin" w:hAnsi="IRNazanin" w:eastAsia="IRNazanin"/>
          <w:color w:val="111111"/>
          <w:sz w:val="28"/>
          <w:sz w:val="28"/>
          <w:szCs w:val="28"/>
          <w:rtl w:val="true"/>
          <w:lang w:bidi="fa-IR"/>
        </w:rPr>
        <w:t>یحیی بن اکثم قاضی معروف دربار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ایمانش، شرک و عمل او را نابود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تمسّک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اسلام، کفر او از بین رفت و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 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حدّ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درباری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حدّ بر او اقامه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توضیح نمی‌دهد که مراد از سه حدّ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نظریات دیگری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سرگردان شده، دستور داد نامه‌ای به امام هادی علیه السلام نوشته شود و از ایشان حکم مسأله را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نامه به امام هادی علیه السلام رسید،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او را تازیانه می‌زنند تا بمیرد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به دربار رسید، یحی بن اکثم و فقهای درباری دیگر منکر این حکم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مطابق با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است‌که کتاب خدا و سنّت رسول خدا صلی الله علیه و آله به آن ناطق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نامه‌ای به حضرت انکار فقها و مطالبه‌ی دلیل و گفتارشان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جواب او آیه‌ی زیر را مرقوم داشتند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عذاب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آیه مربوط به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اظهار ایمان کرده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یکتا ایمان آورده و به آن‌چه قبل از این شرک می‌ورزیدیم، الآن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ایمان‌شان که با ملاحظه‌ی عذاب بود، به آنان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w:t>
      </w:r>
    </w:p>
    <w:p>
      <w:pPr>
        <w:pStyle w:val="BookText"/>
        <w:rPr/>
      </w:pPr>
      <w:r>
        <w:rPr>
          <w:rFonts w:ascii="IRNazanin" w:hAnsi="IRNazanin" w:eastAsia="IRNazanin"/>
          <w:color w:val="111111"/>
          <w:sz w:val="28"/>
          <w:sz w:val="28"/>
          <w:szCs w:val="28"/>
          <w:rtl w:val="true"/>
          <w:lang w:bidi="fa-IR"/>
        </w:rPr>
        <w:t>فایده ندارد و نمی‌تواند جلوی عذاب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سنّت و روش الهی است که در میان بندگانش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این میان زیانکاران‌اند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چنان زدند 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 که اسلامی که برای تخلّص از عذاب و فرار از قتل باشد، فایده ندارد و نمی‌تواند مانع اجرای 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اسلام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صورتی است که کافر ذمّی پس از ارتکاب زنا و دستگیری، از روی میل و اراده، اسلام را اختیار کند؛ قرائن و شواهد نیز بیانگر اعتقاد واقعی او به اسلام باشد؛ و برای فرار از حدّ و قتل اسلام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اصفهانی رحمه الله در کشف اللثام به صورت احتمال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را در این‌جا پیاده کنیم؟ همان مطلبی که یحیی بن اکثم در آن روایت به طور مطلق می‌خواست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همه‌ی اعمالی که قبل از اسلام واقع شده بود،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فسق، معصیت و امثال آن را پوشانده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استناد به این قاعده و مسأله‌ی احتیاط در دماء و فروج، شک می‌کنیم آیا مسأله قتل جا دارد یا نه؟ حکم به سقوط آن 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سبب سقوط حدّ قتل می‌شود، بلکه به طور کلّ حدّ و تازیانه را نیز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کافر، گویا هیچ گناه و معصیتی از او سر نزده است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صاحب جواهر رحمه الله نیز این بیان را تأیید کرده است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مرحوم صاحب ریاض در نقد فاضل هندی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نهایت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سقوط قتل با آن ادلّه، اجتهاد در مقابل نصّ و روایاتی است که به اطلاقش بر عدم سقوط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استصحاب نیز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شک در سقوط حدّ کردی، استصحاب بقای حدّ قتل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ضعیف‌تر، سقوط اصل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زنای مسلمانی به بیّنه ثابت شده، در صورتی که پس از آن توبه کند، این توبه، سبب سقوط حدّ نیست؛ حال، اگر توبه‌ی مسلمان علّت نفی حدّ از او نشود، به طریق اولی، اسلام کافر نیز موجب رفع حدّ نمی‌گردد؛ زیرا، اسلام در نهایت همانند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اسلام را مسقِط حدّ بدانیم، نیازمند یک دلیل محکم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در مجامع روایی شیعه و از طریق امامیّه نرسیده است؛ بلکه از طریق اهل سنّت و در کتاب‌های عامّه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هر موردی که به روایت استناد شده، تنها دلیل نبوده، و فقها به عنوان مؤیّد آن را ذکر کرده‌اند؛ نه به عنوان دلیل مستقلِّ قابلِ استدلال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دلیلی محکم بر سقوط حدّ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جعفر بن رزق اللّه نیز مربوط به جایی بود که پذیرش اسلام برای فرار از حدّ باشد؛ و از آن حصر استفاده نمی‌شود تا مفهوم‌گیری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نفیاً و اثباتاً کاری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روایت حنّان بن سدیر نیز در این‌جا نقشی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حکومت بر آن دارد؛ یعنی با حفظ اطلاق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روایت حنّان مخصوص جایی است که ذمّی مسلمان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مباحث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روایت حنّان مخصوص جایی است که ذمّی مسلمان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مباحث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اگر اعتبار آن ثابت شد، دیگر جای بحثی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روایت مبتلا به معارض و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روایت، فقط در مجامع روایی اهل سنّت آمده است و در مجامع روایی شیعه اثری از آن نیست؟ در صورتی که با سند معتبر وجود داشته باشد، نباید به آن عنوان مؤیّد نگاه کرد،</w:t>
      </w:r>
    </w:p>
    <w:p>
      <w:pPr>
        <w:pStyle w:val="BookText"/>
        <w:rPr/>
      </w:pPr>
      <w:r>
        <w:rPr>
          <w:rFonts w:ascii="IRNazanin" w:hAnsi="IRNazanin" w:eastAsia="IRNazanin"/>
          <w:color w:val="111111"/>
          <w:sz w:val="28"/>
          <w:sz w:val="28"/>
          <w:szCs w:val="28"/>
          <w:rtl w:val="true"/>
          <w:lang w:bidi="fa-IR"/>
        </w:rPr>
        <w:t>بلکه خودش به عنوان دلیل مستقلّی در مسأله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نور الثقلین از تفسیر علی بن ابراهیم قمی ذیل آیه‌ی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اسراء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نُؤْمِنَ لَکَ حَتّی تَفْجُرَ لَنا مِنَ الْأَرْضِ یَنْبُوعاً </w:t>
      </w:r>
      <w:r>
        <w:rPr>
          <w:rStyle w:val="FootnoteAnchor"/>
          <w:rtl w:val="true"/>
        </w:rPr>
        <w:footnoteReference w:id="663"/>
      </w:r>
      <w:r>
        <w:rPr>
          <w:rFonts w:ascii="IRNazanin" w:hAnsi="IRNazanin" w:eastAsia="IRNazanin"/>
          <w:color w:val="111111"/>
          <w:sz w:val="28"/>
          <w:sz w:val="28"/>
          <w:szCs w:val="28"/>
          <w:rtl w:val="true"/>
          <w:lang w:bidi="fa-IR"/>
        </w:rPr>
        <w:t>فإنّها نزلت فی عبداللّه بن أبی امیّة أخی امّ سلمة، وذلک أنّه قال هذا لرسول اللّه صلی الله علیه و آله بمکّة قبل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رسول اللّه صلی الله علیه و آله إلی فتح مکّة استقبله عبداللّه بن أبی امیّة فسلّم علی رسول اللّه صلی الله علیه و آله فلم یردّ علیه السّلام فأعرض عنه ولم یجبه بشیءٍ وکانت اخته امّ سلمة مع رسول‌اللّه صلی الله علیه و آله فدخل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 إنّ رسول اللّه صلی الله علیه و آله قد قبل إسلام النّاس کلّهم وردّ علیّ إسلامی ولیس یقبلنی کما قبل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رسول اللّه صلی الله علیه و آله إلی امّ سلمة، قالت بأبی أنت واُمّی یا رسول اللّه صلی الله علیه و آله، أسعد بک جمیع الناس إلّاأخی من بین قریش والعرب، رددت إسلامه وقبلت إسلام النّاس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 سلمة إن أخاک کذّبنی تکذیباً لم یکذّبنی أحد من الناس هو الّذی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تَفْجُرَ لَنا مِنَ الْأَرْضِ یَنْبُوعاً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ألم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یجبّ ما کان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فقبل رسول اللّه صلی الله علیه و آله إسلامه</w:t>
      </w:r>
      <w:r>
        <w:rPr>
          <w:rFonts w:eastAsia="IRNazanin" w:cs="IRNazanin"/>
          <w:color w:val="111111"/>
          <w:sz w:val="28"/>
          <w:szCs w:val="28"/>
          <w:rtl w:val="true"/>
          <w:lang w:bidi="fa-IR"/>
        </w:rPr>
        <w:t>.</w:t>
      </w:r>
      <w:r>
        <w:rPr>
          <w:rStyle w:val="FootnoteAnchor"/>
          <w:rtl w:val="true"/>
        </w:rPr>
        <w:footnoteReference w:id="66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و ورود پیامبر خدا صلی الله علیه و آله به آن شهر افرادی که اسلام نیاورده بودند یا در رابطه‌ی با اسلام مسائلی داشتند، به حضور آن</w:t>
      </w:r>
    </w:p>
    <w:p>
      <w:pPr>
        <w:pStyle w:val="BookText"/>
        <w:rPr/>
      </w:pPr>
      <w:r>
        <w:rPr>
          <w:rFonts w:ascii="IRNazanin" w:hAnsi="IRNazanin" w:eastAsia="IRNazanin"/>
          <w:color w:val="111111"/>
          <w:sz w:val="28"/>
          <w:sz w:val="28"/>
          <w:szCs w:val="28"/>
          <w:rtl w:val="true"/>
          <w:lang w:bidi="fa-IR"/>
        </w:rPr>
        <w:t>حضرت رسیده و اظهار پشیمانی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اسلامشان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فردی به نام عبداللّه بن ابی‌امیّه برادر امّ‌سلمه همسر رسول خدا صلی الله علیه و آله، به خدمت آن بزرگوار آمده، اسلام خود را عرضه کرد، ولی پیامبر صلی الله علیه و آله به او اعتنا نکرده،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نزد خواهرش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واقع شده؟ پیامبر صلی الله علیه و آله، اسلام همه را قبول و عذرشان را پذیرفت، لیکن به من هیچ اعتنایی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شما شامل حال همه‌ی مردم از عرب و قریش شده است؛ و در میان عرب و قریش، فقط برادر من باید از آن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حرمان چیست؟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از من تکذیبی کرد که هیچ‌کس در مقام تکذیب به این خصوصیّت و پایه نرسیده است؛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نمی‌آوریم تا چشمه‌ای از زمین جاری کنی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عملی که در زمان کفر سر زده است را می‌پوشاند؟</w:t>
      </w:r>
    </w:p>
    <w:p>
      <w:pPr>
        <w:pStyle w:val="BookText"/>
        <w:rPr/>
      </w:pPr>
      <w:r>
        <w:rPr>
          <w:rFonts w:ascii="IRNazanin" w:hAnsi="IRNazanin" w:eastAsia="IRNazanin"/>
          <w:color w:val="111111"/>
          <w:sz w:val="28"/>
          <w:sz w:val="28"/>
          <w:szCs w:val="28"/>
          <w:rtl w:val="true"/>
          <w:lang w:bidi="fa-IR"/>
        </w:rPr>
        <w:t>پیامبر صلی الله علیه و آله با شنیدن این کلام، اسلام برادر امّ‌سلمه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مطرح بودن روایت در مجامع روایی شیعه و استناد فقها به آن در موارد بسیار زیاد، نمی‌توان آن را به عنوان یک مؤیّد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استناد شده، دلیلی دیگر داشته‌اند؛ و این روایت، مؤیّد مطلب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این‌که روایت، عامّی و در کتب شیعه نقل نشده باشد، باز استناد به آن مشکلی ندارد؛ زیرا، مورد عمل فقهای امامیّه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معتبر است و نمی‌توان از جهت سند، حکم به عدم حجّیت آن داد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روایت معتبره در مقام، و نبودن عارض و مانع، آن‌چه را که صاحب کشف اللثام رحمه الله</w:t>
      </w:r>
      <w:r>
        <w:rPr>
          <w:rStyle w:val="FootnoteAnchor"/>
          <w:rtl w:val="true"/>
        </w:rPr>
        <w:footnoteReference w:id="666"/>
      </w:r>
      <w:r>
        <w:rPr>
          <w:rFonts w:ascii="IRNazanin" w:hAnsi="IRNazanin" w:eastAsia="IRNazanin"/>
          <w:color w:val="111111"/>
          <w:sz w:val="28"/>
          <w:sz w:val="28"/>
          <w:szCs w:val="28"/>
          <w:rtl w:val="true"/>
          <w:lang w:bidi="fa-IR"/>
        </w:rPr>
        <w:t>به صورت احتمال فرموده، ما به صورت جزمی می‌گوییم؛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پس از زنا، اسلام آورد، اسلام افعال گذاشته‌اش را پوشانده و هیچ حکمی بر زنای او مترتّب نمی‌شود</w:t>
      </w:r>
      <w:r>
        <w:rPr>
          <w:rFonts w:eastAsia="IRNazanin" w:cs="IRNazanin"/>
          <w:color w:val="111111"/>
          <w:sz w:val="28"/>
          <w:szCs w:val="28"/>
          <w:rtl w:val="true"/>
          <w:lang w:bidi="fa-IR"/>
        </w:rPr>
        <w:t>.</w:t>
      </w:r>
      <w:bookmarkStart w:id="654" w:name="pg16919_227158"/>
    </w:p>
    <w:p>
      <w:pPr>
        <w:pStyle w:val="Heading5"/>
        <w:numPr>
          <w:ilvl w:val="4"/>
          <w:numId w:val="1"/>
        </w:numPr>
        <w:rPr/>
      </w:pPr>
      <w:bookmarkStart w:id="655" w:name="__RefHeading___Toc79082_3244359995"/>
      <w:bookmarkStart w:id="656" w:name="_Toc249"/>
      <w:bookmarkEnd w:id="654"/>
      <w:bookmarkEnd w:id="655"/>
      <w:r>
        <w:rPr>
          <w:rtl w:val="true"/>
        </w:rPr>
        <w:t>فرع سوم</w:t>
      </w:r>
      <w:r>
        <w:rPr>
          <w:rtl w:val="true"/>
        </w:rPr>
        <w:t xml:space="preserve">: </w:t>
      </w:r>
      <w:r>
        <w:rPr>
          <w:rtl w:val="true"/>
        </w:rPr>
        <w:t>حکم زنای مکره</w:t>
      </w:r>
      <w:bookmarkEnd w:id="656"/>
    </w:p>
    <w:p>
      <w:pPr>
        <w:pStyle w:val="BookText"/>
        <w:rPr/>
      </w:pPr>
      <w:r>
        <w:rPr>
          <w:rFonts w:ascii="IRNazanin" w:hAnsi="IRNazanin" w:eastAsia="IRNazanin"/>
          <w:color w:val="111111"/>
          <w:sz w:val="28"/>
          <w:sz w:val="28"/>
          <w:szCs w:val="28"/>
          <w:rtl w:val="true"/>
          <w:lang w:bidi="fa-IR"/>
        </w:rPr>
        <w:t>اگر مردی زنی را بر زنا اکراه کرد و زن به این عمل راضی نبود، حکم آن چیست؟</w:t>
      </w:r>
    </w:p>
    <w:p>
      <w:pPr>
        <w:pStyle w:val="BookText"/>
        <w:rPr/>
      </w:pPr>
      <w:r>
        <w:rPr>
          <w:rFonts w:ascii="IRNazanin" w:hAnsi="IRNazanin" w:eastAsia="IRNazanin"/>
          <w:color w:val="111111"/>
          <w:sz w:val="28"/>
          <w:sz w:val="28"/>
          <w:szCs w:val="28"/>
          <w:rtl w:val="true"/>
          <w:lang w:bidi="fa-IR"/>
        </w:rPr>
        <w:t>بحث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اکراه چیست؟</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اکراه بر زنا</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شخصی قتل است و مخالفی در این حکم نیافتم؛ بلکه اجماع محصّل و منقول داریم</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لذا، از نظر فتاوا مسأله مسلّم است و باید به بررسی روایات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روایات بر قتل زانی، و دسته‌ی دوم بر ضربه‌ای با شمشیر دلالت دارد؛ دو روایت در این دسته وجود دارد که در یکی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منها أو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نظر می‌رسد دو دسته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حلّ تعارض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قتل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وعن علیّ بن إبراهیم، عن أبیه جمیعاً، عن ابن محبوب، عن أبی أیّوب،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أبوجعفر علیه السلام عن رجل اغتصب امرأة فرجها، قال یقتل محصناً کان أو غیر محصن</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حسنه و صحیحه مردّد است</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برید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مردی که فرج زنی را بدون رضایتش غصب و بر آن استیلا و تسلّط پیدا کرد،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شود؛ محصن باشد یا غیر محصن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 ا بن أبی نجران، عن جمیل بن درّاج و محمّد بن</w:t>
      </w:r>
    </w:p>
    <w:p>
      <w:pPr>
        <w:pStyle w:val="BookText"/>
        <w:rPr/>
      </w:pPr>
      <w:r>
        <w:rPr>
          <w:rFonts w:ascii="IRNazanin" w:hAnsi="IRNazanin" w:eastAsia="IRNazanin"/>
          <w:color w:val="111111"/>
          <w:sz w:val="28"/>
          <w:sz w:val="28"/>
          <w:szCs w:val="28"/>
          <w:rtl w:val="true"/>
          <w:lang w:bidi="fa-IR"/>
        </w:rPr>
        <w:t>حمران جمیعاً،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یغصب المرأة نفسها، قال یقتل</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این روایت با روایت قبلی بنا بر مبنای ما یکی است؛ به خصوص با توجّه به این‌که هر دو را جمیل از زراره نقل کرده است؛ یعنی راوی بعد از جمیل، متعدّد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یکی از دو روایت، به نام امام تصریح شده و در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سبب تعدّد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در یک نقلش یاد داشته از چه امامی شنیده و در نقل برای دیگری فراموش کرده از کدام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 روایت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بعدی نیز با این دو متّحد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بإسناده عن جمیل مثله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محصناً کان أو غیر محصن</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در این روایت تنها نکته‌ی اضافه این است‌که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محصن باشد و چه غیر محصن،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سه روایت زراره، یک حدیث بیشتر نیست؛ و ما دو روایت بیشتر نداریم که بر قتل دلالت کند؛ یکی از برید و دیگری از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مقابلِ قتل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علیّ الأشعریّ، عن محمّد بن عبد الجبّار، عن علیّ بن حدید، عن جمیل، عن زرارة، عن أبی جعفر علیه السلام فی رجل غصب امرأة فرجها،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ضربة بالسیف بالغة منه ما بلغت</w:t>
      </w:r>
      <w:r>
        <w:rPr>
          <w:rFonts w:eastAsia="IRNazanin" w:cs="IRNazanin"/>
          <w:color w:val="111111"/>
          <w:sz w:val="28"/>
          <w:szCs w:val="28"/>
          <w:rtl w:val="true"/>
          <w:lang w:bidi="fa-IR"/>
        </w:rPr>
        <w:t>.</w:t>
      </w:r>
      <w:r>
        <w:rPr>
          <w:rStyle w:val="FootnoteAnchor"/>
          <w:rtl w:val="true"/>
        </w:rPr>
        <w:footnoteReference w:id="67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زراره از امام باقر علیه السلام درباره‌ی مردی که فرج زنی را غصب کرد، می‌پرسد؛ و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او زده می‌شود، به هر کجا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عیسی، عن یونس،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کابر الرجل المرأة علی نفسها ضرب ضربة بالسیف مات منها أو عاش</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زنی را مکابره کرد؛ شمشیری بر او می‌زنند، از آن ضربت بمیرد یا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معارضِ قوی در برابر آن دسته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روایات</w:t>
      </w:r>
    </w:p>
    <w:p>
      <w:pPr>
        <w:pStyle w:val="BookText"/>
        <w:rPr/>
      </w:pPr>
      <w:r>
        <w:rPr>
          <w:rFonts w:ascii="IRNazanin" w:hAnsi="IRNazanin" w:eastAsia="IRNazanin"/>
          <w:color w:val="111111"/>
          <w:sz w:val="28"/>
          <w:sz w:val="28"/>
          <w:szCs w:val="28"/>
          <w:rtl w:val="true"/>
          <w:lang w:bidi="fa-IR"/>
        </w:rPr>
        <w:t>با وجود اعراض اصحاب از روایت ابی‌بصیر، و عمل به آن دسته از روایات، معارضه حلّ می‌شود؛ زیرا، دسته‌ی اوّل مجمعٌ‌علیه و مشهور است و ما مأموریم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مقبوله‌ی عمر بن حنظله</w:t>
      </w:r>
      <w:r>
        <w:rPr>
          <w:rStyle w:val="FootnoteAnchor"/>
          <w:rtl w:val="true"/>
        </w:rPr>
        <w:footnoteReference w:id="674"/>
      </w:r>
      <w:r>
        <w:rPr>
          <w:rFonts w:ascii="IRNazanin" w:hAnsi="IRNazanin" w:eastAsia="IRNazanin"/>
          <w:color w:val="111111"/>
          <w:sz w:val="28"/>
          <w:sz w:val="28"/>
          <w:szCs w:val="28"/>
          <w:rtl w:val="true"/>
          <w:lang w:bidi="fa-IR"/>
        </w:rPr>
        <w:t>حلّال این تعارض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روایتهما عنّا فی ذلک الّذی حکما بن المجمعُ علیه عند أصحابک فیؤخذ به من حکمنا ویترک الشاذّ الّذی لیس بمشهور عند أصحابک فإنّ المجمع علیه لاریب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ابی‌بصیر را به جهت ندرت و شذوذش کنار می‌گذاریم؛ روایت زراره نیز خیلی بعید است که جدای از روایات دیگرش باشد، و بلکه این روایت کنایه از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فتوای اصحاب در این مسأله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اکراه</w:t>
      </w:r>
    </w:p>
    <w:p>
      <w:pPr>
        <w:pStyle w:val="BookText"/>
        <w:rPr/>
      </w:pPr>
      <w:r>
        <w:rPr>
          <w:rFonts w:ascii="IRNazanin" w:hAnsi="IRNazanin" w:eastAsia="IRNazanin"/>
          <w:color w:val="111111"/>
          <w:sz w:val="28"/>
          <w:sz w:val="28"/>
          <w:szCs w:val="28"/>
          <w:rtl w:val="true"/>
          <w:lang w:bidi="fa-IR"/>
        </w:rPr>
        <w:t>در تعابیر اصحاب</w:t>
      </w:r>
      <w:r>
        <w:rPr>
          <w:rStyle w:val="FootnoteAnchor"/>
          <w:rtl w:val="true"/>
        </w:rPr>
        <w:footnoteReference w:id="675"/>
      </w:r>
      <w:r>
        <w:rPr>
          <w:rFonts w:ascii="IRNazanin" w:hAnsi="IRNazanin" w:eastAsia="IRNazanin"/>
          <w:color w:val="111111"/>
          <w:sz w:val="28"/>
          <w:sz w:val="28"/>
          <w:szCs w:val="28"/>
          <w:rtl w:val="true"/>
          <w:lang w:bidi="fa-IR"/>
        </w:rPr>
        <w:t>عنوان اکراه بر زنا استعمال شده، وگفته‌اند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بامرأة مکرهاً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این باب،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نسبتی بین این عناوین برقرار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و تبیین این مطلب، باید ابتدا معنای اکراه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اکراهی که در این مقام گفته‌اند با سایر مقامات یکی است یا فرق می‌کند؟</w:t>
      </w:r>
    </w:p>
    <w:p>
      <w:pPr>
        <w:pStyle w:val="BookText"/>
        <w:rPr/>
      </w:pPr>
      <w:r>
        <w:rPr>
          <w:rFonts w:ascii="IRNazanin" w:hAnsi="IRNazanin" w:eastAsia="IRNazanin"/>
          <w:color w:val="111111"/>
          <w:sz w:val="28"/>
          <w:sz w:val="28"/>
          <w:szCs w:val="28"/>
          <w:rtl w:val="true"/>
          <w:lang w:bidi="fa-IR"/>
        </w:rPr>
        <w:t>معنای اکراه در مواضع دیگر آن است‌که اگر کسی را تهدید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خانه‌ات را نفروشی به تو فلان ضرر مالی یا عِرضی یا جانی و امثال آن را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برای مصون ماندن از ضرر، اقدام به آن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اکراه‌های معمولی، شخص مکرَه با اختیار خود دست به آن عمل اکراهی می‌زند؛ او پس از تأمّل در اطراف قضیّه به این نتیجه می‌رسد که برای رفع خطر باید تن به خواسته‌ی مکرِه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اکراه بر زنا نیز چنین معنایی اراده شده است؟</w:t>
      </w:r>
    </w:p>
    <w:p>
      <w:pPr>
        <w:pStyle w:val="BookText"/>
        <w:rPr/>
      </w:pPr>
      <w:r>
        <w:rPr>
          <w:rFonts w:ascii="IRNazanin" w:hAnsi="IRNazanin" w:eastAsia="IRNazanin"/>
          <w:color w:val="111111"/>
          <w:sz w:val="28"/>
          <w:sz w:val="28"/>
          <w:szCs w:val="28"/>
          <w:rtl w:val="true"/>
          <w:lang w:bidi="fa-IR"/>
        </w:rPr>
        <w:t>هرچند ظاهر عبارات فقها موهِم این معنا است که مثلاً زنی را تهدید کرده،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نشوی زنا بدهی آبرویت را ریخته یا فلان ضرر جانی یا مالی را به تو وارد می‌کنیم و او برای دفع ضرر به این عمل نامشروع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اکراه محقّق شده است؛ اطلاق کلمات فقها و تفصیل ندادنشان بیانگر عدم فرق بین اکراه بر زنا و اکراه بر کارهای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بین این دو باب، فرق است؛ و مراد اصحاب از اکراه در باب زنا اجبار واقعی است؛ به طوری که از زن سلب اختیار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ربوده و در اختیار گرفته باشد به گونه‌ای که نتواند هیچ‌گونه عکس العملی در برابر آنان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ادّعا، اطلاق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جای اکراه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و اغتصاب، همان استیلای بر عین مغصوبه است؛ یعنی شخص تسلّط کامل بر مغصوب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معنا در باب زنا با معنای اکراه معمولی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زنی پیغام دهند در صورتی که به زنا تن ندهی، آبرویت را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برای حفظ آبرویش راضی به زنا شود، در این‌جا غصب و اغتصابی رخ نداده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جایی است که عنان و اختیار مغصوب در دست غاصب باشد؛ و با آن هرچه می‌خواهد انجام دهد؛ گویا مغصوب متعلّق به غاصب و در ملک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زنی را بربایند و به این عمل وادار کنند، اغتصاب صادق است؛ امّا اگر ربودنی در کار نباشد و او خود برای حفظ آبرو تن به این عمل دهد اکراه و اغتصاب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روایاتی که مستند اصحاب در این مسأله بوده،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از اکراه در باب زنا، اجبار و سلب اختیار است نه اکراه اصطلاحی در باب بیع، طلاق و مانند آن، حکم چنین اکراهی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در کتاب شرایع الاسلام</w:t>
      </w:r>
      <w:r>
        <w:rPr>
          <w:rStyle w:val="FootnoteAnchor"/>
          <w:rtl w:val="true"/>
        </w:rPr>
        <w:footnoteReference w:id="67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ولی در کتاب مختصر النافع</w:t>
      </w:r>
      <w:r>
        <w:rPr>
          <w:rStyle w:val="FootnoteAnchor"/>
          <w:rtl w:val="true"/>
        </w:rPr>
        <w:footnoteReference w:id="677"/>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مراد، همان غلبه‌ای است که از طرف سلب اختیار شده، قدرت دفاعی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قهر و غصب، یعنی استیلای بر شییء مغصوب و قاهریّت بر آن، به گونه‌ای که مغصوب از خود هیچ اختیاری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است، به تمام معنا در اختیار غاصب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عبدی را غصب کند، تحقّق معنای غصب در صورتی است که عبد به تمام معنا در تحت تصرّف غاصب باشد و مولا هیچ اختیاری در رابطه‌ی با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هر چند امکان غصب حرّ نیست؛ لیکن از جهت مشابهت، به غصب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تشابه این است که وقتی زنی در اختیار ربایندگان قرار گیرد به گونه‌ای که اختیار از او سلب شود و با او زنا کنند، در این صورت، اکراه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 نباید باب اکراه را با باب اضطرار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 جایی است که زنی گرفتار تشنگی شدید یا گرسنگی طاقت‌فرسایی شده و جانش در مخاطره افتاده، در این حالت به کسی که دارای آب و غذا است، مراجعه کرده، و از او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وقتی حالت زن را می‌بیند، شرط اعطای آب و غذا را ارتکاب زنا با او قرار می‌دهد، در این‌جا، هیچ تهدید و سلب اختیاری نیست، بلکه آب و غذا را در برابر زنا قرار داده است؛ لذا، فرقی روشن و واضح بین اکراه و اضطرار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اکراه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مهمی که باید در این‌جا به آن توجّه کرد، این است که ما دو نوع اکراه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رافع حرمت زنا بوده و دیگری سبب اثبات حدّ قتل برای مکرِه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بین این دو خلط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اکراهی که سبب رفع حرمت از زنا می‌شود، همان اکراه معمولی است که در ابواب دیگر فقه جاری است، هرچند در این باب شرایط دارد؛ مثلاً اگر زنی را تهدید به ضرر مالی یا جانی کنند و او را مخیّر سازند یا متحمّل ضرر شده و یا به اختیار خود تن به زنا دهد و او با اختیار خودش به این عمل راضی شد، حرمت از او برداشته شده است، امّا سبب قتل زانی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حاضر به زنا نشوی به تو ده هزار تومان ضرر می‌زنیم، آیا چنین تهدیدی مجوّز تن دادن به زنا می‌شود؟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چنین اکراهی رافع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جایی که اکراه رافع حکم باشد،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Pr>
        <w:footnoteReference w:id="67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اکراهی که سبب ثبوت حدّ قتل در حقّ زانی مکرِه می‌شود، همان اکراهی است که در آن سلب اختیار از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تحقّق چنین اکراهی، حرمت زنا در حقّ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نسبت به ثبوت حدّ قتل، نباید این اکراه را با اکراه معمولی و اصطلاحی اشتباه کرد</w:t>
      </w:r>
      <w:r>
        <w:rPr>
          <w:rFonts w:eastAsia="IRNazanin" w:cs="IRNazanin"/>
          <w:color w:val="111111"/>
          <w:sz w:val="28"/>
          <w:szCs w:val="28"/>
          <w:rtl w:val="true"/>
          <w:lang w:bidi="fa-IR"/>
        </w:rPr>
        <w:t>.</w:t>
      </w:r>
      <w:bookmarkStart w:id="657" w:name="pg16919_227171"/>
    </w:p>
    <w:p>
      <w:pPr>
        <w:pStyle w:val="BookText"/>
        <w:rPr/>
      </w:pPr>
      <w:bookmarkEnd w:id="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الإحصان فی حدّ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المواضع المتقدّمة الإحصان، بل یقتل، محصناً کان أو غیر محصن، یتساوی الشیخ والشابّ والمسلم والکافر والحرّ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یجلد الزانی المحکوم بقتله فی الموارد المتقدّمة ثمّ یقتل، فیجمع فیها بین الجلد والقتل؟ الأوجه عدم الجمع وإن کان فی النفس تردّد فی بعض الصور</w:t>
      </w:r>
      <w:r>
        <w:rPr>
          <w:rFonts w:eastAsia="IRNazanin" w:cs="IRNazanin"/>
          <w:color w:val="111111"/>
          <w:sz w:val="28"/>
          <w:szCs w:val="28"/>
          <w:rtl w:val="true"/>
          <w:lang w:bidi="fa-IR"/>
        </w:rPr>
        <w:t>.</w:t>
      </w:r>
    </w:p>
    <w:p>
      <w:pPr>
        <w:pStyle w:val="Heading4"/>
        <w:numPr>
          <w:ilvl w:val="3"/>
          <w:numId w:val="1"/>
        </w:numPr>
        <w:rPr/>
      </w:pPr>
      <w:bookmarkStart w:id="658" w:name="__RefHeading___Toc79084_3244359995"/>
      <w:bookmarkStart w:id="659" w:name="_Toc250"/>
      <w:bookmarkEnd w:id="658"/>
      <w:r>
        <w:rPr>
          <w:rtl w:val="true"/>
        </w:rPr>
        <w:t>عدم اعتبار احصان در حدّ قتل</w:t>
      </w:r>
      <w:bookmarkEnd w:id="659"/>
    </w:p>
    <w:p>
      <w:pPr>
        <w:pStyle w:val="Heading5"/>
        <w:numPr>
          <w:ilvl w:val="4"/>
          <w:numId w:val="1"/>
        </w:numPr>
        <w:rPr/>
      </w:pPr>
      <w:bookmarkStart w:id="660" w:name="__RefHeading___Toc79086_3244359995"/>
      <w:bookmarkStart w:id="661" w:name="_Toc251"/>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حکم آن قتل بود، فرقی بین زانی و محصن و غیر او، پیر و جوان، مسلمان و کافر، حرّ و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تمام ملاک برای ثبوت حدّ قتل است، زنای به محارم یا زنای کافر با زن مسلمان و یا زنای اکراهی است؛ لذا، اگر کافری با محارم خود زنا کند و به محاکم اسلامی مراجعه شد، حکم حدّ زنای او در اسلام قتل است؛ و همین‌طور اگر عبدی با یکی از محارم خود زنا کرد، هر چند در پاره‌ای از موارد حدّ عبد نصف حدّ حرّ است، امّا در بعضی موارد هم‌پایه‌ی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ثبوت حدّ قتل، حدّ دیگری نیز ثابت است یا باید به همین حدّ اکتفا کرد؟ وجه بهتر عدم جمع است؛ هرچند در برخی از این امور در نفس تردّد است</w:t>
      </w:r>
      <w:r>
        <w:rPr>
          <w:rFonts w:eastAsia="IRNazanin" w:cs="IRNazanin"/>
          <w:color w:val="111111"/>
          <w:sz w:val="28"/>
          <w:szCs w:val="28"/>
          <w:rtl w:val="true"/>
          <w:lang w:bidi="fa-IR"/>
        </w:rPr>
        <w:t>.</w:t>
      </w:r>
    </w:p>
    <w:p>
      <w:pPr>
        <w:pStyle w:val="Heading5"/>
        <w:numPr>
          <w:ilvl w:val="4"/>
          <w:numId w:val="1"/>
        </w:numPr>
        <w:rPr/>
      </w:pPr>
      <w:bookmarkStart w:id="662" w:name="__RefHeading___Toc79088_3244359995"/>
      <w:bookmarkStart w:id="663" w:name="_Toc252"/>
      <w:bookmarkEnd w:id="662"/>
      <w:r>
        <w:rPr>
          <w:rtl w:val="true"/>
        </w:rPr>
        <w:t>فرع اوّل</w:t>
      </w:r>
      <w:r>
        <w:rPr>
          <w:rtl w:val="true"/>
        </w:rPr>
        <w:t xml:space="preserve">: </w:t>
      </w:r>
      <w:r>
        <w:rPr>
          <w:rtl w:val="true"/>
        </w:rPr>
        <w:t>عدم فرق بین عبد و حرّ، پیر و جوان و کافر و مسلمان</w:t>
      </w:r>
      <w:bookmarkEnd w:id="6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علی 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عبد، مسلمان، کافر، پیر، جوان، محصن، و غیر محصن می‌شود و مخصّصی در کار نیست تا این اطلاق را تقیید بزند، حتّی در پاره‌ای از روایات، به عدم فرق تصریح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اغتصب امرأة فرجها یقتل، محصناً کان أو غیر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فرجمه وکان غیر محصن</w:t>
      </w:r>
      <w:r>
        <w:rPr>
          <w:rFonts w:eastAsia="IRNazanin" w:cs="IRNazanin"/>
          <w:color w:val="111111"/>
          <w:sz w:val="28"/>
          <w:szCs w:val="28"/>
          <w:rtl w:val="true"/>
          <w:lang w:bidi="fa-IR"/>
        </w:rPr>
        <w:t>».</w:t>
      </w:r>
      <w:r>
        <w:rPr>
          <w:rStyle w:val="FootnoteAnchor"/>
          <w:rtl w:val="true"/>
        </w:rPr>
        <w:footnoteReference w:id="680"/>
      </w:r>
      <w:bookmarkStart w:id="664" w:name="pg16919_227173"/>
    </w:p>
    <w:p>
      <w:pPr>
        <w:pStyle w:val="BookText"/>
        <w:rPr/>
      </w:pPr>
      <w:bookmarkEnd w:id="664"/>
      <w:r>
        <w:rPr>
          <w:rFonts w:ascii="IRNazanin" w:hAnsi="IRNazanin" w:eastAsia="IRNazanin"/>
          <w:color w:val="111111"/>
          <w:sz w:val="28"/>
          <w:sz w:val="28"/>
          <w:szCs w:val="28"/>
          <w:rtl w:val="true"/>
          <w:lang w:bidi="fa-IR"/>
        </w:rPr>
        <w:t>لذا، روایاتی که در ثبوت حکم قتل در موارد سه‌گانه‌ی زنا با محارم، زنای کافر با مسلمان و زنای اکراهی رسیده بود، یا به اطلاق و یا به تصریحش، بیانگر عدم فرق بین این‌ها است</w:t>
      </w:r>
      <w:r>
        <w:rPr>
          <w:rFonts w:eastAsia="IRNazanin" w:cs="IRNazanin"/>
          <w:color w:val="111111"/>
          <w:sz w:val="28"/>
          <w:szCs w:val="28"/>
          <w:rtl w:val="true"/>
          <w:lang w:bidi="fa-IR"/>
        </w:rPr>
        <w:t>.</w:t>
      </w:r>
    </w:p>
    <w:p>
      <w:pPr>
        <w:pStyle w:val="Heading5"/>
        <w:numPr>
          <w:ilvl w:val="4"/>
          <w:numId w:val="1"/>
        </w:numPr>
        <w:rPr/>
      </w:pPr>
      <w:bookmarkStart w:id="665" w:name="__RefHeading___Toc79090_3244359995"/>
      <w:bookmarkStart w:id="666" w:name="_Toc253"/>
      <w:bookmarkEnd w:id="665"/>
      <w:r>
        <w:rPr>
          <w:rtl w:val="true"/>
        </w:rPr>
        <w:t>فرع دوم</w:t>
      </w:r>
      <w:r>
        <w:rPr>
          <w:rtl w:val="true"/>
        </w:rPr>
        <w:t xml:space="preserve">: </w:t>
      </w:r>
      <w:r>
        <w:rPr>
          <w:rtl w:val="true"/>
        </w:rPr>
        <w:t>عدم ثبوت تازیانه اضافه بر حدّ قتل</w:t>
      </w:r>
      <w:bookmarkEnd w:id="666"/>
    </w:p>
    <w:p>
      <w:pPr>
        <w:pStyle w:val="BookText"/>
        <w:rPr/>
      </w:pPr>
      <w:r>
        <w:rPr>
          <w:rFonts w:ascii="IRNazanin" w:hAnsi="IRNazanin" w:eastAsia="IRNazanin"/>
          <w:color w:val="111111"/>
          <w:sz w:val="28"/>
          <w:sz w:val="28"/>
          <w:szCs w:val="28"/>
          <w:rtl w:val="true"/>
          <w:lang w:bidi="fa-IR"/>
        </w:rPr>
        <w:t>در موارد سه‌گانه‌ای که قتل به عنوان حدّ زانی معیّن شده بود، یعنی در جایی که مسلمانی با محارم خود زنا کند، یا کافری با زن مسلمانی مواقعه داشته باشد و یا مسلمانی زنی را به اکراه و اجبار به زنا وادار کند، آیا علاوه بر حدّ قتل، حدّ دیگری نیز هست یا نه؟ مرحوم‌ادریس با فتوای مشهور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بیان ابن ادریس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مطلب تازه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تمام موارد سه‌گانه‌ای که قتل ثابت بود، باید اوّل صدتازیانه به زانی زده شود، سپس حدّ قتل درباره‌ی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با محارم خود، و یا کافری با زن مسلمان، و یا مسلمانی به اکراه زنی را به زنا وادار کند، حدّش علاوه بر قتل، اجرای تازیانه قبل از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 محصن با محارم باید زانی سنگسار شود، و نمی‌توان به اطلاق قتل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رحمه الله در استدلال بر این فتوا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زانیِ به محارم باید کشته شود، هیچ منافاتی با آیه‌ی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Style w:val="FootnoteAnchor"/>
          <w:rtl w:val="true"/>
        </w:rPr>
        <w:footnoteReference w:id="681"/>
      </w:r>
      <w:r>
        <w:rPr>
          <w:rFonts w:ascii="IRNazanin" w:hAnsi="IRNazanin" w:eastAsia="IRNazanin"/>
          <w:color w:val="111111"/>
          <w:sz w:val="28"/>
          <w:sz w:val="28"/>
          <w:szCs w:val="28"/>
          <w:rtl w:val="true"/>
          <w:lang w:bidi="fa-IR"/>
        </w:rPr>
        <w:t>ندارد؛ بلکه چنین فردی مصداق آیه و روایات است و با اجرای هر دو حدّ، در حقّ او حکم آیه و روایت به وجوب جلد و قتل امتثال 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حکم به تازیانه‌ی زانی قبل از قتل با فتوای اصحاب نیز مخالفتی ندارد؛ زیرا، آنان متعرّض جلد نشده‌اند، نه این‌که تازیانه را نفی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رجم زانی محصن، در صورتی که با محارم زنا کرده باشد، با فتوای اصحاب به وجوب قتل چنین فردی تعارض ندارد؛ زیرا، رجم نیز همان هدف و مقصود از قتل</w:t>
      </w:r>
    </w:p>
    <w:p>
      <w:pPr>
        <w:pStyle w:val="BookText"/>
        <w:rPr/>
      </w:pPr>
      <w:r>
        <w:rPr>
          <w:rFonts w:ascii="IRNazanin" w:hAnsi="IRNazanin" w:eastAsia="IRNazanin"/>
          <w:color w:val="111111"/>
          <w:sz w:val="28"/>
          <w:sz w:val="28"/>
          <w:szCs w:val="28"/>
          <w:rtl w:val="true"/>
          <w:lang w:bidi="fa-IR"/>
        </w:rPr>
        <w:t>را تأمین می‌کند؛ علاوه بر آن، این مزیّت را دارد که ادلّه‌ی رجم نیز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موردی ابتداءً او را تازیانه زده، و سپس سنگسار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حکم تازیانه دلالت دارد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ابن ادریس رحمه الله برای اثبات فتوای خود به روایت ابی‌بصیر تمسّک نکرده، لیکن فاضل اصفهانی رحمه الله آن را به عنوان مؤیّد این فتوا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فاضل هندی رحمه الله به روایت ابی‌بصیر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محمّد بن علیّ بن محبوب، عن أحمد، عن الحسین، عن صفوان بن یحیی، عن إسحاق بن عمّار،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بذات محرم حدّ حدّ الزانی إلّاأنّه أعظم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عدم فرق بین زنای معمولی و زنای با محارم است؛ فقط عذاب زنای با محارم در آخرت بیشتر است؛ امّا حدّ آن در دنیا، همان حدّ 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کشف‌اللثام رحمه الله روایت را به گونه‌ای معنا کرده که مؤیّد فتوای ابن‌ادریس رحمه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 حدّ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شخصی که با محارم خود زنا کرده است، حدّ زانی زده می‌شود، همان صد تازیانه‌ای که در زناهای معمولی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أعظم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بیانگر این مطلب است که چون گناه چنین شخصی سنگین‌تر از زنای عادی بوده و قابل مقایسه با آن‌ها نیست، لذا در روایات، کیفر آن را قتل گفته و باید در مورد او پیاده شود؛ و اگر محصن است، او را سنگسار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کسی که گناهش از دیگران بیشتر است، مجازات او برابر با آنان بوده، و از نظر اجرای حدّ، در ردیف دیگران و مساوی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ابی‌بصیر، دلالت دارد بر این‌که باید حدّ زنای معمولی زده شود؛ و روایات دیگر، قتل و رجم را می‌رساند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این روایت را بر تخییر حاکم بین قتل زانی و رجم او حمل کرده، و آن را</w:t>
      </w:r>
    </w:p>
    <w:p>
      <w:pPr>
        <w:pStyle w:val="BookText"/>
        <w:rPr/>
      </w:pPr>
      <w:r>
        <w:rPr>
          <w:rFonts w:ascii="IRNazanin" w:hAnsi="IRNazanin" w:eastAsia="IRNazanin"/>
          <w:color w:val="111111"/>
          <w:sz w:val="28"/>
          <w:sz w:val="28"/>
          <w:szCs w:val="28"/>
          <w:rtl w:val="true"/>
          <w:lang w:bidi="fa-IR"/>
        </w:rPr>
        <w:t>مربوط به زانی محصن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ضرب با شمشیر، قتل زانی است؛ و در جایی که باید او را رجم کنند، غرض کشته شدن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حاکم مخیّر است هر کدام از قتل یا رجم را پیاده کند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صاحب کشف اللثام رحمه الله در مقام اشکال بر 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 مخالف با ظاهر روایت است؛ زیرا، لازمه‌ی کلام او حمل روایت بر زنای محصنه است؛ در حالی که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زنای معمولی و صد تازیانه است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نقد نظر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معنایی که از روایت می‌فهمد،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حدّش حدّ زنای معمولی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أعظم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نمی‌کند که یک حدّ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از نظر حدّ، همانند زنای معمولی بر او حدّ زده می‌شود؛ ولی از نظر عذاب اخروی، این زنا با زنای معمولی قابل مقایسه نیست؛ بلکه عقوبت اخروی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ایشان از روایت استفاده کرده که صد تازیانه به عنوان مقدّمه، و حدّ دیگری به عنوان ذی‌المقدّمه بر او زده می‌شود، بر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مقام، همان مطلبی است که در سابق گفتیم؛ مبنی بر آن که این روایت معرض عنه اصحاب است و هیچ کسی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فتوای ابن ادریس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مرحوم ابن ادریس،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ابن ادریس رحمه الله بر ثبوت تازیانه در این سه مورد، علاوه بر حدّ قتل یا رجم، آیه‌ی شریفه بود؛ لیکن دلالت آیه بر این مطلب متوقّف است بر این‌که روایات وارده‌ی در این باب، متضمّن نفی تازیانه نباشد؛ امّا اگر از این روایات، نفی جلد استفاده شود، جایی برای دلالت آیه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حدّ زنای با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روایاتی که درباره‌ی زنای کافر با زن مسلمان و یا زنای اکراهی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تعبیراتی که در این نوع روایات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استفاده می‌کند که غیر از قتل، مسأله‌ی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دیگری نیز وجود داشته باشد، چرا روایات</w:t>
      </w:r>
    </w:p>
    <w:p>
      <w:pPr>
        <w:pStyle w:val="BookText"/>
        <w:rPr/>
      </w:pPr>
      <w:r>
        <w:rPr>
          <w:rFonts w:ascii="IRNazanin" w:hAnsi="IRNazanin" w:eastAsia="IRNazanin"/>
          <w:color w:val="111111"/>
          <w:sz w:val="28"/>
          <w:sz w:val="28"/>
          <w:szCs w:val="28"/>
          <w:rtl w:val="true"/>
          <w:lang w:bidi="fa-IR"/>
        </w:rPr>
        <w:t xml:space="preserve">متعرّض آن نشده‌اند؟ همان‌گونه که در پاره‌ای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زنای پیرمرد محصن حکم به جمع بین جلد و رجم کرده است، لذا، اگر اجرای دو حدّ لازم باشد، باید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 جلد را به عهده‌ی آیه‌ی شریفه گذاشته و حکم قتل را متعرّض شده‌اند،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زنای پیرمرد محصن یا پیرزن محصن این‌کار را نکرده، و هر دو را با هم آورده است؟</w:t>
      </w:r>
    </w:p>
    <w:p>
      <w:pPr>
        <w:pStyle w:val="BookText"/>
        <w:rPr/>
      </w:pPr>
      <w:r>
        <w:rPr>
          <w:rFonts w:ascii="IRNazanin" w:hAnsi="IRNazanin" w:eastAsia="IRNazanin"/>
          <w:color w:val="111111"/>
          <w:sz w:val="28"/>
          <w:sz w:val="28"/>
          <w:szCs w:val="28"/>
          <w:rtl w:val="true"/>
          <w:lang w:bidi="fa-IR"/>
        </w:rPr>
        <w:t>فهم عرفی از این روایات که در مقام بیان همه‌ی خصوصیّات حدّ زانی به محارم است، نفی جلد و تازیانه و ثبوت حکم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حدّ را منحصر در قتل می‌داند؛ والّا به اصطلاح علمی، تأخیر بیان از وقت حاجت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دیگری که باید به آن توجّه کرد، ورود پاره‌ای از روایات است که واقعه‌ی اجرای حدّ را حکایت می‌کرد و هیچ اشاره‌ای به جلد ندارد؛ با آن‌که روایت همانند روایتی که مربوط به زنای کافر ذمّی با زن مسلمان است، در مقام نقل جریان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و عموم آن مورد تردید ما نیست؛ لیکن با وجود نفی زدن تازیانه در این روایات، وِزان تخصیص و استثنا نسبت به آیه دارد، و عموم آیه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 فتوای اصحاب با تازیانه خیلی بعید است؛ زیرا، وقتی فقها انواع حدّ زنا را می‌شمارند،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رجم، جمع بین جلد و رجم، در بعضی از موارد نفی بلد یا کوتاه کردن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وقتی اوّلین حدّ را قتل می‌شُمارند،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قتل همراه با تازیانه است، لذا، به هیچ وجه مسأله‌ی جلد را نمی‌توانیم به گردن اصحاب بگذاریم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زنای محصن با محارم که ابن ادریس رحمه الله از راه اتّحاد غرض و هدف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قتل، رجم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این است که اصحاب به رجم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اصحاب مسأله‌ی قتل را تحت یک عنوان و مسأله‌ی رجم را تحت عنوان دیگری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 قتل، همان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تعارض بین روایات این باب با روایات رجم</w:t>
      </w:r>
    </w:p>
    <w:p>
      <w:pPr>
        <w:pStyle w:val="BookText"/>
        <w:rPr/>
      </w:pPr>
      <w:r>
        <w:rPr>
          <w:rFonts w:ascii="IRNazanin" w:hAnsi="IRNazanin" w:eastAsia="IRNazanin"/>
          <w:color w:val="111111"/>
          <w:sz w:val="28"/>
          <w:sz w:val="28"/>
          <w:szCs w:val="28"/>
          <w:rtl w:val="true"/>
          <w:lang w:bidi="fa-IR"/>
        </w:rPr>
        <w:t>ممکن است ابن ادریس رحمه الله از راه تعارض روایات رجم با روایات این باب وارد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آینده مطرح می‌شود، حدّ زنای احصانی را رجم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عامّ و مطلق بوده، و فرقی بین زنای با محارم و غیر آن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روایات نیز حدّ زنای با محارم را قتل معیّن کرده و تفاوتی بین زانی محصن و غیر او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 دو دسته روایت، نسبت عموم و خصوص من وجه برقرار است؛ و نسبت به زانی محصن، روایات رجم، به رجم او، و روایات قتل، به ضربت با سیف حکم می‌کند؛ یعنی در مادّه‌ی اجتماع تعارض به عموم من وجه دارند؛ و دو ماده‌ی افتراق آن، یکی زنای غیر محصن به محارم و دیگری زنای محصن به غیر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تعارض چیست؟</w:t>
      </w:r>
    </w:p>
    <w:p>
      <w:pPr>
        <w:pStyle w:val="BookText"/>
        <w:rPr/>
      </w:pPr>
      <w:r>
        <w:rPr>
          <w:rFonts w:ascii="IRNazanin" w:hAnsi="IRNazanin" w:eastAsia="IRNazanin"/>
          <w:color w:val="111111"/>
          <w:sz w:val="28"/>
          <w:sz w:val="28"/>
          <w:szCs w:val="28"/>
          <w:rtl w:val="true"/>
          <w:lang w:bidi="fa-IR"/>
        </w:rPr>
        <w:t>احتمال دارد ابن ادریس رحمه الله بگوید در مورد این تعارض در مادّه‌ی اجتماع، هیچ‌یک از دو طرف بر یکدیگر ترجیح ندارند؛ به همین جهت، رجم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نظر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روایات رجم را بر روایات قتل مقدّم داشتید؟ ترجیح ادلّه‌ی رجم به وجود مرجّح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ترجیح با روایات و ادلّه‌ی قتل است؛ زیرا، اگر یکی از دو طرف متعارض، با شهرت فتوایی و عمل مُعظَم اصحاب موافق و مطابق بود، همین مزیّت سبب ترجیح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تعارض، باید به مرجّحات رجوع کرد؛ و اوّلین مرجّح، شهرت فتوایی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زنای با محارم، اگر زانی محصن باشد، فقها به قتل او فتوا داده‌اند و سخنی از رجم نیست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 تعارضی بین روایات این دو باب نیست؛ البتّه نه از این راه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ضمن رجم نیز محقّق می‌شود؛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زنای با محارم بر آیه‌ی شریفه و روایات رجم حکومت دارد؛ زیرا، این روایات با نظارت و توجّه به آیه و آن ادلّه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آیه‌ی شریفه‌ی الزّانِیَةُ وَ الزّانِی فَاجْلِدُوا کُلَّ واحِدٍ مِنْهُما مِائَةَ جَلْدَةٍ </w:t>
      </w:r>
      <w:r>
        <w:rPr>
          <w:rStyle w:val="FootnoteAnchor"/>
          <w:rtl w:val="true"/>
        </w:rPr>
        <w:footnoteReference w:id="685"/>
      </w:r>
      <w:r>
        <w:rPr>
          <w:rFonts w:ascii="IRNazanin" w:hAnsi="IRNazanin" w:eastAsia="IRNazanin"/>
          <w:color w:val="111111"/>
          <w:sz w:val="28"/>
          <w:sz w:val="28"/>
          <w:szCs w:val="28"/>
          <w:rtl w:val="true"/>
          <w:lang w:bidi="fa-IR"/>
        </w:rPr>
        <w:t>حکم را بر روی طبیعت و ذات برده و موضوع روایات رجم نیز ذات زنای احصانی است؛ ولی روایات زنای به محارم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داریم که اصل زنا حکمی دارد، لیکن تکیه‌ی این ادلّه بر روی زنای خاصّی است که در آن، مزنیّ‌بها عنوان محرمیّت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با توجّه به یک خصوصیّت زائد بر اصل زنا رسیده است؛ گویا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آیه‌ی 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رجم زانی محصن شنیده‌ای، مربوط به اصل زنا یا زنای احصانی است؛ و ما با توجّه به آن آیه و روایات، حکم خاصّی را در مورد زنای همراه با خصوصیّت محرمیّت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ادلّه‌ی این باب، حکومت بر ادلّه‌ی آن دو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ادلّه‌ی حدّ زنای با محارم بر آیه و روایات باب رجم، مانند حکومت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لاحرج حاکم بر کُتِبَ عَلَیْکُمُ الصِّیامُ </w:t>
      </w:r>
      <w:r>
        <w:rPr>
          <w:rStyle w:val="FootnoteAnchor"/>
          <w:rtl w:val="true"/>
        </w:rPr>
        <w:footnoteReference w:id="686"/>
      </w:r>
      <w:r>
        <w:rPr>
          <w:rFonts w:ascii="Amiri" w:hAnsi="Amiri" w:eastAsia="Amiri" w:cs="Amiri"/>
          <w:color w:val="111111"/>
          <w:sz w:val="28"/>
          <w:sz w:val="28"/>
          <w:szCs w:val="28"/>
          <w:rtl w:val="true"/>
          <w:lang w:bidi="ar-SA"/>
        </w:rPr>
        <w:t xml:space="preserve">است مقصود آن است که کُتِبَ عَلَیْکُمُ الصِّیامُ بیان حکم اوّلی روزه را متکفّل شده، و ما جَعَلَ عَلَیْکُمْ فِی الدِّینِ مِنْ حَرَجٍ </w:t>
      </w:r>
      <w:r>
        <w:rPr>
          <w:rStyle w:val="FootnoteAnchor"/>
          <w:rtl w:val="true"/>
        </w:rPr>
        <w:footnoteReference w:id="687"/>
      </w:r>
      <w:r>
        <w:rPr>
          <w:rFonts w:ascii="IRNazanin" w:hAnsi="IRNazanin" w:eastAsia="IRNazanin"/>
          <w:color w:val="111111"/>
          <w:sz w:val="28"/>
          <w:sz w:val="28"/>
          <w:szCs w:val="28"/>
          <w:rtl w:val="true"/>
          <w:lang w:bidi="fa-IR"/>
        </w:rPr>
        <w:t>بر روی این عنوان تکیه دارد که اگر این روزه مستلزم عسر و مشقّت شدید شد، آن حکم جعل نشده است؛ و دلیل حاکم همیشه بر دلیل محکوم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دوم و پس از دلیل ثبوت حکم بر اصل زنا یا زنای احصانی رسیده است؛ لیکن یک خصوصیّت زائدی در موضوع اضافه کرده است؛ یعنی اگر طبیعت زنا یا طبیعت زنای احصانی مقرون به محرمیّت مزنیّ‌بها شد، آن حکم اوّلی مترتّب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یقتل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زانی باید کشته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بیانات گذشته گرفته شد، این است که راه بر مرحوم ابن ادریس بسته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راهی که بخواهد وارد شود و به ثبوت تازیانه و قتل در زنای غیر احصانی و یا به جلد و رجم در زنای احصانی در فرع مورد نظر حکم کند، راه او منسدّ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w:t>
      </w:r>
    </w:p>
    <w:p>
      <w:pPr>
        <w:pStyle w:val="BookText"/>
        <w:rPr/>
      </w:pPr>
      <w:r>
        <w:rPr>
          <w:rFonts w:ascii="IRNazanin" w:hAnsi="IRNazanin" w:eastAsia="IRNazanin"/>
          <w:color w:val="111111"/>
          <w:sz w:val="28"/>
          <w:sz w:val="28"/>
          <w:szCs w:val="28"/>
          <w:rtl w:val="true"/>
          <w:lang w:bidi="fa-IR"/>
        </w:rPr>
        <w:t>در یکی از مسائل آینده این فرع مطرح می‌شود که اگر پیرمرد معیلی یا پیرزن شوهرداری مرتکب زنا شدند، حدّ آنان جمع بین جلد و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حکومتی که ما مطرح کردیم، اگر این پیرمرد یا پیرزن محصن با محارم خود زنا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زنای به ذات محرم حکمش شدیدتر از زنای عادی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کنار رفته و حدّ قتل بر آن‌ها جاری می‌شود، این مطلب خیلی بعید است؛ زیرا، اگر با غیر محارم زنا کرده بود، هم تازیانه می‌خورد و هم سنگسار می‌شد؛ ولی در زنای با محارمش فقط کشته می‌شود، با آن‌که گناهش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عبارت تحریر الوسیله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یجلد الزانی‌المحکوم بقتله فی الموارد المتقدّمة ثمّ یقتل، فیجمع فیها بین الجلد والقتل؟ الأوجه عدم الجمع وإن کان فی النفس تردّد فی بعض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وجیه‌تر را عدم جمع بین تازیانه و قتل قرار داده است، امّا به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نسبت به بعضی از صورت‌ها تردید دارد؛ شاید نظرشان به همین صورتِ زنای پیرمرد و پیرزن با ذات محارم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نقض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مسائل تعبّدی، ملاکات به دست ما نیست و نمی‌توانیم آن چیزی که تمام ملاک یک حکم است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چنین دلیلی قائم نشده است که هر چه گناه شدیدتر باشد، حدّ آن نیز سنگین‌تر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گناهی شدّت پیدا کرد به مرحله‌ای برسد که خداوند مقداری از مجازات آن را به آخرت موکول کند و برای چنین فردی راه تخفیف به سبب حدّ را ببندد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حدّ برای تخفیف و جلوگیری از عذاب آخرت جعل شده ولی ممکن است گناه به گونه‌ای شدّت پیدا کرده که مجرم قابلیّتی برای شمول تخفیف نداشته باشد؛ و خداوند اراده کرده او را درآخرت مجازات می‌کند؛ با وجود این احتمال، طرح چنین اشکالی، یک استحسان و استنباطی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حدود را در ابواب مختلف بررسی کرده و مقایسه‌ای بین آن‌ها انجام دهیم، می‌بینیم بین حدّ زنا و حدّ شرب خمر فاصله‌ی کمی است؛ در حالی که اگر با توجّه به مسائل اجتماعی به این دو نظر شود، مسأله‌ی زنا هرگز قابل مقایسه با مسأله‌ی شراب‌خواری نیست؛ و یا حدّ قذف نسبت به گناهش، حدّی سنگین است؛ نسبت دادن لفظی به فرد روی حساب و دید اجتماعی، به این اندازه اهمیّت ندارد؛ از این‌رو، نباید در مسائل تعبّدی به فکر و عقل خودمان اتّکا کنیم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گذشته، مانعی ندارد که حدّ پیرمرد زانی محصن با غیر محارم قتل، و حدّ همین فرد در زنای با محارم جمع بین جلد و رجم مقرّر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دلیل هستیم و فقه بر پایه‌ی تعبّد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دلیل دلالت می‌کند، به آن اخذ می‌کنیم؛ و به دنبال حساب‌ها و ضوابط استحسانی، مسأله را از مسیر اصلی آن منحرف نمی‌کنیم؛ والّا اگر ملاک فکر و استنباط باشد، با توجّه به این‌که جمع زیادی از فقها حدّ زانی محصن را هر چند پیرمرد و پیرزن نیز نباشد، جمع بین تازیانه و رجم گفته‌اند، باید اشکال را تعمیم داد؛ زیرا، اختصاصی به پیرمرد و پیرزن ندارد؛ بلکه در زنای محصن جوان با محارم نیز همین اشکال مطرح است</w:t>
      </w:r>
      <w:r>
        <w:rPr>
          <w:rFonts w:eastAsia="IRNazanin" w:cs="IRNazanin"/>
          <w:color w:val="111111"/>
          <w:sz w:val="28"/>
          <w:szCs w:val="28"/>
          <w:rtl w:val="true"/>
          <w:lang w:bidi="fa-IR"/>
        </w:rPr>
        <w:t>.</w:t>
      </w:r>
      <w:bookmarkStart w:id="667" w:name="pg16919_227189"/>
    </w:p>
    <w:p>
      <w:pPr>
        <w:pStyle w:val="BookText"/>
        <w:rPr/>
      </w:pPr>
      <w:bookmarkEnd w:id="667"/>
      <w:r>
        <w:rPr>
          <w:rFonts w:ascii="IRNazanin" w:hAnsi="IRNazanin" w:eastAsia="IRNazanin"/>
          <w:color w:val="111111"/>
          <w:sz w:val="28"/>
          <w:sz w:val="28"/>
          <w:szCs w:val="28"/>
          <w:rtl w:val="true"/>
          <w:lang w:bidi="fa-IR"/>
        </w:rPr>
        <w:t>الثانی من أقسام حدود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فقط، فیجب علی المحصن إذا زنی ببالغة عاقلة، وعلی المحصنة إذا زنت ببالغ عاقل إن کانا شابّین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معروف یجمع فی الشابّ والشابّة بین الجلد والرجم والأقرب الرجم فقط</w:t>
      </w:r>
      <w:r>
        <w:rPr>
          <w:rFonts w:eastAsia="IRNazanin" w:cs="IRNazanin"/>
          <w:color w:val="111111"/>
          <w:sz w:val="28"/>
          <w:szCs w:val="28"/>
          <w:rtl w:val="true"/>
          <w:lang w:bidi="fa-IR"/>
        </w:rPr>
        <w:t>.</w:t>
      </w:r>
    </w:p>
    <w:p>
      <w:pPr>
        <w:pStyle w:val="Heading4"/>
        <w:numPr>
          <w:ilvl w:val="3"/>
          <w:numId w:val="1"/>
        </w:numPr>
        <w:rPr/>
      </w:pPr>
      <w:bookmarkStart w:id="668" w:name="__RefHeading___Toc79092_3244359995"/>
      <w:bookmarkStart w:id="669" w:name="_Toc254"/>
      <w:bookmarkEnd w:id="668"/>
      <w:r>
        <w:rPr>
          <w:rtl w:val="true"/>
        </w:rPr>
        <w:t>دوّمین حدّ زنا</w:t>
      </w:r>
      <w:r>
        <w:rPr>
          <w:rtl w:val="true"/>
        </w:rPr>
        <w:t xml:space="preserve">: </w:t>
      </w:r>
      <w:r>
        <w:rPr>
          <w:rtl w:val="true"/>
        </w:rPr>
        <w:t>رجم</w:t>
      </w:r>
      <w:bookmarkEnd w:id="669"/>
    </w:p>
    <w:p>
      <w:pPr>
        <w:pStyle w:val="Heading5"/>
        <w:numPr>
          <w:ilvl w:val="4"/>
          <w:numId w:val="1"/>
        </w:numPr>
        <w:rPr/>
      </w:pPr>
      <w:bookmarkStart w:id="670" w:name="__RefHeading___Toc79094_3244359995"/>
      <w:bookmarkStart w:id="671" w:name="_Toc255"/>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رجمِ فقط بر مرد یا زن محصن و جوانی که با بالغ و عاقلی زنا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معروف به ثبوت جلد و رجم در این مورد، و 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جهاتی وجود دارد که باید مورد توجّه قرار گیرند</w:t>
      </w:r>
      <w:r>
        <w:rPr>
          <w:rFonts w:eastAsia="IRNazanin" w:cs="IRNazanin"/>
          <w:color w:val="111111"/>
          <w:sz w:val="28"/>
          <w:szCs w:val="28"/>
          <w:rtl w:val="true"/>
          <w:lang w:bidi="fa-IR"/>
        </w:rPr>
        <w:t>:</w:t>
      </w:r>
    </w:p>
    <w:p>
      <w:pPr>
        <w:pStyle w:val="Heading5"/>
        <w:numPr>
          <w:ilvl w:val="4"/>
          <w:numId w:val="1"/>
        </w:numPr>
        <w:rPr/>
      </w:pPr>
      <w:bookmarkStart w:id="672" w:name="__RefHeading___Toc79096_3244359995"/>
      <w:bookmarkStart w:id="673" w:name="_Toc256"/>
      <w:bookmarkEnd w:id="672"/>
      <w:r>
        <w:rPr>
          <w:rtl w:val="true"/>
        </w:rPr>
        <w:t>ثبوت حدّ رجم</w:t>
      </w:r>
      <w:bookmarkEnd w:id="673"/>
    </w:p>
    <w:p>
      <w:pPr>
        <w:pStyle w:val="BookText"/>
        <w:rPr/>
      </w:pPr>
      <w:r>
        <w:rPr>
          <w:rFonts w:ascii="Amiri" w:hAnsi="Amiri" w:eastAsia="Amiri" w:cs="Amiri"/>
          <w:color w:val="111111"/>
          <w:sz w:val="28"/>
          <w:sz w:val="28"/>
          <w:szCs w:val="28"/>
          <w:rtl w:val="true"/>
          <w:lang w:bidi="ar-SA"/>
        </w:rPr>
        <w:t xml:space="preserve">در 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دست مسلمانان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 که برای زنا معیّن شده تازیانه است؛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Style w:val="FootnoteAnchor"/>
          <w:rtl w:val="true"/>
        </w:rPr>
        <w:footnoteReference w:id="688"/>
      </w:r>
      <w:r>
        <w:rPr>
          <w:rFonts w:ascii="IRNazanin" w:hAnsi="IRNazanin" w:eastAsia="IRNazanin"/>
          <w:color w:val="111111"/>
          <w:sz w:val="28"/>
          <w:sz w:val="28"/>
          <w:szCs w:val="28"/>
          <w:rtl w:val="true"/>
          <w:lang w:bidi="fa-IR"/>
        </w:rPr>
        <w:t>؛ و هیچ اشاره‌ای به رجم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عمر ادّعا کرده از جمله آیاتی که خداوند بر رسول گرامی اسلام صلی الله علیه و آله نازل کرده، آیه‌ی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تعبیرات مختلف، لیکن شبیه به هم از او نقل شده است؛ و یکی از تعابیر معروف این عبارت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فارجموهما بما قضیا من الشهوة</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پیرمرد و پیرزن را به سبب این شهوتی که انجام دادند، باید رجم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بوده چنین آیه‌ای در قرآن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که از طریق امامیه رسیده، به این مطلب اشاره‌ای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پیرامون تحریف قرآن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تحقیقات و بحث‌های دقیق که محقّقان حول تحریف قرآن کرده‌اند، به این نتیجه رسیده‌اند که قرآنی که در دست ما مسلمانان است، به تمام معنا مصون و محفوظ از تحریف</w:t>
      </w:r>
    </w:p>
    <w:p>
      <w:pPr>
        <w:pStyle w:val="BookText"/>
        <w:rPr/>
      </w:pPr>
      <w:r>
        <w:rPr>
          <w:rFonts w:ascii="IRNazanin" w:hAnsi="IRNazanin" w:eastAsia="IRNazanin"/>
          <w:color w:val="111111"/>
          <w:sz w:val="28"/>
          <w:sz w:val="28"/>
          <w:szCs w:val="28"/>
          <w:rtl w:val="true"/>
          <w:lang w:bidi="fa-IR"/>
        </w:rPr>
        <w:t>بوده و هیچ‌گونه زیاده و نقیصه در آن راه نیافته است؛ بلکه آن‌چه به عنوان قرآن بر رسول خدا صلی الله علیه و آله نازل شده، بدون کم و زیاد حتّی یک واو، تا چه رسد به آیه و سوره، به دست ما رسیده؛ و این معجزه‌ی جاویدان رسول اکرم صلی الله علیه و آله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بحث‌هایی که روزهای پنجشنبه و جمعه حول علوم قرآنی داشتیم، به طور مفصّل و با ادلّه‌ی قطعی عدم تحریف قرآن را اثبات کرده‌ایم؛ و همان بحث‌ها به صورت کتاب و به نام مدخل التفسیر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مورد تأسّف است، بی انصافی علمای اهل سنّت نسبت به شیعه و علمای شیعه است؛ آنان بدون توجّه به واقعیّات، شیعه را متّهم می‌کنند که اعتقاد به تحریف قرآن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قرآن را محرّف دانسته و کتابی که تحریف شده، قابلیّت برای استدلال ندارد؛ زیرا، حجّیت و اعتباری ندارد تا بتوان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علمای شیعه چنین اعتقادی ندارند؛ بلکه چند نفری از محدّثان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و علیّ بن ابراهیم، روایات تحریف را به عنوان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اظهار نظری کرده، یا مطلبی که بر اعتقادشان به تحریف اشعار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مانند سیّد مرتضی رحمه الله که مسأله‌ی تحریف را متعرّض شده‌اند، با کمال صراحت آن را انکار کرده، و اثبات کرده‌اند این قرآن، همان قرآنی است که بر پیامبر خدا صلی الله علیه و آله نازل شده و به آن هیچ کلمه‌ای اضافه یا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نکته‌ی غیر قابل انکار این است که یکی از محدّثان بزرگ در اعصار اخیر کتابی در این موضوع نوشته است؛ لکن بر حسب تحقیقاتی که به عمل آمده، بعضی از سفارت‌خانه‌های کشورهای استعمارگر نقشه‌ای خائنانه کشیدند و این عالم بزرگوار بدون اطّلاع از واقعیّات و حیله‌ی دشمنان دین و شیعه، به تألیف این کتاب دست زد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تدوین این کتاب برای شیعه خیلی گران تمام شد؛ به گونه‌ای که تا امروز، اساس و ریشه‌ی هر چه درباره‌ی شیعه مطرح می‌شود، به این کتاب برمی‌گردد؛ با این حال، ایشان نیز به عنوان یک محدّث وارد این بحث شده است، و نه به عنوان یک فقیه 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تحریف در اهل سنّت</w:t>
      </w:r>
    </w:p>
    <w:p>
      <w:pPr>
        <w:pStyle w:val="BookText"/>
        <w:rPr/>
      </w:pPr>
      <w:r>
        <w:rPr>
          <w:rFonts w:ascii="IRNazanin" w:hAnsi="IRNazanin" w:eastAsia="IRNazanin"/>
          <w:color w:val="111111"/>
          <w:sz w:val="28"/>
          <w:sz w:val="28"/>
          <w:szCs w:val="28"/>
          <w:rtl w:val="true"/>
          <w:lang w:bidi="fa-IR"/>
        </w:rPr>
        <w:t>علمای سنّی که تهمت و افترای تحریف را به شیعه زدند، خودشان مواجه شدند با این روایتی که از عمر نقل کرده‌اند؛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رجم یکی از آیات قرآن است، و آن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فارجموهما بما قضیا من اللذّة أو من الشهوة</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سخن با اهل سنّت در این است که آیه‌ی رجم کجا رفت و چه شد؟ و به دست چه کسی از قرآن جدا و کنار گذاشته شد؟ نه تنها آیه‌ی رجم، بلکه روایات آنان بر حذف آیاتی از چند سوره‌ی دیگر قرآن نیز دلالت دارد؛ بنابراین، باید به تحریف قرآن 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مسأله نسخ تلاوت را به میان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تلاوت می‌شد؛ لیکن پس از آن، دستور آمد که آن‌ها را تلاوت نکنید؛ از این رو، ما به تحریف معتقد نیستیم، و بلکه نسخ تلاوت را باور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ما بر سر کلمه تحریف نیست تا این عنوان را بردارید و عنوان دیگری جایگزین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چه کسی دستور داد تا فلان زمان بخوانید و پس از آن تلاوت نکنید؟ آیا از رسول خدا صلی الله علیه و آله در این رابطه روایتی رسیده است؛ و آیا این حدیث خبر واحد است، یا خبر متواتر؟</w:t>
      </w:r>
    </w:p>
    <w:p>
      <w:pPr>
        <w:pStyle w:val="BookText"/>
        <w:rPr/>
      </w:pPr>
      <w:r>
        <w:rPr>
          <w:rFonts w:ascii="IRNazanin" w:hAnsi="IRNazanin" w:eastAsia="IRNazanin"/>
          <w:color w:val="111111"/>
          <w:sz w:val="28"/>
          <w:sz w:val="28"/>
          <w:szCs w:val="28"/>
          <w:rtl w:val="true"/>
          <w:lang w:bidi="fa-IR"/>
        </w:rPr>
        <w:t>اگر خبر واحد است، صلاحیّت اثبات نسخ را ندارد؛ و خودتان در اصول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نمی‌تواند عنوان ناسخیّت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متواتر رسیده، و کدام کتاب چنین چیزی به طور متواتر از پیامبر صلی الله علیه و آله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ندارند جز آن که مطلب را به غیر رسول خدا صلی الله علیه و آله نسبت دهند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اگر آیه‌ای در زمان پیامبر صلی الله علیه و آله تلاوت می‌شده، و پس از آن حضرت، فردی فرمان دهد این آیه را بردارید یا تلاوت نکنید، آیا جز تحریف چیز دیگری است؟ تحریف یعنی کسی که با قرآن هیچ ارتباطی ندارد، در قرآن دخل و تصرّف کند؛ لذا، بازگشت نسخ تلاوت به تحریف است</w:t>
      </w:r>
      <w:r>
        <w:rPr>
          <w:rFonts w:eastAsia="IRNazanin" w:cs="IRNazanin"/>
          <w:color w:val="111111"/>
          <w:sz w:val="28"/>
          <w:szCs w:val="28"/>
          <w:rtl w:val="true"/>
          <w:lang w:bidi="fa-IR"/>
        </w:rPr>
        <w:t>.</w:t>
      </w:r>
      <w:bookmarkStart w:id="674" w:name="pg16919_227195"/>
    </w:p>
    <w:p>
      <w:pPr>
        <w:pStyle w:val="BookText"/>
        <w:rPr/>
      </w:pPr>
      <w:bookmarkEnd w:id="674"/>
      <w:r>
        <w:rPr>
          <w:rFonts w:ascii="IRNazanin" w:hAnsi="IRNazanin" w:eastAsia="IRNazanin"/>
          <w:color w:val="111111"/>
          <w:sz w:val="28"/>
          <w:sz w:val="28"/>
          <w:szCs w:val="28"/>
          <w:rtl w:val="true"/>
          <w:lang w:bidi="fa-IR"/>
        </w:rPr>
        <w:t>پس، آن‌چه که آلوسی از مفسّران بزرگ اهل سنّت در مقدّمه‌ی تفسیر روح المعانی</w:t>
      </w:r>
      <w:r>
        <w:rPr>
          <w:rStyle w:val="FootnoteAnchor"/>
          <w:rtl w:val="true"/>
        </w:rPr>
        <w:footnoteReference w:id="691"/>
      </w:r>
      <w:r>
        <w:rPr>
          <w:rFonts w:ascii="IRNazanin" w:hAnsi="IRNazanin" w:eastAsia="IRNazanin"/>
          <w:color w:val="111111"/>
          <w:sz w:val="28"/>
          <w:sz w:val="28"/>
          <w:szCs w:val="28"/>
          <w:rtl w:val="true"/>
          <w:lang w:bidi="fa-IR"/>
        </w:rPr>
        <w:t>گفته و بر آن تکیه می‌کند، مبنی بر آن که ما به نسخ تلاوت معتقدیم و نه به تحریف قرآن، صحیح نیست؛ چرا که واقعیّتی برای نسخ تلاوت جز تحریف نیست</w:t>
      </w:r>
      <w:r>
        <w:rPr>
          <w:rFonts w:eastAsia="IRNazanin" w:cs="IRNazanin"/>
          <w:color w:val="111111"/>
          <w:sz w:val="28"/>
          <w:szCs w:val="28"/>
          <w:rtl w:val="true"/>
          <w:lang w:bidi="fa-IR"/>
        </w:rPr>
        <w:t>.</w:t>
      </w:r>
    </w:p>
    <w:p>
      <w:pPr>
        <w:pStyle w:val="Heading5"/>
        <w:numPr>
          <w:ilvl w:val="4"/>
          <w:numId w:val="1"/>
        </w:numPr>
        <w:rPr/>
      </w:pPr>
      <w:bookmarkStart w:id="675" w:name="__RefHeading___Toc79098_3244359995"/>
      <w:bookmarkStart w:id="676" w:name="_Toc257"/>
      <w:bookmarkEnd w:id="675"/>
      <w:r>
        <w:rPr>
          <w:rtl w:val="true"/>
        </w:rPr>
        <w:t>مناقشه در روایت رجم</w:t>
      </w:r>
      <w:bookmarkEnd w:id="676"/>
    </w:p>
    <w:p>
      <w:pPr>
        <w:pStyle w:val="BookText"/>
        <w:rPr/>
      </w:pPr>
      <w:r>
        <w:rPr>
          <w:rFonts w:ascii="IRNazanin" w:hAnsi="IRNazanin" w:eastAsia="IRNazanin"/>
          <w:color w:val="111111"/>
          <w:sz w:val="28"/>
          <w:sz w:val="28"/>
          <w:szCs w:val="28"/>
          <w:rtl w:val="true"/>
          <w:lang w:bidi="fa-IR"/>
        </w:rPr>
        <w:t>آیه‌ای که به عنوان آیه‌ی رجم از عمر بن خطاب روایت شده علاوه بر این‌که اعتقاد به ثبوت آن مستلزم اعتقاد به تحریف قرآن است، از نظر مضمون نیز مبتلا به اشکالات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نقل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چیست؟ شیخ و شیخه 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رجم‌شان چیست؟ آیا به سبب شیخوخیّت باید مجازات شوند؟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نقشی را ایفا کرده، و برای چه آمده است؟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است، پس شرط آن چیست؟</w:t>
      </w:r>
    </w:p>
    <w:p>
      <w:pPr>
        <w:pStyle w:val="BookText"/>
        <w:rPr/>
      </w:pPr>
      <w:r>
        <w:rPr>
          <w:rFonts w:ascii="Amiri" w:hAnsi="Amiri" w:eastAsia="Amiri" w:cs="Amiri"/>
          <w:color w:val="111111"/>
          <w:sz w:val="28"/>
          <w:sz w:val="28"/>
          <w:szCs w:val="28"/>
          <w:rtl w:val="true"/>
          <w:lang w:bidi="ar-SA"/>
        </w:rPr>
        <w:t>به نظر می‌رسد جاعل این آیه‌ی دروغین می‌خواسته از قرآن اقتباس کند، دیده در آیه‌ی زنا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بر سر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او نیز بر سر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غافل از این‌که کلمه‌ی الزّانِیَةُ وَ الزّانِی معنای شرط می‌دهد؛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تحقّق الزنا یجب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آیه‌ی ساختگی نیز چنین شرطی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الشیخوخیّة یجب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 سبب رجم قضای شهوت است، این معنا فقط به جماع محقّق نمی‌گردد؛ ممکن است قضای شهوت به مقدّمات زنا باشد؛ کما این‌که متناسب با شیخ و شیخه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این آیه‌ی دروغین جماع و نزدیکی فهمیده می‌شود؟ و بر فرض، جماع را برساند، کدام کلمه‌ی آن دلالت بر جماع حرام دارد؟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آیه‌ی رجم مربوط به زنا باشد، از کدام قسمت آن استفاده می‌شود که مربوط به زنای محصن ومحصنه است؟ در حالی که شما می‌خواهید رجم را در</w:t>
      </w:r>
      <w:bookmarkStart w:id="677" w:name="pg16919_227197"/>
    </w:p>
    <w:p>
      <w:pPr>
        <w:pStyle w:val="BookText"/>
        <w:rPr/>
      </w:pPr>
      <w:bookmarkEnd w:id="677"/>
      <w:r>
        <w:rPr>
          <w:rFonts w:ascii="IRNazanin" w:hAnsi="IRNazanin" w:eastAsia="IRNazanin"/>
          <w:color w:val="111111"/>
          <w:sz w:val="28"/>
          <w:sz w:val="28"/>
          <w:szCs w:val="28"/>
          <w:rtl w:val="true"/>
          <w:lang w:bidi="fa-IR"/>
        </w:rPr>
        <w:t>مورد زنای احصانی پیاده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تابع تعلیل است، پس شیخ و شیخه از موضوعیّت خارج شده و در هر موردی که قضای شهوت و لذت باشد، باید حکم رجم را پیاده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اشکالات، چگونه ادّعا کرده‌اید که این آیه مربوط به قرآن و از جمله‌ی آیات نازل بر نبیّ اکرم صلی الله علیه و آله است؟</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همین آیه در روایات امامیّه نیز روایت رسیده است؛ مبنی بر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وبالإسناد عن یونس،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فی‌القرآن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الشیخ والشیخة فارجموهما البتّة فإنّهما قضیا الشهوة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را با توجّه به مطالب گذشته، حمل بر تقیّه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نظر اساسی به حدّی استحکام دارد که استحکام آن با این روایت و امثال آن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مباحث گذشته عدم طرح مسأله‌ی رجم در قرآن مجید است؛ فقط در مورد زنا، جلد و تازیانه مطرح است؛ لیکن در روایات متواتره از پیامبر و ائمّه علیهما السلام به طور وضوح مسأله‌ی رجم دیده می‌شود</w:t>
      </w:r>
      <w:r>
        <w:rPr>
          <w:rFonts w:eastAsia="IRNazanin" w:cs="IRNazanin"/>
          <w:color w:val="111111"/>
          <w:sz w:val="28"/>
          <w:szCs w:val="28"/>
          <w:rtl w:val="true"/>
          <w:lang w:bidi="fa-IR"/>
        </w:rPr>
        <w:t>.</w:t>
      </w:r>
    </w:p>
    <w:p>
      <w:pPr>
        <w:pStyle w:val="Heading5"/>
        <w:numPr>
          <w:ilvl w:val="4"/>
          <w:numId w:val="1"/>
        </w:numPr>
        <w:rPr/>
      </w:pPr>
      <w:bookmarkStart w:id="678" w:name="__RefHeading___Toc79100_3244359995"/>
      <w:bookmarkStart w:id="679" w:name="_Toc258"/>
      <w:bookmarkEnd w:id="678"/>
      <w:r>
        <w:rPr>
          <w:rtl w:val="true"/>
        </w:rPr>
        <w:t>ثبوت رجم همراه با تازیانه یا بدون آن</w:t>
      </w:r>
      <w:bookmarkEnd w:id="67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زانی شابّ یا شابّه محصن باشد آیا علاوه بر رجم، تازیانه نیز می‌خورد یا نه؟ شیخ مفید،</w:t>
      </w:r>
      <w:r>
        <w:rPr>
          <w:rStyle w:val="FootnoteAnchor"/>
          <w:rtl w:val="true"/>
        </w:rPr>
        <w:footnoteReference w:id="694"/>
      </w:r>
      <w:r>
        <w:rPr>
          <w:rFonts w:ascii="Amiri" w:hAnsi="Amiri" w:eastAsia="Amiri" w:cs="Amiri"/>
          <w:color w:val="111111"/>
          <w:sz w:val="28"/>
          <w:sz w:val="28"/>
          <w:szCs w:val="28"/>
          <w:rtl w:val="true"/>
          <w:lang w:bidi="ar-SA"/>
        </w:rPr>
        <w:t>سیّد مرتضی،</w:t>
      </w:r>
      <w:r>
        <w:rPr>
          <w:rStyle w:val="FootnoteAnchor"/>
          <w:rtl w:val="true"/>
        </w:rPr>
        <w:footnoteReference w:id="695"/>
      </w:r>
      <w:r>
        <w:rPr>
          <w:rFonts w:ascii="IRNazanin" w:hAnsi="IRNazanin" w:eastAsia="IRNazanin"/>
          <w:color w:val="111111"/>
          <w:sz w:val="28"/>
          <w:sz w:val="28"/>
          <w:szCs w:val="28"/>
          <w:rtl w:val="true"/>
          <w:lang w:bidi="fa-IR"/>
        </w:rPr>
        <w:t>شیخ طوسی</w:t>
      </w:r>
      <w:r>
        <w:rPr>
          <w:rStyle w:val="FootnoteAnchor"/>
          <w:rtl w:val="true"/>
        </w:rPr>
        <w:footnoteReference w:id="696"/>
      </w:r>
      <w:r>
        <w:rPr>
          <w:rFonts w:ascii="IRNazanin" w:hAnsi="IRNazanin" w:eastAsia="IRNazanin"/>
          <w:color w:val="111111"/>
          <w:sz w:val="28"/>
          <w:sz w:val="28"/>
          <w:szCs w:val="28"/>
          <w:rtl w:val="true"/>
          <w:lang w:bidi="fa-IR"/>
        </w:rPr>
        <w:t>در بیشتر کتاب‌هایش، ابن ادریس</w:t>
      </w:r>
      <w:r>
        <w:rPr>
          <w:rStyle w:val="FootnoteAnchor"/>
          <w:rtl w:val="true"/>
        </w:rPr>
        <w:footnoteReference w:id="697"/>
      </w:r>
      <w:r>
        <w:rPr>
          <w:rFonts w:ascii="IRNazanin" w:hAnsi="IRNazanin" w:eastAsia="IRNazanin"/>
          <w:color w:val="111111"/>
          <w:sz w:val="28"/>
          <w:sz w:val="28"/>
          <w:szCs w:val="28"/>
          <w:rtl w:val="true"/>
          <w:lang w:bidi="fa-IR"/>
        </w:rPr>
        <w:t>و محقّق رحمهما الله</w:t>
      </w:r>
      <w:r>
        <w:rPr>
          <w:rStyle w:val="FootnoteAnchor"/>
          <w:rtl w:val="true"/>
        </w:rPr>
        <w:footnoteReference w:id="698"/>
      </w:r>
      <w:r>
        <w:rPr>
          <w:rFonts w:ascii="IRNazanin" w:hAnsi="IRNazanin" w:eastAsia="IRNazanin"/>
          <w:color w:val="111111"/>
          <w:sz w:val="28"/>
          <w:sz w:val="28"/>
          <w:szCs w:val="28"/>
          <w:rtl w:val="true"/>
          <w:lang w:bidi="fa-IR"/>
        </w:rPr>
        <w:t>به جمع بین جلد و رجم فتوا داده‌اند؛ یعنی در ابتدا به زناکار جوان محصن مانند زناکار پیر محصن، صد تازیانه می‌زنند و سپس، او را رجم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گروه از فقها در حکم زنای احصانی تفصیلی نداده‌اند</w:t>
      </w:r>
      <w:r>
        <w:rPr>
          <w:rFonts w:eastAsia="IRNazanin" w:cs="IRNazanin"/>
          <w:color w:val="111111"/>
          <w:sz w:val="28"/>
          <w:szCs w:val="28"/>
          <w:rtl w:val="true"/>
          <w:lang w:bidi="fa-IR"/>
        </w:rPr>
        <w:t>.</w:t>
      </w:r>
      <w:bookmarkStart w:id="680" w:name="pg16919_227200"/>
    </w:p>
    <w:p>
      <w:pPr>
        <w:pStyle w:val="BookText"/>
        <w:rPr/>
      </w:pPr>
      <w:bookmarkEnd w:id="680"/>
      <w:r>
        <w:rPr>
          <w:rFonts w:ascii="IRNazanin" w:hAnsi="IRNazanin" w:eastAsia="IRNazanin"/>
          <w:color w:val="111111"/>
          <w:sz w:val="28"/>
          <w:sz w:val="28"/>
          <w:szCs w:val="28"/>
          <w:rtl w:val="true"/>
          <w:lang w:bidi="fa-IR"/>
        </w:rPr>
        <w:t>جماعتی دیگر از فقها مانند شیخ طوسی</w:t>
      </w:r>
      <w:r>
        <w:rPr>
          <w:rStyle w:val="FootnoteAnchor"/>
          <w:rtl w:val="true"/>
        </w:rPr>
        <w:footnoteReference w:id="699"/>
      </w:r>
      <w:r>
        <w:rPr>
          <w:rFonts w:ascii="IRNazanin" w:hAnsi="IRNazanin" w:eastAsia="IRNazanin"/>
          <w:color w:val="111111"/>
          <w:sz w:val="28"/>
          <w:sz w:val="28"/>
          <w:szCs w:val="28"/>
          <w:rtl w:val="true"/>
          <w:lang w:bidi="fa-IR"/>
        </w:rPr>
        <w:t>در بعضی کتاب‌هایش، ابن زهره</w:t>
      </w:r>
      <w:r>
        <w:rPr>
          <w:rStyle w:val="FootnoteAnchor"/>
          <w:rtl w:val="true"/>
        </w:rPr>
        <w:footnoteReference w:id="700"/>
      </w:r>
      <w:r>
        <w:rPr>
          <w:rFonts w:ascii="IRNazanin" w:hAnsi="IRNazanin" w:eastAsia="IRNazanin"/>
          <w:color w:val="111111"/>
          <w:sz w:val="28"/>
          <w:sz w:val="28"/>
          <w:szCs w:val="28"/>
          <w:rtl w:val="true"/>
          <w:lang w:bidi="fa-IR"/>
        </w:rPr>
        <w:t>، حمزه</w:t>
      </w:r>
      <w:r>
        <w:rPr>
          <w:rStyle w:val="FootnoteAnchor"/>
          <w:rtl w:val="true"/>
        </w:rPr>
        <w:footnoteReference w:id="701"/>
      </w:r>
      <w:r>
        <w:rPr>
          <w:rFonts w:ascii="IRNazanin" w:hAnsi="IRNazanin" w:eastAsia="IRNazanin"/>
          <w:color w:val="111111"/>
          <w:sz w:val="28"/>
          <w:sz w:val="28"/>
          <w:szCs w:val="28"/>
          <w:rtl w:val="true"/>
          <w:lang w:bidi="fa-IR"/>
        </w:rPr>
        <w:t>و ابن سعید رحمهما الله</w:t>
      </w:r>
      <w:r>
        <w:rPr>
          <w:rStyle w:val="FootnoteAnchor"/>
          <w:rtl w:val="true"/>
        </w:rPr>
        <w:footnoteReference w:id="7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تحریر الوسیله به تفصیل بین حدّ جوان و پیر فتوا داده‌اند؛ یعنی اگر زانی محصن جوان باشد، حدّ او کمتر از زانی محصن پیر و بزرگ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صد تازیانه در اوّلی مطرح نیست و فقط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چنین اختلافی، جای تمسّک به اجماع و امثال آن نیست؛ بلکه باید به مستند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و خصوصیّات آن‌ها را دید</w:t>
      </w:r>
      <w:r>
        <w:rPr>
          <w:rFonts w:eastAsia="IRNazanin" w:cs="IRNazanin"/>
          <w:color w:val="111111"/>
          <w:sz w:val="28"/>
          <w:szCs w:val="28"/>
          <w:rtl w:val="true"/>
          <w:lang w:bidi="fa-IR"/>
        </w:rPr>
        <w:t>.</w:t>
      </w:r>
    </w:p>
    <w:p>
      <w:pPr>
        <w:pStyle w:val="Heading5"/>
        <w:numPr>
          <w:ilvl w:val="4"/>
          <w:numId w:val="1"/>
        </w:numPr>
        <w:rPr/>
      </w:pPr>
      <w:bookmarkStart w:id="681" w:name="__RefHeading___Toc79102_3244359995"/>
      <w:bookmarkStart w:id="682" w:name="_Toc259"/>
      <w:bookmarkEnd w:id="681"/>
      <w:r>
        <w:rPr>
          <w:rtl w:val="true"/>
        </w:rPr>
        <w:t>تقسیم‌بندی روایات باب رجم</w:t>
      </w:r>
      <w:bookmarkEnd w:id="682"/>
    </w:p>
    <w:p>
      <w:pPr>
        <w:pStyle w:val="BookText"/>
        <w:rPr/>
      </w:pPr>
      <w:r>
        <w:rPr>
          <w:rFonts w:ascii="IRNazanin" w:hAnsi="IRNazanin" w:eastAsia="IRNazanin"/>
          <w:color w:val="111111"/>
          <w:sz w:val="28"/>
          <w:sz w:val="28"/>
          <w:szCs w:val="28"/>
          <w:rtl w:val="true"/>
          <w:lang w:bidi="fa-IR"/>
        </w:rPr>
        <w:t>روایات این باب به سه گروه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حکم زنای احصانی را فقط رجم می‌داند و هیچ سخنی از جلد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بر جمع بین جلد و رجم در زنای احصانی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بین حدّ شیخ و شیخه و شابّ و شابّه تفصیل داده است؛ در زنای احصانی دسته‌ی اوّل جمع بین تازیانه و رجم، و در دسته‌ی دوم فقط رجم را به عنوان حدّ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ملاحظه‌ی روایات، باید به جمع بین آن‌ها پرداخت و نتیجه‌ی حاصل از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گروه اوّل روایات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و غیره، عن أحمد بن محمّد بن عیسی، عن الحسین بن سعید، عن النضر بن سوید، عن عاصم بن حمید،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حدّ الأکبر والجلد حدّ اللّه</w:t>
      </w:r>
    </w:p>
    <w:p>
      <w:pPr>
        <w:pStyle w:val="BookText"/>
        <w:rPr/>
      </w:pPr>
      <w:r>
        <w:rPr>
          <w:rFonts w:ascii="IRNazanin" w:hAnsi="IRNazanin" w:eastAsia="IRNazanin"/>
          <w:color w:val="111111"/>
          <w:sz w:val="28"/>
          <w:sz w:val="28"/>
          <w:szCs w:val="28"/>
          <w:rtl w:val="true"/>
          <w:lang w:bidi="fa-IR"/>
        </w:rPr>
        <w:t>الأصغر، فإذا زنی الرجل المحصن رجم ولم یجلد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صحیحه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حدّ بزرگ خدا و تازیانه حدّ کوچک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به بیان یک ضابطه‌ی کلّی پرداخته،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محصنی زنا کرد، رجم شده و تازیانه به او زده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علیه السلام نه تنها اکتفا به رجم کرده، بلکه تازیانه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روایت، شامل پیر و جوان هر دو می‌شود؛ هر چند خصوصیّت رجل محصن، الغا می‌شود و زن محصنه نیز همین حدّ را دارد؛ به عبارت دیگر، در این حکم، بین زن مرد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أبان، عن أبی العباس،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رسول اللّه صلی الله علیه و آله ولم یجلد وذکروا أنّ علیّاً علیه السلام رجم بالکوفة وجلد، فأنکر ذلک أبو عبداللّه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هذا، أی لم یحدّ رجلاً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ورجم فی ذنب واحد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موثّقه،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زناکار را رجم کرد، ولی به وی تازیانه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گروهی که در محضر امام صادق علیه السلام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امیرمؤمنان علیه السلام بین رجم و جلد جمع کرد؟</w:t>
      </w:r>
    </w:p>
    <w:p>
      <w:pPr>
        <w:pStyle w:val="BookText"/>
        <w:rPr/>
      </w:pPr>
      <w:r>
        <w:rPr>
          <w:rFonts w:ascii="IRNazanin" w:hAnsi="IRNazanin" w:eastAsia="IRNazanin"/>
          <w:color w:val="111111"/>
          <w:sz w:val="28"/>
          <w:sz w:val="28"/>
          <w:szCs w:val="28"/>
          <w:rtl w:val="true"/>
          <w:lang w:bidi="fa-IR"/>
        </w:rPr>
        <w:t>امام صادق علیه السلام این مطلب را انکار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چنین مطلبی واقعیّت ندارد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ادامه‌ی روایت، تفسیری آمده و بیان امام علیه السلام را توضیح داده است؛ مبنی بر آن‌که امیرمؤمنان علیه السلام یک نفر را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و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طبق قاعده از راوی است که مقصود امام صادق علیه السلام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نعرف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امیرمؤمنان علیه السلام بر خلاف رسول خدا صلی الله علیه و آله یک نفر را دو حدّ زده باشد؛ و معنای دو حدّ نیز تازیانه و رجم در گناه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ظاهر روایت، تفسیر راوی از کلام امام علیه السلام برداشتی صحیح و مطابق با ظاهر حدیث است؛ لیکن به نقل صاحب وسائل رحمه الله، شیخ طوسی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یونس برای این خبر نادرست است؛ بلکه امام حکم اوّل را منکر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جلد و رجم کرده است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این حمل مرحوم شیخ طوسی انصافاً بعید است؛ و به هیچ وجه قابل قبول نخواهد بود که امام علیه السلام مطلبی را گفته باشد، و پس از آن‌که مورد اعتراض حضّار واقع شود، آن را انکار کرده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پیامبر صلی الله علیه و آله چگونه عمل کرده، شاید او نیز مانند امیرمؤمنان علیه السلام جمع بین تازیانه و رجم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دو احتمال، تناقض به تمام معنا است؛ زیرا، با تفسیر اوّل، روایت فقط بر رجم دلالت دارد؛ بنا بر توجیه شیخ طوسی رحمه الله بر تازیانه و رجم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بن إبراهیم، عن أبیه، عن محمّد بن الفرات،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بخمسة نفر اخذوا فی الزنا فأمر أن یقام علی کلّ واحد منهم الحدّ، وکان أمیر المؤمنین علیه السلام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لیس هذا حکمهم،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أنت الحدّ علیهم، فقدّم واحداً منهم فضرب عنقه، وقدّم الآخر فرجمه وقدّم الثالث فضربه الحدّ وقدّم الرابع فضربه نصف الحدّ وقدّم الخامس فعزّره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 عمر وتعجّب الناس من فعله،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خمسة نفر فی قضیة واحدة أقمت علیهم خمسة حدود لیس شیء منها یشبه الآخر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فکان ذمیّاً فخرج عن ذمّته لم یکن له حدّ إلّا السیف، وأمّا الثانی فرجل محصن کان حدّه الرجم، أمّا الثالث فغیر محصن حدّه الجلد وأمّا الرابع فعبد ضربناه نصف الحدّ وأمّا الخامس فمجنون مغلوب علی عقله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مفاد این حدیث مفصّل ثبوت حدّ رجم در زنای احصانی، و عدم ثبوت تازیانه در هیچ‌یک از موارد احصان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گروه دوم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محبوب، عن أبی أیّوب، عن العلاء، عن محمّد بن مسلم، عن أبی جعفر علیه السلام فی المحصن والمحصنة جلد مائة ثمّ الرجم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محمّد بن مسلم از امام باقر علیه السلام در مطلق زناکار محصن و محصنه جمع بین تازیانه و رجم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علیّ بن محبوب، عن محمّد بن الحسین، عن الحسن بن محبوب، عن علیّ بن رئاب، عن زرارة، عن أبی جعفر علیه السلام فی المحصن والمحصنة جلد مائة ثمّ الرجم</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با روایت اوّل یکی است؛ و احتمال دارد امام باقر علیه السلام این مطلب را در یک مجلس فرموده و زراره و محمّد بن مسلم آن را شنیده و برای شاگردان خود نقل کرده باشند؛ ولی به اعتبار این‌که راویان آن متعدّدند آن‌ها را نمی‌توان یک روایت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الحسن بن محبوب، عن أبی أیّوب، عن الفضیل،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عند الإمام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الزانی المحصن فإنّه لا یرجمه إلّاأن یشهد علیه أربعة شهداء، فإذا شهدوا ضربه الحدّ مائة جلدة، ثمّ یرجمه</w:t>
      </w:r>
      <w:r>
        <w:rPr>
          <w:rFonts w:eastAsia="IRNazanin" w:cs="IRNazanin"/>
          <w:color w:val="111111"/>
          <w:sz w:val="28"/>
          <w:szCs w:val="28"/>
          <w:rtl w:val="true"/>
          <w:lang w:bidi="fa-IR"/>
        </w:rPr>
        <w:t>.</w:t>
      </w:r>
      <w:r>
        <w:rPr>
          <w:rStyle w:val="FootnoteAnchor"/>
          <w:rtl w:val="true"/>
        </w:rPr>
        <w:footnoteReference w:id="70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فضیل از امام صادق علیه السلام مطالبی را نقل می‌کند تا به این‌جا می‌رسد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محصن خصوصیّتی دارد که امام نمی‌تواند او را</w:t>
      </w:r>
    </w:p>
    <w:p>
      <w:pPr>
        <w:pStyle w:val="BookText"/>
        <w:rPr/>
      </w:pPr>
      <w:r>
        <w:rPr>
          <w:rFonts w:ascii="IRNazanin" w:hAnsi="IRNazanin" w:eastAsia="IRNazanin"/>
          <w:color w:val="111111"/>
          <w:sz w:val="28"/>
          <w:sz w:val="28"/>
          <w:szCs w:val="28"/>
          <w:rtl w:val="true"/>
          <w:lang w:bidi="fa-IR"/>
        </w:rPr>
        <w:t>رجم کند؛ مگر آن‌که چهار شاهد به زنای او شهادت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را در گذشته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مورد نظر ما از این حدیث، جمله‌ی اخیر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چهار شاهد شهادت دادند، بر او صد تازیانه زده، و سنگسارش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مسأله پیرمرد و پیرزن مطرح نیست؛ امام علیه السلام حکم را روی زانی محصن برده که نسبت به زن محصنه الغای خصوصیّت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أحمد بن محمّد، عن العبّاس، عن ابن بکیر، عن حمران،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علیه السلام فی امرأة زنت فحملت فقتلت ولدها سرّاً، فأمر بها فجلدها مائة جلدة ثمّ رجمت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رجمها</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زنی را که زنا داده، آبستن شده و فرزندش را مخفیانه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وضع حمل او را کشته و یا قبل از زایمان، مقدّمات قتل فرزند را فراهم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حاضرش ساخته، به او صد تازیانه زده، و او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اوّلین کسی بود که بر او سنگ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حکم در این روایت، مطلق زنای احصانی بوده که بر آن صد تازیانه و رجم مترتّب شده است؛ زیرا، این مطلب مسلّم است که در غیر زنای احصانی، رجم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جمع بین تازیانه و رجم از جهت خصوصیّت زنای احصانی بوده، و یا قتل فرزند در شدّت حدّ نقش داشته است؟ هریک از این دو جهت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 وجود روایات صحیحه و غیر صحیحه، نیازی به این روایت 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جلد سراجة یوم الخمیس ورجمها یوم الجمعة،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تحدّها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جلدتها بکتاب اللّه ورجمتها بسنّة رسول اللّه</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سنن بیهقی</w:t>
      </w:r>
      <w:r>
        <w:rPr>
          <w:rStyle w:val="FootnoteAnchor"/>
          <w:rtl w:val="true"/>
        </w:rPr>
        <w:footnoteReference w:id="712"/>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سراجه یا شراهه از قبیله‌ی هَمْدان یکی از قبایل معروف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مرتکب زنای احصانی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روز پنجشنبه او را تازیانه زده و روز جمعه سنگسار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دو حدّ می‌زنی؟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مطابق کتاب خدا و رجم را برابر سنّت رسول اللّه در حقّ او اجرا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مشخّص نشده است که آیا این زن پیر بوده یا جوان؟ اگر شراهه یا سراجه جوان بوده، دلالت روایت بر مطلوب تمام است؛ والّا به اطلاق آن تمسّک می‌شود، در صورتی که ناقل واقعه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گروه سوم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أحمد بن یحیی، عن إبراهیم بن صالح بن سعد، عن محمّد بن حفص، عن عبداللّه بن طلحة،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الشیخ والعجوز جلدا ثمّ رجما عقوبة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زنی النصف من الرجال رجم ولم یجلد إذا کان قد احصن، وإذا زنی الشابّ الحدث السنّ جلد ونفی سنة من مصره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إبراهیم بن هاشم، عن محمّد بن جعفر، عن عبداللّه بن سنان، عن أبی عبداللّه علیه السلام مثله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w:t>
      </w:r>
      <w:r>
        <w:rPr>
          <w:rFonts w:eastAsia="IRNazanin" w:cs="IRNazanin"/>
          <w:color w:val="111111"/>
          <w:sz w:val="28"/>
          <w:szCs w:val="28"/>
          <w:rtl w:val="true"/>
          <w:lang w:bidi="fa-IR"/>
        </w:rPr>
        <w:t>.</w:t>
      </w:r>
      <w:r>
        <w:rPr>
          <w:rStyle w:val="FootnoteAnchor"/>
          <w:rtl w:val="true"/>
        </w:rPr>
        <w:footnoteReference w:id="71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طریق عبداللّه بن طلحه وعبداللّه بن سنان نقل شده، و هر دو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پیرزن اگر زنا کنند، تازیانه می‌خورند؛ و سپس سنگسار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شدّت عقوبت این دو که با سنّ بالا مرتکب عمل نامشروع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مردان کامل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النصف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به معنای حدّ وسط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ساله، سی و پنج ساله، چهل و پنج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احصانی انجام داده‌اند، سنگسار شده، امّا تازیانه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 تازه سال تن به فحشا داد، تازیانه خورده و یک سال از آن شهر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جوانی می‌باشد که ازدواج نکرده باشد؛ در برخی از روایات نیز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در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الحسن الصفّار، عن الحسن بن الحسین اللؤلؤی، عن صفوان بن یحیی، عن عبدالرّحمن،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یضرب الشیخ والشیخة مائة ویرجمهما، ویرجم المحصن والمحصنة ویجلد البکر والبکرة وینفیهما سنة</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پیرمرد و پیرزن را صد تازیانه زده، آن گاه آنان را سنگسار، و محصن و محصنه را رجم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نظر می‌رسد که دراین روایت، محصن و محصنه در مقابل شیخ و شیخه قرار گرفته است، لیکن مسأله‌ی احصان در هر دو محفوظ است؛ یعنی شیخ محصن و محصن غیر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بکر و بکره را تازیانه زده و یک سال آن‌ها را از شهرشان تبعید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أبی عمیر، عن عبدالرحمن و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والشیخة جلد مائة والرجم، والبکر والبکرة جلد مائة ونفی سنة</w:t>
      </w:r>
      <w:r>
        <w:rPr>
          <w:rFonts w:eastAsia="IRNazanin" w:cs="IRNazanin"/>
          <w:color w:val="111111"/>
          <w:sz w:val="28"/>
          <w:szCs w:val="28"/>
          <w:rtl w:val="true"/>
          <w:lang w:bidi="fa-IR"/>
        </w:rPr>
        <w:t>.</w:t>
      </w:r>
      <w:r>
        <w:rPr>
          <w:rStyle w:val="FootnoteAnchor"/>
          <w:rtl w:val="true"/>
        </w:rPr>
        <w:footnoteReference w:id="71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زنای شیخ و شیخه صد تازیانه و رجم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روایت کلمه‌ی احصان نیامده، امّا پیداست که مقصود از آن، زنای احصانی است؛ به خصوص با توجّه به این نکته که غالباً شیخ و شیخه، معیل و</w:t>
      </w:r>
    </w:p>
    <w:p>
      <w:pPr>
        <w:pStyle w:val="BookText"/>
        <w:rPr/>
      </w:pPr>
      <w:r>
        <w:rPr>
          <w:rFonts w:ascii="IRNazanin" w:hAnsi="IRNazanin" w:eastAsia="IRNazanin"/>
          <w:color w:val="111111"/>
          <w:sz w:val="28"/>
          <w:sz w:val="28"/>
          <w:szCs w:val="28"/>
          <w:rtl w:val="true"/>
          <w:lang w:bidi="fa-IR"/>
        </w:rPr>
        <w:t>متأهل‌اند؛ و فرد غیر غالب از این دو مجرّد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نبوده قید احصان را بیاورند، با آن که قطعاً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روایت، حکم بکر و بکرة را صد تازیانه و نفی و تبعید یک سال بیان می‌کند؛ امّا سخنی از حکم محصن غیر شیخ و شیخه نیاورده، علّت آن روشن بودن حکم است؛ یعنی باید رجم شوند؛ والّا ذکر شیخ و شیخه لغویّت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جمع بین سه گروه روایات</w:t>
      </w:r>
    </w:p>
    <w:p>
      <w:pPr>
        <w:pStyle w:val="BookText"/>
        <w:rPr/>
      </w:pPr>
      <w:r>
        <w:rPr>
          <w:rFonts w:ascii="IRNazanin" w:hAnsi="IRNazanin" w:eastAsia="IRNazanin"/>
          <w:color w:val="111111"/>
          <w:sz w:val="28"/>
          <w:sz w:val="28"/>
          <w:szCs w:val="28"/>
          <w:rtl w:val="true"/>
          <w:lang w:bidi="fa-IR"/>
        </w:rPr>
        <w:t>کلام ما در حدّ شابّ و شابّه‌ی محصن بود، که اگر مرتکب زنا شدند، آیا بر آنان فقط حدّ رجم جاری می‌شود یا باید قبل از سنگسار شدن، صد تازیانه هم بخورند؟ با وجود این که اختلاف در فتاوا به گونه‌ای است که قول هیچ یک از دو طرف به حدّ شهرت نرسیده و مفاد احادیث نیز سه معنا را متضمّن است، آیا وجه جمعی بین روایات هست یا نه؟</w:t>
      </w:r>
    </w:p>
    <w:p>
      <w:pPr>
        <w:pStyle w:val="BookText"/>
        <w:rPr/>
      </w:pPr>
      <w:r>
        <w:rPr>
          <w:rFonts w:ascii="IRNazanin" w:hAnsi="IRNazanin" w:eastAsia="IRNazanin"/>
          <w:color w:val="111111"/>
          <w:sz w:val="28"/>
          <w:sz w:val="28"/>
          <w:szCs w:val="28"/>
          <w:rtl w:val="true"/>
          <w:lang w:bidi="fa-IR"/>
        </w:rPr>
        <w:t>کسی که با این سه گروه از روایات برخورد می‌کند، می‌بیند که یک گروه در مطلق زنای احصانی رجم و تازیانه را ثابت، و طائفه‌ای فقط رجم را و گروه سوم در شیخ و شیخه تازیانه و رجم و در شابّ و شابّه فقط رجم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چنین به ذهن می‌آید که روایات گروه سوم شاهد جمع بین دو طایفه‌ی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یک دسته از روایات در طرف اثبات مطلبی گفته، و دسته‌ی دیگر، در طرف نفی آن وارد شد و دسته‌ی سوم در مورد نفی و اثبات تفصیل بدهد، با توجّه به طایفه‌ی اخیر، روایات اثبات را بر مورد اثبات و روایات نفی را بر مورد نفی حمل کرده، در نتیجه مورد نفی از اثبات جدا شده و تعارض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نیز روایات رجم را بر زنای احصانی شابّ و شابّه، و روایات جمع بین رجم و تازیانه را بر زنای احصانی شیخ و شیخه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 و جواب</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جمع هر چند واضح است، لیکن این شبهه مطرح است که مطلبی به این روشنی را چرا بزرگان فقها نگفته و قائل به تفصیل نشده‌اند؛ و به طور کلّ حکم به جمع بین تازیانه و رجم در مرد و زن جوان کرده‌اند؟</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دسته‌ی سوم بخواهد شاهد جمع قرار گیرد، باید از جهت سند، اعتبار و حجیّت داشته باشد؛ وگرنه روایت ضعیف السند که فاقد اعتبار و حجیّت است، چطور می‌تواند بین دو دسته روایت معتبر جمع کند و قرینیّت بر تصرّف داشته باشد؟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این مطلب که طایفه‌ی سوم همگی ضعیف و فاقد اعتبار هستند، چرا فقط بر طبق طایفه‌ی اوّل که جمع بین تازیانه و رجم است، فتوا داده، و طایفه‌ی دیگر که فقط بر رجم دلالت می‌کند را کنار گذاشتند؟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کنار گذاشتن روایات 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روایات معتبری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موافقتشان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جهت تقیّه‌ای بودن، کنار گذاشته و طایفه‌ای را که مخالف با تقیّه بود،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و به طور کلّ، مرجّحات باب خبرین متعارضین در صورتی جا دارد که بین دو خبر تعارض باشد و تعارض در فرض عدم امکان جمع دلالی بین دو روایت محقّق می‌شود؛ وگرنه اگر بتوان بین دو طایفه از روایات جمع دلالی کرد، نوبت به تعارض و اعمال مرجّحات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اوّلین مرجّح که شهرت فتوایی است، در جایی مرجّحیت دارد که جمع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فرض این‌که روایات طایفه‌ی سوم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این روایات و فتاوای قوم 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حجیّت و اعتبار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می‌خواستیم طایفه سوم را مستند و شاهد جمع قرار دهیم، با ضعف سند امکان استناد نداشت؛ امّا اگر ما باشیم و دو طایفه‌ی از روایات که در وجه جمع آن‌ها مانده‌ایم، این فتاوا و طایفه سوم می‌تواند راه را به ما نشان دهد؛ یعنی راه جمع را از آن‌ها یاد گرفته‌ایم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جمعی که روایات رجم را بر مرد و زن جوان، و روایات تازیانه و رجم را بر پیرمرد و پیرزن حمل کنیم، جمعی عقلایی و عرفی بوده و نزد عرف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جمعی، از باب تعارض خارج شده و نوبت به ترجیح مخالف عامّه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روایات گروه سوم</w:t>
      </w:r>
    </w:p>
    <w:p>
      <w:pPr>
        <w:pStyle w:val="BookText"/>
        <w:rPr/>
      </w:pPr>
      <w:r>
        <w:rPr>
          <w:rFonts w:ascii="IRNazanin" w:hAnsi="IRNazanin" w:eastAsia="IRNazanin"/>
          <w:color w:val="111111"/>
          <w:sz w:val="28"/>
          <w:sz w:val="28"/>
          <w:szCs w:val="28"/>
          <w:rtl w:val="true"/>
          <w:lang w:bidi="fa-IR"/>
        </w:rPr>
        <w:t>مطالب بالا بر فرض قبول بی اعتباری روایات طایفه‌ی سوم، جا دارد؛ در حالی که این طایفه مرکّب از روایات معتبر و ضعاف است؛ و صحیح و معتبر بودن برخی از آن‌ها کافی است تا شاهد جمع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روایت معتبر از نظر سند و دلالت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ابن أبی عمیر، عن عبدالرّحمن وحمّاد،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والشیخة جلد مائة والرجم والبکر والبکرة جلد مائة ونفی سنة</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 پیرمرد و پیرزن صد تازیانه و رجم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در مباحث اصولی در باب مفاهیم، به مفهوم در همه جا قائل نشده‌ایم؛ ولی برخی از تعبیرات ظهور در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الشیخ والشیخة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 و شیخه به عنوان مثال نیست؛ بلکه می‌خواسته در ابتدا حکم آن‌ها را بیان، و پس از آن به حکم شابّ و شابّه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که حکم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الشیخ والشیخة جلد مائة 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 زیرا، ما دو نوع زانی محصن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شیخ و شیخه را موضوع حکمی قرار داد، معنای آن نفی حکم از غیر این مورد،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و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عبارت و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اکرام عمرو ندارد؛ 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روایت فوق به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رجمی که شنیده‌اید، خیال نکنید در همه جا به تنهایی پیاده می‌شود؛ بلکه اگر زانیِ محصن شیخ و شیخه بود، علاوه بر رجم، عقوبت تازیانه هم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وجود تمامیّت دلالت و سند روایت، چرا شاهد جمع برای دو طایفه‌ی اوّل قرار نگیرد؟ البته در طایفه‌ی سوم، روایات ضعیفی نیز وجود دارد؛ ولی این روایت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بین حدّ جوان و پیر، به ثبوت رجم در اوّلی، و رجم و تازیانه در دوّمی، مستفاد از جمع بین ادلّه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این مسأله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فقط رجم است که در حقّ زانی محصن هنگامی که با زن بالغ و عاقل زنا کند، و زانیه محصنه هنگامی که مرد بالغ و عاقلی با او زنا کند، جاری می‌شود؛ به شرط آن‌که جوان باشند</w:t>
      </w:r>
      <w:r>
        <w:rPr>
          <w:rFonts w:eastAsia="IRNazanin" w:cs="IRNazanin"/>
          <w:color w:val="111111"/>
          <w:sz w:val="28"/>
          <w:szCs w:val="28"/>
          <w:rtl w:val="true"/>
          <w:lang w:bidi="fa-IR"/>
        </w:rPr>
        <w:t>.</w:t>
      </w:r>
      <w:bookmarkStart w:id="683" w:name="pg16919_227223"/>
    </w:p>
    <w:p>
      <w:pPr>
        <w:pStyle w:val="BookText"/>
        <w:rPr/>
      </w:pPr>
      <w:bookmarkEnd w:id="6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المحصن إذا زنی بغیر البالغة أو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زنی البالغ العاقل المحصن بغیر البالغة أو بالمجنونة فهل علیه الرجم أم الحدّ دون الرجم؟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ثبوت الرجم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زنی المجنون بالعاقلة البالغة مع کونها مطاوعة فعلیها الحدّ کاملة من رجم أو جلد، ولیس علی المجنون حدّ علی الأقوی</w:t>
      </w:r>
      <w:r>
        <w:rPr>
          <w:rFonts w:eastAsia="IRNazanin" w:cs="IRNazanin"/>
          <w:color w:val="111111"/>
          <w:sz w:val="28"/>
          <w:szCs w:val="28"/>
          <w:rtl w:val="true"/>
          <w:lang w:bidi="fa-IR"/>
        </w:rPr>
        <w:t>.</w:t>
      </w:r>
    </w:p>
    <w:p>
      <w:pPr>
        <w:pStyle w:val="Heading4"/>
        <w:numPr>
          <w:ilvl w:val="3"/>
          <w:numId w:val="1"/>
        </w:numPr>
        <w:rPr/>
      </w:pPr>
      <w:bookmarkStart w:id="684" w:name="__RefHeading___Toc79104_3244359995"/>
      <w:bookmarkStart w:id="685" w:name="_Toc260"/>
      <w:bookmarkEnd w:id="684"/>
      <w:r>
        <w:rPr>
          <w:rtl w:val="true"/>
        </w:rPr>
        <w:t>حکم محصن در زنای با غیر بالغ یا دیوانه</w:t>
      </w:r>
      <w:bookmarkEnd w:id="685"/>
    </w:p>
    <w:p>
      <w:pPr>
        <w:pStyle w:val="BookText"/>
        <w:rPr/>
      </w:pPr>
      <w:r>
        <w:rPr>
          <w:rFonts w:ascii="IRNazanin" w:hAnsi="IRNazanin" w:eastAsia="IRNazanin"/>
          <w:color w:val="111111"/>
          <w:sz w:val="28"/>
          <w:sz w:val="28"/>
          <w:szCs w:val="28"/>
          <w:rtl w:val="true"/>
          <w:lang w:bidi="fa-IR"/>
        </w:rPr>
        <w:t>در این مسأله دو فرع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بالغ عاقل متأهّلی به زنی صغیره یا دیوانه تجاوز کرد، حکمش چیست؟ آیا بر او حدّ جاری می‌شود یا سنگسارش می‌کنند؟ دو وجه دارد؛ و رجم بر او بعید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قیودی که در مسأله‌ی اوّل ذکر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علی المحصن إذا زنی ببالغة عاقلة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عنوان قدر متیقّن بین فتاوا آورده‌اند؛ والّا از نظر خودشان فرقی نمی‌کند مزنیّ‌بها بالغه یا صغیره، عاقله یا مجنونه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دیوانه‌ای با زن شوهردار زنا کند، بدون این‌که اکراهی در بین باشد و بلکه زن با میل و رغبت تن به این کار داد، بر آن زن، حدّ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در صورت عدم احصان، و رجم در صورت 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بر مجنون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مسأله فرض دیگری نیز وجود دارد که بر طبق آن، روایت هم رسیده است، و امام راحل رحمه الله آن را در مسأله بعدی متعرّض شده‌اند؛ یعنی اگر زنی با شرایط کامل بلوغ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 صغیره‌ای زنا کند، حکم آن چیست؟</w:t>
      </w:r>
    </w:p>
    <w:p>
      <w:pPr>
        <w:pStyle w:val="BookText"/>
        <w:rPr/>
      </w:pPr>
      <w:r>
        <w:rPr>
          <w:rFonts w:ascii="IRNazanin" w:hAnsi="IRNazanin" w:eastAsia="IRNazanin"/>
          <w:color w:val="111111"/>
          <w:sz w:val="28"/>
          <w:sz w:val="28"/>
          <w:szCs w:val="28"/>
          <w:rtl w:val="true"/>
          <w:lang w:bidi="fa-IR"/>
        </w:rPr>
        <w:t>تعیین محلّ بحث در این مسأله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زانی محصن باشد، مزنیّ‌بها یا صغیره است، یا مجنونه؛ و اگر زانیه محصن باشد، طرف مقابلش یا صغیر است، یا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چهار فرع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بحث ما در حکم زانی محصن یا زانیه‌ی محصن است که در آن‌ها عقل و بلوغ شرط است و در اوائل کتاب حدود به طور مفصّل این مطلب تحقیق شد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یا مجنونی مرتکب زنا شد،</w:t>
      </w:r>
    </w:p>
    <w:p>
      <w:pPr>
        <w:pStyle w:val="BookText"/>
        <w:rPr/>
      </w:pPr>
      <w:r>
        <w:rPr>
          <w:rFonts w:ascii="IRNazanin" w:hAnsi="IRNazanin" w:eastAsia="IRNazanin"/>
          <w:color w:val="111111"/>
          <w:sz w:val="28"/>
          <w:sz w:val="28"/>
          <w:szCs w:val="28"/>
          <w:rtl w:val="true"/>
          <w:lang w:bidi="fa-IR"/>
        </w:rPr>
        <w:t>باید آن‌ها را به تفصیلی که گذشت تعزیر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ادلّه‌ی فروع چهارگانه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روایاتی که در مسأله‌ی گذشته، مطرح کردیم، بیانگر ثبوت حدّ رجم بر مرد و زن جوان محصن بود؛ بدون این که متعرّض حالات طرف مقابل او در زنا باشد؛ یعنی در روایات نداشتیم که مرد جوان با زن بالغ و عاقل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فرقی نگذاشته بود که طرف مقابل بالغ باشد یا صغیر، عاقل باشد یا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ابی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 جواهر؛</w:t>
      </w:r>
      <w:r>
        <w:rPr>
          <w:rStyle w:val="FootnoteAnchor"/>
          <w:rtl w:val="true"/>
        </w:rPr>
        <w:footnoteReference w:id="717"/>
      </w:r>
      <w:r>
        <w:rPr>
          <w:rFonts w:ascii="IRNazanin" w:hAnsi="IRNazanin" w:eastAsia="IRNazanin"/>
          <w:color w:val="111111"/>
          <w:sz w:val="28"/>
          <w:sz w:val="28"/>
          <w:szCs w:val="28"/>
          <w:rtl w:val="true"/>
          <w:lang w:bidi="fa-IR"/>
        </w:rPr>
        <w:t>از آن به موثّقه‌ی ابن‌بکیر تعبیر کرده است؛ لیکن ابن‌بکیر از ابی مریم، و او از امام صادق علیه السلام روایت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عن ابن فضّال، عن ابن بکیر،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فی آخر ما لقیته عن غلام لم یبلغ الحلم وقع علی امرأة وفجر بامرأة، أیّ شیء یصنع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الغلام دون الحدّ ویقام علی المرأة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لم تبلغ وجدت مع رجل یفجر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الجاریة دون الحدّ، ویقام علی الرجل الحدّ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ملاقاتی که با امام صادق علیه السلام داشتم، از او درباره‌ی صغیری که به حد بلوغ نرسیده و با یک زن اجنبی فجور و زنا کرده بود، پرسیدم که حکم آن دو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غیر مکلّف است و در حقّ او زنا تحقّقی ندارد، لکن عمل غیر مشروعی از او سر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حاکم تشخیص بدهد، زده و بر آن زن حدّ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علی المرأة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گفته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حال زن را ملاحظه کرد و به تناسب حالش بر او حدّ جاری شود؛ زیرا، در روایت</w:t>
      </w:r>
    </w:p>
    <w:p>
      <w:pPr>
        <w:pStyle w:val="BookText"/>
        <w:rPr/>
      </w:pPr>
      <w:r>
        <w:rPr>
          <w:rFonts w:ascii="IRNazanin" w:hAnsi="IRNazanin" w:eastAsia="IRNazanin"/>
          <w:color w:val="111111"/>
          <w:sz w:val="28"/>
          <w:sz w:val="28"/>
          <w:szCs w:val="28"/>
          <w:rtl w:val="true"/>
          <w:lang w:bidi="fa-IR"/>
        </w:rPr>
        <w:t>مطرح نشده که آیا این زن محصن است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محصن بود، به او حدّ رجم، و اگر غیر محصن بود، تازیانه زده می‌شود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احتمال دیگری که در این عبارت وجود دارد؛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الغلام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همان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زن محصن هم باشد، چون طرف مقابل او صغیر است، باید بر او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احتمال دوم اظهر، و احتمال اوّل بر خلاف ظهور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روایت، مطلب را بر عکس کرده؛ یعنی سؤال از دختر صغیری است که مردی با او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صغیره کمتر از حدّ و بر مرد بالغ حدّ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احتمال نیز در این‌جا راه دارد؛ و به نظر ما، اقرب احتمال دوم یعنی ثبوت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روایت موثّقه‌ی ابی مریم بر دو فرع مسأله، یعنی زنای بالغ با صغیر دلالت داشت و مستفاد از آن، ثبوت حدّ تازیانه است؛ خواه بالغ محصن باشد یا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أبی‌بصیر</w:t>
      </w:r>
    </w:p>
    <w:p>
      <w:pPr>
        <w:pStyle w:val="BookText"/>
        <w:rPr/>
      </w:pPr>
      <w:r>
        <w:rPr>
          <w:rFonts w:ascii="IRNazanin" w:hAnsi="IRNazanin" w:eastAsia="IRNazanin"/>
          <w:color w:val="111111"/>
          <w:sz w:val="28"/>
          <w:sz w:val="28"/>
          <w:szCs w:val="28"/>
          <w:rtl w:val="true"/>
          <w:lang w:bidi="fa-IR"/>
        </w:rPr>
        <w:t>محمّد بن یعقوب، عن علیّ بن إبراهیم، عن أبیه، وعن محمّد بن یحیی، عن أحمد بن محمّد جمیعاً، عن ابن محبوب، عن أبی أیّوب الخزّاز، عن سلیمان بن خالد، عن أبی بصیر، عن أبی عبداللّه علیه السلام فی غلام صغیر لم یدرک ابن عشر سنین زنی بامرأة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الغلام دون الحدّ، وتجلد المرأة الحدّ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محصنة؟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ترجم، لأنّ الّذی نکحها لیس بمدرک ولو کان مدرکاً رجمت</w:t>
      </w:r>
      <w:r>
        <w:rPr>
          <w:rFonts w:eastAsia="IRNazanin" w:cs="IRNazanin"/>
          <w:color w:val="111111"/>
          <w:sz w:val="28"/>
          <w:szCs w:val="28"/>
          <w:rtl w:val="true"/>
          <w:lang w:bidi="fa-IR"/>
        </w:rPr>
        <w:t>.</w:t>
      </w:r>
      <w:r>
        <w:rPr>
          <w:rStyle w:val="FootnoteAnchor"/>
          <w:rtl w:val="true"/>
        </w:rPr>
        <w:footnoteReference w:id="72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ابوبصیر از امام صادق علیه السلام راجع به بچّه‌ی ده</w:t>
      </w:r>
    </w:p>
    <w:p>
      <w:pPr>
        <w:pStyle w:val="BookText"/>
        <w:rPr/>
      </w:pPr>
      <w:r>
        <w:rPr>
          <w:rFonts w:ascii="IRNazanin" w:hAnsi="IRNazanin" w:eastAsia="IRNazanin"/>
          <w:color w:val="111111"/>
          <w:sz w:val="28"/>
          <w:sz w:val="28"/>
          <w:szCs w:val="28"/>
          <w:rtl w:val="true"/>
          <w:lang w:bidi="fa-IR"/>
        </w:rPr>
        <w:t>ساله غیر بالغی که با یک زن زنا کرده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غلام باید کمتر از صد تازیانه زده شود؛ و به آن زن چون کامل و بالغ است، صد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محصن باشد، تکلیف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نمی‌شود؛ زیرا، کسی که با او زنا کرده، بالغ نبوده است؛ اگر بالغ می‌بود، این محصنه حتماً رجم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صریح و روشن است و هیچ کس در آن تردید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زن محصنه باشد و صغیری با او زنا کند، از حکم اطلاقات خارج شده و نمی‌توان او را رجم کرد؛ و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تعمیم تعلیل موجود در روایت ابوبصیر</w:t>
      </w:r>
    </w:p>
    <w:p>
      <w:pPr>
        <w:pStyle w:val="BookText"/>
        <w:rPr/>
      </w:pPr>
      <w:r>
        <w:rPr>
          <w:rFonts w:ascii="IRNazanin" w:hAnsi="IRNazanin" w:eastAsia="IRNazanin"/>
          <w:color w:val="111111"/>
          <w:sz w:val="28"/>
          <w:sz w:val="28"/>
          <w:szCs w:val="28"/>
          <w:rtl w:val="true"/>
          <w:lang w:bidi="fa-IR"/>
        </w:rPr>
        <w:t>کلام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الّذی نکحها لیس بمدرک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بر سقوط رجم است، آیا در عکس این قضیّه، یعنی جایی که مرد بالغی با صغیره‌ای زنا کند، جریان دارد به گونه‌ای که عرف استفاده کند در باب زنای احصانی، محلّ جریان رجم جایی است که طرف مقابل هم بالغ باشد؟ یعنی تعلیل تعمیم دارد و شامل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بالغ با صغیره و صغیره با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بعضی تعمیم را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نمی‌توان از تعلیل عمومیّت را استفاده کرد؛ زیرا، اگر زن بالغی با طفل صغیری مقاربت داشت، بر اساس مسائل طبیعی، صغیر نمی‌تواند لذّتی را که زن انتظار دارد برای او به وجود آورد؛ به خلاف جایی که مرد بالغی با صغیره‌ای زنا کند؛ که در این حال، کمبودی احساس نمی‌شود و نقصی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فرق که وجداناً بین دو صورت دیده می‌شود، چگونه می‌توان به عمومیّت تعلیل حکم کرد؟ بلکه تعمیم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مرسله‌ی سرائر</w:t>
      </w:r>
    </w:p>
    <w:p>
      <w:pPr>
        <w:pStyle w:val="BookText"/>
        <w:rPr/>
      </w:pPr>
      <w:r>
        <w:rPr>
          <w:rFonts w:ascii="IRNazanin" w:hAnsi="IRNazanin" w:eastAsia="IRNazanin"/>
          <w:color w:val="111111"/>
          <w:sz w:val="28"/>
          <w:sz w:val="28"/>
          <w:szCs w:val="28"/>
          <w:rtl w:val="true"/>
          <w:lang w:bidi="fa-IR"/>
        </w:rPr>
        <w:t>وقد روی أنّه إذا زنی الرجل بصبیّة لم تبلغ ولا مثلها قد بلغ، لم یکن علیه أکثر من الجلد ولیس علیه رجم، وکذلک المرأة، إذا زنت بصبیّ لم یبلغ لم یکن علیها رجم وکان علیها جلد مائة وعلی الصبیّ والصبیّة التأدیب</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الرجل إذا زنی بمجنونة لم یکن علیه رجم إذا کان محصناً وکان</w:t>
      </w:r>
    </w:p>
    <w:p>
      <w:pPr>
        <w:pStyle w:val="BookText"/>
        <w:rPr/>
      </w:pPr>
      <w:r>
        <w:rPr>
          <w:rFonts w:ascii="IRNazanin" w:hAnsi="IRNazanin" w:eastAsia="IRNazanin"/>
          <w:color w:val="111111"/>
          <w:sz w:val="28"/>
          <w:sz w:val="28"/>
          <w:szCs w:val="28"/>
          <w:rtl w:val="true"/>
          <w:lang w:bidi="fa-IR"/>
        </w:rPr>
        <w:t>علیه جلد مائة ولیس علی المجنونة شیء بحال، لا جلد ولا رجم ولا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زنی مجنون بامرأة عاقلة لم یکن علیه أیضاً شیء بحال ووجب علی المرأة الحدّ تامّاً</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متضمّن هر چهار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مردی با دختر صغیری که بالغ نشده زنا کند، به دنبال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مثلها قد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هم‌سالان او نیز بالغ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عبارت معلوم نیست، ممکن است نظر به این باشد که برای فاعل مسلّم بوده دختر بالغ نیست، به لحاظ این‌که هم‌سالانش هیچ کدام به حدّ بلوغ نرسیده‌اند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چنین مردی بیشتر از تازیانه حدّی نیست و رجم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 بالغی که با صغیری جمع شده باشد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بالغی با زن دیوانه‌ای زنا کرد، هر چند محصن باشد، رجم نمی‌شود؛ فقط صد تازیانه می‌خورد و بر دیوانه به لحاظ عدم توجّه تکلیف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مرسله هر چهار فرض از فروض مسأله را مطرح کرده، لیکن این مرسله قابل استدلال نبوده و فاقد اعتبار و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رحمه الله</w:t>
      </w:r>
      <w:r>
        <w:rPr>
          <w:rStyle w:val="FootnoteAnchor"/>
          <w:rtl w:val="true"/>
        </w:rPr>
        <w:footnoteReference w:id="722"/>
      </w:r>
      <w:r>
        <w:rPr>
          <w:rFonts w:ascii="IRNazanin" w:hAnsi="IRNazanin" w:eastAsia="IRNazanin"/>
          <w:color w:val="111111"/>
          <w:sz w:val="28"/>
          <w:sz w:val="28"/>
          <w:szCs w:val="28"/>
          <w:rtl w:val="true"/>
          <w:lang w:bidi="fa-IR"/>
        </w:rPr>
        <w:t>خواسته با شهرت جبران ضعف سند مرسله را بنماید، لیکن حقّ همان‌گونه که صاحب جواهر رحمهم الله</w:t>
      </w:r>
      <w:r>
        <w:rPr>
          <w:rStyle w:val="FootnoteAnchor"/>
          <w:rtl w:val="true"/>
        </w:rPr>
        <w:footnoteReference w:id="723"/>
      </w:r>
      <w:r>
        <w:rPr>
          <w:rFonts w:ascii="IRNazanin" w:hAnsi="IRNazanin" w:eastAsia="IRNazanin"/>
          <w:color w:val="111111"/>
          <w:sz w:val="28"/>
          <w:sz w:val="28"/>
          <w:szCs w:val="28"/>
          <w:rtl w:val="true"/>
          <w:lang w:bidi="fa-IR"/>
        </w:rPr>
        <w:t>فرموده، این است که در این مسأله شهرتی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مسأله‌ی اختلافی به تمام معنا، چگونه شهرت محقّق می‌شود؟ بنابراین، مرسله از حجّیت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اعتباری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گذشت، وجوهی دیگر نیز به عنوان دلیل بر مسأله گفته‌اند، که اصلاً قابل استناد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زنا صغیر یا مجنون باشد، در این حال قبح و حرمت عمل زنایی کمتر از زنای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عدم جریان حدّ قذف در صورتی است که به مجنونه یا صغیره‌ای نسبت زنا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حرمت عمل در مورد صغیره و مجنونه کمتر است؛ بنابراین، معنا ندارد اگر طرف مقابل محصن باشد، او را رجم کنند؛ زیرا، حدّ رجم برای شدّت عقوبت وقباحت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استحسانات نمی‌تواند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نکحها لیس بمدرک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که ضعف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فصل تمسّک جسته‌اند؛ یعنی هرکسی که در مورد روایت ابوبصیر، قائل به عدم رجم است، در فرض عکس آن نیز همین حکم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مطلب باید گفت حجّیت عدم فصل در صورتی است که به حدّ اجماع معتبر و حجّت برسد؛ وگرنه صرف عدم فصل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بحث‌های گذشته نتیجه گرفتیم که در این مسأله یک طرفِ قضیّه، اطلاقاتی است که بر ثبوت رجم در حقّ محصن شابّ و شابّه دلالت داشت و متعرّض طرف دیگر نبود؛ در مقابل این اطلاق، روایت ابوبصیر صورت زنای صغیر با زن بالغ محصن را خارج کرد و این تقیید مورد اتّفاق همگان است و امام راحل رحمه الله در مسأله بعدی متعرّض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موثّقه‌ی ابی‌مریم نیز مبتنی است بر این‌که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برداشتی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مختار ما، این روایت در دو طرف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مرد بالغ با صغیره و زن بالغ یا صغیره، حکم به ثبوت تازیانه و عدم تحقّق رجم می‌کند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 فرع دیگر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محصن با زن دیوانه و یا زنای محصنه با مرد دیوانه، دلیلی بر سقوط رجم نداریم و اطلاقات ادلّه‌ی رجم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مرسله‌ی سرائر هم حجّت نیست و وجوه اعتباری نیز مفید فایده نیست؛ زیرا، در لذّت بردن بالغ عاقل فرقی نمی‌کند طرف او دیوانه باشد یا عاقل</w:t>
      </w:r>
      <w:r>
        <w:rPr>
          <w:rFonts w:eastAsia="IRNazanin" w:cs="IRNazanin"/>
          <w:color w:val="111111"/>
          <w:sz w:val="28"/>
          <w:szCs w:val="28"/>
          <w:rtl w:val="true"/>
          <w:lang w:bidi="fa-IR"/>
        </w:rPr>
        <w:t>.</w:t>
      </w:r>
      <w:bookmarkStart w:id="686" w:name="pg16919_227236"/>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أقسام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خاصّة، وهو ثابت علی الزانی غیر المحصن إذا لم یملک أی لم یزوّج، وعلی المرأة العاقلة البالغة إذا زنی بها طفل، کانت محصنة أو لا، وعلی المرأة غیر المحصنة إذا زنت</w:t>
      </w:r>
      <w:r>
        <w:rPr>
          <w:rFonts w:eastAsia="IRNazanin" w:cs="IRNazanin"/>
          <w:color w:val="111111"/>
          <w:sz w:val="28"/>
          <w:szCs w:val="28"/>
          <w:rtl w:val="true"/>
          <w:lang w:bidi="fa-IR"/>
        </w:rPr>
        <w:t>.</w:t>
      </w:r>
    </w:p>
    <w:p>
      <w:pPr>
        <w:pStyle w:val="Heading4"/>
        <w:numPr>
          <w:ilvl w:val="3"/>
          <w:numId w:val="1"/>
        </w:numPr>
        <w:rPr/>
      </w:pPr>
      <w:bookmarkStart w:id="687" w:name="__RefHeading___Toc79106_3244359995"/>
      <w:bookmarkStart w:id="688" w:name="_Toc261"/>
      <w:bookmarkEnd w:id="687"/>
      <w:r>
        <w:rPr>
          <w:rtl w:val="true"/>
        </w:rPr>
        <w:t>سوّمین نوع حدّ زنا</w:t>
      </w:r>
      <w:r>
        <w:rPr>
          <w:rtl w:val="true"/>
        </w:rPr>
        <w:t xml:space="preserve">: </w:t>
      </w:r>
      <w:r>
        <w:rPr>
          <w:rtl w:val="true"/>
        </w:rPr>
        <w:t>تازیانه</w:t>
      </w:r>
      <w:bookmarkEnd w:id="688"/>
    </w:p>
    <w:p>
      <w:pPr>
        <w:pStyle w:val="Heading5"/>
        <w:numPr>
          <w:ilvl w:val="4"/>
          <w:numId w:val="1"/>
        </w:numPr>
        <w:rPr/>
      </w:pPr>
      <w:bookmarkStart w:id="689" w:name="__RefHeading___Toc79108_3244359995"/>
      <w:bookmarkStart w:id="690" w:name="_Toc262"/>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در سه مورد، حدّ زنا فقط تازیانه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زناکار غیر محصن و غیر مملّک؛ یعنی کسی که اصلاً ازدواج نکرده و عقدی نخوانده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بالغ و عاقلی که به طفلی زنا داده باشد، خواه محصن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زنای زن غیر محصن با مرد بالغ و عاقل و غیر او</w:t>
      </w:r>
      <w:r>
        <w:rPr>
          <w:rFonts w:eastAsia="IRNazanin" w:cs="IRNazanin"/>
          <w:color w:val="111111"/>
          <w:sz w:val="28"/>
          <w:szCs w:val="28"/>
          <w:rtl w:val="true"/>
          <w:lang w:bidi="fa-IR"/>
        </w:rPr>
        <w:t>.</w:t>
      </w:r>
    </w:p>
    <w:p>
      <w:pPr>
        <w:pStyle w:val="Heading5"/>
        <w:numPr>
          <w:ilvl w:val="4"/>
          <w:numId w:val="1"/>
        </w:numPr>
        <w:rPr/>
      </w:pPr>
      <w:bookmarkStart w:id="691" w:name="__RefHeading___Toc79110_3244359995"/>
      <w:bookmarkStart w:id="692" w:name="_Toc263"/>
      <w:bookmarkEnd w:id="691"/>
      <w:r>
        <w:rPr>
          <w:rtl w:val="true"/>
        </w:rPr>
        <w:t>تحقیق محلّ بحث</w:t>
      </w:r>
      <w:bookmarkEnd w:id="692"/>
    </w:p>
    <w:p>
      <w:pPr>
        <w:pStyle w:val="BookText"/>
        <w:rPr/>
      </w:pPr>
      <w:r>
        <w:rPr>
          <w:rFonts w:ascii="IRNazanin" w:hAnsi="IRNazanin" w:eastAsia="IRNazanin"/>
          <w:color w:val="111111"/>
          <w:sz w:val="28"/>
          <w:sz w:val="28"/>
          <w:szCs w:val="28"/>
          <w:rtl w:val="true"/>
          <w:lang w:bidi="fa-IR"/>
        </w:rPr>
        <w:t>در بین فقها این بحث مطرح است که آیا در باب زنا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و غیر محصن، که حدّ اوّلی رجم، و حد دوّمی، تازیانه و تراشیدن موی سر و تبعید است؛ و یا سه عنوان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محصن که مهم‌ترین حدّش رجم است؛ در انضمام تازیانه به رجم اختلاف بود که در مسائل گذشته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محصن مملّک یا بکر؛ کسی که زن گرفته، لیکن هنوز به او دخول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محصن غیر مملّک؛ فردی که به طور کلّ عقد و ازدواجی نداشته، یعنی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تحریر الوسیله حدّ گروه دوم را تازیانه و تراشیدن موی سر و تبعید بیان کرده، و حدّ گروه سوم را فقط تازیانه گفته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تقسیم‌بندی اخیر مستفاد از کلمات امام راحل رحمه الله در تحریر الوسیله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محصن، بکر و غیر بکر در باب زنا مطرح بوده، و هر کدام حدّ مخصوصی دارند</w:t>
      </w:r>
      <w:r>
        <w:rPr>
          <w:rFonts w:eastAsia="IRNazanin" w:cs="IRNazanin"/>
          <w:color w:val="111111"/>
          <w:sz w:val="28"/>
          <w:szCs w:val="28"/>
          <w:rtl w:val="true"/>
          <w:lang w:bidi="fa-IR"/>
        </w:rPr>
        <w:t>.</w:t>
      </w:r>
      <w:bookmarkStart w:id="693" w:name="pg16919_227238"/>
    </w:p>
    <w:p>
      <w:pPr>
        <w:pStyle w:val="BookText"/>
        <w:rPr/>
      </w:pPr>
      <w:bookmarkEnd w:id="693"/>
      <w:r>
        <w:rPr>
          <w:rFonts w:ascii="IRNazanin" w:hAnsi="IRNazanin" w:eastAsia="IRNazanin"/>
          <w:color w:val="111111"/>
          <w:sz w:val="28"/>
          <w:sz w:val="28"/>
          <w:szCs w:val="28"/>
          <w:rtl w:val="true"/>
          <w:lang w:bidi="fa-IR"/>
        </w:rPr>
        <w:t>مرحوم محقّق نیز در کتاب شرایع</w:t>
      </w:r>
      <w:r>
        <w:rPr>
          <w:rStyle w:val="FootnoteAnchor"/>
          <w:rtl w:val="true"/>
        </w:rPr>
        <w:footnoteReference w:id="724"/>
      </w:r>
      <w:r>
        <w:rPr>
          <w:rFonts w:ascii="IRNazanin" w:hAnsi="IRNazanin" w:eastAsia="IRNazanin"/>
          <w:color w:val="111111"/>
          <w:sz w:val="28"/>
          <w:sz w:val="28"/>
          <w:szCs w:val="28"/>
          <w:rtl w:val="true"/>
          <w:lang w:bidi="fa-IR"/>
        </w:rPr>
        <w:t>دسته‌بندی اوّل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از فقها به هر دو تقسیم متمایل شده‌اند؛ و بر هر دو طرف، ادّعای شهرت و اجماع شده است؛ ولی چنین شهرت و اجماعی نمی‌تواند مستند در مسأله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این مطلب چیست؟ آیا دو عنوان محصن و بکر داریم؟ به کسی که زن گرفته و به او دخول کرده با شرایطی که در باب احصان گذشت، محصن گویند؛ و به غیر او، خواه عقد ازدواج خوانده، امّا دخول نکرده باشد و خواه به طور کلّ زنی ندارد و عقدی نخوانده است، بکر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و غیرمحصن داریم که دوّمی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 و غیر مملّک تقسیم می‌شود؟</w:t>
      </w:r>
    </w:p>
    <w:p>
      <w:pPr>
        <w:pStyle w:val="BookText"/>
        <w:rPr/>
      </w:pPr>
      <w:r>
        <w:rPr>
          <w:rFonts w:ascii="IRNazanin" w:hAnsi="IRNazanin" w:eastAsia="IRNazanin"/>
          <w:color w:val="111111"/>
          <w:sz w:val="28"/>
          <w:sz w:val="28"/>
          <w:szCs w:val="28"/>
          <w:rtl w:val="true"/>
          <w:lang w:bidi="fa-IR"/>
        </w:rPr>
        <w:t>با مراجعه‌ی به روایات، ملاحظه می‌کنیم بسیاری از ادلّه بر تقسیم‌بندی اوّل، و چند روایت نیز بر تقسیم‌بندی دوم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ابتدا به بررسی روایات پرداخته و سپس مقتضای جمع بین ادلّه را اختیار کرد</w:t>
      </w:r>
      <w:r>
        <w:rPr>
          <w:rFonts w:eastAsia="IRNazanin" w:cs="IRNazanin"/>
          <w:color w:val="111111"/>
          <w:sz w:val="28"/>
          <w:szCs w:val="28"/>
          <w:rtl w:val="true"/>
          <w:lang w:bidi="fa-IR"/>
        </w:rPr>
        <w:t>.</w:t>
      </w:r>
    </w:p>
    <w:p>
      <w:pPr>
        <w:pStyle w:val="Heading5"/>
        <w:numPr>
          <w:ilvl w:val="4"/>
          <w:numId w:val="1"/>
        </w:numPr>
        <w:rPr/>
      </w:pPr>
      <w:bookmarkStart w:id="694" w:name="__RefHeading___Toc79112_3244359995"/>
      <w:bookmarkStart w:id="695" w:name="_Toc264"/>
      <w:bookmarkEnd w:id="694"/>
      <w:r>
        <w:rPr>
          <w:rtl w:val="true"/>
        </w:rPr>
        <w:t>بررسی روایات دالّ بر دو عنوان</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أبی عمیر، عن عبدالرّحمن وحمّاد،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والشیخه جلد مائة والرجم، والبکر والبکرة جلد مائة ونفی سنة</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پیرمرد و پیرزن صد تازیانه همراه با رجم، و حدّ بکر و بکره صد تازیانه با یک سال تبعید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روایت درباره‌ی شیخ و شیخه، احصان را نگفته است، لیکن به قرینه‌ی رجم می‌فهمیم که مربوط به احصان است؛ نه این که اگر شیخ و شیخه محصنه هم نباشند، حدّشان رجم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این روایت اشاره کردیم؛ آن‌جا در این مقام بودیم که روایت وقتی جمع بین</w:t>
      </w:r>
    </w:p>
    <w:p>
      <w:pPr>
        <w:pStyle w:val="BookText"/>
        <w:rPr/>
      </w:pPr>
      <w:r>
        <w:rPr>
          <w:rFonts w:ascii="IRNazanin" w:hAnsi="IRNazanin" w:eastAsia="IRNazanin"/>
          <w:color w:val="111111"/>
          <w:sz w:val="28"/>
          <w:sz w:val="28"/>
          <w:szCs w:val="28"/>
          <w:rtl w:val="true"/>
          <w:lang w:bidi="fa-IR"/>
        </w:rPr>
        <w:t>تازیانه و رجم را در حقّ پیرمرد و پیرزن محصن گفت، از آن استفاده می‌شود جمع بین این دو در حقّ شابّ و شابّه محصن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می‌خواهیم از ظاهر روایت استفاده کنیم که دو عنوان بیشتر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 که در شیخ و شیخه خصوصیّتی نیست، و بلکه در این عبارت احصان مطرح است بنابراین، بکر و بکره در مقابل محصن آمده است؛ یعنی غیر محصن و غیر محصنه، در برابر احصانِ شیخ و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روایت استفاده می‌شود هر غیر محصنی به عنوان بکر متّصف، و حدّ او صد تازیانه و یک سال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أحمد بن یحیی، عن إبراهیم بن صالح بن سعد، عن محمّد بن حفص، عن عبداللّه بن طلحة،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الشیخ والعجوز جلدا ثمّ رجما عقوبة لهما، وإذا زنی النصف من الرجال رجم ولم یجلد إذا کان قد احصن، وإذا زنی الشابّ الحدث السنّ جلد، و نفی سنة من مصره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پیرمرد و پیرزن زنا کنند، تازیانه خورده و رجم می‌شوند؛ و اگر افراد میان‌سالِ چهل ساله، پنجاه‌ساله مرتکب زنا شوند، اگر محصن باشند، سنگسار شده، امّا تازیانه به آنان نمی‌زنند؛ و اگر جوان تازه سالی زنا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با نبودن احصان است، و اگر جمله چنین ظهوری هم نداشته باشد اجماع آن را مقیّد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تازیانه زده و یک سال از شهرش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محصن و غیر محصن مطرح است؛ و غیر محصن اطلاق دارد، اعمّ است از این‌که ازدواج کرده باشد منتهی دخولی صورت نگرفته، و یا کسی که اصلاً عقد و ازدواجی نداشته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الحسن الصّفار، عن الحسن بن الحسین اللؤلؤی،</w:t>
      </w:r>
    </w:p>
    <w:p>
      <w:pPr>
        <w:pStyle w:val="BookText"/>
        <w:rPr/>
      </w:pPr>
      <w:r>
        <w:rPr>
          <w:rFonts w:ascii="IRNazanin" w:hAnsi="IRNazanin" w:eastAsia="IRNazanin"/>
          <w:color w:val="111111"/>
          <w:sz w:val="28"/>
          <w:sz w:val="28"/>
          <w:szCs w:val="28"/>
          <w:rtl w:val="true"/>
          <w:lang w:bidi="fa-IR"/>
        </w:rPr>
        <w:t>عن صفوان بن یحیی، عن عبدالرّحمن،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یضرب الشیخ والشیخة مائة ویرجمهما، ویرجم المحصن والمحصنة، ویجلد البکر والبکرة وینفیهما سنة</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وثاقت حسن بن حسین لؤلؤی اختلاف است، لیکن نجاشی رحمه الله او را توثیق کرده است؛ و بنابراین، سند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صد تازیانه به پیرمرد و پیرزن می‌زد، آن گاه آنان را رجم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اقامه‌ی این حدّ در صورت احصان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و محصنه را سنگسار، و بکر و بکره را تازیانه زده، یک سال به تبعید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دو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محصن تازیانه و تبعید، هر دو،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غیر محصنی به عنوان بکر معنون است، خواه ازدواج کرده و دخولی محقّق نشده و یا هنوز مجرّد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أحمد بن محمّد بن عیسی، عن محمّد بن عیسی، عن عبداللّه بن المغیرة، عن إسماعیل بن أبی زیاد، عن جعفر بن محمّد، عن آبائه علیهما السلام، أنّ محمّد بن أبی بکر کتب إلی علیّ علیه السلام فی الرجل زنی بالمرأة الیهودیة والنصرانیة، 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محصناً فارجمه، وإن کان بکراً فاجلده مائة جلدة ثمّ انفه وأمّا الیهودیة فابعث بها إلی أهل ملّتها فلیقضوا فیها ما أحبّوا</w:t>
      </w:r>
      <w:r>
        <w:rPr>
          <w:rFonts w:eastAsia="IRNazanin" w:cs="IRNazanin"/>
          <w:color w:val="111111"/>
          <w:sz w:val="28"/>
          <w:szCs w:val="28"/>
          <w:rtl w:val="true"/>
          <w:lang w:bidi="fa-IR"/>
        </w:rPr>
        <w:t>.</w:t>
      </w:r>
      <w:r>
        <w:rPr>
          <w:rStyle w:val="FootnoteAnchor"/>
          <w:rtl w:val="true"/>
        </w:rPr>
        <w:footnoteReference w:id="72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معروف به سکونی از امام صادق علیه السلام، و آن حضرت از پدرانش علیهما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در نامه‌ای به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با یک زن یهودی و یا نصرانی زنا کرده، حکم آنان چیست؟</w:t>
      </w:r>
    </w:p>
    <w:p>
      <w:pPr>
        <w:pStyle w:val="BookText"/>
        <w:rPr/>
      </w:pPr>
      <w:r>
        <w:rPr>
          <w:rFonts w:ascii="IRNazanin" w:hAnsi="IRNazanin" w:eastAsia="IRNazanin"/>
          <w:color w:val="111111"/>
          <w:sz w:val="28"/>
          <w:sz w:val="28"/>
          <w:szCs w:val="28"/>
          <w:rtl w:val="true"/>
          <w:lang w:bidi="fa-IR"/>
        </w:rPr>
        <w:t>امیرمؤمنان علیه السلام در جوابش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زانی محصن است، سنگسارش کن؛ و اگر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صد تازیانه زده، او را نفی بلد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دراین روایت،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یهودی را نیز نزد هم‌کیشانش بفرست تا هر چه می‌خواهند درباره‌اش قضاوت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عیسی، عن یونس،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الزانی إذا زنی أینفی؟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الّتی جلد فیها إلی غیرها</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ابوبصیر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زانی زنا کند، تبعید هم به عنوان حدّ در حقّ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مراد ابوبصیر از زانی، غیر محصن بوده، ولی تفصیلی نداده است که آیا زن دارد و به او دخول نکرده و یا اصلاً همسر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نیز در جواب، ترک استفصال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نپرسید مرادت چه قسم از زانی غیر محصن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را فرمود؛ مبنی بر آن که از شهری که در آن تازیانه خورده به شهر دیگری تبعید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یونس،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ینبغی للإمام أن ینفیه من الأرض الّتی جلد فیها إلی غیرها، فإنّما علی الإمام، أن یخرجه من المصر الّذی جلد فیه</w:t>
      </w:r>
      <w:r>
        <w:rPr>
          <w:rFonts w:eastAsia="IRNazanin" w:cs="IRNazanin"/>
          <w:color w:val="111111"/>
          <w:sz w:val="28"/>
          <w:szCs w:val="28"/>
          <w:rtl w:val="true"/>
          <w:lang w:bidi="fa-IR"/>
        </w:rPr>
        <w:t>.</w:t>
      </w:r>
      <w:r>
        <w:rPr>
          <w:rStyle w:val="FootnoteAnchor"/>
          <w:rtl w:val="true"/>
        </w:rPr>
        <w:footnoteReference w:id="73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معتبر،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زنا کند برای امام سزاوار است که او را از جایی که تازیانه خورده به محل دیگری تبعید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کسی تصوّر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وجوب منافاتی ندارد؛ زیرا، این کلمه ظاهر در وجوب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به دنبال آن مطلبی فرمود که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حتمیّت و لزوم دارد؛ و آن این که بر امام لازم است او را از شهری که تازیانه خورده،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حکم در این حدیث مرد زانی است که با قرینه‌ی قطعی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غیر محصن است؛ زیرا، زانی محصن باید رجم و از صفحه‌ی وجود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زانی غیر محصن نیز تفصیلی نداده‌اند که آیا زن دارد و به او دخول نکرده، و یا هنوز در دوران تجرّد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صدوق رحمه الله در من لا یحضره الفقیه از سماعه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الرجل لیس ینبغی للإمام أن ینفیه من الأرض الّتی جلد فیها إلی غیرها فإنّما علی الإمام أن یخرجه من المصر الّذی جلد فیه</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بنا بر این نقل، معنای روایت با آن‌چه گفتیم، فرق می‌کند و مستفاد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تبعید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را از قم مثلاً به کاشان تبعید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سال در این محل باشی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را از آن شهر بیرون کرده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می‌خواهی برو، حقّ انتخاب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امام او را از شهری که تازیانه خورده به شهر دیگری تبعید کند، بلکه وظیفه‌ی امام اخراج او از آن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سهل بن زیاد، عن ابن أبی نجران، عن مثّنی الحنّاط،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الزانی إذا جلد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الأرض إلی بلدة یکون فیها سنة</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زانی تازیانه زدند کار تمام است و یا بر او عقوبت دیگری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سؤال از زانی غیر محصن بوده که آیا کارش با تازیانه تمام می‌شود یا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سرزمین به شهری که یک سال در آن‌جا اقامت کند، تبعید می‌شود</w:t>
      </w:r>
      <w:r>
        <w:rPr>
          <w:rFonts w:eastAsia="IRNazanin" w:cs="IRNazanin"/>
          <w:color w:val="111111"/>
          <w:sz w:val="28"/>
          <w:szCs w:val="28"/>
          <w:rtl w:val="true"/>
          <w:lang w:bidi="fa-IR"/>
        </w:rPr>
        <w:t>.</w:t>
      </w:r>
      <w:bookmarkStart w:id="696" w:name="pg16919_227249"/>
    </w:p>
    <w:p>
      <w:pPr>
        <w:pStyle w:val="BookText"/>
        <w:rPr/>
      </w:pPr>
      <w:bookmarkEnd w:id="696"/>
      <w:r>
        <w:rPr>
          <w:rFonts w:ascii="IRNazanin" w:hAnsi="IRNazanin" w:eastAsia="IRNazanin"/>
          <w:color w:val="111111"/>
          <w:sz w:val="28"/>
          <w:sz w:val="28"/>
          <w:szCs w:val="28"/>
          <w:rtl w:val="true"/>
          <w:lang w:bidi="fa-IR"/>
        </w:rPr>
        <w:t>از مجموع این روایات، استفاده شد که در مطلق زانی غیر محصن، تازیانه و تبعید مطرح است</w:t>
      </w:r>
      <w:r>
        <w:rPr>
          <w:rFonts w:eastAsia="IRNazanin" w:cs="IRNazanin"/>
          <w:color w:val="111111"/>
          <w:sz w:val="28"/>
          <w:szCs w:val="28"/>
          <w:rtl w:val="true"/>
          <w:lang w:bidi="fa-IR"/>
        </w:rPr>
        <w:t>.</w:t>
      </w:r>
    </w:p>
    <w:p>
      <w:pPr>
        <w:pStyle w:val="Heading5"/>
        <w:numPr>
          <w:ilvl w:val="4"/>
          <w:numId w:val="1"/>
        </w:numPr>
        <w:rPr/>
      </w:pPr>
      <w:bookmarkStart w:id="697" w:name="__RefHeading___Toc79114_3244359995"/>
      <w:bookmarkStart w:id="698" w:name="_Toc265"/>
      <w:bookmarkEnd w:id="697"/>
      <w:r>
        <w:rPr>
          <w:rtl w:val="true"/>
        </w:rPr>
        <w:t>بررسی روایات دالّ بر سه عنوان</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الشیخ والشیخة أن یجلدا مائة، وقضی للمحصن الرجم، وقضی فی البکر والبکرة إذا زنیا جلد مائة ونفی سنة غیر مصرهما، وهما اللّذانّ قد املکا ولم یدخل بها</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اعتبار ابراهیم بن هاشم صحیحه و یا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امیرمؤمنان علیه السلام در زنای پیرمرد و پیرزن صد تازیانه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زنای احصانی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زنای محصن حکم به رجم داده، و در بکر و بکره به صد تازیانه و تبعید از آن شهر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بکر و بکره، کسانی هستند که ازدواج کرده، امّا دخولی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دلالت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اللّذانّ قد أملکا ولم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از امام باقر علیه السلام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تفسیری از راوی باشد؛ زیرا، ظاهر روایت چنین اشعاری ندارد؛ وصرف احتمال این‌که راوی در مقام توضیح و تفسیر مقصود امام علیه السلام چیزی اضافه کرده باشد، نمی‌تواند با ظهور روایت مقابله کرده و در برابر آن مقاومت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شیخ طوسی</w:t>
      </w:r>
      <w:r>
        <w:rPr>
          <w:rStyle w:val="FootnoteAnchor"/>
          <w:rtl w:val="true"/>
        </w:rPr>
        <w:footnoteReference w:id="734"/>
      </w:r>
      <w:r>
        <w:rPr>
          <w:rFonts w:ascii="IRNazanin" w:hAnsi="IRNazanin" w:eastAsia="IRNazanin"/>
          <w:color w:val="111111"/>
          <w:sz w:val="28"/>
          <w:sz w:val="28"/>
          <w:szCs w:val="28"/>
          <w:rtl w:val="true"/>
          <w:lang w:bidi="fa-IR"/>
        </w:rPr>
        <w:t>به اسنادش از عاصم بن حمید نقل کرده است، ولی این عبارت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جمله از امام علیه السلام نبوده و تفسیری از راوی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روایات در نقل‌ها کم و زیاده شده و در بعضی از آن‌ها، روایت مشتمل بر مطالب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مطلب زیادتر داشتن دلیل می‌شود که از اضافات راوی است و به امام علیه السلام مربوط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اللّذانّ قد أملکا ولم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از راوی بر کلام امام علیه السلام بوده باشد، امّا به چه مجوّزی مرحوم شیخ آن را نیاورده است؟ بلکه باید آن را به عنوان تفسیر راوی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آن‌که شیخ طوسی رحمه الله ذیل حدیث را نقل نمی‌کند، سبب وهن آن نشده، و روایت از نظر سند و دلالت خوب و قابل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نقطه‌ی ضعف روایت، فقط مطرح کردن تبعید در مورد زن است در حالی که نوع فقها معتقدند زن را نباید تبعید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آینده به بررسی این مطلب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جهت نیز سبب وهن روایت نمی‌شود؛ زیرا، ممکن است به تبعید او قائل شویم؛ و بر فرض این که به تبعید هم قائل نشویم، دلالت روایت در مورد زن را کنار گذاشته، امّا در مورد مرد به آن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عمّن رواه،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یرجم، والّذی قد أملک ولم یدخل بها فجلد مائة ونفی سنة</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را سنگسار، و به کسی که زن گرفته و به او دخول نکرده، صد تازیانه زده، او را یک سال تبعید می‌کنند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 روایت به نقل مرحوم کلینی مرسله است؛ زیرا، یونس معیّن نمی‌کند توسط چه فردی حدیث را از زراره نقل می‌کند؛ و نقل شیخ طوسی رحمه الله که یونس بن عبدالرّحمان روایت را به طور مستقیم از زراره نقل کرده است نیز صحیح نیست؛ زیرا، از خارج می‌دانیم یونس بدون واسطه نمی‌تواند از زراره روایت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آیت‌اللّه بروجردی، زراره از طبقه‌ی چهارم روات و یونس از طبقه‌ی ششم آن‌هاست، و فردی که در طبقه‌ی ششم جای دارد، نمی‌تواند از کسی که در طبقه‌ی چهارم است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به هر دو طریق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دلالت؛ روایت حدّ فرد مملّک را صد تازیانه و یک سال تبعید گفته است، امّا اثبات شیء نفی ماعدا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حدّ غیر مملّک نیز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اشکال دوم قابل جواب است؛ چه آن که اگر فرقی بین مملّک و غیر او در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خصوصیّتی وجود دارد که با این عبارت طولانی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قد أملک ویدخل بها فجلد مائة ونفی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را فرمود؟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محصن یجلد مائة و ینفی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عرفی این‌گونه عبارات، تخصیص حکم به همان موضوع است؛ به خلاف جایی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نفی اکرام عمرو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أحمد بن محمّد، عن الحسین بن سعید، عن فضالة، عن موسی بن بکر،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یحصن یجلد مائة جلدة، ولا ینفی، والّذی قد أملک ولم یدخل بها یجلد مائة، وینفی</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زرارة، موسی بن بکر،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غیر محصن صد تازیانه می‌خورد و تبعید نمی‌شود؛ ولی فردی که مملّک و متزوّج است، امّا دخول نکرده، صد تازیانه خورده و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گونه‌ای که کلینی رحمه الله در کافی نقل کرده، دلالت بر قول مفصّل دارد که بین غیر محصن مملّک و غیر مملّک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استبصار نیز به همین کیفیّت با اضافه‌ای در صدر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 یجلد مائة ویرجم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که حکم محصن را بیان می‌کند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در تهذیب مطبوع روایت این‌گونه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یجلد مائة ویرجم، ومن لم یحصن یجلد مائة ولا ینفی، والّتی قد أملکت ولم یدخل بها تجلد مائة وتنفی</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مرحوم فیض کاشانی رحمه الله در وافی و صاحب جواهر رحمه الله از نسخه‌ی تهذیب، روایت را 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یحصن یجلد مائة وینفی، والّتی قد أملکت ولم یدخل بها تجلد مائة وتنفی</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تحقیقی در اختلاف مضامین روایت</w:t>
      </w:r>
    </w:p>
    <w:p>
      <w:pPr>
        <w:pStyle w:val="BookText"/>
        <w:rPr/>
      </w:pPr>
      <w:r>
        <w:rPr>
          <w:rFonts w:ascii="IRNazanin" w:hAnsi="IRNazanin" w:eastAsia="IRNazanin"/>
          <w:color w:val="111111"/>
          <w:sz w:val="28"/>
          <w:sz w:val="28"/>
          <w:szCs w:val="28"/>
          <w:rtl w:val="true"/>
          <w:lang w:bidi="fa-IR"/>
        </w:rPr>
        <w:t>به نقل مرحوم کلینی و شیخ طوسی رحمهما الله در استبصار، غیر محصن، دو فرد مملّک و غیر مملّک دارد که حدّ هر دو صد تازیانه است، ولی اوّلی علاوه بر تازیانه، تبعید می‌شود؛ به خلاف دوّمی که حکم تبعید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برآن‌چه در تهذیب الاخبار مطبوع آمده، روایت، حکم مرد غیر محصن را صد تازیانه بدون تبعید، و حکم زن غیر محصن مملّک را صد تازیانه و تبعید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نسخه‌ی تهذیبی که فیض کاشانی و صاحب جواهر رحمهما الله از آن نقل می‌کنند، حکم مرد غیر محصن و زن غیر محصن مملّک صد تازیانه و تبعید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کدام نسخه‌ی تهذیب صحیح است؟ سیاق روایت اقتضا دارد جمله‌ی اوّل در برابر جمله‌ی دوم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یک حکم را برساند، به تکرار نیاز نبود، و دوّمی را عطف بر اوّلی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و دو مرتبه حکم را گفتن، بیانگر وجود تغایر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ما از نقل کافی و استبصار و تهذیب مطبوع که در جمله‌ی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نمی‌توان گذشت؛ به خصوص با شهادت سیاق روایت که عنوان حکم در جمله‌ی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نمی‌توان گذشت؛ به خصوص با شهادت سیاق روایت که عنوان حکم در جمله‌ی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امام علیه السلام در مقام بیان یک حکم بود، نیازی به تکرار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دو گروه از روایات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روایت با مناقشاتی که داشتند و بیشتر آن‌ها قابل جواب بود، اگر از حیث سند ودلالت بلا اشکال باشند، می‌توان آن‌ها را مقیّد و مخصّصی بر روایات گذشته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محصن باید بین مملّک و غیر مملّک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 به صد تازیانه و</w:t>
      </w:r>
    </w:p>
    <w:p>
      <w:pPr>
        <w:pStyle w:val="BookText"/>
        <w:rPr/>
      </w:pPr>
      <w:r>
        <w:rPr>
          <w:rFonts w:ascii="IRNazanin" w:hAnsi="IRNazanin" w:eastAsia="IRNazanin"/>
          <w:color w:val="111111"/>
          <w:sz w:val="28"/>
          <w:sz w:val="28"/>
          <w:szCs w:val="28"/>
          <w:rtl w:val="true"/>
          <w:lang w:bidi="fa-IR"/>
        </w:rPr>
        <w:t>تبعید، و غیر مملّک فقط به صد تازیانه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این مناقشات، تکلیف چیست؟ به نظر ما، روایت اوّل از جهت سند و دلالت بدون اشکال بود؛ دو روایت بعد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طریقی که امام راحل رحمه الله در تحریر الوسیله طی کردند، تمام است؛ و ما برای آن مؤیّداتی نیز داریم که به یکی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علیّ بن إبراهیم، عن أبیه، عن محمّد بن الفرات،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بخمسة نفر اخذوا فی الزنا فأمر أن یقام علی کلّ واحد منهم الحدّ، وکان أمیر المؤمنین علیه السلام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لیس هذا 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أنت الحدّ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واحداً منهم فضرب عنقه، وقدّم الآخر فرجمه، وقدّم الثالث فضربه الحدّ، وقدّم الرابع فضربه نصف الحدّ، وقدّم الخامس فعزّره، فتحیّر عمر وتعجّب الناس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خمسة نفر فی قضیّة واحدة أقمت علیهم خمسة حدود لیس شیء منها یشبه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فکان ذمّیاً فخرج عن ذمّته لم یکن له حدّ إلّا السیف، وأمّا الثانی فرجل محصن کان حدّه الرجم، وأمّا الثالث فغیر محصن حدّه الجلد، وأمّا الرابع فعبد ضربناه نصف الحدّ، وأمّا الخامس فمجنون علی عقله</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زانی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ببرید و به هر کدام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آن‌جا حاضر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همه‌ی آن‌ها صد تازیانه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کیفیّتی می‌دانید حدّ را در حقّ‌شان جاری کنید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یکی را جلو آورده، گردن زد؛ دوّمی را سنگسار کرده، و به سوّمی صد تازیانه</w:t>
      </w:r>
    </w:p>
    <w:p>
      <w:pPr>
        <w:pStyle w:val="BookText"/>
        <w:rPr/>
      </w:pPr>
      <w:r>
        <w:rPr>
          <w:rFonts w:ascii="IRNazanin" w:hAnsi="IRNazanin" w:eastAsia="IRNazanin"/>
          <w:color w:val="111111"/>
          <w:sz w:val="28"/>
          <w:sz w:val="28"/>
          <w:szCs w:val="28"/>
          <w:rtl w:val="true"/>
          <w:lang w:bidi="fa-IR"/>
        </w:rPr>
        <w:t xml:space="preserve">زد؛ و به چهارمی پنجاه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پنجمی را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عمل امیرمؤمنان علیه السلام متحیّر شده، و مردم متعجّب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پنج نفر را در یک جریان گرفتند، شما هر کدام را به گونه‌ای مجازات کردید که با دیگری شباهت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کافری ذمّی بود که با زن مسلمان زنا کرده، پس حدّ او شمشیر و قتل بود؛ دوّمی مرد محصن بود که سزایش رجم بود؛ سوّمی غیر محصن بود و مکافاتش صد تازیانه بود؛ چهارمی عبد بود که نصف حدّ بر او زدیم؛ و پنجمی نیز، چون دیوانه بود، تعزیرش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روایت این است که امام علیه السلام زانی غیر محصن را تازیانه زد، ولی تبعید نکرد؛ پس، معلوم می‌شود در مطلق زانی غیر محصن، حکم تازیانه و تبعید نیست؛ وگرنه امام علیه السلام به تازیانه اکتفا نمی‌کرد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نظر ما، تفصیلی است که امام راحل علیه السلام در تحریر الوسیله اختیار کرده‌اند؛ یعنی غیر محصن را به دو قسم مملّک و غیر مملّک باید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علاوه بر تازیانه، تبعید و تراشیدن موی سر نیز مطرح است؛ امّا حدّ قسم دوم فقط تازیانه است</w:t>
      </w:r>
      <w:r>
        <w:rPr>
          <w:rFonts w:eastAsia="IRNazanin" w:cs="IRNazanin"/>
          <w:color w:val="111111"/>
          <w:sz w:val="28"/>
          <w:szCs w:val="28"/>
          <w:rtl w:val="true"/>
          <w:lang w:bidi="fa-IR"/>
        </w:rPr>
        <w:t>.</w:t>
      </w:r>
      <w:bookmarkStart w:id="699" w:name="pg16919_227261"/>
    </w:p>
    <w:p>
      <w:pPr>
        <w:pStyle w:val="BookText"/>
        <w:rPr/>
      </w:pPr>
      <w:bookmarkEnd w:id="6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أقسام 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 ثمّ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والرجم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حدّ الشیخ والشیخة إذا کانا محصنین فیجلدان أوّلاً ثمّ یرجمان</w:t>
      </w:r>
      <w:r>
        <w:rPr>
          <w:rFonts w:eastAsia="IRNazanin" w:cs="IRNazanin"/>
          <w:color w:val="111111"/>
          <w:sz w:val="28"/>
          <w:szCs w:val="28"/>
          <w:rtl w:val="true"/>
          <w:lang w:bidi="fa-IR"/>
        </w:rPr>
        <w:t>.</w:t>
      </w:r>
    </w:p>
    <w:p>
      <w:pPr>
        <w:pStyle w:val="Heading4"/>
        <w:numPr>
          <w:ilvl w:val="3"/>
          <w:numId w:val="1"/>
        </w:numPr>
        <w:rPr/>
      </w:pPr>
      <w:bookmarkStart w:id="700" w:name="__RefHeading___Toc79116_3244359995"/>
      <w:bookmarkStart w:id="701" w:name="_Toc266"/>
      <w:bookmarkEnd w:id="700"/>
      <w:r>
        <w:rPr>
          <w:rtl w:val="true"/>
        </w:rPr>
        <w:t>چهارمین نوع حدّ زنا</w:t>
      </w:r>
      <w:r>
        <w:rPr>
          <w:rtl w:val="true"/>
        </w:rPr>
        <w:t xml:space="preserve">: </w:t>
      </w:r>
      <w:r>
        <w:rPr>
          <w:rtl w:val="true"/>
        </w:rPr>
        <w:t>صد تازیانه و رجم</w:t>
      </w:r>
      <w:bookmarkEnd w:id="701"/>
    </w:p>
    <w:p>
      <w:pPr>
        <w:pStyle w:val="BookText"/>
        <w:rPr/>
      </w:pPr>
      <w:r>
        <w:rPr>
          <w:rFonts w:ascii="IRNazanin" w:hAnsi="IRNazanin" w:eastAsia="IRNazanin"/>
          <w:color w:val="111111"/>
          <w:sz w:val="28"/>
          <w:sz w:val="28"/>
          <w:szCs w:val="28"/>
          <w:rtl w:val="true"/>
          <w:lang w:bidi="fa-IR"/>
        </w:rPr>
        <w:t>چهارمین حدّ در باب زنا، صد تازیانه و سنگسار کردن است که بر مرد و زن سالخورده محصنی که مرتکب زنا شده باشد،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آنان تازیانه زده، سپس سنگسارشان می‌کنند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این مطلب در قسم دوم از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نیازی به تکرار آن نیست</w:t>
      </w:r>
      <w:r>
        <w:rPr>
          <w:rFonts w:eastAsia="IRNazanin" w:cs="IRNazanin"/>
          <w:color w:val="111111"/>
          <w:sz w:val="28"/>
          <w:szCs w:val="28"/>
          <w:rtl w:val="true"/>
          <w:lang w:bidi="fa-IR"/>
        </w:rPr>
        <w:t>.</w:t>
      </w:r>
      <w:bookmarkStart w:id="702" w:name="pg16919_227262"/>
    </w:p>
    <w:p>
      <w:pPr>
        <w:pStyle w:val="BookText"/>
        <w:rPr/>
      </w:pPr>
      <w:bookmarkEnd w:id="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أقسام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مائة والتغریب والجزّ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والتغریب والجزّ، وهی حدّ البکر وهو الّذی تزوّج ولم یدخل بها علی الأقرب</w:t>
      </w:r>
      <w:r>
        <w:rPr>
          <w:rFonts w:eastAsia="IRNazanin" w:cs="IRNazanin"/>
          <w:color w:val="111111"/>
          <w:sz w:val="28"/>
          <w:szCs w:val="28"/>
          <w:rtl w:val="true"/>
          <w:lang w:bidi="fa-IR"/>
        </w:rPr>
        <w:t>.</w:t>
      </w:r>
    </w:p>
    <w:p>
      <w:pPr>
        <w:pStyle w:val="Heading4"/>
        <w:numPr>
          <w:ilvl w:val="3"/>
          <w:numId w:val="1"/>
        </w:numPr>
        <w:rPr/>
      </w:pPr>
      <w:bookmarkStart w:id="703" w:name="__RefHeading___Toc79118_3244359995"/>
      <w:bookmarkStart w:id="704" w:name="_Toc267"/>
      <w:bookmarkEnd w:id="703"/>
      <w:r>
        <w:rPr>
          <w:rtl w:val="true"/>
        </w:rPr>
        <w:t>پنجمین نوع حدّ زنا</w:t>
      </w:r>
      <w:r>
        <w:rPr>
          <w:rtl w:val="true"/>
        </w:rPr>
        <w:t xml:space="preserve">: </w:t>
      </w:r>
      <w:r>
        <w:rPr>
          <w:rtl w:val="true"/>
        </w:rPr>
        <w:t>صد تازیانه و تبعید و تراشیدن سر</w:t>
      </w:r>
      <w:bookmarkEnd w:id="704"/>
    </w:p>
    <w:p>
      <w:pPr>
        <w:pStyle w:val="Heading5"/>
        <w:numPr>
          <w:ilvl w:val="4"/>
          <w:numId w:val="1"/>
        </w:numPr>
        <w:rPr/>
      </w:pPr>
      <w:bookmarkStart w:id="705" w:name="__RefHeading___Toc79120_3244359995"/>
      <w:bookmarkStart w:id="706" w:name="_Toc268"/>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صد تازیانه وتبعید و تراشیدن سر، حدّ مرد زانی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ازدواج کرده، امّا هنوز به همسرش دخول نکرده است</w:t>
      </w:r>
      <w:r>
        <w:rPr>
          <w:rFonts w:eastAsia="IRNazanin" w:cs="IRNazanin"/>
          <w:color w:val="111111"/>
          <w:sz w:val="28"/>
          <w:szCs w:val="28"/>
          <w:rtl w:val="true"/>
          <w:lang w:bidi="fa-IR"/>
        </w:rPr>
        <w:t>.</w:t>
      </w:r>
    </w:p>
    <w:p>
      <w:pPr>
        <w:pStyle w:val="Heading5"/>
        <w:numPr>
          <w:ilvl w:val="4"/>
          <w:numId w:val="1"/>
        </w:numPr>
        <w:rPr/>
      </w:pPr>
      <w:bookmarkStart w:id="707" w:name="__RefHeading___Toc79122_3244359995"/>
      <w:bookmarkStart w:id="708" w:name="_Toc269"/>
      <w:bookmarkEnd w:id="707"/>
      <w:r>
        <w:rPr>
          <w:rtl w:val="true"/>
        </w:rPr>
        <w:t>اقوال در مسأله</w:t>
      </w:r>
      <w:bookmarkEnd w:id="708"/>
    </w:p>
    <w:p>
      <w:pPr>
        <w:pStyle w:val="BookText"/>
        <w:rPr/>
      </w:pPr>
      <w:r>
        <w:rPr>
          <w:rFonts w:ascii="IRNazanin" w:hAnsi="IRNazanin" w:eastAsia="IRNazanin"/>
          <w:color w:val="111111"/>
          <w:sz w:val="28"/>
          <w:sz w:val="28"/>
          <w:szCs w:val="28"/>
          <w:rtl w:val="true"/>
          <w:lang w:bidi="fa-IR"/>
        </w:rPr>
        <w:t>آیا بر مرد بکر غیر محصن علاوه بر تازیانه و تبعید که در روایات گذشته به آن‌ها اشاره شد، حدّ دیگری یعنی سرتراشی نیز هست؟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قدما مانند شیخ مفید،</w:t>
      </w:r>
      <w:r>
        <w:rPr>
          <w:rStyle w:val="FootnoteAnchor"/>
          <w:rtl w:val="true"/>
        </w:rPr>
        <w:footnoteReference w:id="741"/>
      </w:r>
      <w:r>
        <w:rPr>
          <w:rFonts w:ascii="IRNazanin" w:hAnsi="IRNazanin" w:eastAsia="IRNazanin"/>
          <w:color w:val="111111"/>
          <w:sz w:val="28"/>
          <w:sz w:val="28"/>
          <w:szCs w:val="28"/>
          <w:rtl w:val="true"/>
          <w:lang w:bidi="fa-IR"/>
        </w:rPr>
        <w:t>شیخ طوسی،</w:t>
      </w:r>
      <w:r>
        <w:rPr>
          <w:rStyle w:val="FootnoteAnchor"/>
          <w:rtl w:val="true"/>
        </w:rPr>
        <w:footnoteReference w:id="742"/>
      </w:r>
      <w:r>
        <w:rPr>
          <w:rFonts w:ascii="Amiri" w:hAnsi="Amiri" w:eastAsia="Amiri" w:cs="Amiri"/>
          <w:color w:val="111111"/>
          <w:sz w:val="28"/>
          <w:sz w:val="28"/>
          <w:szCs w:val="28"/>
          <w:rtl w:val="true"/>
          <w:lang w:bidi="ar-SA"/>
        </w:rPr>
        <w:t>سلّار،</w:t>
      </w:r>
      <w:r>
        <w:rPr>
          <w:rStyle w:val="FootnoteAnchor"/>
          <w:rtl w:val="true"/>
        </w:rPr>
        <w:footnoteReference w:id="743"/>
      </w:r>
      <w:r>
        <w:rPr>
          <w:rFonts w:ascii="IRNazanin" w:hAnsi="IRNazanin" w:eastAsia="IRNazanin"/>
          <w:color w:val="111111"/>
          <w:sz w:val="28"/>
          <w:sz w:val="28"/>
          <w:szCs w:val="28"/>
          <w:rtl w:val="true"/>
          <w:lang w:bidi="fa-IR"/>
        </w:rPr>
        <w:t>ابن حمزه،</w:t>
      </w:r>
      <w:r>
        <w:rPr>
          <w:rStyle w:val="FootnoteAnchor"/>
          <w:rtl w:val="true"/>
        </w:rPr>
        <w:footnoteReference w:id="744"/>
      </w:r>
      <w:r>
        <w:rPr>
          <w:rFonts w:ascii="IRNazanin" w:hAnsi="IRNazanin" w:eastAsia="IRNazanin"/>
          <w:color w:val="111111"/>
          <w:sz w:val="28"/>
          <w:sz w:val="28"/>
          <w:szCs w:val="28"/>
          <w:rtl w:val="true"/>
          <w:lang w:bidi="fa-IR"/>
        </w:rPr>
        <w:t>ابن سعید</w:t>
      </w:r>
      <w:r>
        <w:rPr>
          <w:rStyle w:val="FootnoteAnchor"/>
          <w:rtl w:val="true"/>
        </w:rPr>
        <w:footnoteReference w:id="745"/>
      </w:r>
      <w:r>
        <w:rPr>
          <w:rFonts w:ascii="Amiri" w:hAnsi="Amiri" w:eastAsia="Amiri" w:cs="Amiri"/>
          <w:color w:val="111111"/>
          <w:sz w:val="28"/>
          <w:sz w:val="28"/>
          <w:szCs w:val="28"/>
          <w:rtl w:val="true"/>
          <w:lang w:bidi="ar-SA"/>
        </w:rPr>
        <w:t>، محقّق</w:t>
      </w:r>
      <w:r>
        <w:rPr>
          <w:rStyle w:val="FootnoteAnchor"/>
          <w:rtl w:val="true"/>
        </w:rPr>
        <w:footnoteReference w:id="746"/>
      </w:r>
      <w:r>
        <w:rPr>
          <w:rFonts w:ascii="IRNazanin" w:hAnsi="IRNazanin" w:eastAsia="IRNazanin"/>
          <w:color w:val="111111"/>
          <w:sz w:val="28"/>
          <w:sz w:val="28"/>
          <w:szCs w:val="28"/>
          <w:rtl w:val="true"/>
          <w:lang w:bidi="fa-IR"/>
        </w:rPr>
        <w:t>وعلّامه رحمهما الله</w:t>
      </w:r>
      <w:r>
        <w:rPr>
          <w:rStyle w:val="FootnoteAnchor"/>
          <w:rtl w:val="true"/>
        </w:rPr>
        <w:footnoteReference w:id="747"/>
      </w:r>
      <w:r>
        <w:rPr>
          <w:rFonts w:ascii="IRNazanin" w:hAnsi="IRNazanin" w:eastAsia="IRNazanin"/>
          <w:color w:val="111111"/>
          <w:sz w:val="28"/>
          <w:sz w:val="28"/>
          <w:szCs w:val="28"/>
          <w:rtl w:val="true"/>
          <w:lang w:bidi="fa-IR"/>
        </w:rPr>
        <w:t>به آن تصریح کرده‌اند؛ ولی شیخ صدوق، عمّانی، اسکافی، شیخ طوسی در خلاف و مبسوط و ابن‌زهره رحمهما الله متعرّض آن نشده‌اند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مرحوم محقّق در کتاب شرایع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الجلد والتغریب فیجبان علی الذکر غیر المحصن فیجلد مائة ویجزّ رأسه ویغرّب عن مصره عاماً مملّکاً أو غیر مملّک</w:t>
      </w:r>
      <w:r>
        <w:rPr>
          <w:rFonts w:eastAsia="IRNazanin" w:cs="IRNazanin"/>
          <w:color w:val="111111"/>
          <w:sz w:val="28"/>
          <w:szCs w:val="28"/>
          <w:rtl w:val="true"/>
          <w:lang w:bidi="fa-IR"/>
        </w:rPr>
        <w:t>».</w:t>
      </w:r>
      <w:r>
        <w:rPr>
          <w:rStyle w:val="FootnoteAnchor"/>
          <w:rtl w:val="true"/>
        </w:rPr>
        <w:footnoteReference w:id="749"/>
      </w:r>
      <w:bookmarkStart w:id="709" w:name="pg16919_227264"/>
    </w:p>
    <w:p>
      <w:pPr>
        <w:pStyle w:val="Heading5"/>
        <w:numPr>
          <w:ilvl w:val="4"/>
          <w:numId w:val="1"/>
        </w:numPr>
        <w:rPr/>
      </w:pPr>
      <w:bookmarkStart w:id="710" w:name="__RefHeading___Toc79124_3244359995"/>
      <w:bookmarkStart w:id="711" w:name="_Toc270"/>
      <w:bookmarkEnd w:id="709"/>
      <w:bookmarkEnd w:id="710"/>
      <w:r>
        <w:rPr>
          <w:rtl w:val="true"/>
        </w:rPr>
        <w:t>روایات دالّ بر حکم</w:t>
      </w:r>
      <w:bookmarkEnd w:id="711"/>
    </w:p>
    <w:p>
      <w:pPr>
        <w:pStyle w:val="BookText"/>
        <w:rPr/>
      </w:pPr>
      <w:r>
        <w:rPr>
          <w:rFonts w:ascii="IRNazanin" w:hAnsi="IRNazanin" w:eastAsia="IRNazanin"/>
          <w:color w:val="111111"/>
          <w:sz w:val="28"/>
          <w:sz w:val="28"/>
          <w:szCs w:val="28"/>
          <w:rtl w:val="true"/>
          <w:lang w:bidi="fa-IR"/>
        </w:rPr>
        <w:t xml:space="preserve">روایاتی که در نوع سوم از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کردیم، دلالتش بر ثبوت تازیانه و تبعید در مورد زانی مملّک تمام بود؛ ولی هیچ‌یک از آن‌ها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سرتراشیدن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 روایت در این مورد رسیده است که باید به بررسی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محمّد بن علیّ بن محبوب، عن أحمد، عن علیّ بن الحکم، عن سیف بن عمیرة،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 السلام وأنا أسمع، عن البکر یفجر وقد تزوّج ففجر قبل أن یدخل بأهله؟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مائة ویجزّ شعره وینفی من المصر حولاً ویفرّق بینه وبین أهله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که ازدواج کرده و قبل از دخول به اهلش، مرتکب زنا شده است، حکمش چیست؟</w:t>
      </w:r>
    </w:p>
    <w:p>
      <w:pPr>
        <w:pStyle w:val="BookText"/>
        <w:rPr/>
      </w:pPr>
      <w:r>
        <w:rPr>
          <w:rFonts w:ascii="IRNazanin" w:hAnsi="IRNazanin" w:eastAsia="IRNazanin"/>
          <w:color w:val="111111"/>
          <w:sz w:val="28"/>
          <w:sz w:val="28"/>
          <w:szCs w:val="28"/>
          <w:rtl w:val="true"/>
          <w:lang w:bidi="fa-IR"/>
        </w:rPr>
        <w:t>امام صادق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تازیانه زده می‌شود، موی او را می‌چینند و یک سال او را تبعید کرده، بین او و همسرش نیز تفرقه و جدایی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تفرقه بین او و همسرش چیست؟ دو احتمال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ندهند همسرش را به دنبال خود ببرد، تا از این‌جهت در رنج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وادار به طلاق کنند؛ زیرا، مردی که ازدواج کرده و راه برای او باز بوده، و در عین حال مرتکب زنا شده است، معلوم می‌شود مرد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او و همسرش جدایی انداخته می‌شود تا شوهر خوبی برای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احتمال دوم اقرب است؛ یعنی مراد از تفرقه را طلاق بگیریم، نه جدایی بین آنان در مدّت یک سال؛ هر چند فقیهی به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این مطلب 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بنان بن محمّد، وموسی بن القاسم، عن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ولم یدخل بها فزنی،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 ویلحق رأسه ویفرّق بینه وبین أهله وینفی سنة</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ازدواج کرده، ولی قبل از آن‌که دخولی محقّق شود، مرتکب زنا گشت چیست؟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در حقّ او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تراشیدن موی سر، جدایی بین او و همسرش و تبعید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هر دو روایت بر ثبوت حکم نسبت به تراشیدن موی سر تمام است</w:t>
      </w:r>
      <w:r>
        <w:rPr>
          <w:rFonts w:eastAsia="IRNazanin" w:cs="IRNazanin"/>
          <w:color w:val="111111"/>
          <w:sz w:val="28"/>
          <w:szCs w:val="28"/>
          <w:rtl w:val="true"/>
          <w:lang w:bidi="fa-IR"/>
        </w:rPr>
        <w:t>.</w:t>
      </w:r>
      <w:bookmarkStart w:id="712" w:name="pg16919_227268"/>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الشعر مطلقا أو حلق الرأس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 حلق الرأس، ولایجور حلق لحیته ولا حاجبه، والظاهر لزوم حلق جمیع رأسه ولا یکفی حلق شعر الناصیة</w:t>
      </w:r>
      <w:r>
        <w:rPr>
          <w:rFonts w:eastAsia="IRNazanin" w:cs="IRNazanin"/>
          <w:color w:val="111111"/>
          <w:sz w:val="28"/>
          <w:szCs w:val="28"/>
          <w:rtl w:val="true"/>
          <w:lang w:bidi="fa-IR"/>
        </w:rPr>
        <w:t>.</w:t>
      </w:r>
    </w:p>
    <w:p>
      <w:pPr>
        <w:pStyle w:val="Heading4"/>
        <w:numPr>
          <w:ilvl w:val="3"/>
          <w:numId w:val="1"/>
        </w:numPr>
        <w:rPr/>
      </w:pPr>
      <w:bookmarkStart w:id="713" w:name="__RefHeading___Toc79126_3244359995"/>
      <w:bookmarkStart w:id="714" w:name="_Toc271"/>
      <w:bookmarkEnd w:id="713"/>
      <w:r>
        <w:rPr>
          <w:rtl w:val="true"/>
        </w:rPr>
        <w:t>جزّ شعر یا حلق رأس؟</w:t>
      </w:r>
      <w:bookmarkEnd w:id="714"/>
    </w:p>
    <w:p>
      <w:pPr>
        <w:pStyle w:val="Heading5"/>
        <w:numPr>
          <w:ilvl w:val="4"/>
          <w:numId w:val="1"/>
        </w:numPr>
        <w:rPr/>
      </w:pPr>
      <w:bookmarkStart w:id="715" w:name="__RefHeading___Toc79128_3244359995"/>
      <w:bookmarkStart w:id="716" w:name="_Toc272"/>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 xml:space="preserve">دو روایتی که در مبحث قبل بیان شد، در روایت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عامی است که شامل موی سر، موی ریش و ابرو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چیدن است؟ در حالی که در روایت دوم،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تراشیدن غیر از چیدن است؛ و روایت، حلق را مقیّد به موی سر کرده، شامل ریش و ابرو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آیا این دو روایت، دو عنوان جدا مطرح کرده و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یکی از مصادیق آن حلق است؟ کما این‌که امام راحل رحمه الله در تحریر الوسیله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 حلق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مقصود این است‌که مو از بین برود، خواه به صورت تراشیدن باشد و یا به صورت 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عنوان مقابل یکدیگر باشند، چاره‌ای نیست از این‌که در جمع بین این دو روایت، قائل به تخییر شویم؛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باید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بزنیم؛ همان‌گونه که در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Heading5"/>
        <w:numPr>
          <w:ilvl w:val="4"/>
          <w:numId w:val="1"/>
        </w:numPr>
        <w:rPr/>
      </w:pPr>
      <w:bookmarkStart w:id="717" w:name="__RefHeading___Toc79130_3244359995"/>
      <w:bookmarkStart w:id="718" w:name="_Toc273"/>
      <w:bookmarkEnd w:id="717"/>
      <w:r>
        <w:rPr>
          <w:rtl w:val="true"/>
        </w:rPr>
        <w:t>حلق تمام سر یا مقداری از آن؟</w:t>
      </w:r>
      <w:bookmarkEnd w:id="718"/>
    </w:p>
    <w:p>
      <w:pPr>
        <w:pStyle w:val="BookText"/>
        <w:rPr/>
      </w:pP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تراشیدن موی تمام سر است یا می‌توان به تراشیدن مقداری از آن اکتفا کرد؟ 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این عبارت در تراشیدن تمام موی سر او است، نه این‌که قسمتی از آن را بتراشند؛ در حالی که فتوای شیخ مفید رحمه الله در کتاب مقنعه</w:t>
      </w:r>
      <w:r>
        <w:rPr>
          <w:rStyle w:val="FootnoteAnchor"/>
          <w:rtl w:val="true"/>
        </w:rPr>
        <w:footnoteReference w:id="752"/>
      </w:r>
      <w:r>
        <w:rPr>
          <w:rFonts w:ascii="IRNazanin" w:hAnsi="IRNazanin" w:eastAsia="IRNazanin"/>
          <w:color w:val="111111"/>
          <w:sz w:val="28"/>
          <w:sz w:val="28"/>
          <w:szCs w:val="28"/>
          <w:rtl w:val="true"/>
          <w:lang w:bidi="fa-IR"/>
        </w:rPr>
        <w:t>وسلّار رحمه الله در مراسم</w:t>
      </w:r>
      <w:r>
        <w:rPr>
          <w:rStyle w:val="FootnoteAnchor"/>
          <w:rtl w:val="true"/>
        </w:rPr>
        <w:footnoteReference w:id="753"/>
      </w:r>
      <w:r>
        <w:rPr>
          <w:rFonts w:ascii="IRNazanin" w:hAnsi="IRNazanin" w:eastAsia="IRNazanin"/>
          <w:color w:val="111111"/>
          <w:sz w:val="28"/>
          <w:sz w:val="28"/>
          <w:szCs w:val="28"/>
          <w:rtl w:val="true"/>
          <w:lang w:bidi="fa-IR"/>
        </w:rPr>
        <w:t>بر تراشیدن موی</w:t>
      </w:r>
      <w:bookmarkStart w:id="719" w:name="pg16919_227270"/>
    </w:p>
    <w:p>
      <w:pPr>
        <w:pStyle w:val="BookText"/>
        <w:rPr/>
      </w:pPr>
      <w:bookmarkEnd w:id="719"/>
      <w:r>
        <w:rPr>
          <w:rFonts w:ascii="IRNazanin" w:hAnsi="IRNazanin" w:eastAsia="IRNazanin"/>
          <w:color w:val="111111"/>
          <w:sz w:val="28"/>
          <w:sz w:val="28"/>
          <w:szCs w:val="28"/>
          <w:rtl w:val="true"/>
          <w:lang w:bidi="fa-IR"/>
        </w:rPr>
        <w:t>ناصیه و قسمت جلوی سر است؛ و علّت آورده‌اند شناعت این‌گونه سرتراشی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تعلیل مفید فایده نیست؛ زیرا، ما تابع دلیل و ظهور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تراشیدن مقداری از سر،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باید تمام سر را تراشید تا این عنوان صادق باشد، و امتثال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تراشیدن قسمتی از سر یا موی حاجب و مانند آن فایده‌ای ندارد</w:t>
      </w:r>
      <w:r>
        <w:rPr>
          <w:rFonts w:eastAsia="IRNazanin" w:cs="IRNazanin"/>
          <w:color w:val="111111"/>
          <w:sz w:val="28"/>
          <w:szCs w:val="28"/>
          <w:rtl w:val="true"/>
          <w:lang w:bidi="fa-IR"/>
        </w:rPr>
        <w:t>.</w:t>
      </w:r>
    </w:p>
    <w:p>
      <w:pPr>
        <w:pStyle w:val="Heading5"/>
        <w:numPr>
          <w:ilvl w:val="4"/>
          <w:numId w:val="1"/>
        </w:numPr>
        <w:rPr/>
      </w:pPr>
      <w:bookmarkStart w:id="720" w:name="__RefHeading___Toc79132_3244359995"/>
      <w:bookmarkStart w:id="721" w:name="_Toc274"/>
      <w:bookmarkEnd w:id="720"/>
      <w:r>
        <w:rPr>
          <w:rtl w:val="true"/>
        </w:rPr>
        <w:t>موضوع حلق رأس</w:t>
      </w:r>
      <w:bookmarkEnd w:id="721"/>
    </w:p>
    <w:p>
      <w:pPr>
        <w:pStyle w:val="BookText"/>
        <w:rPr/>
      </w:pPr>
      <w:r>
        <w:rPr>
          <w:rFonts w:ascii="IRNazanin" w:hAnsi="IRNazanin" w:eastAsia="IRNazanin"/>
          <w:color w:val="111111"/>
          <w:sz w:val="28"/>
          <w:sz w:val="28"/>
          <w:szCs w:val="28"/>
          <w:rtl w:val="true"/>
          <w:lang w:bidi="fa-IR"/>
        </w:rPr>
        <w:t>موضوعی که در این دو روایت مورد حکم تازیانه و تبعید و حلق رأس واقع شده، مرد مملّک است نه مطلق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ملاحظه‌ی این دو روایت و فتوای بسیاری از فقها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زانی غیر محصن بکر مملّک که ازدواج کرده و دخولی به همسرش نداشته،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تبعید یک سال و تراشیدن موی سر</w:t>
      </w:r>
      <w:r>
        <w:rPr>
          <w:rFonts w:eastAsia="IRNazanin" w:cs="IRNazanin"/>
          <w:color w:val="111111"/>
          <w:sz w:val="28"/>
          <w:szCs w:val="28"/>
          <w:rtl w:val="true"/>
          <w:lang w:bidi="fa-IR"/>
        </w:rPr>
        <w:t>.</w:t>
      </w:r>
    </w:p>
    <w:p>
      <w:pPr>
        <w:pStyle w:val="Heading5"/>
        <w:numPr>
          <w:ilvl w:val="4"/>
          <w:numId w:val="1"/>
        </w:numPr>
        <w:rPr/>
      </w:pPr>
      <w:bookmarkStart w:id="722" w:name="__RefHeading___Toc79134_3244359995"/>
      <w:bookmarkStart w:id="723" w:name="_Toc275"/>
      <w:bookmarkEnd w:id="722"/>
      <w:r>
        <w:rPr>
          <w:rtl w:val="true"/>
        </w:rPr>
        <w:t>حکم جدایی بین زانی و همسرش</w:t>
      </w:r>
      <w:bookmarkEnd w:id="723"/>
    </w:p>
    <w:p>
      <w:pPr>
        <w:pStyle w:val="BookText"/>
        <w:rPr/>
      </w:pPr>
      <w:r>
        <w:rPr>
          <w:rFonts w:ascii="IRNazanin" w:hAnsi="IRNazanin" w:eastAsia="IRNazanin"/>
          <w:color w:val="111111"/>
          <w:sz w:val="28"/>
          <w:sz w:val="28"/>
          <w:szCs w:val="28"/>
          <w:rtl w:val="true"/>
          <w:lang w:bidi="fa-IR"/>
        </w:rPr>
        <w:t>دو روایتی که دلالت بر تراشیدن موی سر داشت، حکم چهارمی را نیز در مورد زانی غیر محصن مملّک متضمّن بود؛ و آن جدایی بین او و زوجه‌اش است آیا می‌توان به این حدّ نیز ملتزم شد؟</w:t>
      </w:r>
    </w:p>
    <w:p>
      <w:pPr>
        <w:pStyle w:val="BookText"/>
        <w:rPr/>
      </w:pPr>
      <w:r>
        <w:rPr>
          <w:rFonts w:ascii="IRNazanin" w:hAnsi="IRNazanin" w:eastAsia="IRNazanin"/>
          <w:color w:val="111111"/>
          <w:sz w:val="28"/>
          <w:sz w:val="28"/>
          <w:szCs w:val="28"/>
          <w:rtl w:val="true"/>
          <w:lang w:bidi="fa-IR"/>
        </w:rPr>
        <w:t>هیچ کس از فقها به آن فتوا نداده است؛ علاوه آن‌که روایت مخالف با آن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أحمد بن محمّد، عن الحسین بن سعید، عن فضالة بن أیّوب،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یزنی قبل أن یدخل بأهله أیرجم؟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عن رفاعة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یفرّق بینهما إذا زنی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5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مردی که قبل از دخول به</w:t>
      </w:r>
      <w:bookmarkStart w:id="724" w:name="pg16919_227272"/>
    </w:p>
    <w:p>
      <w:pPr>
        <w:pStyle w:val="BookText"/>
        <w:rPr/>
      </w:pPr>
      <w:bookmarkEnd w:id="724"/>
      <w:r>
        <w:rPr>
          <w:rFonts w:ascii="IRNazanin" w:hAnsi="IRNazanin" w:eastAsia="IRNazanin"/>
          <w:color w:val="111111"/>
          <w:sz w:val="28"/>
          <w:sz w:val="28"/>
          <w:szCs w:val="28"/>
          <w:rtl w:val="true"/>
          <w:lang w:bidi="fa-IR"/>
        </w:rPr>
        <w:t>همسرش زنا کند، رجم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تا دخول نشود، احصان محقّق نشده و تا احصان نباشد، رجمی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همین روایت را با اضافه‌ای آورده است؛ به این صورت که رفاعه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این زنا قبل از دخول به زوجه بوده، بین آنان جدایی می‌اندازند؟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725" w:name="__RefHeading___Toc79136_3244359995"/>
      <w:bookmarkStart w:id="726" w:name="_Toc276"/>
      <w:bookmarkEnd w:id="725"/>
      <w:r>
        <w:rPr>
          <w:rtl w:val="true"/>
        </w:rPr>
        <w:t>کیفیّت جمع بین دو طایفه</w:t>
      </w:r>
      <w:bookmarkEnd w:id="726"/>
    </w:p>
    <w:p>
      <w:pPr>
        <w:pStyle w:val="BookText"/>
        <w:rPr/>
      </w:pPr>
      <w:r>
        <w:rPr>
          <w:rFonts w:ascii="IRNazanin" w:hAnsi="IRNazanin" w:eastAsia="IRNazanin"/>
          <w:color w:val="111111"/>
          <w:sz w:val="28"/>
          <w:sz w:val="28"/>
          <w:szCs w:val="28"/>
          <w:rtl w:val="true"/>
          <w:lang w:bidi="fa-IR"/>
        </w:rPr>
        <w:t>دو روایت علیّ بن جعفر</w:t>
      </w:r>
      <w:r>
        <w:rPr>
          <w:rStyle w:val="FootnoteAnchor"/>
          <w:rtl w:val="true"/>
        </w:rPr>
        <w:footnoteReference w:id="755"/>
      </w:r>
      <w:r>
        <w:rPr>
          <w:rFonts w:ascii="Amiri" w:hAnsi="Amiri" w:eastAsia="Amiri" w:cs="Amiri"/>
          <w:color w:val="111111"/>
          <w:sz w:val="28"/>
          <w:sz w:val="28"/>
          <w:szCs w:val="28"/>
          <w:rtl w:val="true"/>
          <w:lang w:bidi="ar-SA"/>
        </w:rPr>
        <w:t>و حنّان،</w:t>
      </w:r>
      <w:r>
        <w:rPr>
          <w:rStyle w:val="FootnoteAnchor"/>
          <w:rtl w:val="true"/>
        </w:rPr>
        <w:footnoteReference w:id="756"/>
      </w:r>
      <w:r>
        <w:rPr>
          <w:rFonts w:ascii="IRNazanin" w:hAnsi="IRNazanin" w:eastAsia="IRNazanin"/>
          <w:color w:val="111111"/>
          <w:sz w:val="28"/>
          <w:sz w:val="28"/>
          <w:szCs w:val="28"/>
          <w:rtl w:val="true"/>
          <w:lang w:bidi="fa-IR"/>
        </w:rPr>
        <w:t>دلالت بر جدایی بین زن و شوهر داشتند؛ لیکن این روایت نفی تفرقه نمی‌کند؛ به قرینه‌ی آن از ظهور آن دو در وجوب جدایی دست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دلالت بر وجوب جدایی، و این روایت دلالت بر عدم جواز آن دارد؛ لذا، بین دو دسته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صدوق رحمه الله</w:t>
      </w:r>
      <w:r>
        <w:rPr>
          <w:rStyle w:val="FootnoteAnchor"/>
          <w:rtl w:val="true"/>
        </w:rPr>
        <w:footnoteReference w:id="757"/>
      </w:r>
      <w:r>
        <w:rPr>
          <w:rFonts w:ascii="IRNazanin" w:hAnsi="IRNazanin" w:eastAsia="IRNazanin"/>
          <w:color w:val="111111"/>
          <w:sz w:val="28"/>
          <w:sz w:val="28"/>
          <w:szCs w:val="28"/>
          <w:rtl w:val="true"/>
          <w:lang w:bidi="fa-IR"/>
        </w:rPr>
        <w:t>را از جهت مطابقت با شهرت فتوایی مقدّم بر آن دو روایت می‌کنیم</w:t>
      </w:r>
      <w:r>
        <w:rPr>
          <w:rFonts w:eastAsia="IRNazanin" w:cs="IRNazanin"/>
          <w:color w:val="111111"/>
          <w:sz w:val="28"/>
          <w:szCs w:val="28"/>
          <w:rtl w:val="true"/>
          <w:lang w:bidi="fa-IR"/>
        </w:rPr>
        <w:t>.</w:t>
      </w:r>
    </w:p>
    <w:p>
      <w:pPr>
        <w:pStyle w:val="Heading5"/>
        <w:numPr>
          <w:ilvl w:val="4"/>
          <w:numId w:val="1"/>
        </w:numPr>
        <w:rPr/>
      </w:pPr>
      <w:bookmarkStart w:id="727" w:name="__RefHeading___Toc79138_3244359995"/>
      <w:bookmarkStart w:id="728" w:name="_Toc277"/>
      <w:bookmarkEnd w:id="727"/>
      <w:r>
        <w:rPr>
          <w:rtl w:val="true"/>
        </w:rPr>
        <w:t>اختصاص حلق رأس به مرد زانی</w:t>
      </w:r>
      <w:bookmarkEnd w:id="728"/>
    </w:p>
    <w:p>
      <w:pPr>
        <w:pStyle w:val="BookText"/>
        <w:rPr/>
      </w:pPr>
      <w:r>
        <w:rPr>
          <w:rFonts w:ascii="IRNazanin" w:hAnsi="IRNazanin" w:eastAsia="IRNazanin"/>
          <w:color w:val="111111"/>
          <w:sz w:val="28"/>
          <w:sz w:val="28"/>
          <w:szCs w:val="28"/>
          <w:rtl w:val="true"/>
          <w:lang w:bidi="fa-IR"/>
        </w:rPr>
        <w:t xml:space="preserve">موضوع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و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تراشیدن موی سر رسیده بود، مردان است و متعرّض حکم زنان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از آن‌ها نیز وجهی ندارد؛ زیرا،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 زانی را بتراشید،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الغای خصوصیّت کرده، حکم را نسبت به زنان نیز تعمیم می‌دهیم</w:t>
      </w:r>
      <w:r>
        <w:rPr>
          <w:rFonts w:eastAsia="IRNazanin" w:cs="IRNazanin"/>
          <w:color w:val="111111"/>
          <w:sz w:val="28"/>
          <w:szCs w:val="28"/>
          <w:rtl w:val="true"/>
          <w:lang w:bidi="fa-IR"/>
        </w:rPr>
        <w:t>.</w:t>
      </w:r>
    </w:p>
    <w:p>
      <w:pPr>
        <w:pStyle w:val="Heading5"/>
        <w:numPr>
          <w:ilvl w:val="4"/>
          <w:numId w:val="1"/>
        </w:numPr>
        <w:rPr/>
      </w:pPr>
      <w:bookmarkStart w:id="729" w:name="__RefHeading___Toc79140_3244359995"/>
      <w:bookmarkStart w:id="730" w:name="_Toc278"/>
      <w:bookmarkEnd w:id="729"/>
      <w:r>
        <w:rPr>
          <w:rtl w:val="true"/>
        </w:rPr>
        <w:t>اختصاص تبعید به مرد زانی</w:t>
      </w:r>
      <w:bookmarkEnd w:id="73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قدر مسلّم از حدّ تبعید، زانی مملّکی است که عقد خوانده، ولی دخول نکرده باشد؛ لیکن بحث در این است که آیا این حدّ اختصاص به مرد مملّک دارد یا در حقّ زنی</w:t>
      </w:r>
    </w:p>
    <w:p>
      <w:pPr>
        <w:pStyle w:val="BookText"/>
        <w:rPr/>
      </w:pPr>
      <w:r>
        <w:rPr>
          <w:rFonts w:ascii="IRNazanin" w:hAnsi="IRNazanin" w:eastAsia="IRNazanin"/>
          <w:color w:val="111111"/>
          <w:sz w:val="28"/>
          <w:sz w:val="28"/>
          <w:szCs w:val="28"/>
          <w:rtl w:val="true"/>
          <w:lang w:bidi="fa-IR"/>
        </w:rPr>
        <w:t>که ازدواج کرده ولی هنوز نسبت به او دخولی محقّق نشده نیز جاری است؟</w:t>
      </w:r>
    </w:p>
    <w:p>
      <w:pPr>
        <w:pStyle w:val="BookText"/>
        <w:rPr/>
      </w:pPr>
      <w:r>
        <w:rPr>
          <w:rFonts w:ascii="IRNazanin" w:hAnsi="IRNazanin" w:eastAsia="IRNazanin"/>
          <w:color w:val="111111"/>
          <w:sz w:val="28"/>
          <w:sz w:val="28"/>
          <w:szCs w:val="28"/>
          <w:rtl w:val="true"/>
          <w:lang w:bidi="fa-IR"/>
        </w:rPr>
        <w:t xml:space="preserve">پاره‌ای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گذشته به بررسی آن‌ها پرداختیم و سندشان نیز صحیح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ثبوت حدّ تبعید در حقّ مرد بکر و زن بکر داشت؛ برای نمونه، به چند روایت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والشیخة جلد مائة والرجم، والبکر والبکرة جلد مائة ونفی سنة</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عبدالرحمن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یضرب الشیخ والشیخة مائة ویرجمهما، ویرجم المحصن والمحصنة، ویجلد البکر والبکرة وینفیهما سنة</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البکر والبکرة إذا زنیا جلد مائة ونفی سنة فی غیر مصرهما، وهما اللّذان قد أملکا ولم یدخل بها</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این سه روایت به صراحت دلالت بر تبعید زن می‌کند؛ لیکن از اصحاب و فقها به غیر از ابن ابی عقیل رحمه الله</w:t>
      </w:r>
      <w:r>
        <w:rPr>
          <w:rStyle w:val="FootnoteAnchor"/>
          <w:rtl w:val="true"/>
        </w:rPr>
        <w:footnoteReference w:id="761"/>
      </w:r>
      <w:r>
        <w:rPr>
          <w:rFonts w:ascii="IRNazanin" w:hAnsi="IRNazanin" w:eastAsia="IRNazanin"/>
          <w:color w:val="111111"/>
          <w:sz w:val="28"/>
          <w:sz w:val="28"/>
          <w:szCs w:val="28"/>
          <w:rtl w:val="true"/>
          <w:lang w:bidi="fa-IR"/>
        </w:rPr>
        <w:t>، ابن جنید رحمه الله</w:t>
      </w:r>
      <w:r>
        <w:rPr>
          <w:rStyle w:val="FootnoteAnchor"/>
          <w:rtl w:val="true"/>
        </w:rPr>
        <w:footnoteReference w:id="762"/>
      </w:r>
      <w:r>
        <w:rPr>
          <w:rFonts w:ascii="IRNazanin" w:hAnsi="IRNazanin" w:eastAsia="IRNazanin"/>
          <w:color w:val="111111"/>
          <w:sz w:val="28"/>
          <w:sz w:val="28"/>
          <w:szCs w:val="28"/>
          <w:rtl w:val="true"/>
          <w:lang w:bidi="fa-IR"/>
        </w:rPr>
        <w:t>و مرحوم صدوق در کتاب مقنع</w:t>
      </w:r>
      <w:r>
        <w:rPr>
          <w:rStyle w:val="FootnoteAnchor"/>
          <w:rtl w:val="true"/>
        </w:rPr>
        <w:footnoteReference w:id="763"/>
      </w:r>
      <w:r>
        <w:rPr>
          <w:rFonts w:ascii="IRNazanin" w:hAnsi="IRNazanin" w:eastAsia="IRNazanin"/>
          <w:color w:val="111111"/>
          <w:sz w:val="28"/>
          <w:sz w:val="28"/>
          <w:szCs w:val="28"/>
          <w:rtl w:val="true"/>
          <w:lang w:bidi="fa-IR"/>
        </w:rPr>
        <w:t xml:space="preserve">کسی به این مطلب ملتزم نشده است؛ بلکه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تبعید زن ادّعا کرده‌اند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ادلّه‌ی مخالفت اصحاب با صریح روایات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این مطلب که با وجود تصریح روایات به اشتراک زن و مرد در تبعید، چگونه فقها به آن ملتزم نشده‌اند؟ وجوهی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را به همراه محرمی مانند شوهر و یا غیر او تبعید کنیم و یا بدون همراه؟ اگر به همراه محارم باید تبعید شود، گناه آنان چیست؟ زن مرتکب زنا شده، چه ربطی به شوهرش دارد؟ و اگر او را به تنهایی تبعید کنیم با آن روایتی که اهل سنّت از پیامبر صلی الله علیه و آله نقل کرده‌اند، مبنی بر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لامرأة أن تسافر من غیر ذی محرم</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حقّ ندارد بدون محرم به مسافرت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حسب غریزه طبیعی شهوتش زیاد و چند برابر مرد است، با وجود این غلبه‌ی شهوت، موانعی اقتضا می‌کند که آن‌ها به دنبال شهوت‌رانی و کار زشت نروند؛ از پدر و مادر و خویشان حیا می‌کنند، و محارم محافظ و نگهبان آن‌ها هستند و نمی‌گذارند دست از پا خطا کرده به فحشا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چنین زنی، موانع کنار رود و در یک محیط دور دست، جدای از نزدیکان و محارم فرستاده شود، و از طرفی هم مسائل فقر و تنگدستی و دیگر مشکلات به او روی آورد، به ناچار مرتکب فحشا شده و خلاف مطلوب نتیجه می‌دهد؛ اگر او را به عنوان مجازات و تنبیه بر یک زنا تبعید کنند، مرتکب زنای مکرّر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أَتَیْنَ بِفاحِشَةٍ فَعَلَیْهِنَّ نِصْفُ ما عَلَی الْمُحْصَناتِ مِنَ الْعَذابِ </w:t>
      </w:r>
      <w:r>
        <w:rPr>
          <w:rStyle w:val="FootnoteAnchor"/>
          <w:rtl w:val="true"/>
        </w:rPr>
        <w:footnoteReference w:id="76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کنیزانی که مرتکب فحشا می‌شوند به اندازه‌ی نصف کنیزی است که بر زنان آزاد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آنان را شش ماه تبعید کنیم؛ در حالی که به اجماع همه‌ی فقها در حق کنیزان تبعید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اجماع کشف می‌کنیم که در حقّ زنان آزاد نیز تبعیدی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وجوه نمی‌تواند برای فقیه به عنوان دلیل و مستندی مطرح باشد که به استناد آن‌ها از صریح روایات در تعمیم نفی بلد نسبت به زن و مرد دست بردارد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مطلب این است که از اعراض فقها نسبت به این قسمت از روایت که متضمّن حکم تبعید زن است، کشف می‌کنیم یک مطلبی دست به دست به آنان رسیده و از غیر این اخبار، مذاق ائمّه را فهمیده‌اند که بر تبعید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با وجود این‌که روایات در</w:t>
      </w:r>
    </w:p>
    <w:p>
      <w:pPr>
        <w:pStyle w:val="BookText"/>
        <w:rPr/>
      </w:pPr>
      <w:r>
        <w:rPr>
          <w:rFonts w:ascii="IRNazanin" w:hAnsi="IRNazanin" w:eastAsia="IRNazanin"/>
          <w:color w:val="111111"/>
          <w:sz w:val="28"/>
          <w:sz w:val="28"/>
          <w:szCs w:val="28"/>
          <w:rtl w:val="true"/>
          <w:lang w:bidi="fa-IR"/>
        </w:rPr>
        <w:t>منظر آنان بوده و در مورد تبعید مرد نیز به همین روایات تمسّک کرده‌اند؛ امّا در مورد زن از دلالت آن‌ها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معروف است که اگر از روایت صحیحی اعراض شد، سبب وهن آن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صحّةً ازداد بُعداً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با توجّه به این مطالب ما نیز به فتوای قوم، فتوا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اجماعی بر خلاف داریم که آن را اخذ کرده و به آن عمل می‌کنیم؛ و یا اجماعی وجود ندارد، و به روایات صحیحه استناد می‌کنیم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این‌گونه خشک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را فقهای بزرگ ما دیده و بعد فتوا داده‌اند؛ این کاشف از به دست آوردن مذاق ائمّه علیهم السلام توسط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راحل رحمه الله در تحریر الوسیله مسأله تبعید را به مردان منحصر می‌کند</w:t>
      </w:r>
      <w:r>
        <w:rPr>
          <w:rFonts w:eastAsia="IRNazanin" w:cs="IRNazanin"/>
          <w:color w:val="111111"/>
          <w:sz w:val="28"/>
          <w:szCs w:val="28"/>
          <w:rtl w:val="true"/>
          <w:lang w:bidi="fa-IR"/>
        </w:rPr>
        <w:t>.</w:t>
      </w:r>
      <w:bookmarkStart w:id="731" w:name="pg16919_227280"/>
    </w:p>
    <w:p>
      <w:pPr>
        <w:pStyle w:val="BookText"/>
        <w:rPr/>
      </w:pPr>
      <w:bookmarkEnd w:id="7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نفی السنة وما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النفی سنة من البلدة الّتی جلد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البلد مع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بلدة الحدّ غیر وطنه لا یجوز النفی منها إلی وطنه، بل لابدّ من أن یکون إلی غیر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حدّه فی فلاة لایسقط النفی، فینقیه إلی غیر وطنه، ولافرق فی البلد بین کونه مصراً أو قریة</w:t>
      </w:r>
      <w:r>
        <w:rPr>
          <w:rFonts w:eastAsia="IRNazanin" w:cs="IRNazanin"/>
          <w:color w:val="111111"/>
          <w:sz w:val="28"/>
          <w:szCs w:val="28"/>
          <w:rtl w:val="true"/>
          <w:lang w:bidi="fa-IR"/>
        </w:rPr>
        <w:t>.</w:t>
      </w:r>
    </w:p>
    <w:p>
      <w:pPr>
        <w:pStyle w:val="Heading4"/>
        <w:numPr>
          <w:ilvl w:val="3"/>
          <w:numId w:val="1"/>
        </w:numPr>
        <w:rPr/>
      </w:pPr>
      <w:bookmarkStart w:id="732" w:name="__RefHeading___Toc79142_3244359995"/>
      <w:bookmarkStart w:id="733" w:name="_Toc279"/>
      <w:bookmarkEnd w:id="732"/>
      <w:r>
        <w:rPr>
          <w:rtl w:val="true"/>
        </w:rPr>
        <w:t>تبعید و خصوصیّات آن</w:t>
      </w:r>
      <w:bookmarkEnd w:id="733"/>
    </w:p>
    <w:p>
      <w:pPr>
        <w:pStyle w:val="Heading5"/>
        <w:numPr>
          <w:ilvl w:val="4"/>
          <w:numId w:val="1"/>
        </w:numPr>
        <w:rPr/>
      </w:pPr>
      <w:bookmarkStart w:id="734" w:name="__RefHeading___Toc79144_3244359995"/>
      <w:bookmarkStart w:id="735" w:name="_Toc280"/>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در این مسأله چند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تبعید، یک سال است که از شهری که در آن تازیانه خورده به جای دیگری تبعید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تبعید به وسیله‌ی حاکم انتخاب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شهری که در آن حدّ خورده وطنش نباشد، از آن‌جا به وطنش تبعید نمی‌شود؛ بلکه باید به غیر وطنش تبعید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بیابانی بر او حدّ جاری شود، تبعید ساقط نمی‌شود؛ بلکه او را به غیر وطنش تبعید می‌کنند؛ و در این جهت، فرقی بین شهر و روستا نیست</w:t>
      </w:r>
      <w:r>
        <w:rPr>
          <w:rFonts w:eastAsia="IRNazanin" w:cs="IRNazanin"/>
          <w:color w:val="111111"/>
          <w:sz w:val="28"/>
          <w:szCs w:val="28"/>
          <w:rtl w:val="true"/>
          <w:lang w:bidi="fa-IR"/>
        </w:rPr>
        <w:t>.</w:t>
      </w:r>
    </w:p>
    <w:p>
      <w:pPr>
        <w:pStyle w:val="Heading5"/>
        <w:numPr>
          <w:ilvl w:val="4"/>
          <w:numId w:val="1"/>
        </w:numPr>
        <w:rPr/>
      </w:pPr>
      <w:bookmarkStart w:id="736" w:name="__RefHeading___Toc79146_3244359995"/>
      <w:bookmarkStart w:id="737" w:name="_Toc281"/>
      <w:bookmarkEnd w:id="736"/>
      <w:r>
        <w:rPr>
          <w:rtl w:val="true"/>
        </w:rPr>
        <w:t>فرع اوّل</w:t>
      </w:r>
      <w:r>
        <w:rPr>
          <w:rtl w:val="true"/>
        </w:rPr>
        <w:t xml:space="preserve">: </w:t>
      </w:r>
      <w:r>
        <w:rPr>
          <w:rtl w:val="true"/>
        </w:rPr>
        <w:t>مقدار تبعید</w:t>
      </w:r>
      <w:bookmarkEnd w:id="737"/>
    </w:p>
    <w:p>
      <w:pPr>
        <w:pStyle w:val="BookText"/>
        <w:rPr/>
      </w:pPr>
      <w:r>
        <w:rPr>
          <w:rFonts w:ascii="IRNazanin" w:hAnsi="IRNazanin" w:eastAsia="IRNazanin"/>
          <w:color w:val="111111"/>
          <w:sz w:val="28"/>
          <w:sz w:val="28"/>
          <w:szCs w:val="28"/>
          <w:rtl w:val="true"/>
          <w:lang w:bidi="fa-IR"/>
        </w:rPr>
        <w:t>در این زمینه، دو دسته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آن‌ها متعرّض زمان تبعید نشده‌اند، ولی پنج یا شش روایت که بیش‌تر آن‌ها صحیحه و معتبره است، مقدار تبعید را یک 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فقها نیز ابراز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بین مطلق و مقیّد حمل مطلقات بر مقیّدات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آن روایات اشاره می‌کنیم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عبداللّه بن 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روایت عبدالرّحمان که متعرّض حکم بکر و</w:t>
      </w:r>
    </w:p>
    <w:p>
      <w:pPr>
        <w:pStyle w:val="BookText"/>
        <w:rPr/>
      </w:pPr>
      <w:r>
        <w:rPr>
          <w:rFonts w:ascii="IRNazanin" w:hAnsi="IRNazanin" w:eastAsia="IRNazanin"/>
          <w:color w:val="111111"/>
          <w:sz w:val="28"/>
          <w:sz w:val="28"/>
          <w:szCs w:val="28"/>
          <w:rtl w:val="true"/>
          <w:lang w:bidi="fa-IR"/>
        </w:rPr>
        <w:t>بکره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وینفیهما سنة</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روایت محمّد بن قیس</w:t>
      </w:r>
      <w:r>
        <w:rPr>
          <w:rStyle w:val="FootnoteAnchor"/>
          <w:rtl w:val="true"/>
        </w:rPr>
        <w:footnoteReference w:id="769"/>
      </w:r>
      <w:r>
        <w:rPr>
          <w:rFonts w:ascii="IRNazanin" w:hAnsi="IRNazanin" w:eastAsia="IRNazanin"/>
          <w:color w:val="111111"/>
          <w:sz w:val="28"/>
          <w:sz w:val="28"/>
          <w:szCs w:val="28"/>
          <w:rtl w:val="true"/>
          <w:lang w:bidi="fa-IR"/>
        </w:rPr>
        <w:t>و یونس</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مطلب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آیا این مدّت باید به نحو توالی و پی‌درپی باشد و یا اگر مجموع زمان تبعیدش یک سال باشد، کافی است؟</w:t>
      </w:r>
    </w:p>
    <w:p>
      <w:pPr>
        <w:pStyle w:val="BookText"/>
        <w:rPr/>
      </w:pPr>
      <w:r>
        <w:rPr>
          <w:rFonts w:ascii="IRNazanin" w:hAnsi="IRNazanin" w:eastAsia="IRNazanin"/>
          <w:color w:val="111111"/>
          <w:sz w:val="28"/>
          <w:sz w:val="28"/>
          <w:szCs w:val="28"/>
          <w:rtl w:val="true"/>
          <w:lang w:bidi="fa-IR"/>
        </w:rPr>
        <w:t>لزوم توالی در ایّام تبعید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باید یک سال تبعید شود؛ معنایی که عرف از این عبارت می‌فهمد، توالی بین ایّام و روزهای تبعید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یک سال باید پی‌درپی و پشت سر هم واقع شود؛ نه این‌که یک سال را بر چند سال تقسیم کند و در هر سالی یک و یا چند ماه به تبعید رود که مجموع ایّام تبعیدش در سال‌های متعدّد به یک سال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 خلاف ظاهر چنین تعبیری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تبعید</w:t>
      </w:r>
    </w:p>
    <w:p>
      <w:pPr>
        <w:pStyle w:val="BookText"/>
        <w:rPr/>
      </w:pPr>
      <w:r>
        <w:rPr>
          <w:rFonts w:ascii="IRNazanin" w:hAnsi="IRNazanin" w:eastAsia="IRNazanin"/>
          <w:color w:val="111111"/>
          <w:sz w:val="28"/>
          <w:sz w:val="28"/>
          <w:szCs w:val="28"/>
          <w:rtl w:val="true"/>
          <w:lang w:bidi="fa-IR"/>
        </w:rPr>
        <w:t>در این مسأله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زانی را باید از محلّ اقامت و توطّنش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باشد، یا روستا و یا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یعنی مبدأ تبعید همان مکان سکونت 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اجرای حدّ و تازیانه باید به تبعید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وقوع زنا و جرم باید روانه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کتاب مبسوط شیخ طوسی رحمه الله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یکی از این سه احتمال، باید مفاد ادلّه و روایات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هر احتمالی روایت پیدا کرد؛ لکن مستفاد از آن‌ها احتمال اوّل و دوم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را در بحث‌های گذشته متعرّض شده‌ایم؛ از این رو، به مقدار مورد استشهاد ازآن‌ها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عبداللّه بن 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ونفی من مصره</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در این روایت آمده است که زانی یک سال از شهر خودش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ضمیری که به زانی عود می‌کند،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روایتی است که بر نفی از وطن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قیس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ونفی سنة فی غیر مصرهما</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هرچند دلالت این روایت به وضوح دلالت روایت سابق نیست؛ ولی عرف از این عبارت می‌فهمد که تبعید بایستی از شهرشان به جایی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دلالت دارد بر این‌که تبعید باید از مرکز اقامت و محل زانی به جای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الزانی إذا زنی أینفی؟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الّتی جلد فیها إلی غیرها</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در این روایت، راوی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درباره‌ی زانی نفی بلد نیز مطرح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سرزمینی که در آن تازیانه خورده به غیر آن تبعید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سماعه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المصر الّذی جلد فیه</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این دو روایت، بر خلاف روایات قبل صراحت دارد که مبدأ تبعید، محل اجرای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به احتمال دوم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روایت مثنّی الحنّاط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ینفی من الأرض إلی بلدة یکون فیها سنة</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 احتمال سوم استفاده شود؛ 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در آن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روایت مستند شیخ طوسی رحمه الله در مبسوط‌</w:t>
      </w:r>
      <w:r>
        <w:rPr>
          <w:rStyle w:val="FootnoteAnchor"/>
          <w:rtl w:val="true"/>
        </w:rPr>
        <w:footnoteReference w:id="77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استفاده‌ی این احتمال از روایت بعید است؛ ظهور روایت در احتمال اوّل بیشتر</w:t>
      </w:r>
    </w:p>
    <w:p>
      <w:pPr>
        <w:pStyle w:val="BookText"/>
        <w:rPr/>
      </w:pPr>
      <w:r>
        <w:rPr>
          <w:rFonts w:ascii="IRNazanin" w:hAnsi="IRNazanin" w:eastAsia="IRNazanin"/>
          <w:color w:val="111111"/>
          <w:sz w:val="28"/>
          <w:sz w:val="28"/>
          <w:szCs w:val="28"/>
          <w:rtl w:val="true"/>
          <w:lang w:bidi="fa-IR"/>
        </w:rPr>
        <w:t xml:space="preserve">از احتمال سوم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من الأرض إلی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سرزمینی غیر از سرزمین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مرحله تنزّل کنیم، از آن‌جا که تبعید بعد از تازیانه مطرح شده است؛ معلوم می‌شود مقصود آن است که حاکم زانی را گرفته تازیانه می‌زند و سپس تبعید می‌کند؛ یعنی از همان محل اجرای حدّ او را به تبعید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است روایت دلیل بر احتمال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 باید به ادلّه‌ی احتمال اوّل ملحق شود و یا به ادلّه‌ی احتمال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حنّان بن سدیر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ینفی من المصر حولاً</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نیز دلالتی شبیه روایت مثنی الحنّاط دارد؛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مراد، شهری است که در آن زنا کرده، یا تازیانه خورده و یا محل اقامت او است؟ همان احتمال‌ها جاری است؛ و به نظر ما، ظهورش در محل اجرای حدّ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من بلدة إلی بلدة،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نفی علیّ علیه السلام رجلین من الکوفة إلی البصرة</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از شهری به شهر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آن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نفی واجب است؛ بلکه آن را مفروغٌ عنه گرفته است؛ یعنی هر جایی که نفی مطرح باشد، به این خصوصیّت است که از سرزمینی به سرزمین دیگری تبعید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می‌دهیم روایت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بلدته إلی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بلد اوّل به ضمیر غایب اضافه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مجرم به شهر دیگری معنا می‌دهد، و باید روایت را در زمره‌ی ادلّه‌ی احتمال اوّل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احتمال ما تکیه نمی‌کنیم؛ مگر آن‌که به نسخه‌های دیگر مراجعه شود</w:t>
      </w:r>
      <w:r>
        <w:rPr>
          <w:rFonts w:eastAsia="IRNazanin" w:cs="IRNazanin"/>
          <w:color w:val="111111"/>
          <w:sz w:val="28"/>
          <w:szCs w:val="28"/>
          <w:rtl w:val="true"/>
          <w:lang w:bidi="fa-IR"/>
        </w:rPr>
        <w:t>.</w:t>
      </w:r>
      <w:bookmarkStart w:id="738" w:name="pg16919_227288"/>
    </w:p>
    <w:p>
      <w:pPr>
        <w:pStyle w:val="Heading5"/>
        <w:numPr>
          <w:ilvl w:val="4"/>
          <w:numId w:val="1"/>
        </w:numPr>
        <w:rPr/>
      </w:pPr>
      <w:bookmarkStart w:id="739" w:name="__RefHeading___Toc79148_3244359995"/>
      <w:bookmarkStart w:id="740" w:name="_Toc282"/>
      <w:bookmarkEnd w:id="738"/>
      <w:bookmarkEnd w:id="739"/>
      <w:r>
        <w:rPr>
          <w:rtl w:val="true"/>
        </w:rPr>
        <w:t>فرع دوم</w:t>
      </w:r>
      <w:r>
        <w:rPr>
          <w:rtl w:val="true"/>
        </w:rPr>
        <w:t xml:space="preserve">: </w:t>
      </w:r>
      <w:r>
        <w:rPr>
          <w:rtl w:val="true"/>
        </w:rPr>
        <w:t>مکان تبعید</w:t>
      </w:r>
      <w:bookmarkEnd w:id="740"/>
    </w:p>
    <w:p>
      <w:pPr>
        <w:pStyle w:val="BookText"/>
        <w:rPr/>
      </w:pPr>
      <w:r>
        <w:rPr>
          <w:rFonts w:ascii="IRNazanin" w:hAnsi="IRNazanin" w:eastAsia="IRNazanin"/>
          <w:color w:val="111111"/>
          <w:sz w:val="28"/>
          <w:sz w:val="28"/>
          <w:szCs w:val="28"/>
          <w:rtl w:val="true"/>
          <w:lang w:bidi="fa-IR"/>
        </w:rPr>
        <w:t xml:space="preserve">اگر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بلدة إلی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 علیه السلام در مقابل بیان چیست؟ آیا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ندارید مجرم را به بیابانی که محل سکونت و زندگی وی نیست، تبعید کنید؛ بلکه باید او را به جایی که محلّ سکونت و اقامتش هست، فرستاد؟ این مقدار دلالت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 توجّه به این که امام علیه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الکوفة إلی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بر هر دو طرف قضیّه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این قسمت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زانی را در بیابان محاکمه کردند و بر او حدّ جاری شد، نباید تبعیدش از آن‌جا باشد، بلکه باید از شهر تبعید گردد و یا چیز دیگری مراد است؟</w:t>
      </w:r>
    </w:p>
    <w:p>
      <w:pPr>
        <w:pStyle w:val="BookText"/>
        <w:rPr/>
      </w:pPr>
      <w:r>
        <w:rPr>
          <w:rFonts w:ascii="IRNazanin" w:hAnsi="IRNazanin" w:eastAsia="IRNazanin"/>
          <w:color w:val="111111"/>
          <w:sz w:val="28"/>
          <w:sz w:val="28"/>
          <w:szCs w:val="28"/>
          <w:rtl w:val="true"/>
          <w:lang w:bidi="fa-IR"/>
        </w:rPr>
        <w:t>کیفیّت جمع بین دو دسته از روایات</w:t>
      </w:r>
    </w:p>
    <w:p>
      <w:pPr>
        <w:pStyle w:val="BookText"/>
        <w:rPr/>
      </w:pPr>
      <w:r>
        <w:rPr>
          <w:rFonts w:ascii="IRNazanin" w:hAnsi="IRNazanin" w:eastAsia="IRNazanin"/>
          <w:color w:val="111111"/>
          <w:sz w:val="28"/>
          <w:sz w:val="28"/>
          <w:szCs w:val="28"/>
          <w:rtl w:val="true"/>
          <w:lang w:bidi="fa-IR"/>
        </w:rPr>
        <w:t>گروه اوّل ملاک تبعید را شهر زانی قرار داده بود، و روایات دسته‌ی دوم، ملاک تبعید را محل اجرای حدّ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بین آن‌ها جمع کنیم؟ تعارض بین آن‌ها در چیست؟ و باید به علاج تعارض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زنا در محل سکونت زانی واقع می‌شود و اجرای حدّ نیز در همان شهر است؛ لذا، بین دو گروه تنافی وجود ندارد؛ چرا که بلد اقامت و بلد اجرای حدّ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شهر خود برای زنا به محل دیگری رفت و در آن‌جا محاکمه شد و به او تازیانه زدند،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او را به همان محل زنا و اقامه‌ی حدّ تبعید کنند؟</w:t>
      </w:r>
    </w:p>
    <w:p>
      <w:pPr>
        <w:pStyle w:val="BookText"/>
        <w:rPr/>
      </w:pPr>
      <w:r>
        <w:rPr>
          <w:rFonts w:ascii="IRNazanin" w:hAnsi="IRNazanin" w:eastAsia="IRNazanin"/>
          <w:color w:val="111111"/>
          <w:sz w:val="28"/>
          <w:sz w:val="28"/>
          <w:szCs w:val="28"/>
          <w:rtl w:val="true"/>
          <w:lang w:bidi="fa-IR"/>
        </w:rPr>
        <w:t>امّا اگر این فرد را به محلّ سوّمی غیر از وطن و محل وقوع حدّ تبعید کنند، به هر دو مقصود رسیده‌اند؛ امّا تبعیدش از محل وقوع حدّ به وطنش جایز نیست؛ زیرا، عرف با این معنا مساعدت نمی‌کند که زانی را از محل زنا و حدّ به وطنش تبعید 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روایات طایفه‌ی دوم که می‌گویند باید او را از محل تازیانه تبعید کرد، و صراحت در این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جرأت نمی‌کند فتوا به جواز تبعید از وطن به محل وقوع حدّ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احتیاط تبعید زانی به غیر محل اجرای حدّ است</w:t>
      </w:r>
      <w:r>
        <w:rPr>
          <w:rFonts w:eastAsia="IRNazanin" w:cs="IRNazanin"/>
          <w:color w:val="111111"/>
          <w:sz w:val="28"/>
          <w:szCs w:val="28"/>
          <w:rtl w:val="true"/>
          <w:lang w:bidi="fa-IR"/>
        </w:rPr>
        <w:t>.</w:t>
      </w:r>
      <w:bookmarkStart w:id="741" w:name="pg16919_227291"/>
    </w:p>
    <w:p>
      <w:pPr>
        <w:pStyle w:val="Heading5"/>
        <w:numPr>
          <w:ilvl w:val="4"/>
          <w:numId w:val="1"/>
        </w:numPr>
        <w:rPr/>
      </w:pPr>
      <w:bookmarkStart w:id="742" w:name="__RefHeading___Toc79150_3244359995"/>
      <w:bookmarkStart w:id="743" w:name="_Toc283"/>
      <w:bookmarkEnd w:id="741"/>
      <w:bookmarkEnd w:id="742"/>
      <w:r>
        <w:rPr>
          <w:rtl w:val="true"/>
        </w:rPr>
        <w:t>فرع سوم</w:t>
      </w:r>
      <w:r>
        <w:rPr>
          <w:rtl w:val="true"/>
        </w:rPr>
        <w:t xml:space="preserve">: </w:t>
      </w:r>
      <w:r>
        <w:rPr>
          <w:rtl w:val="true"/>
        </w:rPr>
        <w:t>عدم تبعید از محل اقامه‌ی حدّ به وطن</w:t>
      </w:r>
      <w:bookmarkEnd w:id="743"/>
    </w:p>
    <w:p>
      <w:pPr>
        <w:pStyle w:val="BookText"/>
        <w:rPr/>
      </w:pPr>
      <w:r>
        <w:rPr>
          <w:rFonts w:ascii="IRNazanin" w:hAnsi="IRNazanin" w:eastAsia="IRNazanin"/>
          <w:color w:val="111111"/>
          <w:sz w:val="28"/>
          <w:sz w:val="28"/>
          <w:szCs w:val="28"/>
          <w:rtl w:val="true"/>
          <w:lang w:bidi="fa-IR"/>
        </w:rPr>
        <w:t>از عبارت امام رحمه الله در تحریر الوسیله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کانت بلد الحدّ غیر وطنه، لا یجوز النفی منها إلی وطنه بل لابدّ أن یکون إلی غیر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استفاده می‌شود؟ آیا مقصود ایشان آن است که شخصی را که در غیر وطنش حدّ می‌زنند، می‌توان به همان محل اجرای حدّ تبعید کرد و یا متعرّض این صورت نشده‌اند؟</w:t>
      </w:r>
    </w:p>
    <w:p>
      <w:pPr>
        <w:pStyle w:val="BookText"/>
        <w:rPr/>
      </w:pPr>
      <w:r>
        <w:rPr>
          <w:rFonts w:ascii="IRNazanin" w:hAnsi="IRNazanin" w:eastAsia="IRNazanin"/>
          <w:color w:val="111111"/>
          <w:sz w:val="28"/>
          <w:sz w:val="28"/>
          <w:szCs w:val="28"/>
          <w:rtl w:val="true"/>
          <w:lang w:bidi="fa-IR"/>
        </w:rPr>
        <w:t>با توجّه به صدر مسأله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النفی سنة من البلدة الّتی جلد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تبعید یک سال از مکانی است که در آن تازیانه خورده است؛ و با توجّه به این عبارت که تبعید به وطن جایز نیست؛ از مجموع این دو جمله استفاده می‌شود باید به محلّ سوّمی غیر از وطن و مکان اجرای حدّ تبعید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روایات باب،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مبدأ تبعید را محل وقوع جرم قرار دهیم به لحاظ این که مزنیّ‌بها نوعاً اهل همان جایی است که در آن جرم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محلّ تبعید گردد، لازمه‌اش فاصله افتادن بین زانی و مزنیّ‌بها است و این سبب عدم تکرار رابطه‌ی نامشروع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وجوه اعتباری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ممکن است محلّ وقوع جرم غیر محل سکونت مزنیّ‌بها باشد؛ مثل این‌که مردی زنی را فریب داده از تهران به شمال ببرد و در آن‌جا با او زنا کنند؛ لذا، نقطه‌ی وقوع جرم هیچ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ملاحظه‌ی روایات، باید ملاک تبعید را همان وطن زانی قرار داد؛ و اگر زانی را در غیر وطنش حدّ زدند، تبعید کردن از وطن به محلّ اجرای حدّ مشکل و خلاف احتیاط است؛ ولی تبعید او به محل سوّمی غیر از وطن و مکان اقامه‌ی حدّ، بحث و اشکالی ندارد</w:t>
      </w:r>
      <w:r>
        <w:rPr>
          <w:rFonts w:eastAsia="IRNazanin" w:cs="IRNazanin"/>
          <w:color w:val="111111"/>
          <w:sz w:val="28"/>
          <w:szCs w:val="28"/>
          <w:rtl w:val="true"/>
          <w:lang w:bidi="fa-IR"/>
        </w:rPr>
        <w:t>.</w:t>
      </w:r>
    </w:p>
    <w:p>
      <w:pPr>
        <w:pStyle w:val="Heading5"/>
        <w:numPr>
          <w:ilvl w:val="4"/>
          <w:numId w:val="1"/>
        </w:numPr>
        <w:rPr/>
      </w:pPr>
      <w:bookmarkStart w:id="744" w:name="__RefHeading___Toc79152_3244359995"/>
      <w:bookmarkStart w:id="745" w:name="_Toc284"/>
      <w:bookmarkEnd w:id="744"/>
      <w:r>
        <w:rPr>
          <w:rtl w:val="true"/>
        </w:rPr>
        <w:t>فرع چهارم</w:t>
      </w:r>
      <w:r>
        <w:rPr>
          <w:rtl w:val="true"/>
        </w:rPr>
        <w:t xml:space="preserve">: </w:t>
      </w:r>
      <w:r>
        <w:rPr>
          <w:rtl w:val="true"/>
        </w:rPr>
        <w:t>عدم سقوط تبعید در صورت اجرای حدّ در بیابان</w:t>
      </w:r>
      <w:bookmarkEnd w:id="74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جرم فردی در بیابان ثابت شد و حاکم شرع بر او حدّ جاری کرد، آیا به صرف این‌که زنا و اجرای حدّ در بیابان بوده، تبعید منتفی می‌شود؟ ظاهراً ربطی بین این دو مطلب نیست؛ و اجرای حدّ در بیابان، سبب انتفای تبعید نمی‌گردد؛ بلکه باید او را از وطنش به جای دیگری تبعید کنند</w:t>
      </w:r>
      <w:r>
        <w:rPr>
          <w:rFonts w:eastAsia="IRNazanin" w:cs="IRNazanin"/>
          <w:color w:val="111111"/>
          <w:sz w:val="28"/>
          <w:szCs w:val="28"/>
          <w:rtl w:val="true"/>
          <w:lang w:bidi="fa-IR"/>
        </w:rPr>
        <w:t>.</w:t>
      </w:r>
      <w:bookmarkStart w:id="746" w:name="pg16919_227293"/>
    </w:p>
    <w:p>
      <w:pPr>
        <w:pStyle w:val="BookText"/>
        <w:rPr/>
      </w:pPr>
      <w:bookmarkEnd w:id="7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حدّ الغیر المحصنة فی تکرّر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تکرّر الزنا مرّتین أو مرّات فی یوم واحد أو أیّام متعدّدة بامرأة واحدة أو متعدّدة حدّ واحد مع عدم إقامة الحدّ فی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اقتضی الزنا المتکرّر نوعاً واحداً من الحدّ کالجلد مثلاً، وأمّا إن اقتضی حدوداً مختلفة کأن یقتضی بعضه الجلد خاصّة وبعضه الجلد والرجم أو الرجم فالظاهر تکراره بتکرار سببه</w:t>
      </w:r>
      <w:r>
        <w:rPr>
          <w:rFonts w:eastAsia="IRNazanin" w:cs="IRNazanin"/>
          <w:color w:val="111111"/>
          <w:sz w:val="28"/>
          <w:szCs w:val="28"/>
          <w:rtl w:val="true"/>
          <w:lang w:bidi="fa-IR"/>
        </w:rPr>
        <w:t>.</w:t>
      </w:r>
    </w:p>
    <w:p>
      <w:pPr>
        <w:pStyle w:val="Heading4"/>
        <w:numPr>
          <w:ilvl w:val="3"/>
          <w:numId w:val="1"/>
        </w:numPr>
        <w:rPr/>
      </w:pPr>
      <w:bookmarkStart w:id="747" w:name="__RefHeading___Toc79154_3244359995"/>
      <w:bookmarkStart w:id="748" w:name="_Toc285"/>
      <w:bookmarkEnd w:id="747"/>
      <w:r>
        <w:rPr>
          <w:rtl w:val="true"/>
        </w:rPr>
        <w:t>تکرار زنای غیر محصنه</w:t>
      </w:r>
      <w:bookmarkEnd w:id="748"/>
    </w:p>
    <w:p>
      <w:pPr>
        <w:pStyle w:val="Heading5"/>
        <w:numPr>
          <w:ilvl w:val="4"/>
          <w:numId w:val="1"/>
        </w:numPr>
        <w:rPr/>
      </w:pPr>
      <w:bookmarkStart w:id="749" w:name="__RefHeading___Toc79156_3244359995"/>
      <w:bookmarkStart w:id="750" w:name="_Toc286"/>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موضوع این مسأله تکرار زنا است که در آن سه فرع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زنا مکرّر و متعدّد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و یا روزهای متعدّد، با یک زن و یا زنان مختلف، بدون این‌که پس از هر زنایی حدّی اقامه شود، در جایی همه‌ی آن‌ها یک‌جا اثبات شد، یک حدّ بر او جاری می‌گردد؛ در صورتی که تمام زناها از یک نوع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نوع زناها با هم اختلاف داشته باشند، مثل این که شخصی نزد حاکم چهار مرتبه اقرار کند من قبل از آن‌که ازدواج کنم، زنا کرده‌ام؛ و پس از اختیار زن و دخول به او، باز مرتکب زنا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زنای غیر احصانی که حکم آن جلد است، اثبات شد و یک زنای احصانی که حدّ آن رجم با تازیانه یا بدون آن است، ثابت شده؛ پس در این صورت، حدّ بر او تکرار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دنبال زنای اوّل او حدّ جاری شد و باز مرتکب زنا شد، برای زنای دوم نیز حدّاقامه می‌شود</w:t>
      </w:r>
      <w:r>
        <w:rPr>
          <w:rFonts w:eastAsia="IRNazanin" w:cs="IRNazanin"/>
          <w:color w:val="111111"/>
          <w:sz w:val="28"/>
          <w:szCs w:val="28"/>
          <w:rtl w:val="true"/>
          <w:lang w:bidi="fa-IR"/>
        </w:rPr>
        <w:t>.</w:t>
      </w:r>
    </w:p>
    <w:p>
      <w:pPr>
        <w:pStyle w:val="Heading5"/>
        <w:numPr>
          <w:ilvl w:val="4"/>
          <w:numId w:val="1"/>
        </w:numPr>
        <w:rPr/>
      </w:pPr>
      <w:bookmarkStart w:id="751" w:name="__RefHeading___Toc79158_3244359995"/>
      <w:bookmarkStart w:id="752" w:name="_Toc287"/>
      <w:bookmarkEnd w:id="751"/>
      <w:r>
        <w:rPr>
          <w:rtl w:val="true"/>
        </w:rPr>
        <w:t xml:space="preserve">دلیل فرع اوّل </w:t>
      </w:r>
      <w:r>
        <w:rPr>
          <w:rtl w:val="true"/>
        </w:rPr>
        <w:t>(</w:t>
      </w:r>
      <w:r>
        <w:rPr>
          <w:rtl w:val="true"/>
        </w:rPr>
        <w:t>اقامه‌ی یک حدّ در زنای مکرّر</w:t>
      </w:r>
      <w:r>
        <w:rPr>
          <w:rtl w:val="true"/>
        </w:rPr>
        <w:t>)</w:t>
      </w:r>
      <w:bookmarkEnd w:id="75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فرع که زناهای متکرّر از یک نوع بوده و در خلال آن‌ها حدّی اقامه نشده است، ممکن است اشکالی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جایی که اجرای حدّ مکرّر امکان داشته باشد، مثل این‌که دو زنای غیر احصانی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دو زنای محصنه بود، وقتی به</w:t>
      </w:r>
    </w:p>
    <w:p>
      <w:pPr>
        <w:pStyle w:val="BookText"/>
        <w:rPr/>
      </w:pPr>
      <w:r>
        <w:rPr>
          <w:rFonts w:ascii="IRNazanin" w:hAnsi="IRNazanin" w:eastAsia="IRNazanin"/>
          <w:color w:val="111111"/>
          <w:sz w:val="28"/>
          <w:sz w:val="28"/>
          <w:szCs w:val="28"/>
          <w:rtl w:val="true"/>
          <w:lang w:bidi="fa-IR"/>
        </w:rPr>
        <w:t>خاطر زنای اوّل او را رجم کنیم، دیگر موضوعی باقی نمی‌ماند تا به خاطر زنای دوم رجم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این بحث هست که آیا به این مرد صد تازیانه می‌زنند و یا دویست تازیانه؟</w:t>
      </w:r>
    </w:p>
    <w:p>
      <w:pPr>
        <w:pStyle w:val="BookText"/>
        <w:rPr/>
      </w:pPr>
      <w:r>
        <w:rPr>
          <w:rFonts w:ascii="IRNazanin" w:hAnsi="IRNazanin" w:eastAsia="IRNazanin"/>
          <w:color w:val="111111"/>
          <w:sz w:val="28"/>
          <w:sz w:val="28"/>
          <w:szCs w:val="28"/>
          <w:rtl w:val="true"/>
          <w:lang w:bidi="fa-IR"/>
        </w:rPr>
        <w:t xml:space="preserve">مشهور به شهرت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معامله‌ی اجماع شده است و برخی از فقها به استناد آن فتوا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تکرّر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صد بار یا بیش‌تر زنا کرده با یک زن یا زنان گوناگون و همه‌ی آن‌ها یک‌جا در دادگاه ثابت شد، چون همه از یک نوع هستند، یک حدّ بر او اقامه می‌شود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در مقابل مشهور، مرحوم صدوق در کتاب مقنع</w:t>
      </w:r>
      <w:r>
        <w:rPr>
          <w:rStyle w:val="FootnoteAnchor"/>
          <w:rtl w:val="true"/>
        </w:rPr>
        <w:footnoteReference w:id="780"/>
      </w:r>
      <w:r>
        <w:rPr>
          <w:rFonts w:ascii="IRNazanin" w:hAnsi="IRNazanin" w:eastAsia="IRNazanin"/>
          <w:color w:val="111111"/>
          <w:sz w:val="28"/>
          <w:sz w:val="28"/>
          <w:szCs w:val="28"/>
          <w:rtl w:val="true"/>
          <w:lang w:bidi="fa-IR"/>
        </w:rPr>
        <w:t>و ابن جنید رحمهما الله</w:t>
      </w:r>
      <w:r>
        <w:rPr>
          <w:rStyle w:val="FootnoteAnchor"/>
          <w:rtl w:val="true"/>
        </w:rPr>
        <w:footnoteReference w:id="781"/>
      </w:r>
      <w:r>
        <w:rPr>
          <w:rFonts w:ascii="IRNazanin" w:hAnsi="IRNazanin" w:eastAsia="IRNazanin"/>
          <w:color w:val="111111"/>
          <w:sz w:val="28"/>
          <w:sz w:val="28"/>
          <w:szCs w:val="28"/>
          <w:rtl w:val="true"/>
          <w:lang w:bidi="fa-IR"/>
        </w:rPr>
        <w:t>تفصیل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زناهای متکرّر با یک زن واقع شده، فقط صد تازیانه زده می‌شود؛ ولی اگر با زنان مختلف باشد، به تعدّد زنان حدّ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مستند این مسأله روایت زیر است که به نفع صدوق و ابن‌جنید رحمه الله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وعن علیّ بن إبراهیم، عن أبیه جمیعاً، عن ابن محبوب، عن علیّ بن أبی حمزة،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یزنی فی الیوم الواحد مراراً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زنی بامرأة واحدة کذا وکذا مرّة فإنّما علیه حدّ واحد، فإن هو زنی بنسوة شتّی فی یوم واحد وفی ساعة واحدة، فإنّ علیه فی کلّ امرأة فجر بها حدّاً</w:t>
      </w:r>
      <w:r>
        <w:rPr>
          <w:rFonts w:eastAsia="IRNazanin" w:cs="IRNazanin"/>
          <w:color w:val="111111"/>
          <w:sz w:val="28"/>
          <w:szCs w:val="28"/>
          <w:rtl w:val="true"/>
          <w:lang w:bidi="fa-IR"/>
        </w:rPr>
        <w:t>.</w:t>
      </w:r>
      <w:r>
        <w:rPr>
          <w:rStyle w:val="FootnoteAnchor"/>
          <w:rtl w:val="true"/>
        </w:rPr>
        <w:footnoteReference w:id="78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مرحوم کلینی تا ابن‌محبوب صحیح است و اشکالی از جهت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بحث‌ها درباره شخص علیّ بن ابی‌حمزه است که او را واقفی شمرده و تضعیف کرده‌اند؛ امّا راوی از علیّ بن ابی حمزه، ابن محبوب است که یکی ازاصحاب</w:t>
      </w:r>
    </w:p>
    <w:p>
      <w:pPr>
        <w:pStyle w:val="BookText"/>
        <w:rPr/>
      </w:pPr>
      <w:r>
        <w:rPr>
          <w:rFonts w:ascii="IRNazanin" w:hAnsi="IRNazanin" w:eastAsia="IRNazanin"/>
          <w:color w:val="111111"/>
          <w:sz w:val="28"/>
          <w:sz w:val="28"/>
          <w:szCs w:val="28"/>
          <w:rtl w:val="true"/>
          <w:lang w:bidi="fa-IR"/>
        </w:rPr>
        <w:t>اجماع با این خصوصیّت است که اگر روایتی تا اصحاب اجماع صحیح باشد، دیگر به افرادی که پس از اصحاب اجماع تا امام علیه السلام واقع شده‌اند کاری نداریم؛ به جهت شخصیّت و عظمتی که اصحاب اجماع در نقل حدیث دارند، سند روایت تا به آنان که تصحیح شد، باید صحیح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را بر این مبنا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یک روز چند مرتبه مرتکب زنا می‌شود، چه حکمی دارد؟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زن چند مرتبه زنا کرده، بیش از یک حدّ به او نمی‌زنند؛ امّا اگر در یک روز و یک ساعت با زنان متعدّد فجور کرده، به تعداد زنان حدّ می‌خورد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امام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واحد وفی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خفیّ را بیان می‌کند؛ مفهومش این نیست که اگر در چند روز و یا چند ساعت زنا کرد، این حکم را ندارد؛ بلکه عکس آن را می‌رساند؛ یعنی وقتی چند زنا که در یک روز و یا یک ساعت حدود مکرّر دارد، به طریق اولی اگر در چند ساعت و یا چند روز سر زند، حدّش مکرّر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عبارت تقیید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وقتی با یک ساعت شهوت‌رانی باید چند صد تازیانه بخورد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خفیّ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چندین ساعت غرق لذّت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حکم به وضوح پیاده می‌شود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چنین دلالت و سندی در منظر فقها بوده و در عین حال، به غیر از صدوق رحمه الله در مقنع</w:t>
      </w:r>
      <w:r>
        <w:rPr>
          <w:rStyle w:val="FootnoteAnchor"/>
          <w:rtl w:val="true"/>
        </w:rPr>
        <w:footnoteReference w:id="783"/>
      </w:r>
      <w:r>
        <w:rPr>
          <w:rFonts w:ascii="IRNazanin" w:hAnsi="IRNazanin" w:eastAsia="IRNazanin"/>
          <w:color w:val="111111"/>
          <w:sz w:val="28"/>
          <w:sz w:val="28"/>
          <w:szCs w:val="28"/>
          <w:rtl w:val="true"/>
          <w:lang w:bidi="fa-IR"/>
        </w:rPr>
        <w:t>و ابن جنید رحمه الله</w:t>
      </w:r>
      <w:r>
        <w:rPr>
          <w:rStyle w:val="FootnoteAnchor"/>
          <w:rtl w:val="true"/>
        </w:rPr>
        <w:footnoteReference w:id="784"/>
      </w:r>
      <w:r>
        <w:rPr>
          <w:rFonts w:ascii="IRNazanin" w:hAnsi="IRNazanin" w:eastAsia="IRNazanin"/>
          <w:color w:val="111111"/>
          <w:sz w:val="28"/>
          <w:sz w:val="28"/>
          <w:szCs w:val="28"/>
          <w:rtl w:val="true"/>
          <w:lang w:bidi="fa-IR"/>
        </w:rPr>
        <w:t>کسی به آن فتوا نداده است؛ یعنی اصحاب از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بحث‌های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از نظر سند معتبر و دلالتی روشن داشته باشد، با بی‌اعتنایی اصحاب و فقها می‌فهمیم و اطمینان پیدا می‌کنیم که فتوا و نظر ائمّه علیهم السلام به آنان رسیده و با توجّه به آن، دیده‌اند این روایت مخالف با مذاق امامان علیهم السلام و فتوای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طرح کرده‌اند، و حکم الهی را غیر از آن‌چه مفاد این روایت است، تشخیص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فقها بر طبق قاعده مشی کرده‌اند؛ یعنی به همان قاعده‌ی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شده، و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مورد اختلاف و بحث است؛ یعنی در این‌که آیا اصل اوّلی تداخل است و یا عدم تداخل، انظار مختلف است؛ بعضی به اصالة التداخل و برخی به اصل عدم تداخل قائل‌اند؛ از این‌که فقها با وجود این اختلاف در مسأله‌ی اصولی، در این حکم اتّفاق دارند، معلوم می‌شود کاری به قاعده نداشته‌اند؛ والّا کسانی که به عدم تداخل اعتقاد دارند، باید فتوا به تکرّر حدّ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مسأله که فقط صدوق و ابن‌جنید رحمهما الله مخالف هستند، و شهرتی قریب به اجماع محقّق است، با وجود یک روایت مخالف با فتوای مشهور، می‌توان کشف کرد که نظر و رأی معصوم علیه السلام موافق با رأی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جواهر رحمه الله در ردّ قاعده‌ی تداخل</w:t>
      </w:r>
    </w:p>
    <w:p>
      <w:pPr>
        <w:pStyle w:val="BookText"/>
        <w:rPr/>
      </w:pPr>
      <w:r>
        <w:rPr>
          <w:rFonts w:ascii="IRNazanin" w:hAnsi="IRNazanin" w:eastAsia="IRNazanin"/>
          <w:color w:val="111111"/>
          <w:sz w:val="28"/>
          <w:sz w:val="28"/>
          <w:szCs w:val="28"/>
          <w:rtl w:val="true"/>
          <w:lang w:bidi="fa-IR"/>
        </w:rPr>
        <w:t>مرحوم صاحب‌جواهر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به طور کلّی ربطی به قاعده‌ی تداخل و عدم تداخل نداشته و مصداق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قاعده جایی است که موضوعِ حکمی، طبیعت عمل باشد و عمل در خارج مکرّراً به وقوع پیوسته باشد؛ حال نمی‌دانیم آیا حکم مترتّب بر طبیعت، به تکرار عمل متعدّد می‌شود یا نه؟</w:t>
      </w:r>
    </w:p>
    <w:p>
      <w:pPr>
        <w:pStyle w:val="BookText"/>
        <w:rPr/>
      </w:pPr>
      <w:r>
        <w:rPr>
          <w:rFonts w:ascii="IRNazanin" w:hAnsi="IRNazanin" w:eastAsia="IRNazanin"/>
          <w:color w:val="111111"/>
          <w:sz w:val="28"/>
          <w:sz w:val="28"/>
          <w:szCs w:val="28"/>
          <w:rtl w:val="true"/>
          <w:lang w:bidi="fa-IR"/>
        </w:rPr>
        <w:t>دراین مقام، چنین نبوده و حکم بر روی طبیعت زنا که فعل مکلّف می‌باشد، نرفته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غیر الإحصانی یوجب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روی طبیعت زنا و فعل مکلّف رفته بود، با تکرار زنا جای بحث تداخل و عدم تداخل اسباب بود؛ امّا آن‌چه اساس و مستند حکم و حدّ است، آیه‌ی زنا است که حکم را بر روی شخص زانی اعمّ از زن و مرد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Style w:val="FootnoteAnchor"/>
          <w:rtl w:val="true"/>
        </w:rPr>
        <w:footnoteReference w:id="785"/>
      </w:r>
      <w:r>
        <w:rPr>
          <w:rFonts w:ascii="IRNazanin" w:hAnsi="IRNazanin" w:eastAsia="IRNazanin"/>
          <w:color w:val="111111"/>
          <w:sz w:val="28"/>
          <w:sz w:val="28"/>
          <w:szCs w:val="28"/>
          <w:rtl w:val="true"/>
          <w:lang w:bidi="fa-IR"/>
        </w:rPr>
        <w:t>با توجّه به این نکته، اگر زناهای مکرّر از زانی سر زند، در صورتی که حکم بر طبیعت فعل و زنا مترتّب شده بود، 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فرد از طبیعت محقّق شده است؛ آیا اصل تداخل است یا عدم آن؟ امّا حکم روی زانی رفته و با تکرار زنا، زانی مکرّر نشده</w:t>
      </w:r>
      <w:bookmarkStart w:id="753" w:name="pg16919_227301"/>
    </w:p>
    <w:p>
      <w:pPr>
        <w:pStyle w:val="BookText"/>
        <w:rPr/>
      </w:pPr>
      <w:bookmarkEnd w:id="753"/>
      <w:r>
        <w:rPr>
          <w:rFonts w:ascii="IRNazanin" w:hAnsi="IRNazanin" w:eastAsia="IRNazanin"/>
          <w:color w:val="111111"/>
          <w:sz w:val="28"/>
          <w:sz w:val="28"/>
          <w:szCs w:val="28"/>
          <w:rtl w:val="true"/>
          <w:lang w:bidi="fa-IR"/>
        </w:rPr>
        <w:t>است؛ تکرار زانی به تکرار مرتکبین آن است نه به تکرار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زانی همان زانی است و آیه‌ی شریفه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را صد تازیانه بزنید، در این‌جا که یک زانی داریم، باید صد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آیه‌ی شریفه دلالت بر عدم تکرار حدّ به تکرار زنا دارد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این بیان صاحب جواهر رحمه الله بیان خوبی است؛ هر چند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بر وصف مشعر به علّیت است،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زانی تازیانه بزنید به علّت زنایش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مطلب، تمام نیست؛ زیرا، اوّلاً،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اشعار به علیّت دارد، نه ظهور در آن؛ و ثانیاً، بر فرض ظهور در علیّت، موضوع حکم زانی است نه زنا، وزانی مکرّر نشده، بلکه زنا مکرّراً واقع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بیان صاحب جواهر رحمه الله پذیرفته شود، دو راه در این فرع داریم؛ ولی بعید است اتّکای اصحاب به این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کیفیّت طرح روایت ابوبصیر به گونه‌ای که محقّق رحمه الله به ضرس قاطع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روایت را کنار گذاشت، می‌فهمیم که آنان از یک راه و طریقی به رأی و نظر ائمّه علیهم السلام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امام راحل رحمه الله از اصحاب متابعت کرده، حقّ عدم تکرّر حدّ است به تکرّر زنایی که از نوع واحد باشد</w:t>
      </w:r>
      <w:r>
        <w:rPr>
          <w:rFonts w:eastAsia="IRNazanin" w:cs="IRNazanin"/>
          <w:color w:val="111111"/>
          <w:sz w:val="28"/>
          <w:szCs w:val="28"/>
          <w:rtl w:val="true"/>
          <w:lang w:bidi="fa-IR"/>
        </w:rPr>
        <w:t>.</w:t>
      </w:r>
    </w:p>
    <w:p>
      <w:pPr>
        <w:pStyle w:val="Heading5"/>
        <w:numPr>
          <w:ilvl w:val="4"/>
          <w:numId w:val="1"/>
        </w:numPr>
        <w:rPr/>
      </w:pPr>
      <w:bookmarkStart w:id="754" w:name="__RefHeading___Toc79160_3244359995"/>
      <w:bookmarkStart w:id="755" w:name="_Toc288"/>
      <w:bookmarkEnd w:id="754"/>
      <w:r>
        <w:rPr>
          <w:rtl w:val="true"/>
        </w:rPr>
        <w:t xml:space="preserve">دلیل فرع دوم و سوم </w:t>
      </w:r>
      <w:r>
        <w:rPr>
          <w:rtl w:val="true"/>
        </w:rPr>
        <w:t>(</w:t>
      </w:r>
      <w:r>
        <w:rPr>
          <w:rtl w:val="true"/>
        </w:rPr>
        <w:t>تکرار حدّ</w:t>
      </w:r>
      <w:r>
        <w:rPr>
          <w:rtl w:val="true"/>
        </w:rPr>
        <w:t>)</w:t>
      </w:r>
      <w:bookmarkEnd w:id="755"/>
    </w:p>
    <w:p>
      <w:pPr>
        <w:pStyle w:val="BookText"/>
        <w:rPr/>
      </w:pPr>
      <w:r>
        <w:rPr>
          <w:rFonts w:ascii="IRNazanin" w:hAnsi="IRNazanin" w:eastAsia="IRNazanin"/>
          <w:color w:val="111111"/>
          <w:sz w:val="28"/>
          <w:sz w:val="28"/>
          <w:szCs w:val="28"/>
          <w:rtl w:val="true"/>
          <w:lang w:bidi="fa-IR"/>
        </w:rPr>
        <w:t>اگر از شخصی دو نوع زنا محقّق شد، مانند این‌که اقرار به زنای غیر احصانی و به زنای احصانی کند، حدّ یکی تازیانه و حدّ دیگری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تداخل نیست؛ تازیانه یک عنوان خاصّ و رجم عنوان دیگری است؛ و این فرد به زنای موجب رجم و موجب تازیانه اقرار کرده و یا به سبب بیّنه در حقّ او ثابت شده است؛ باید حدّ هر کدام بر او جاری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 سبک، و پس از آن حدّ سنگین را اقامه می‌کنند؛ والّا اگر او را اوّل رجم کنند، موضوعی برای تازیانه باقی نمی‌ماند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وقوع یک زنا حدّ به او زده شد و بار دیگر مرتکب زنا شد، همان دلیلی که بر اقامه‌ی حدّ در دفعه‌ی اوّل دلالت داشت، بر این مرتبه نیز دلالت دارد؛ یعنی مفاد آیه‌ی شریفه شامل حال او شده و باید حدّ در حقّ او جاری گردد</w:t>
      </w:r>
      <w:r>
        <w:rPr>
          <w:rFonts w:eastAsia="IRNazanin" w:cs="IRNazanin"/>
          <w:color w:val="111111"/>
          <w:sz w:val="28"/>
          <w:szCs w:val="28"/>
          <w:rtl w:val="true"/>
          <w:lang w:bidi="fa-IR"/>
        </w:rPr>
        <w:t>.</w:t>
      </w:r>
      <w:bookmarkStart w:id="756" w:name="pg16919_227303"/>
    </w:p>
    <w:p>
      <w:pPr>
        <w:pStyle w:val="BookText"/>
        <w:rPr/>
      </w:pPr>
      <w:bookmarkEnd w:id="7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ما لو تکرّر الزنا بعد اقامة الحدّ فی کلّ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تکرّر من الحرّ غیر المحصن ولو کان امرأة فاُقیم علیه الحدّ ثلاث مرّات 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الثالثة بعد إقامة الحدّ مرّتین وهو غیر مرضیّ</w:t>
      </w:r>
      <w:r>
        <w:rPr>
          <w:rFonts w:eastAsia="IRNazanin" w:cs="IRNazanin"/>
          <w:color w:val="111111"/>
          <w:sz w:val="28"/>
          <w:szCs w:val="28"/>
          <w:rtl w:val="true"/>
          <w:lang w:bidi="fa-IR"/>
        </w:rPr>
        <w:t>.</w:t>
      </w:r>
    </w:p>
    <w:p>
      <w:pPr>
        <w:pStyle w:val="Heading4"/>
        <w:numPr>
          <w:ilvl w:val="3"/>
          <w:numId w:val="1"/>
        </w:numPr>
        <w:rPr/>
      </w:pPr>
      <w:bookmarkStart w:id="757" w:name="__RefHeading___Toc79162_3244359995"/>
      <w:bookmarkStart w:id="758" w:name="_Toc289"/>
      <w:bookmarkEnd w:id="757"/>
      <w:r>
        <w:rPr>
          <w:rtl w:val="true"/>
        </w:rPr>
        <w:t>تخلّل حدّ بین زنای مکرّر</w:t>
      </w:r>
      <w:bookmarkEnd w:id="758"/>
    </w:p>
    <w:p>
      <w:pPr>
        <w:pStyle w:val="Heading5"/>
        <w:numPr>
          <w:ilvl w:val="4"/>
          <w:numId w:val="1"/>
        </w:numPr>
        <w:rPr/>
      </w:pPr>
      <w:bookmarkStart w:id="759" w:name="__RefHeading___Toc79164_3244359995"/>
      <w:bookmarkStart w:id="760" w:name="_Toc290"/>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اگر زنای مکرّر از حرّ غیر محصنی سر زند و به دنبال هر زنایی، بر او حدّ جاری شود، به گونه‌ای که سه مرتبه او را تازیانه زدند، در صورتی که برای بار چهارم مرتکب زنا شد، حدّ او قتل است؛ هرچند زنای او غیر احصانی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سه بار تازیانه خوردن و باز مرتکب زنا شدن، علامت این است که تازیانه بر این فرد مؤثّر نیست؛ وگرنه دست از این عمل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دوبار اجرای حدّ تازیانه، در مرتبه‌ی سوم او را می‌کشند، و شیخ طوسی رحمه الله در کتاب خلاف، کشته شدن را پس از مرتبه چهارم اجرای حدّ تازیانه فرموده است</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مشهور فقها قتل را در مرتبه‌ی چهارم دانسته‌اند و سیّد مرتضی رحمه الله در کتاب انتصار</w:t>
      </w:r>
      <w:r>
        <w:rPr>
          <w:rStyle w:val="FootnoteAnchor"/>
          <w:rtl w:val="true"/>
        </w:rPr>
        <w:footnoteReference w:id="788"/>
      </w:r>
      <w:r>
        <w:rPr>
          <w:rFonts w:ascii="IRNazanin" w:hAnsi="IRNazanin" w:eastAsia="IRNazanin"/>
          <w:color w:val="111111"/>
          <w:sz w:val="28"/>
          <w:sz w:val="28"/>
          <w:szCs w:val="28"/>
          <w:rtl w:val="true"/>
          <w:lang w:bidi="fa-IR"/>
        </w:rPr>
        <w:t>و ابن زهره رحمه الله در غنیه</w:t>
      </w:r>
      <w:r>
        <w:rPr>
          <w:rStyle w:val="FootnoteAnchor"/>
          <w:rtl w:val="true"/>
        </w:rPr>
        <w:footnoteReference w:id="789"/>
      </w:r>
      <w:r>
        <w:rPr>
          <w:rFonts w:ascii="IRNazanin" w:hAnsi="IRNazanin" w:eastAsia="IRNazanin"/>
          <w:color w:val="111111"/>
          <w:sz w:val="28"/>
          <w:sz w:val="28"/>
          <w:szCs w:val="28"/>
          <w:rtl w:val="true"/>
          <w:lang w:bidi="fa-IR"/>
        </w:rPr>
        <w:t>بر آن ادّعای اجماع کرده‌اند؛ در مقابل آنان شیخ صدوق و پدرش رحمهما الله</w:t>
      </w:r>
      <w:r>
        <w:rPr>
          <w:rStyle w:val="FootnoteAnchor"/>
          <w:rtl w:val="true"/>
        </w:rPr>
        <w:footnoteReference w:id="790"/>
      </w:r>
      <w:r>
        <w:rPr>
          <w:rFonts w:ascii="IRNazanin" w:hAnsi="IRNazanin" w:eastAsia="IRNazanin"/>
          <w:color w:val="111111"/>
          <w:sz w:val="28"/>
          <w:sz w:val="28"/>
          <w:szCs w:val="28"/>
          <w:rtl w:val="true"/>
          <w:lang w:bidi="fa-IR"/>
        </w:rPr>
        <w:t>و ابن ادریس رحمه الله</w:t>
      </w:r>
      <w:r>
        <w:rPr>
          <w:rStyle w:val="FootnoteAnchor"/>
          <w:rtl w:val="true"/>
        </w:rPr>
        <w:footnoteReference w:id="791"/>
      </w:r>
      <w:r>
        <w:rPr>
          <w:rFonts w:ascii="IRNazanin" w:hAnsi="IRNazanin" w:eastAsia="IRNazanin"/>
          <w:color w:val="111111"/>
          <w:sz w:val="28"/>
          <w:sz w:val="28"/>
          <w:szCs w:val="28"/>
          <w:rtl w:val="true"/>
          <w:lang w:bidi="fa-IR"/>
        </w:rPr>
        <w:t>فتوا به قتل در مرتبه‌ی سوم داده‌اند، و ابن ادریس رحمه الله بر آن ادّعای اجماع 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نحوه‌ی اختلاف در مسأله، معلوم می‌شود اجماع نقشی در آن ندارد و باید مستند آن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صدوق و ابن‌ادریس رحمهما الله</w:t>
      </w:r>
    </w:p>
    <w:p>
      <w:pPr>
        <w:pStyle w:val="BookText"/>
        <w:rPr/>
      </w:pPr>
      <w:r>
        <w:rPr>
          <w:rFonts w:ascii="IRNazanin" w:hAnsi="IRNazanin" w:eastAsia="IRNazanin"/>
          <w:color w:val="111111"/>
          <w:sz w:val="28"/>
          <w:sz w:val="28"/>
          <w:szCs w:val="28"/>
          <w:rtl w:val="true"/>
          <w:lang w:bidi="fa-IR"/>
        </w:rPr>
        <w:t>روایت زیر مستند قول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یونس،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امام کاظم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مرتکب گناه کبیره می‌شوند، بر آنان دو مرتبه حدّ اقامه شده و در مرتبه‌ی سوم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توهّم شود 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مرتبه زنا واقع شد، در مرتبه‌ی سوم زانی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مسأله‌ی گذشته، مراد تکرار حدّ است؛ خواه یک حدّ برای یک زنا خورده باشد و یا برای چند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تعدّد اجرای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مطلوب شیخ صدوق و پدرش و ابن ادریس رحمهما الله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مشهور</w:t>
      </w:r>
    </w:p>
    <w:p>
      <w:pPr>
        <w:pStyle w:val="BookText"/>
        <w:rPr/>
      </w:pPr>
      <w:r>
        <w:rPr>
          <w:rFonts w:ascii="IRNazanin" w:hAnsi="IRNazanin" w:eastAsia="IRNazanin"/>
          <w:color w:val="111111"/>
          <w:sz w:val="28"/>
          <w:sz w:val="28"/>
          <w:szCs w:val="28"/>
          <w:rtl w:val="true"/>
          <w:lang w:bidi="fa-IR"/>
        </w:rPr>
        <w:t>مستند آنان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محمّد بن عیسی بن عبید، عن یونس، عن إسحاق بن 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إذا زنی یجلد ثلاثاً ویقتل فی الرابعة،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ثلاث مرّات</w:t>
      </w:r>
      <w:r>
        <w:rPr>
          <w:rFonts w:eastAsia="IRNazanin" w:cs="IRNazanin"/>
          <w:color w:val="111111"/>
          <w:sz w:val="28"/>
          <w:szCs w:val="28"/>
          <w:rtl w:val="true"/>
          <w:lang w:bidi="fa-IR"/>
        </w:rPr>
        <w:t>.</w:t>
      </w:r>
      <w:r>
        <w:rPr>
          <w:rStyle w:val="FootnoteAnchor"/>
          <w:rtl w:val="true"/>
        </w:rPr>
        <w:footnoteReference w:id="79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ابوبصیر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هنگامی که زنا کرد، سه مرتبه تازیانه می‌خورد، برای مرتبه‌ی چهارم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سه نوبت زنا نیامده است؛ بلکه سه مرتبه تازیانه خوردن مطرح است، و در نوبت چهارم، تازیانه‌ای نبوده و بلکه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 در آخر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قاعده از راوی است که به صورت فعل غایب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و معنا کرده است؛ اگر از معصوم علیه السلام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تفسیر بر خلاف ظاهر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توضیح هم نبود، همین مطلب را از روایت می‌فهمیدیم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موثّقه بر مطلوب مشهور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محمّد بن سنان، عن الرضا علیه السلام فی ما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القتل بعد إقامة الحدّ فی الثالثة علی الزانی والزانیة لاستحقاقهما وقلّة مبالاتهما بالضرب حتّی کأنّه مطلق لهما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اخری أنّ المستخفّ باللّه وبالحدّ کافر، فوجب علیه القتل لدخوله الکفر</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محمّد بن سنان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احتمال خلاف ظاهر روایت در تعلّق و وابستگی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تا در نتیجه، این روایت نیز مانند روایت یونس بر قتل در مرتبه‌ی سوم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احتمال را خلاف ظاهر گفتیم؛ زیرا،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آن اقرب است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معقول نیست بین متعلَّق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ربطی ندارد،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 دو 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مضمون روایت دلیل بر قول مشهور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به محمّد بن سنان نوشتند، چنین مرقوم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پس از اجرای سه مرتبه حدّ در حقّ زانی و زانیه، آن‌ها را می‌کشند، آن است که اینان پس از سه مرتبه تازیانه خوردن و تحت تأثیر قرار نگرفتن، حالا مستحقّ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روایات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دسته روایت با هم قابل جمع هستند؛ زیرا، روایت یونس یک حکم کلّی را می‌گوید و دو روایت دیگر که مستند مشهور بود، حالت خاصّی را مطرح کرده است؛ لذا، بین آن‌ها</w:t>
      </w:r>
    </w:p>
    <w:p>
      <w:pPr>
        <w:pStyle w:val="BookText"/>
        <w:rPr/>
      </w:pPr>
      <w:r>
        <w:rPr>
          <w:rFonts w:ascii="IRNazanin" w:hAnsi="IRNazanin" w:eastAsia="IRNazanin"/>
          <w:color w:val="111111"/>
          <w:sz w:val="28"/>
          <w:sz w:val="28"/>
          <w:szCs w:val="28"/>
          <w:rtl w:val="true"/>
          <w:lang w:bidi="fa-IR"/>
        </w:rPr>
        <w:t>را جمع، و به روایت یونس تخصیص می‌زنیم؛ زیرا، روایت یونس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گناه کبیره‌ای اگر دو مرتبه حدّ اقامه شد، مرتبه‌ی سوم آن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زنا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مرتبه حدّ جاری شد، مرتبه‌ی چهارم آن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در زنا خصوصیّتی است که باید آن عامّ را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روایت،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مانعی برای فتوای مشهور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شیخ طوسی رحمه الله در خلاف</w:t>
      </w:r>
      <w:r>
        <w:rPr>
          <w:rStyle w:val="FootnoteAnchor"/>
          <w:rtl w:val="true"/>
        </w:rPr>
        <w:footnoteReference w:id="795"/>
      </w:r>
      <w:r>
        <w:rPr>
          <w:rFonts w:ascii="IRNazanin" w:hAnsi="IRNazanin" w:eastAsia="IRNazanin"/>
          <w:color w:val="111111"/>
          <w:sz w:val="28"/>
          <w:sz w:val="28"/>
          <w:szCs w:val="28"/>
          <w:rtl w:val="true"/>
          <w:lang w:bidi="fa-IR"/>
        </w:rPr>
        <w:t>مطرح کردیم، همان گونه که صاحب جواهر رحمه الله</w:t>
      </w:r>
      <w:r>
        <w:rPr>
          <w:rStyle w:val="FootnoteAnchor"/>
          <w:rtl w:val="true"/>
        </w:rPr>
        <w:footnoteReference w:id="796"/>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 این مطلب نمی‌تواند دلیلی اقامه کند؛ مگر روایتی که در باب حدّ عبد رسیده و اشعاری به بیان شیخ طوسی رحمه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إبراهیم، عن أبیه، عن الأصبغ بن الأصبغ، عن محمّد بن سلیمان المصری، عن مروان بن مسلم، عن عبید بن زرارة أو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أمة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خمسین جلدة،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عادت،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علیها الرجم فی شیء من الحالات؟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زنت ثمانی مرّات یجب علیها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صارت فی ثمانی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 إذا زنی أربع مرّات واُقیم علیه الحدّ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زنت الأمة ثمانی مرّات رجمت فی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رحمها أن یجمع علیها ربق الرقّ وحدّ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إمام المسلمین أن یدفع ثمنه إلی موالیه من سهم الرقاب</w:t>
      </w:r>
      <w:r>
        <w:rPr>
          <w:rFonts w:eastAsia="IRNazanin" w:cs="IRNazanin"/>
          <w:color w:val="111111"/>
          <w:sz w:val="28"/>
          <w:szCs w:val="28"/>
          <w:rtl w:val="true"/>
          <w:lang w:bidi="fa-IR"/>
        </w:rPr>
        <w:t>.</w:t>
      </w:r>
      <w:r>
        <w:rPr>
          <w:rStyle w:val="FootnoteAnchor"/>
          <w:rtl w:val="true"/>
        </w:rPr>
        <w:footnoteReference w:id="79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 وحکم زنای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رحمه الله در کتاب شرایع مسأله عبد را مطرح کرده، ولی در تحریر الوسیله به جهت عدم ابتلا 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bookmarkStart w:id="761" w:name="pg16919_227311"/>
    </w:p>
    <w:p>
      <w:pPr>
        <w:pStyle w:val="BookText"/>
        <w:rPr/>
      </w:pPr>
      <w:bookmarkEnd w:id="761"/>
      <w:r>
        <w:rPr>
          <w:rFonts w:ascii="IRNazanin" w:hAnsi="IRNazanin" w:eastAsia="IRNazanin"/>
          <w:color w:val="111111"/>
          <w:sz w:val="28"/>
          <w:sz w:val="28"/>
          <w:szCs w:val="28"/>
          <w:rtl w:val="true"/>
          <w:lang w:bidi="fa-IR"/>
        </w:rPr>
        <w:t>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پس از هفت‌بار اجرای حدّ، در مرتبه‌ی هشتم می‌کشند؛ و برخی معتقدند وقتی هشت مرتبه تازیانه خورد، حدّ او را در مرتبه‌ی نهم قتل است</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از طرفی، عبد، مملوک مولا است و زنایی که انجام داده، ربطی به مالکش ندارد؛ اگر او را بکشیم، خسارت مالی متوجّه مولا می‌شود؛ لذا، شارع مقدّس دستور داده است که باید این خسارت جبران شود و قیمت عبد را از بیت المال مسلمین به مولا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جمله‌ی قابل استشهاد ما در روایت برای کلام شیخ طوسی رحمه الله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الحرّ إذا زنی أربع مرّات واُقیم علیه الحدّ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 چهار مرتبه زنا کرد و بر او حدّ اقامه شد، به دنبال آن قتل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روایت با قطع نظر از صدر آن، بر فتوای شیخ طوسی رحمه الله در خلاف دلالت دارد؛ لیکن با توجّه به صدرش این اشعار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فتوای شیخ رحمه الله نیز بر خلاف نظر مشهور و نظریه صدوقین رحمهما الله</w:t>
      </w:r>
      <w:r>
        <w:rPr>
          <w:rStyle w:val="FootnoteAnchor"/>
          <w:rtl w:val="true"/>
        </w:rPr>
        <w:footnoteReference w:id="799"/>
      </w:r>
      <w:r>
        <w:rPr>
          <w:rFonts w:ascii="IRNazanin" w:hAnsi="IRNazanin" w:eastAsia="IRNazanin"/>
          <w:color w:val="111111"/>
          <w:sz w:val="28"/>
          <w:sz w:val="28"/>
          <w:szCs w:val="28"/>
          <w:rtl w:val="true"/>
          <w:lang w:bidi="fa-IR"/>
        </w:rPr>
        <w:t>و مرحوم‌ادریس</w:t>
      </w:r>
      <w:r>
        <w:rPr>
          <w:rStyle w:val="FootnoteAnchor"/>
          <w:rtl w:val="true"/>
        </w:rPr>
        <w:footnoteReference w:id="8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62" w:name="__RefHeading___Toc79166_3244359995"/>
      <w:bookmarkStart w:id="763" w:name="_Toc291"/>
      <w:bookmarkEnd w:id="762"/>
      <w:r>
        <w:rPr>
          <w:rtl w:val="true"/>
        </w:rPr>
        <w:t>تساوی مرد و زن در حدّ قتل</w:t>
      </w:r>
      <w:bookmarkEnd w:id="763"/>
    </w:p>
    <w:p>
      <w:pPr>
        <w:pStyle w:val="BookText"/>
        <w:rPr/>
      </w:pPr>
      <w:r>
        <w:rPr>
          <w:rFonts w:ascii="IRNazanin" w:hAnsi="IRNazanin" w:eastAsia="IRNazanin"/>
          <w:color w:val="111111"/>
          <w:sz w:val="28"/>
          <w:sz w:val="28"/>
          <w:szCs w:val="28"/>
          <w:rtl w:val="true"/>
          <w:lang w:bidi="fa-IR"/>
        </w:rPr>
        <w:t>روایاتی که مستند قول مشهور بود و هم‌چنین روایاتی که مستمسک حلّی و صدوقین رحمهما الله بود، اختصاصی به مرد زانی نداشت و بین مرد و زن فرقی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بر هر سه قول، مرد و زن در این حکم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سوم یا مرتبه‌ی چهارم یا مرتبه‌ی پنجم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تحریر الوسیله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تصریح به این جهت می‌آورد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تمرکز بحث بر غیر محصن روشن است؛ زیرا، زانی محصن در همان مرتبه‌ی اوّل رجم شده و از بین می‌رود و دیگر موضوعی برای مسأله‌ی 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مسأله اختصاص به زناکاری دارد که اجرای حدّ در حق او سبب سلب حیاتش نشود</w:t>
      </w:r>
      <w:r>
        <w:rPr>
          <w:rFonts w:eastAsia="IRNazanin" w:cs="IRNazanin"/>
          <w:color w:val="111111"/>
          <w:sz w:val="28"/>
          <w:szCs w:val="28"/>
          <w:rtl w:val="true"/>
          <w:lang w:bidi="fa-IR"/>
        </w:rPr>
        <w:t>.</w:t>
      </w:r>
      <w:bookmarkStart w:id="764" w:name="pg16919_227313"/>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الحاکم فی إجراء الحدّ علی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بالخیار فی الذّمی بین إقامة الحدّ علیه وتسلیمه إلی أهل نحلته وملّته لیقیموا الحدّ علی معتقدهم والأحوط إجراء الحدّ علیه، هذا إذا زنی بالذمّیة أو الکافرة، وإلّا فیجری علیه الحدّ بلا إشکال</w:t>
      </w:r>
      <w:r>
        <w:rPr>
          <w:rFonts w:eastAsia="IRNazanin" w:cs="IRNazanin"/>
          <w:color w:val="111111"/>
          <w:sz w:val="28"/>
          <w:szCs w:val="28"/>
          <w:rtl w:val="true"/>
          <w:lang w:bidi="fa-IR"/>
        </w:rPr>
        <w:t>.</w:t>
      </w:r>
    </w:p>
    <w:p>
      <w:pPr>
        <w:pStyle w:val="Heading4"/>
        <w:numPr>
          <w:ilvl w:val="3"/>
          <w:numId w:val="1"/>
        </w:numPr>
        <w:rPr/>
      </w:pPr>
      <w:bookmarkStart w:id="765" w:name="__RefHeading___Toc79168_3244359995"/>
      <w:bookmarkStart w:id="766" w:name="_Toc292"/>
      <w:bookmarkEnd w:id="765"/>
      <w:r>
        <w:rPr>
          <w:rtl w:val="true"/>
        </w:rPr>
        <w:t>تخییر حاکم در اجرای حدّ بر ذمّی</w:t>
      </w:r>
      <w:bookmarkEnd w:id="766"/>
    </w:p>
    <w:p>
      <w:pPr>
        <w:pStyle w:val="Heading5"/>
        <w:numPr>
          <w:ilvl w:val="4"/>
          <w:numId w:val="1"/>
        </w:numPr>
        <w:rPr/>
      </w:pPr>
      <w:bookmarkStart w:id="767" w:name="__RefHeading___Toc79170_3244359995"/>
      <w:bookmarkStart w:id="768" w:name="_Toc293"/>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ذمّی یا ذمیّه مرتکب زنا شد و طرف او در زنا غیر مسلمان بود، و به حاکم اسلام مراجعه شد، حاکم مخیّر است بین این‌که حدود اسلامی را بر او جاری کند و یا وی را به دادگاه‌های خودشان بفرستد تا بر طبق دین خودشان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طرف زنای ذمّی یا ذمّیه مسلمان باشد، حاکم شرع باید حدّ را بر ذمّی جاری کرده و هیچ حقّ تخییری نیست</w:t>
      </w:r>
      <w:r>
        <w:rPr>
          <w:rFonts w:eastAsia="IRNazanin" w:cs="IRNazanin"/>
          <w:color w:val="111111"/>
          <w:sz w:val="28"/>
          <w:szCs w:val="28"/>
          <w:rtl w:val="true"/>
          <w:lang w:bidi="fa-IR"/>
        </w:rPr>
        <w:t>.</w:t>
      </w:r>
    </w:p>
    <w:p>
      <w:pPr>
        <w:pStyle w:val="Heading5"/>
        <w:numPr>
          <w:ilvl w:val="4"/>
          <w:numId w:val="1"/>
        </w:numPr>
        <w:rPr/>
      </w:pPr>
      <w:bookmarkStart w:id="769" w:name="__RefHeading___Toc79172_3244359995"/>
      <w:bookmarkStart w:id="770" w:name="_Toc294"/>
      <w:bookmarkEnd w:id="769"/>
      <w:r>
        <w:rPr>
          <w:rtl w:val="true"/>
        </w:rPr>
        <w:t>فرع اوّل</w:t>
      </w:r>
      <w:r>
        <w:rPr>
          <w:rtl w:val="true"/>
        </w:rPr>
        <w:t xml:space="preserve">: </w:t>
      </w:r>
      <w:r>
        <w:rPr>
          <w:rtl w:val="true"/>
        </w:rPr>
        <w:t>حکم زنای ذمّی با ذمّی</w:t>
      </w:r>
      <w:bookmarkEnd w:id="770"/>
    </w:p>
    <w:p>
      <w:pPr>
        <w:pStyle w:val="Heading6"/>
        <w:numPr>
          <w:ilvl w:val="5"/>
          <w:numId w:val="1"/>
        </w:numPr>
        <w:rPr/>
      </w:pPr>
      <w:bookmarkStart w:id="771" w:name="__RefHeading___Toc79174_3244359995"/>
      <w:bookmarkStart w:id="772" w:name="_Toc295"/>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در صورتی که کافر ذمّی با زن ذمّی یا کافری و همین‌گونه زن ذمّی با مرد کافر یا ذمّی زنا کند، اگر به حاکم و دادگاه‌های اسلامی مراجعه شود، تمام فقها به اتّفاق، بدون هیچ مخالفتی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اسلام مخیّر است بین این‌که حدود و احکام اسلام را بر آنان جاری کند و یا این‌که در مسأله دخالت نکرده، آنان را به محاکم قضایی خودشان بفرستد تا قانون دینشان در حقّ آنان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تخییر تا اندازه‌ای مخالف قاعده است؛ چرا که قاعده جریان احکام اسلام به‌طور تعیین است؛ زیرا،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w:t>
      </w:r>
      <w:r>
        <w:rPr>
          <w:rStyle w:val="FootnoteAnchor"/>
          <w:rtl w:val="true"/>
        </w:rPr>
        <w:footnoteReference w:id="80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غیر از اسلام دینی را بجوید، از او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این مطلب را بحث کردیم که کفّار همان‌طور که به اصول مکلّف‌اند، به فروع نیز مکلّف‌اند؛ یعنی کافر را</w:t>
      </w:r>
      <w:bookmarkStart w:id="773" w:name="pg16919_227315"/>
    </w:p>
    <w:p>
      <w:pPr>
        <w:pStyle w:val="BookText"/>
        <w:rPr/>
      </w:pPr>
      <w:bookmarkEnd w:id="773"/>
      <w:r>
        <w:rPr>
          <w:rFonts w:ascii="IRNazanin" w:hAnsi="IRNazanin" w:eastAsia="IRNazanin"/>
          <w:color w:val="111111"/>
          <w:sz w:val="28"/>
          <w:sz w:val="28"/>
          <w:szCs w:val="28"/>
          <w:rtl w:val="true"/>
          <w:lang w:bidi="fa-IR"/>
        </w:rPr>
        <w:t>در قیامت بر ترک نماز و روزه و مخالفت با جمیع احکام اسلام عقاب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اقتضای قاعده پیاده شدن احکام اسلام است؛ به خصوص با توجّه به این‌که ذمّی تحت حکومت اسلام زندگی می‌کند و در اختیار دولت اسلامی قرار دارد؛ و کسی که در سایه‌ی حکومت اسلامی زندگی می‌کند، قاعده این است که اگر زنا کرد، مقرّرات اسلام در حقّ او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مخالف قاعده بودن تخییر، پس چرا فقها به طور اتّفاق به آن فتوا داده‌اند؟</w:t>
      </w:r>
    </w:p>
    <w:p>
      <w:pPr>
        <w:pStyle w:val="Heading6"/>
        <w:numPr>
          <w:ilvl w:val="5"/>
          <w:numId w:val="1"/>
        </w:numPr>
        <w:rPr/>
      </w:pPr>
      <w:bookmarkStart w:id="774" w:name="__RefHeading___Toc79176_3244359995"/>
      <w:bookmarkStart w:id="775" w:name="_Toc296"/>
      <w:bookmarkEnd w:id="774"/>
      <w:r>
        <w:rPr>
          <w:rtl w:val="true"/>
        </w:rPr>
        <w:t>ادلّه‌ی تخییر حاکم شرع</w:t>
      </w:r>
      <w:bookmarkEnd w:id="775"/>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آیه‌ی شریفه، خداوند متعال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زمانی که غیر مسلمانان برای محاکمه و قضاوت به سراغ تو می‌آیند، می‌توانی بین آنان بر طبق اسلام حکم کنی و یا از آن‌ها اعراض کرده، آنان را محاکمه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روی گردانی و بر آنان حکم نکنی، به تو نمی‌توانند ضرر و زیانی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کفّار حکم کردی، به عدالت قضاوت کن؛ زیرا، خداوند حاکمان به عدل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و ظهور آن در تخییر واضح و آشکار است؛ لیکن بر دلالت آن اشکال شده به این‌که مفاد آیه با تخییری که در چند آیه‌ی بعد فرموده است، منافات 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حقّ بر تو نازل کردیم؛ با این خصوصیّت که تورات و انجیل و زبور را تصدیق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هایی که در حال نزول قرآن مطرح بوده، آن‌ها را تأیید کرده؛ لیکن قرآن بر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می‌گیرد پس بین غیر مسلمانان به آن‌چه خداوند نازل کرده، حکم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ابتدایی آیه لزوم مطابق بودن حکم پیامبر صلی الله علیه و آله با مقرّرات اسلام است؛ لذا، تخییر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ابن‌عباس حکایت شده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ناسخ آیه‌ی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یعنی آیه‌ی اوّل دلالت بر تخییر، و این آیه دلالت بر تعیین احکام اسلام می‌کند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نقدی بر ناسخیّت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 xml:space="preserve">این‌که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ناسخ آیه‌ی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است، در کتاب‌های تفسیری اهل سنّت آمده است؛ امّا به علل زیر نمی‌توان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مفسّران شیعی به خصوص مرحوم طبرسی رحمه الله در مجمع البیان فرموده، این دو آیه با آیات وسط آن‌ها یک مرتبه و در یک جریان نازل شده، و شأن نزول واحدی دارند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خیبر فتح شد و زیر سیطره‌ی حکومت رسول خدا صلی الله علیه و آله درآمد، یکی از زنان اشراف خیبر که شوهردار بود با یک مرد زن‌داری زنا کرد، یهودیان به علّت این‌که زن از اشراف و متشخّص بود، نمی‌خواستند او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جماعتی از یهود را به مدینه نزد پیامبر خدا صلی الله علیه و آله فرستادند تا او در این مسأله حکم کند؛ به خیال خودشان پیامبر صلی الله علیه و آله به غیر رجم حکم خواهد 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زنای محصنه زن و مرد یهودی نزد پیامبر صلی الله علیه و آله مطرح شد و خواهان حکم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نفر سنگسار شوند؛ یهودیان ناراحت شده، و از پذیرفتن این حکم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بخواهید عالم معروفشان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درباره‌ی موقعیّت ابن صوریا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یهودی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احضار او، رسول خدا صلی الله علیه و 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شما حدّ زن و مردی که زنای احصانی کرده‌اند، رجم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دستور دادند آنان را سنگسار کرده و این آیات نیز در همین جریان نازل شد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بدیهی است معنی ندارد آیاتی که پشت سر هم و در یک واقعه نازل شده باشد، یکی ناسخ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w:t>
      </w:r>
      <w:r>
        <w:rPr>
          <w:rStyle w:val="FootnoteAnchor"/>
          <w:rtl w:val="true"/>
        </w:rPr>
        <w:footnoteReference w:id="806"/>
      </w:r>
      <w:r>
        <w:rPr>
          <w:rFonts w:ascii="IRNazanin" w:hAnsi="IRNazanin" w:eastAsia="IRNazanin"/>
          <w:color w:val="111111"/>
          <w:sz w:val="28"/>
          <w:sz w:val="28"/>
          <w:szCs w:val="28"/>
          <w:rtl w:val="true"/>
          <w:lang w:bidi="fa-IR"/>
        </w:rPr>
        <w:t>معتقدند اصلاً در قرآن چیزی به عنوان نسخ وجود ندارد؛ تنها آیه‌ی نجوا در ناسخیّت صراحت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اوّل دستور آمده بود قبل از نجوا کردن با پیامبر صلی الله علیه و آله صدقه‌ای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حکم بر شما سخت است، آن را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نسخ در صورتی است که دو آیه با یک‌دیگر منافات و تعارض داشته و غیر قابل 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آیه‌ی متأخّر را ناسخ قرار می‌دهیم؛ امّا در این مقام، بین دو آیه هیچ تنافی و تعارضی نیست؛ چرا که آیه‌ی اوّل صراحت در تخییر دارد و می‌گوید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فَاحْکُمْ بَیْنَهُمْ أَوْ أَعْرِضْ عَنْهُمْ </w:t>
      </w:r>
      <w:r>
        <w:rPr>
          <w:rStyle w:val="FootnoteAnchor"/>
          <w:rtl w:val="true"/>
        </w:rPr>
        <w:footnoteReference w:id="808"/>
      </w:r>
      <w:r>
        <w:rPr>
          <w:rFonts w:ascii="Amiri" w:hAnsi="Amiri" w:eastAsia="Amiri" w:cs="Amiri"/>
          <w:color w:val="111111"/>
          <w:sz w:val="28"/>
          <w:sz w:val="28"/>
          <w:szCs w:val="28"/>
          <w:rtl w:val="true"/>
          <w:lang w:bidi="ar-SA"/>
        </w:rPr>
        <w:t xml:space="preserve">ولی آیه‌ی دوم فَاحْکُمْ بَیْنَهُمْ بِما أَنْزَلَ اللّهُ </w:t>
      </w:r>
      <w:r>
        <w:rPr>
          <w:rStyle w:val="FootnoteAnchor"/>
          <w:rtl w:val="true"/>
        </w:rPr>
        <w:footnoteReference w:id="809"/>
      </w:r>
      <w:r>
        <w:rPr>
          <w:rFonts w:ascii="IRNazanin" w:hAnsi="IRNazanin" w:eastAsia="IRNazanin"/>
          <w:color w:val="111111"/>
          <w:sz w:val="28"/>
          <w:sz w:val="28"/>
          <w:szCs w:val="28"/>
          <w:rtl w:val="true"/>
          <w:lang w:bidi="fa-IR"/>
        </w:rPr>
        <w:t>صراحتی در تعیین ندارد؛ بلکه ظهور در تعیین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اصولی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نصّ و ظاهر معارضه‌ای نیست؛ بلکه نصّ واظهر همیشه قرینه بر تصرّف در ظاهر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کفایه گفته شده اگر امری از مولا رسید و نمی‌دانیم آیا از آن واجب اراده شده یا واجب تخییری؟ 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و اطلاق، بر ظهور آن امر در تعیین دلالت دارند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در مقابل این ظهور، اگر اظهر یا نصّی داشته باشیم، بین آن‌ها به حمل ظاهر بر اظهر یا نصّ جمع می‌کنیم و تعارضی نیست تا بگوییم بیان دوم ناسخ بیان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جایی است که هر دو، نصّ یا ظاهر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که در ردّ ناسخیّت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احتمال بعیدی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أَنْزَلَ اللّهُ احکام و مقرّرات اسلام است و ظهور در تعیین دارد؛ لیکن به واسطه‌ی نصوصیّت آیه‌ی قبل، دست از این ظهور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آیه‌ی شریفه</w:t>
      </w:r>
    </w:p>
    <w:p>
      <w:pPr>
        <w:pStyle w:val="BookText"/>
        <w:rPr/>
      </w:pPr>
      <w:r>
        <w:rPr>
          <w:rFonts w:ascii="IRNazanin" w:hAnsi="IRNazanin" w:eastAsia="IRNazanin"/>
          <w:color w:val="111111"/>
          <w:sz w:val="28"/>
          <w:sz w:val="28"/>
          <w:szCs w:val="28"/>
          <w:rtl w:val="true"/>
          <w:lang w:bidi="fa-IR"/>
        </w:rPr>
        <w:t>روایت ابی‌بصیر را از آن جهت که سندش صحیح نیست، به عنوان مؤیّدی بر آیه‌ی شریفه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سعد بن عبداللّه، عن محمّد بن الحسین بن أبی الخطاب، عن سوید بن سعید القلا، عن أیّوب،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إذا أتاه أهل التوراة وأهل الانجیل یتحاکمون إلیه، کان ذلک إلیه، إن شاء حکم بینهم وإن شاء ترکهم</w:t>
      </w:r>
      <w:r>
        <w:rPr>
          <w:rFonts w:eastAsia="IRNazanin" w:cs="IRNazanin"/>
          <w:color w:val="111111"/>
          <w:sz w:val="28"/>
          <w:szCs w:val="28"/>
          <w:rtl w:val="true"/>
          <w:lang w:bidi="fa-IR"/>
        </w:rPr>
        <w:t>.</w:t>
      </w:r>
      <w:r>
        <w:rPr>
          <w:rStyle w:val="FootnoteAnchor"/>
          <w:rtl w:val="true"/>
        </w:rPr>
        <w:footnoteReference w:id="81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تورات و انجیل نزد حاکم اسلام آمده، و از او تقاضای تحاکم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تحاکم ظهور در مخاصمه و تنازع دارد؛ ولی مطلب فقط مربوط به باب مخاصمه نیست، بلکه در باب حدود نیز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این حقّ هست که می‌تواند طبق احکام اسلام بین آنان حکم کند و یا اعراض کرده تا به محاکم خودشان مراجعه کنند</w:t>
      </w:r>
      <w:r>
        <w:rPr>
          <w:rFonts w:eastAsia="IRNazanin" w:cs="IRNazanin"/>
          <w:color w:val="111111"/>
          <w:sz w:val="28"/>
          <w:szCs w:val="28"/>
          <w:rtl w:val="true"/>
          <w:lang w:bidi="fa-IR"/>
        </w:rPr>
        <w:t>.</w:t>
      </w:r>
      <w:bookmarkStart w:id="776" w:name="pg16919_227323"/>
    </w:p>
    <w:p>
      <w:pPr>
        <w:pStyle w:val="BookText"/>
        <w:rPr/>
      </w:pPr>
      <w:bookmarkEnd w:id="776"/>
      <w:r>
        <w:rPr>
          <w:rFonts w:ascii="IRNazanin" w:hAnsi="IRNazanin" w:eastAsia="IRNazanin"/>
          <w:color w:val="111111"/>
          <w:sz w:val="28"/>
          <w:sz w:val="28"/>
          <w:szCs w:val="28"/>
          <w:rtl w:val="true"/>
          <w:lang w:bidi="fa-IR"/>
        </w:rPr>
        <w:t>عدم تطابق مضمون آیه و روایت با فتوای فقها</w:t>
      </w:r>
    </w:p>
    <w:p>
      <w:pPr>
        <w:pStyle w:val="BookText"/>
        <w:rPr/>
      </w:pPr>
      <w:r>
        <w:rPr>
          <w:rFonts w:ascii="IRNazanin" w:hAnsi="IRNazanin" w:eastAsia="IRNazanin"/>
          <w:color w:val="111111"/>
          <w:sz w:val="28"/>
          <w:sz w:val="28"/>
          <w:szCs w:val="28"/>
          <w:rtl w:val="true"/>
          <w:lang w:bidi="fa-IR"/>
        </w:rPr>
        <w:t>در تعابیر فقها می‌بینیم حاکم مخیّر است در اجرای حدود اسلامی بر کافر ذمّی و تحویل دادن او به اهل دینش؛ یعنی یکی از دو طرف تخییر بر او واجب است؛ یا اجرای حدّ و یا تحویل به محاکم قضایی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مفاد آیه و روایت تخییر حاکم بین اجرای حدّ و رها کردن و واگذاری کافر ذمّی است فَاحْکُمْ بَیْنَهُمْ أَوْ أَعْرِضْ عَنْهُمْ </w:t>
      </w:r>
      <w:r>
        <w:rPr>
          <w:rStyle w:val="FootnoteAnchor"/>
          <w:rtl w:val="true"/>
        </w:rPr>
        <w:footnoteReference w:id="8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حکم بینهم وإن شاء ترکهم</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7" w:name="__RefHeading___Toc79178_3244359995"/>
      <w:bookmarkStart w:id="778" w:name="_Toc297"/>
      <w:bookmarkEnd w:id="777"/>
      <w:r>
        <w:rPr>
          <w:rtl w:val="true"/>
        </w:rPr>
        <w:t>توجیه فاضل اصفهانی رحمه الله در این زمینه</w:t>
      </w:r>
      <w:bookmarkEnd w:id="778"/>
    </w:p>
    <w:p>
      <w:pPr>
        <w:pStyle w:val="BookText"/>
        <w:rPr/>
      </w:pPr>
      <w:r>
        <w:rPr>
          <w:rFonts w:ascii="IRNazanin" w:hAnsi="IRNazanin" w:eastAsia="IRNazanin"/>
          <w:color w:val="111111"/>
          <w:sz w:val="28"/>
          <w:sz w:val="28"/>
          <w:szCs w:val="28"/>
          <w:rtl w:val="true"/>
          <w:lang w:bidi="fa-IR"/>
        </w:rPr>
        <w:t>مرحوم فاضل اصفهانی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حاکم شرع مخیّر است در اجرای حدّ اسلام بر کافر ذمّی و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تأیید ادّعای خود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اسلامی مجرم را به حکّام یهودی و یا نصرانی تحویل دهد، چه بسا حکمی بر خلاف احکام اسلام در حقّ او جاری کنند؛ و این، در حقیقت، امر به منکر است و معنا ندارد اسلام امر به منکر کند و ما را مأمور سازد که منکری در خارج تحقّق پیدا کند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نقد نظر فاضل هندی رحمه الله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و قرینه‌ای کلام فقها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دفعه إلیهم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که معنای دفع و تحویل دارد، به اعراض و عدم دخالت تفسیر کنیم؟ این تفسیر، نادرست و باطل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تحویل دادن مجرم به محاکم قضایی آنان، امر به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مصلحتی را در نظر گرفته و به سبب آن، به تحویل دادن امر کرده است؛ یعنی شارع مقدّس ضمن این که برای احکام اسلام اصالت قائل شده است، با این حال، نخواسته کفّار ذمّی که در سایه‌ی اسلام زندگی می‌کنند، ملزم باشند چوب اسلام را بخورند، وکسی که به اسلام اعتقاد ندارد را به پذیرفتن مقرّرات اسلام مجبور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با در نظر گرفتن این مصلحت مهمّ و مصلحت اجرای قوانین اسلام، امر به تخییر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را در نقد سخن فاضل هندی رحمه الله گفتیم، هر چند فقیه بما أنّه فقیه حقّ توجیه ندارد و نباید خود را گرفتار توجیه کند؛ آن‌چه را که آیات و روایات بر آن دلالت می‌کند، باید بپذیرد؛ هرچند با مذاق و عقل او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دلیل محکم و غیر قابل خدشه بود، هر چند خلاف قاعده باشد، باید بر طبق آن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روایاتی که در آینده مطرح می‌کنیم، مقتضای جمع بین آن‌ها و آیه، قرینه بودن روایات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هم وجهی دیگر بر بطلان کلام صاحب کشف اللثام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روایاتی که در این باب رسیده است، دو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طایفه‌ی اوّل این است که وقتی یهودی و نصرانی به حاکم اسلام مراجعه کرد، او باید به طور حتم و تعیین، حکم اسلام را در حقّ او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دوم ظهوری بر خلاف طایفه‌ی اوّل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باید حتماً او را به محاکم قضایی خودشان تسلیم کند تا احکام دینشان در حقّ او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طایفه از روایات، ظهور در تعیین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تعیّن اجرای احکام اسلامی، و دیگری، تعیّن تحویل به حاکم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گروه از روایات دست برداشتن از ظهور آن‌ها در تعیین است؛ که نتیجه‌ی آن، جواز اجرای احکام اسلام و جواز دفع به اهل، یعنی تخییر بین این دو 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خلاصه‌ی استدلال به روایات بود؛ ولی باید به بررسی متن همه‌ی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اوّل از روایات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یهودی أو نصرانی أو مجوسی اخذ زانیاً، أو شارب خمر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 حدود المسلمین إذا فعلوا ذلک فی مصر من أمصار المسلمین</w:t>
      </w:r>
    </w:p>
    <w:p>
      <w:pPr>
        <w:pStyle w:val="BookText"/>
        <w:rPr/>
      </w:pPr>
      <w:r>
        <w:rPr>
          <w:rFonts w:ascii="IRNazanin" w:hAnsi="IRNazanin" w:eastAsia="IRNazanin"/>
          <w:color w:val="111111"/>
          <w:sz w:val="28"/>
          <w:sz w:val="28"/>
          <w:szCs w:val="28"/>
          <w:rtl w:val="true"/>
          <w:lang w:bidi="fa-IR"/>
        </w:rPr>
        <w:t>أو فی غیر أمصار المسلمین إذا رفعوا إلی حکّام المسلمین</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علی بن جعفر از برادرش موسی بن جعفر علیهما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یهودی یا نصرانی یا مجوسی را در حالی که زنا می‌کرد و یا به شرب خمر مشغول بود، دستگیر کردند، حکم او چیست؟ چه حدّی در مورد او اجرا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مملکت اسلامی به عنوان ذمّی انجام داده یا در غیر مملکت اسلامی مرتکب شده لیکن مرافعه را به حکّام اسلامی مراجعه دادند، حاکم اسلامی احکام اسلام را در حقّ او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ظهور در تعیّن اجرای مقرّرات اسلامی در حقّ ذمّی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إسماعیل بن مهران، عن درست،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دیة الیهود والنصاری والمجوس،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سواء 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اخذوا فی بلاد المسلمین وهم یعملون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أیقام علیهم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یحکم فیهم بأحکام المسلمین</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 ابوبصیر دو سؤال از امام علیه السلام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دیه‌ی یهود، نصاری و مجوس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آنان هشتصد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سرزمین‌های اسلامی در حالی که مشغول انجام فاحشه هستند، آن‌ها را گرفتند، آیا بر آنان حدّی اقامه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احکام مسلمانان درباره‌ی آنان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ظهور در تعیّن اجرای احکام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دوم روایات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أحمد بن محمّد بن عیسی، عن محمّد بن عیسی، عن عبداللّه</w:t>
      </w:r>
    </w:p>
    <w:p>
      <w:pPr>
        <w:pStyle w:val="BookText"/>
        <w:rPr/>
      </w:pPr>
      <w:r>
        <w:rPr>
          <w:rFonts w:ascii="IRNazanin" w:hAnsi="IRNazanin" w:eastAsia="IRNazanin"/>
          <w:color w:val="111111"/>
          <w:sz w:val="28"/>
          <w:sz w:val="28"/>
          <w:szCs w:val="28"/>
          <w:rtl w:val="true"/>
          <w:lang w:bidi="fa-IR"/>
        </w:rPr>
        <w:t>بن المغیرة، عن إسماعیل بن أبی زیاد، عن جعفر بن محمّد، عن آبائه علیهم السلام، أنّ محمّد بن أبی‌بکر کتب إلی علیّ علیه السلام فی الرجل زنی بالمرأة الیهودیّة والنصرانیّة، 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محصناً فارجمه وإن کان بکراً فاجلده مائة جلدة ثمّ انفه، وأمّا الیهودیّة فابعث بها إلی أهل ملّتها فلیقضوا فیها ما أحبّوا</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والی و استاندار امیرمؤمنان علیه السلام نامه‌ای درباره‌ی زنای مرد مسلمانی با زن یهودی و یا نصرانی نوشت و کسب تکلیف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مرقوم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محصن است، او را سنگسار کن؛ واگر بکر و غیر محصن است، صد تازیانه به او زده و او را تبعید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یهودی را نزد حکّام خودشان فرستاده تا به هر صورتی که دوست دارند و قواعدشان اقتضا می‌کند، درباره‌ی او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روایت، تعیّن ارجاع به اهل و ملّت ذمّی و حقّ نداشتن محمّد بن ابی بکر برای پیاده کردن حکم اسلام در مورد آن زن است؛ بلکه وظیفه‌ی حتمی او بازگرداندن زن و فرستادن او نزد قاضی‌های ذمّی است تا آن‌ها درباره‌ی او حکم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الحارث،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علیّ علیه السلام محمّد بن أبی بکر أمیراً علی مصر، فکتب إلی علیّ علیه السلام یسأله عن رجل مسلم فجر بامرأة نصرانیّة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أقم الحدّ فیهم علی المسلم الّذی فجر بالنصرانیّة وادفع النصرانیّة إلی النصاری یقضون فیها ما شاؤوا</w:t>
      </w:r>
      <w:r>
        <w:rPr>
          <w:rFonts w:eastAsia="IRNazanin" w:cs="IRNazanin"/>
          <w:color w:val="111111"/>
          <w:sz w:val="28"/>
          <w:szCs w:val="28"/>
          <w:rtl w:val="true"/>
          <w:lang w:bidi="fa-IR"/>
        </w:rPr>
        <w:t>....</w:t>
      </w:r>
      <w:r>
        <w:rPr>
          <w:rStyle w:val="FootnoteAnchor"/>
          <w:rtl w:val="true"/>
        </w:rPr>
        <w:footnoteReference w:id="81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علیه السلام محمّد بن ابی‌بکر را به عنوان والی به مصر فرستاد، محمّد بن ابی‌بکر در نامه‌ای به امام علیه السلام از چند مطلب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سؤال از</w:t>
      </w:r>
    </w:p>
    <w:p>
      <w:pPr>
        <w:pStyle w:val="BookText"/>
        <w:rPr/>
      </w:pPr>
      <w:r>
        <w:rPr>
          <w:rFonts w:ascii="IRNazanin" w:hAnsi="IRNazanin" w:eastAsia="IRNazanin"/>
          <w:color w:val="111111"/>
          <w:sz w:val="28"/>
          <w:sz w:val="28"/>
          <w:szCs w:val="28"/>
          <w:rtl w:val="true"/>
          <w:lang w:bidi="fa-IR"/>
        </w:rPr>
        <w:t>حکم مرد مسلمانی بود که با زنی نصرانی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 مسلمان حدّ اقامه کن و زن نصرانی را به نصارا ارجاع ده تا خودشان درباره‌اش هر حکمی که می‌خواهند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این‌ها دو روایت نیست؛ بلکه دو راوی یک جریان را نقل می‌کنند؛ منتهی با کمی اختلاف در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ابی‌بکر یک‌بار نامه نوشته و این مطلب را سؤال کرده، و امام علیه السلام هم یک‌بار جواب داده است؛ لیکن دو نفر این جریان را در دو کتاب نقل کرده‌اند؛ و این نیز سبب تعدّد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حسب صورت و ظاهر اسم آن را دو روایت می‌گذاریم، امّا به حسب باطن یک روایت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دو طایفه</w:t>
      </w:r>
    </w:p>
    <w:p>
      <w:pPr>
        <w:pStyle w:val="BookText"/>
        <w:rPr/>
      </w:pPr>
      <w:r>
        <w:rPr>
          <w:rFonts w:ascii="IRNazanin" w:hAnsi="IRNazanin" w:eastAsia="IRNazanin"/>
          <w:color w:val="111111"/>
          <w:sz w:val="28"/>
          <w:sz w:val="28"/>
          <w:szCs w:val="28"/>
          <w:rtl w:val="true"/>
          <w:lang w:bidi="fa-IR"/>
        </w:rPr>
        <w:t>آیا تعارضی بین این دو طایفه از روایات مستقرّ است؟ و آیا می‌توان قواعد جمع دلالی را پیاده کرد؟ یک طایفه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اسلام بر ذمّی تعیّن دارد؛ و طایفه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حکّام خودشان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هر دو گروه نیز به ظهور است نه این‌که یکی به ظهور و دیگری اظهر یا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قواعد تعارض پیاده نشود؟</w:t>
      </w:r>
    </w:p>
    <w:p>
      <w:pPr>
        <w:pStyle w:val="BookText"/>
        <w:rPr/>
      </w:pPr>
      <w:r>
        <w:rPr>
          <w:rFonts w:ascii="IRNazanin" w:hAnsi="IRNazanin" w:eastAsia="IRNazanin"/>
          <w:color w:val="111111"/>
          <w:sz w:val="28"/>
          <w:sz w:val="28"/>
          <w:szCs w:val="28"/>
          <w:rtl w:val="true"/>
          <w:lang w:bidi="fa-IR"/>
        </w:rPr>
        <w:t>مختار و حقّ این است که بین دو طایفه تعارضی نیست؛ زیرا، ظهور هر طایفه در تعیین به اطلاق و مقدّمات حکمت است و نه به وضع؛ یعنی مقتضای اطلاق در هر طایفه حمل بر تعیین است؛ و در مقام ما هر طایفه‌ای صلاحیّت دارد طایفه‌ی دیگر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تحقّق اطلاق موقوف بر عدم قرینه برای تقیید است و این‌جا مقیّد داریم؛ با وجود تقیید، اطلاق کنار رفته و ظهور هر طایفه در تعیین ساقط گشته، نتیجه تخییر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تخییر خلاف قاعده‌ی اوّلی است و قاعده اقتضا می‌کند با آمدن اسلام، احکام آن باید اجرا شود، نه احکام تورات و انجیل؛ لیکن با وجود آیه‌ی شریفه و روایت که دلالت بر تخییر دارند، باید دست از قاعده برداشت و حکم به تخییر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بر عبارت تحریر الوسیله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امام علیه السلام در تحریر الوسیله استفاده می‌شود مطلب برای ایشان صاف نبوده است؛ 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بالخیار فی الذمّی بین إقامة الحدّ علیه وتسلیمه إلی</w:t>
      </w:r>
      <w:bookmarkStart w:id="779" w:name="pg16919_227334"/>
    </w:p>
    <w:p>
      <w:pPr>
        <w:pStyle w:val="BookText"/>
        <w:rPr/>
      </w:pPr>
      <w:bookmarkEnd w:id="779"/>
      <w:r>
        <w:rPr>
          <w:rFonts w:ascii="IRNazanin" w:hAnsi="IRNazanin" w:eastAsia="IRNazanin"/>
          <w:color w:val="111111"/>
          <w:sz w:val="28"/>
          <w:sz w:val="28"/>
          <w:szCs w:val="28"/>
          <w:rtl w:val="true"/>
          <w:lang w:bidi="fa-IR"/>
        </w:rPr>
        <w:t>أهل نحلته وملّته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مخیّر بین اقامه‌ی حدّ بر ذمّی و تسلیم او به هم‌کیشانش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إجراء الحدّ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احتیاط وجوبی در اجرای حدّ بر ذمّی از طرف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و عبارت ایشان حکایت از وجود شبهه و اشکال در اصل مسأله دارد؛ لذا، با وجود ادلّه، نتوانسته‌اند به تخییر که خلاف قاعده است،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ما از مسأله و روایات آن داشتیم، جایی برای احتیاط کردن نیست و فقیه می‌تواند در جایی که کافری با همانند خودش زنا کند، فتوای به تخییر بدهد</w:t>
      </w:r>
      <w:r>
        <w:rPr>
          <w:rFonts w:eastAsia="IRNazanin" w:cs="IRNazanin"/>
          <w:color w:val="111111"/>
          <w:sz w:val="28"/>
          <w:szCs w:val="28"/>
          <w:rtl w:val="true"/>
          <w:lang w:bidi="fa-IR"/>
        </w:rPr>
        <w:t>.</w:t>
      </w:r>
    </w:p>
    <w:p>
      <w:pPr>
        <w:pStyle w:val="Heading5"/>
        <w:numPr>
          <w:ilvl w:val="4"/>
          <w:numId w:val="1"/>
        </w:numPr>
        <w:rPr/>
      </w:pPr>
      <w:bookmarkStart w:id="780" w:name="__RefHeading___Toc79180_3244359995"/>
      <w:bookmarkStart w:id="781" w:name="_Toc298"/>
      <w:bookmarkEnd w:id="780"/>
      <w:r>
        <w:rPr>
          <w:rtl w:val="true"/>
        </w:rPr>
        <w:t>فرع دوم</w:t>
      </w:r>
      <w:r>
        <w:rPr>
          <w:rtl w:val="true"/>
        </w:rPr>
        <w:t xml:space="preserve">: </w:t>
      </w:r>
      <w:r>
        <w:rPr>
          <w:rtl w:val="true"/>
        </w:rPr>
        <w:t>حکم زنای کافر با مسلمان</w:t>
      </w:r>
      <w:bookmarkEnd w:id="781"/>
    </w:p>
    <w:p>
      <w:pPr>
        <w:pStyle w:val="BookText"/>
        <w:rPr/>
      </w:pPr>
      <w:r>
        <w:rPr>
          <w:rFonts w:ascii="IRNazanin" w:hAnsi="IRNazanin" w:eastAsia="IRNazanin"/>
          <w:color w:val="111111"/>
          <w:sz w:val="28"/>
          <w:sz w:val="28"/>
          <w:szCs w:val="28"/>
          <w:rtl w:val="true"/>
          <w:lang w:bidi="fa-IR"/>
        </w:rPr>
        <w:t>اگر ذمّی با زن مسلمانی زنا کرد، وظیفه‌ی حاکم شرع چیست؟ صاحب جواهر رحمه الله</w:t>
      </w:r>
      <w:r>
        <w:rPr>
          <w:rStyle w:val="FootnoteAnchor"/>
          <w:rtl w:val="true"/>
        </w:rPr>
        <w:footnoteReference w:id="819"/>
      </w:r>
      <w:r>
        <w:rPr>
          <w:rFonts w:ascii="IRNazanin" w:hAnsi="IRNazanin" w:eastAsia="IRNazanin"/>
          <w:color w:val="111111"/>
          <w:sz w:val="28"/>
          <w:sz w:val="28"/>
          <w:szCs w:val="28"/>
          <w:rtl w:val="true"/>
          <w:lang w:bidi="fa-IR"/>
        </w:rPr>
        <w:t>و امام راحل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تخییر نیست و باید حکم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بدون تردید چنین فتوایی را داده‌اند؛ یعنی جایی برای تخییر واحتمال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رحمه الله در کتاب شرایع فقط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کافر با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متعرّض فرع دوم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مقام استدلال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مختصّ بما إذا کان زناؤه بغیر المسلمة أمّا بها فعلی الإمام قتله ولا یجوز الإعراض، لأنّه هتک حرمة الإسلام وخرج عن الذمّة</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وقتی ذمّی با زن مسلمان زنا کند، احترام و حریم اسلام را هتک کرده و از ذمّه خارج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کلام صاحب جواهر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این که کافر ذمّی با زن مسلمانی زنا کند، به تمام معنا از ذمّه خارج می‌شود و به کافر حربی مبدّل شده و آیا قتل کافر غیر ذمّی واجب است؟ تمام این مطالب ادّعا و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کافر حربی به مجرّد وقوع زنا بر او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تخییر حاکم شرع</w:t>
      </w:r>
    </w:p>
    <w:p>
      <w:pPr>
        <w:pStyle w:val="BookText"/>
        <w:rPr/>
      </w:pPr>
      <w:r>
        <w:rPr>
          <w:rFonts w:ascii="IRNazanin" w:hAnsi="IRNazanin" w:eastAsia="IRNazanin"/>
          <w:color w:val="111111"/>
          <w:sz w:val="28"/>
          <w:sz w:val="28"/>
          <w:szCs w:val="28"/>
          <w:rtl w:val="true"/>
          <w:lang w:bidi="fa-IR"/>
        </w:rPr>
        <w:t>ادلّه‌ی تخییر حاکم شرع در اجرای حدّ یا تسلیم کافر به اهل ملّتش، نسبت به ادلّه‌ی اوّلیه‌ای که حدود اسلامی را به صورت تعیّن مطرح کرده، حکومت دارد و شارح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حدود در جای خودش محفوظ، امّا در این مورد به خصوص تخییر مطرح و احکام اسلام تعیّن ندارد؛ حاکم شرع می‌تواند آن را پیاده کند و یا کافر را به حکّام ذمّی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ذمّی با محارم خودش زنا کند و به حاکم شرع مراجعه شود، او مخیّر است حکم قتل را در حقّ او اجرا کند، یا به حکّام خودشان تحویل دهد تا درباره‌ی او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مورد و موردی که ذمّی با زن مسلمانی زنا کند، فرق است؟ خیر، حدّ هر دو قتل است؛ همان طور که ادلّه‌ی تخییر در این مورد حاکم بر ادلّه‌ی زنا به ذات محرم است، در مورد زنای ذمّی با زن مسلمان نیز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مسأله‌ی حکومت جای نسبت سنجی نیست که گفته شود بین این دو دسته دلیل، نسبت عموم و خصوص مطلق، یا عموم خصوص من وجه و یا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حکومت مطرح نیست؛ دلیل حاکم چون جنبه‌ی نظارت و شرح و تفسیر دارد،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مفاد دلیل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الّذی بمسلمة یجب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ملاحظه‌ی ادلّه‌ی تخییر،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یقتل إذا ارید إجراء حکم الإسلام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راه دیگر نیز باز است و آن تحویل دادن به محاکم اهل ذمّه است تا آنان درباره‌ی او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دلیل قائل به تخییر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ادلّه‌ی تخییر جنبه‌ی حکومت دارد یا تخصیص؟ اگر حکومت باشد، چنین مطلبی را می‌توان گفت؛ امّا هیچ اشعاری به حکومت در ادلّه‌ی تخییر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هر جا مطلبی مطرح شد، به آن جنبه‌ی حاکمیّت و ناظریّت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حقّ، تخصیص است نه حکومت؛ زیرا، دلیلی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تحقّق الزنا بذات محرم فحکمه متعیّناً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زنای با محارم روایات را ملاحظه کردیم، اطلاق داشت و نسبت به تمام مصادیق</w:t>
      </w:r>
    </w:p>
    <w:p>
      <w:pPr>
        <w:pStyle w:val="BookText"/>
        <w:rPr/>
      </w:pPr>
      <w:r>
        <w:rPr>
          <w:rFonts w:ascii="IRNazanin" w:hAnsi="IRNazanin" w:eastAsia="IRNazanin"/>
          <w:color w:val="111111"/>
          <w:sz w:val="28"/>
          <w:sz w:val="28"/>
          <w:szCs w:val="28"/>
          <w:rtl w:val="true"/>
          <w:lang w:bidi="fa-IR"/>
        </w:rPr>
        <w:t>زنای با ذات محرم چه مسلمان و غیر او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دسته از روایات، ادلّه‌ی تخییر عنوان مخصّصیّت دارد؛ به این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صدر الزنا بذات محرم من الذمّی فحینئذ الحاکم مخیّر بین أن یقتله وبین أن یدفعه إلی 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زنای با محارم اتّفاق افتاد، حدّش قتل است؛ مگر آن که زانی ذمّی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حاکم مخیّر است او را به قتل برساند، یا به محاکم خودشان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حکمی که بر روی یک عامّ و کلّی رفته، ادلّه‌ی تخییر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تحت آن حکم خارج می‌کند؛ اگر بخواهیم دایره‌ی حکومت را به این نحو توسعه دهیم،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حکومت را پیاده نمی‌کنید؟</w:t>
      </w:r>
    </w:p>
    <w:p>
      <w:pPr>
        <w:pStyle w:val="BookText"/>
        <w:rPr/>
      </w:pPr>
      <w:r>
        <w:rPr>
          <w:rFonts w:ascii="IRNazanin" w:hAnsi="IRNazanin" w:eastAsia="IRNazanin"/>
          <w:color w:val="111111"/>
          <w:sz w:val="28"/>
          <w:sz w:val="28"/>
          <w:szCs w:val="28"/>
          <w:rtl w:val="true"/>
          <w:lang w:bidi="fa-IR"/>
        </w:rPr>
        <w:t>فرق تخصیص با حکومت در این است که تخصیص همیشه فرد را از تحت حکم عام خارج می‌کند؛ امّا در حکومت، گاه موضوع را معنا کرده، و گاه توسعه و یا تطبیق در معنا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دلیلی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افراد و رجل ندارد، بلکه به تفسیر و توضیح معنای شکّ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شکّ، شکّی است که عنوان کثرت نداشته باشد؛ اگر عنوان کثرت داشت،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نمی‌شود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ادلّه‌ی تخییر نسبت به ادلّه‌ی اوّلیه جنبه‌ی تخصیص دارند، جمع بین دو دلیل چنین نتیجه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زنی بذات محرم یجب أن یقتل إلّاالزانی الذمّی فإنّه یکون الحکم فیه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زنای ذمّی با مسلمان دلیل این‌گونه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 إذا زنی بمسلمة یجب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تخصیص نیست و در خصوص ذمّی رسیده است؛ لذا، دلیل تخییر نمی‌تواند آن را تخصیص بزند، بلکه مطلب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ادلّه‌ی تخییر را تخصیص می‌زند؛ زیرا، ادلّه‌ی تخییر در مطلق ذمّی و ذمیّه وارد شده است؛ در حالی که موضوع این دلیل، خصوص ذمّی زانی به مسلمان است؛ به این طریق، می‌توان فتوای امام راحل رحمه الله را استدلالی کرد و اشکالی نیز در آن به نظر نمی‌رسد</w:t>
      </w:r>
      <w:r>
        <w:rPr>
          <w:rFonts w:eastAsia="IRNazanin" w:cs="IRNazanin"/>
          <w:color w:val="111111"/>
          <w:sz w:val="28"/>
          <w:szCs w:val="28"/>
          <w:rtl w:val="true"/>
          <w:lang w:bidi="fa-IR"/>
        </w:rPr>
        <w:t>.</w:t>
      </w:r>
      <w:bookmarkStart w:id="782" w:name="pg16919_227340"/>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التخییر فی اجراء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یقام الحدّ رجماً ولا جلداً علی الحامل ولو کان حمله من الزنا حتّی تضع حملها وتخرج من نفاسها إن خیف فی الجلد الضرر علی ولدها، وحتّی ترضع ولدها إن لم یکن له مرضعة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خیف الإضرار برضاعها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له کافل یجب علیها الحدّ مع عدم الخوف علیه</w:t>
      </w:r>
      <w:r>
        <w:rPr>
          <w:rFonts w:eastAsia="IRNazanin" w:cs="IRNazanin"/>
          <w:color w:val="111111"/>
          <w:sz w:val="28"/>
          <w:szCs w:val="28"/>
          <w:rtl w:val="true"/>
          <w:lang w:bidi="fa-IR"/>
        </w:rPr>
        <w:t>.</w:t>
      </w:r>
    </w:p>
    <w:p>
      <w:pPr>
        <w:pStyle w:val="Heading4"/>
        <w:numPr>
          <w:ilvl w:val="3"/>
          <w:numId w:val="1"/>
        </w:numPr>
        <w:rPr/>
      </w:pPr>
      <w:bookmarkStart w:id="783" w:name="__RefHeading___Toc79182_3244359995"/>
      <w:bookmarkStart w:id="784" w:name="_Toc299"/>
      <w:bookmarkEnd w:id="783"/>
      <w:r>
        <w:rPr>
          <w:rtl w:val="true"/>
        </w:rPr>
        <w:t>موارد تأخیر در اجرای حدّ</w:t>
      </w:r>
      <w:bookmarkEnd w:id="784"/>
    </w:p>
    <w:p>
      <w:pPr>
        <w:pStyle w:val="Heading5"/>
        <w:numPr>
          <w:ilvl w:val="4"/>
          <w:numId w:val="1"/>
        </w:numPr>
        <w:rPr/>
      </w:pPr>
      <w:bookmarkStart w:id="785" w:name="__RefHeading___Toc79184_3244359995"/>
      <w:bookmarkStart w:id="786" w:name="_Toc300"/>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 xml:space="preserve">بر زنِ آبستن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زنا حامله شده باشد و یا از شوهرش باردار بوده و مرتکب زنا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وضع حمل نکرده، حدّ جلد و یا رجم جاری نمی‌شود؛ اگر چه زنای او چه احصانی یا غیر آن ثابت شده باشد؛ بلکه باید دست نگاه داریم تا وضع حمل او تمام شود و از حالت نفاس که در چند روز اوّل ولادت بر او عارض می‌گردد،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نفاس، بر آن زن حدّ جاری می‌شود؛ البته اجرای حدّ تازیانه در صورتی به بعد از خروج از نفاس موکول می‌شود که تازیانه در ایّام آبستنی و یا ایّام نفاس موجب ضرر بر طفل و یا مادر او شود؛ وگرنه سبب ضرری نیست، اشکالی در جریان حدّ در حال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درباره‌ی حدّ رجم جا ندارد؛ زیرا، با اجرای آن، مادر و فرزند هر دو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 رجم و تازیانه پس از خروج از نفاس مشروط است به این‌که در حدّ رجم، زنی برای شیر دادن بچّه کم و یا نامناسب نشود؛ وگرنه با عدم کافل و یا تأثیر گذاشتن بر شیر مادر،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فردی پیدا شود و روضاع و کفالت بچّه را متقبّل شود، بر آن زانیه حدّ می‌زنند؛ به شرط این‌که برای ولد با اجرای حدّ بر مادرش، خوفی و مسأله‌ای پیدا نشود</w:t>
      </w:r>
      <w:r>
        <w:rPr>
          <w:rFonts w:eastAsia="IRNazanin" w:cs="IRNazanin"/>
          <w:color w:val="111111"/>
          <w:sz w:val="28"/>
          <w:szCs w:val="28"/>
          <w:rtl w:val="true"/>
          <w:lang w:bidi="fa-IR"/>
        </w:rPr>
        <w:t>.</w:t>
      </w:r>
    </w:p>
    <w:p>
      <w:pPr>
        <w:pStyle w:val="Heading5"/>
        <w:numPr>
          <w:ilvl w:val="4"/>
          <w:numId w:val="1"/>
        </w:numPr>
        <w:rPr/>
      </w:pPr>
      <w:bookmarkStart w:id="787" w:name="__RefHeading___Toc79186_3244359995"/>
      <w:bookmarkStart w:id="788" w:name="_Toc301"/>
      <w:bookmarkEnd w:id="787"/>
      <w:r>
        <w:rPr>
          <w:rtl w:val="true"/>
        </w:rPr>
        <w:t>دلیل عدم جریان حدّ بر حامل</w:t>
      </w:r>
      <w:bookmarkEnd w:id="78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مسأله‌ی اجرای حدّ کمال اهمیّت را داده است؛ به گونه‌ای که در باب حدود تأخیر و مهلت یک ساعت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ساعت در روایات همان لحظه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جایز</w:t>
      </w:r>
    </w:p>
    <w:p>
      <w:pPr>
        <w:pStyle w:val="BookText"/>
        <w:rPr/>
      </w:pP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چرا بر زن آبستن نباید حدّی اقامه شود؛ به خصوص اگر حمل او از زنا باشد؟</w:t>
      </w:r>
    </w:p>
    <w:p>
      <w:pPr>
        <w:pStyle w:val="BookText"/>
        <w:rPr/>
      </w:pPr>
      <w:r>
        <w:rPr>
          <w:rFonts w:ascii="IRNazanin" w:hAnsi="IRNazanin" w:eastAsia="IRNazanin"/>
          <w:color w:val="111111"/>
          <w:sz w:val="28"/>
          <w:sz w:val="28"/>
          <w:szCs w:val="28"/>
          <w:rtl w:val="true"/>
          <w:lang w:bidi="fa-IR"/>
        </w:rPr>
        <w:t>دلیل این مطلب علاوه بر اتّفاق فقها در این حکم و فتوا،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أنّه قال لعمر وقد اتی بحامل قد زنت فأمر برجمها،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لک سبیل علیها، أیّ سبیل لک علی ما فی بطنها واللّه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لمعظلة لا یکون لها أبو 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بها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علیها حتّی تلد، فإذا ولدت ووجدت لولدها من یکفله فأقم الحدّ علیها</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را شیخ مفید رحمه الله در کتاب ارشاد نقل کرده است؛ لیکن از آن مرسلاتی نیست که به منزله‌ی مسند تلقّی شود؛ امّا اصحاب به آن استناد کرده و بر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 قوم، ضعف سند آن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حامله‌ای را که مرتکب زنای احصانی شده بود، نزد عمر آوردند؛ عمر دستور داد او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بر این زن حاکمیّت و سبیلی داری و از نظر تو محکوم است؛ امّا بر آن بچّه‌ای که در شکم دارد، چه حاکمیّتی داری و او چه محکومیّتی دارد؟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نمی‌تواند وزر دیگری را تحمّل کند و به گردن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و مشکلی پیش آید که ابوالحسن برای گشودن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زن حامله‌ی محکوم به رجم چه کنم؟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مراقبت کن و در اختیار و تحت نظرت باشد تا زایمان کند؛ در آن صورت، اگر کسی پیدا شد تا از فرزند او محافظت کند، می‌توانی حدّ را بر او جاری کنی</w:t>
      </w:r>
      <w:r>
        <w:rPr>
          <w:rFonts w:eastAsia="IRNazanin" w:cs="IRNazanin"/>
          <w:color w:val="111111"/>
          <w:sz w:val="28"/>
          <w:szCs w:val="28"/>
          <w:rtl w:val="true"/>
          <w:lang w:bidi="fa-IR"/>
        </w:rPr>
        <w:t>.</w:t>
      </w:r>
      <w:bookmarkStart w:id="789" w:name="pg16919_227344"/>
    </w:p>
    <w:p>
      <w:pPr>
        <w:pStyle w:val="BookText"/>
        <w:rPr/>
      </w:pPr>
      <w:bookmarkEnd w:id="789"/>
      <w:r>
        <w:rPr>
          <w:rFonts w:ascii="IRNazanin" w:hAnsi="IRNazanin" w:eastAsia="IRNazanin"/>
          <w:color w:val="111111"/>
          <w:sz w:val="28"/>
          <w:sz w:val="28"/>
          <w:szCs w:val="28"/>
          <w:rtl w:val="true"/>
          <w:lang w:bidi="fa-IR"/>
        </w:rPr>
        <w:t>استدلال امام علیه السلام به آیه‌ی شریفه برای ما راهی باز کرد، که بتوانیم به آن تمسّک کرده، استدلال کنیم؛ و مناقشه‌ی در سند روایت به عنوان ارسال ضرری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مفاد آیه‌ی وَ لا تَزِرُ وازِرَةٌ وِزْرَ أُخْری </w:t>
      </w:r>
      <w:r>
        <w:rPr>
          <w:rStyle w:val="FootnoteAnchor"/>
          <w:rtl w:val="true"/>
        </w:rPr>
        <w:footnoteReference w:id="822"/>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هر چند از زنا باشد، از او که جرم و گناهی صادر نشده است؛ پس به چه مناسبت باید مسأله‌ی ضرر حدّ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تأخیر حدّ رجم تمام است؛ امّا بر تأخیر تازیانه نیز می‌توان از روایت، همان تفصیلی که در تحریر الوسیله آمده بود، استفاده کنیم؛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اجرای تازیانه ضرری متوجّه حمل نمی‌شود، اشکالی در جریان آن نیست اگر سبب ضرر بر ولد می‌شود، مفاد آیه شامل آن شده و مانع اجرای حدّ می‌گردد</w:t>
      </w:r>
      <w:r>
        <w:rPr>
          <w:rFonts w:eastAsia="IRNazanin" w:cs="IRNazanin"/>
          <w:color w:val="111111"/>
          <w:sz w:val="28"/>
          <w:szCs w:val="28"/>
          <w:rtl w:val="true"/>
          <w:lang w:bidi="fa-IR"/>
        </w:rPr>
        <w:t>.</w:t>
      </w:r>
    </w:p>
    <w:p>
      <w:pPr>
        <w:pStyle w:val="Heading5"/>
        <w:numPr>
          <w:ilvl w:val="4"/>
          <w:numId w:val="1"/>
        </w:numPr>
        <w:rPr/>
      </w:pPr>
      <w:bookmarkStart w:id="790" w:name="__RefHeading___Toc79188_3244359995"/>
      <w:bookmarkStart w:id="791" w:name="_Toc302"/>
      <w:bookmarkEnd w:id="790"/>
      <w:r>
        <w:rPr>
          <w:rtl w:val="true"/>
        </w:rPr>
        <w:t>دلیل تأخیر حدّ تا خروج از نفاس</w:t>
      </w:r>
      <w:bookmarkEnd w:id="791"/>
    </w:p>
    <w:p>
      <w:pPr>
        <w:pStyle w:val="Heading6"/>
        <w:numPr>
          <w:ilvl w:val="5"/>
          <w:numId w:val="1"/>
        </w:numPr>
        <w:rPr/>
      </w:pPr>
      <w:bookmarkStart w:id="792" w:name="__RefHeading___Toc79190_3244359995"/>
      <w:bookmarkStart w:id="793" w:name="_Toc303"/>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زنی که در حال نفاس به سر می‌برد، در یک حالت مرض و کسالت و ناتوانی است و شاید ناراحتی او از یک مریض معمولی به مراتب بیشتر باشد، دلیل تأخیر حدّ به جهت ملاحظه‌ی حال زن، روایتی است که در سنن بیهقی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أمة لرسول اللّه زنت فأمرنی أن أجلدها فإذا هی حدیث بنفاس فخشیت إن أجلدها فأقتلها، فذکرت ذلک للنبیّ،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حتّی ینقطع دمها ثمّ أقم علیها الحدّ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کنیزی داشت که مرتکب زنا شده بود، به من دستور داد او را تازیانه بزنم؛ وقتی خواستم حدّ را بر او جاری کنم، تازه نفاس شده بود، ترسیدم اگر تازیانه‌اش بزنم خودش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تا از خون پاک شود، آن گاه حدّ را بر او اقامه کن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بر تأخیر حدّ به لحاظ حال زن تمام است</w:t>
      </w:r>
      <w:r>
        <w:rPr>
          <w:rFonts w:eastAsia="IRNazanin" w:cs="IRNazanin"/>
          <w:color w:val="111111"/>
          <w:sz w:val="28"/>
          <w:szCs w:val="28"/>
          <w:rtl w:val="true"/>
          <w:lang w:bidi="fa-IR"/>
        </w:rPr>
        <w:t>.</w:t>
      </w:r>
      <w:bookmarkStart w:id="794" w:name="pg16919_227347"/>
    </w:p>
    <w:p>
      <w:pPr>
        <w:pStyle w:val="BookText"/>
        <w:rPr/>
      </w:pPr>
      <w:bookmarkEnd w:id="794"/>
      <w:r>
        <w:rPr>
          <w:rFonts w:ascii="IRNazanin" w:hAnsi="IRNazanin" w:eastAsia="IRNazanin"/>
          <w:color w:val="111111"/>
          <w:sz w:val="28"/>
          <w:sz w:val="28"/>
          <w:szCs w:val="28"/>
          <w:rtl w:val="true"/>
          <w:lang w:bidi="fa-IR"/>
        </w:rPr>
        <w:t>امّا دلیل تأخیر حدّ به لحاظ فرزند، روایاتی است که موضوع آن‌ها تأخیر حدّ تا پایان شیرخوارگی است که در آینده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تفصیلی که درباره‌ی تازیانه گفتیم، در این مورد نیز می‌آید؛ یعنی اگر این جلد سبب اضرار به ولد می‌شود، اجرای آن‌جایز نیست؛ امّا اگر خوفی بر بچّه نباشد، اشکالی در اقامه‌ی آن نیست</w:t>
      </w:r>
      <w:r>
        <w:rPr>
          <w:rFonts w:eastAsia="IRNazanin" w:cs="IRNazanin"/>
          <w:color w:val="111111"/>
          <w:sz w:val="28"/>
          <w:szCs w:val="28"/>
          <w:rtl w:val="true"/>
          <w:lang w:bidi="fa-IR"/>
        </w:rPr>
        <w:t>.</w:t>
      </w:r>
    </w:p>
    <w:p>
      <w:pPr>
        <w:pStyle w:val="Heading6"/>
        <w:numPr>
          <w:ilvl w:val="5"/>
          <w:numId w:val="1"/>
        </w:numPr>
        <w:rPr/>
      </w:pPr>
      <w:bookmarkStart w:id="795" w:name="__RefHeading___Toc79192_3244359995"/>
      <w:bookmarkStart w:id="796" w:name="_Toc304"/>
      <w:bookmarkEnd w:id="795"/>
      <w:r>
        <w:rPr>
          <w:rtl w:val="true"/>
        </w:rPr>
        <w:t>نقدی بر عبارت تحریر الوسیله</w:t>
      </w:r>
      <w:bookmarkEnd w:id="796"/>
    </w:p>
    <w:p>
      <w:pPr>
        <w:pStyle w:val="BookText"/>
        <w:rPr/>
      </w:pPr>
      <w:r>
        <w:rPr>
          <w:rFonts w:ascii="IRNazanin" w:hAnsi="IRNazanin" w:eastAsia="IRNazanin"/>
          <w:color w:val="111111"/>
          <w:sz w:val="28"/>
          <w:sz w:val="28"/>
          <w:szCs w:val="28"/>
          <w:rtl w:val="true"/>
          <w:lang w:bidi="fa-IR"/>
        </w:rPr>
        <w:t xml:space="preserve">در عبارت تحریر الوسیله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لایقام الحدّ رجماً ولا جلداً علی الحامل ولو کان حمله من الزنا حتّی تضع حملها وتخرج من نفاسها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عبارت این است که هر چند حدّ زن حامل، رجم باشد، امّا تا از نفاس خارج نشود، نمی‌توان بر او اقامه‌ی حدّ کرد؛ خواه فرزندش زنده باشد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دنبال این مطلب 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خیف فی الجلد الضرر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مربوط به رجم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لایقام الحدّ علی الحامل حتّی تضع وتخرج من نفاسها</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لکن ایشان قیدی که در تحریر آمده است را مطرح نکرده‌اند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مطلب تمام است؟ زنی زنای محصنه انجام داده، آبستن از راه حلال یا حرام بوده، اکنون وضع حمل کرده و فرزندش مرده است، به چه دلیل باید صبر کنیم تا ایّام نفاس او تمام شود و پس از آن، او را رجم کنیم؟ به خصوص با توجّه به این مسأله که در آینده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مریضی یا زن مستحاضه‌ای رجم باشد، باید حدّ فوراً اجرا شود، نه این‌که صبر کنند تا صحّت و سلامتی خود را به دست آورده و آن‌گاه رجم گردد؛ بر خلاف آن‌چه امروز متداول است که مریض را معالجه کرده تا بهبودی حاصل شود، سپس او را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غیر عقلایی است؛ اگر مقصود شما این است که فرد مجرم باید از صفحه‌ی وجود محو شود، به چه مناسبتی باید او را چاق و چلّه کرده، آن گاه اعدام کنید؟</w:t>
      </w:r>
      <w:bookmarkStart w:id="797" w:name="pg16919_227349"/>
    </w:p>
    <w:p>
      <w:pPr>
        <w:pStyle w:val="BookText"/>
        <w:rPr/>
      </w:pPr>
      <w:bookmarkEnd w:id="797"/>
      <w:r>
        <w:rPr>
          <w:rFonts w:ascii="IRNazanin" w:hAnsi="IRNazanin" w:eastAsia="IRNazanin"/>
          <w:color w:val="111111"/>
          <w:sz w:val="28"/>
          <w:sz w:val="28"/>
          <w:szCs w:val="28"/>
          <w:rtl w:val="true"/>
          <w:lang w:bidi="fa-IR"/>
        </w:rPr>
        <w:t>معنای رجم این است که زانی محصن باید از بین برود؛ لذا، نفاس هرچند کسالت هم به حساب بیاید، با انتفای ولد، روی این قاعده باید در همان حالت او را رجم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بودن نفاس در حدّ تازیانه نقش دارد، نه در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باره در کتاب مستدرک الوسائل آمده است، هیچ کدام سند معتبری ندارد تا به آن‌ها 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الحائض حدّ حتّی تطهر ولا علی المستحاضة حدّ حتّی تطهر</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باب، عدم اقامه‌ی حدّ بر حامل تا زمان خروج از حالت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روایات معلوم نیست مفتی به باشد؛ شاهدش کلام صاحب جواهر رحمه الله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الولد حین وضعه رجمت</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به‌طور قاطع حکم می‌کند اگر ولد در هنگام زایمان بمیرد، زن را بلافاصله رجم می‌کنیم؛ و هیچ تصریحی به وجود مخالف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خیف فی الجلد الضرر علی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کردن تازیانه به اضرار بر ولد وجهی ندارد؛ زیرا، چه بسا تازیانه بر خود زن ضرر داشته باشد و ولدی هم وجود نداشته باشد، باز حقّ اجرای حدّ نیست</w:t>
      </w:r>
      <w:r>
        <w:rPr>
          <w:rFonts w:eastAsia="IRNazanin" w:cs="IRNazanin"/>
          <w:color w:val="111111"/>
          <w:sz w:val="28"/>
          <w:szCs w:val="28"/>
          <w:rtl w:val="true"/>
          <w:lang w:bidi="fa-IR"/>
        </w:rPr>
        <w:t>.</w:t>
      </w:r>
    </w:p>
    <w:p>
      <w:pPr>
        <w:pStyle w:val="Heading5"/>
        <w:numPr>
          <w:ilvl w:val="4"/>
          <w:numId w:val="1"/>
        </w:numPr>
        <w:rPr/>
      </w:pPr>
      <w:bookmarkStart w:id="798" w:name="__RefHeading___Toc79194_3244359995"/>
      <w:bookmarkStart w:id="799" w:name="_Toc305"/>
      <w:bookmarkEnd w:id="798"/>
      <w:r>
        <w:rPr>
          <w:rtl w:val="true"/>
        </w:rPr>
        <w:t>دلیل تأخیر حدّ رجم تا پایان رضاع</w:t>
      </w:r>
      <w:bookmarkEnd w:id="79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زایمان، برای بچّه شیردهی نباشد، در صورتی حدّ رجم بر زن اقامه می‌شود که دو سال کامل بچّه را شیر بدهد؛ و اگر حدّ او تازیانه است، و اقامه‌ی آن سبب توجّه ضرر و لطمه‌ای بر فرزند و شیر او می‌شود، باید اقامه‌ی حدّ را به تأخیر انداخت؛ و اگر اجرای تازیانه قبل از شیردهی کامل مشکل‌ساز نباشد، باید حدّ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بن الحسن، عن عمرو بن سعید، عن مصدّق بن صدقة،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محصنة زنت وهی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حتّی تضع ما فی بطنها وترضع ولدها ثم ترجم</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عمّار ساباطی از امام صادق علیه السلام از زن محصنی می‌پرسد که زنا داده در حالی که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می‌دارند تا زایمان کرده، بچّه‌اش را شیر دهد؛ سپس او را رجم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متفاهم عرفی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ترضع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مراد، دو سالِ کامل شیر دادن است و یا همان شیر 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شیری که مادر به بچّه می‌دهد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ولد نقش دارد، مقصود است؟</w:t>
      </w:r>
    </w:p>
    <w:p>
      <w:pPr>
        <w:pStyle w:val="BookText"/>
        <w:rPr/>
      </w:pPr>
      <w:r>
        <w:rPr>
          <w:rFonts w:ascii="IRNazanin" w:hAnsi="IRNazanin" w:eastAsia="IRNazanin"/>
          <w:color w:val="111111"/>
          <w:sz w:val="28"/>
          <w:sz w:val="28"/>
          <w:szCs w:val="28"/>
          <w:rtl w:val="true"/>
          <w:lang w:bidi="fa-IR"/>
        </w:rPr>
        <w:t>احتمال دوم بر خلاف متفاهم عرفی است؛ ظاهر این عبارت، شیر دادن به مقدار متعارف است تا زمانی که بچّه را از شیر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روایت و سند آن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در مجامع روایی اهل‌سنّت رسیده که به عنوان مؤیّد، آن‌ها را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صلی الله علیه و آله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تضعی ما فی بطنک، فلمّا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فأرضعیه حتّی تفطمیه</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آخر أنّها لمّا ولدته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نرجمها وندع ولدها صغیراً لیس له من یرضعه، فقام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رضاعه یا نبیّ اللّه فرجمها</w:t>
      </w:r>
      <w:r>
        <w:rPr>
          <w:rFonts w:eastAsia="IRNazanin" w:cs="IRNazanin"/>
          <w:color w:val="111111"/>
          <w:sz w:val="28"/>
          <w:szCs w:val="28"/>
          <w:rtl w:val="true"/>
          <w:lang w:bidi="fa-IR"/>
        </w:rPr>
        <w:t>.</w:t>
      </w:r>
      <w:r>
        <w:rPr>
          <w:rStyle w:val="FootnoteAnchor"/>
          <w:rtl w:val="true"/>
        </w:rPr>
        <w:footnoteReference w:id="82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زانیه‌ای را نزد پیامبر اکرم صلی الله علیه و آله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رجم نمی‌کنیم تا زایمان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وضع حمل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فرزندت را شیر بده تا او را از شیر بگیری و فطام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زانیه‌ی محکوم به رجم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وضع حمل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 را رجم نمی‌کنیم و فرزند صغیرت را بدون مرضعه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متصدی و عهده‌دار رضاع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به رجم آن 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می‌شود اگر متکفّلی پیدا نشود که مسأله‌ی رضاع را به عهده بگیرد، به گونه‌ای که با رجم زن، بچّه بدون شیردهنده باقی بماند، حدّ رجم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از ارشاد مفید خوانده شد نیز بر این مطلب دلالت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ولدت، ووجدت لولدها من یکفّله فأقم الحدّ علیها</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امیرمؤمنان علیه السلام اقامه‌ی حدّ را بر دو مطلب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وضع حمل و دیگری وجود کافل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روایت معارض</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یونس بن یعقوب،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أمیر المؤمنین علیه السلام فقالت إنّی قد فجرت، فأعرض بوجهه عنها فتحوّلت حتّی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فجرت، فأمر بها فحبست وکانت حاملاً، فتربّص بها حتّی وضعت، ثمّ أمر بها بعد ذلک فحفر لها حفیرة فی الرحبة وحاط علیها ثوباً جدیداً وأدخلها الحفیرة إلی الحقو وموضع الثدیین وأغلق باب الرحبة ورماها بحجر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علی تصدیق کتابک وسنّة نبیّک، ثمّ أمر قنبر فرماها بحجر،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ائذن لأصحاب محمّد، فدخلوا فرموها بحجر حجر ثمّ قاموا لا یدرون أیعیدون حجارتهم أو یرمون بحجارة غیرها وبها رمق،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أخبره أنّا قد رمینا بحجارتنا وبها رمق کیف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فی حجارتکم فعادوا حتّی قضت،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ماتت، فکیف نصنع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ادفعوها إلی أولیائها ومروهم أن یصنعوا بها کما یصنعون</w:t>
      </w:r>
      <w:bookmarkStart w:id="800" w:name="pg16919_227355"/>
    </w:p>
    <w:p>
      <w:pPr>
        <w:pStyle w:val="BookText"/>
        <w:rPr/>
      </w:pPr>
      <w:bookmarkEnd w:id="800"/>
      <w:r>
        <w:rPr>
          <w:rFonts w:ascii="IRNazanin" w:hAnsi="IRNazanin" w:eastAsia="IRNazanin"/>
          <w:color w:val="111111"/>
          <w:sz w:val="28"/>
          <w:sz w:val="28"/>
          <w:szCs w:val="28"/>
          <w:rtl w:val="true"/>
          <w:lang w:bidi="fa-IR"/>
        </w:rPr>
        <w:t>بموتاهم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امیرمؤمنان علیه السلام آمده به زنا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صورت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مقابل او آمده، دوباره اعتراف کرده و امام علیه السلام از او صورت برگردانید؛ او اعتراف و اقرار خود را تکرار کرد تا چهار مرتبه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دستور داد او را زندانی کنند و انتظار کشید تا وضع حمل کند؛ سپس دستور داد گودالی در رحبه‌ی کوفه کنده و مقدّمات رجم او را فراهم آوردند و او را رجم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هیچ دلالتی بر تأخیر حدّ تا پایان رضاع ندارد؛ بلکه پس از وضع حمل فرمان به رجم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روایت، چاره‌ای نیست از این‌که به قرینه‌ی روایات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کافلی برای طفل او پیدا شده تا بچّه را از نظر شیردهی اداره و نگهداری کند؛ از این رو، حضرت به رجم دستور داده است؛ یا این روایت، حکمی در یک واقعه‌ی خصوصی بوده است، و ما توجیه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ابومریم نمی‌تواند در برابر آن روایات نقشی داشته و سبب تزلزل ما شود تا به رجم و اعدام مادر حکم کنیم، هر چند بچّه بدون سرپرست باقی بماند</w:t>
      </w:r>
      <w:r>
        <w:rPr>
          <w:rFonts w:eastAsia="IRNazanin" w:cs="IRNazanin"/>
          <w:color w:val="111111"/>
          <w:sz w:val="28"/>
          <w:szCs w:val="28"/>
          <w:rtl w:val="true"/>
          <w:lang w:bidi="fa-IR"/>
        </w:rPr>
        <w:t>.</w:t>
      </w:r>
    </w:p>
    <w:p>
      <w:pPr>
        <w:pStyle w:val="Heading5"/>
        <w:numPr>
          <w:ilvl w:val="4"/>
          <w:numId w:val="1"/>
        </w:numPr>
        <w:rPr/>
      </w:pPr>
      <w:bookmarkStart w:id="801" w:name="__RefHeading___Toc79196_3244359995"/>
      <w:bookmarkStart w:id="802" w:name="_Toc306"/>
      <w:bookmarkEnd w:id="801"/>
      <w:r>
        <w:rPr>
          <w:rtl w:val="true"/>
        </w:rPr>
        <w:t>دلیل تأخیر حدّ تازیانه تا پایان دوران شیردهی</w:t>
      </w:r>
      <w:bookmarkEnd w:id="80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تاکنون به عنوان دلیل بر تأخیر حدّ گفتیم، مربوط به حدّ رجم بوده، و روایات بر آن تصریح داشت؛ امّا در مورد تازیانه هیچ روایتی نداریم؛ لذا، باید حکم آن را از روی قاعده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شریفه‌ی وَ لا تَزِرُ وازِرَةٌ وِزْرَ أُخْری </w:t>
      </w:r>
      <w:r>
        <w:rPr>
          <w:rStyle w:val="FootnoteAnchor"/>
          <w:rtl w:val="true"/>
        </w:rPr>
        <w:footnoteReference w:id="832"/>
      </w:r>
      <w:r>
        <w:rPr>
          <w:rFonts w:ascii="IRNazanin" w:hAnsi="IRNazanin" w:eastAsia="IRNazanin"/>
          <w:color w:val="111111"/>
          <w:sz w:val="28"/>
          <w:sz w:val="28"/>
          <w:szCs w:val="28"/>
          <w:rtl w:val="true"/>
          <w:lang w:bidi="fa-IR"/>
        </w:rPr>
        <w:t>بر این مطلب دلالت دارد؛ زیرا، اگر اجرای تازیانه ضربه‌ای به شیردهی یا شیر بچّه وارد نمی‌کند، وجهی برای تأخیر حدّ نیست؛ امّا اگر در کیفیّت شیردهی تأثیر دارد، به مقتضای آیه، تازیانه را باید تأخیر انداخت</w:t>
      </w:r>
      <w:r>
        <w:rPr>
          <w:rFonts w:eastAsia="IRNazanin" w:cs="IRNazanin"/>
          <w:color w:val="111111"/>
          <w:sz w:val="28"/>
          <w:szCs w:val="28"/>
          <w:rtl w:val="true"/>
          <w:lang w:bidi="fa-IR"/>
        </w:rPr>
        <w:t>.</w:t>
      </w:r>
      <w:bookmarkStart w:id="803" w:name="pg16919_227357"/>
    </w:p>
    <w:p>
      <w:pPr>
        <w:pStyle w:val="Heading5"/>
        <w:numPr>
          <w:ilvl w:val="4"/>
          <w:numId w:val="1"/>
        </w:numPr>
        <w:rPr/>
      </w:pPr>
      <w:bookmarkStart w:id="804" w:name="__RefHeading___Toc79198_3244359995"/>
      <w:bookmarkStart w:id="805" w:name="_Toc307"/>
      <w:bookmarkEnd w:id="803"/>
      <w:bookmarkEnd w:id="804"/>
      <w:r>
        <w:rPr>
          <w:rtl w:val="true"/>
        </w:rPr>
        <w:t>حکم حدّ با وجود سرپرست</w:t>
      </w:r>
      <w:bookmarkEnd w:id="805"/>
    </w:p>
    <w:p>
      <w:pPr>
        <w:pStyle w:val="BookText"/>
        <w:rPr/>
      </w:pPr>
      <w:r>
        <w:rPr>
          <w:rFonts w:ascii="IRNazanin" w:hAnsi="IRNazanin" w:eastAsia="IRNazanin"/>
          <w:color w:val="111111"/>
          <w:sz w:val="28"/>
          <w:sz w:val="28"/>
          <w:szCs w:val="28"/>
          <w:rtl w:val="true"/>
          <w:lang w:bidi="fa-IR"/>
        </w:rPr>
        <w:t>اگر سرپرست و کافلی برای طفل پیدا شود، امام راحل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خوف بر ولد، واجب است حدّ بر زن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روزهای اوّل برای کودک سرپرستی پیدا نشود، بلکه پس از گذشت مدّتی طولانی مانند یک سال یا بیشتر، شخصی حاضر نشود سرپرستی بچّه را عهده‌دار شود؛ در این مدّت، بچّه با مادر انس گرفته و فقدان مادر برای او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نیز نمی‌توان حدّ را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تمام است؟ روایاتی که بر کافل دلالت دارد، یکی روایت ارشاد</w:t>
      </w:r>
      <w:r>
        <w:rPr>
          <w:rStyle w:val="FootnoteAnchor"/>
          <w:rtl w:val="true"/>
        </w:rPr>
        <w:footnoteReference w:id="833"/>
      </w:r>
      <w:r>
        <w:rPr>
          <w:rFonts w:ascii="IRNazanin" w:hAnsi="IRNazanin" w:eastAsia="IRNazanin"/>
          <w:color w:val="111111"/>
          <w:sz w:val="28"/>
          <w:sz w:val="28"/>
          <w:szCs w:val="28"/>
          <w:rtl w:val="true"/>
          <w:lang w:bidi="fa-IR"/>
        </w:rPr>
        <w:t>بود که مفاد آن کفایت کافل است؛ ولزومی در شیر دادن مادر پس از پیدا شدن کافل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روایت مفصّلی است که در سابق به آن اشاره کردیم و مفاد آن، آمدن زنی آبستن به خدمت امیر مؤمنان علیه السلام و اعتراف او به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داشتی و او حاضر بود یا نه؟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وضع حمل کنی، آن‌گاه برای تطهیر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پس از وضع حمل آمد و همان سؤال‌ها را تکرار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دو سال کامل او را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دو سال آمد و اقرار کرد؛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بچّه را کفالت و سرپرستی کن تا عاقل شود؛ در خوردن و آشامیدن، و از بلندی نیفتد و در چاه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بازگشت با عمرو بن حریث مواجه شد، و او متعهّد شد کفالت بچّه را به عهده بگیرد؛ و سرانجام پس از تکرار اقرار در مرتبه‌ی چهارم، بر او حدّ را جاری کرد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در این روایت، مسأله‌ی شیردهی و تکفّل بعد از آن، قبل از تمامیّت اقرارها و ثبوت حدّ بوده است؛ و نظر امام علیه السلام این بوده که اقرارها تکمیل نشود، تا در حقّ این زن محکومیّت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ربطی به بحث ما ندارد و نمی‌توان به این مطلب ملتزم شد که حدّ را به اندازه‌ای تأخیر بیندازیم که این بچّه بزرگ شود و به حدّ رشد و تمیز برسد تا از بامی نیفتد و به چاه سقوط نکند</w:t>
      </w:r>
      <w:r>
        <w:rPr>
          <w:rFonts w:eastAsia="IRNazanin" w:cs="IRNazanin"/>
          <w:color w:val="111111"/>
          <w:sz w:val="28"/>
          <w:szCs w:val="28"/>
          <w:rtl w:val="true"/>
          <w:lang w:bidi="fa-IR"/>
        </w:rPr>
        <w:t>.</w:t>
      </w:r>
      <w:bookmarkStart w:id="806" w:name="pg16919_227359"/>
    </w:p>
    <w:p>
      <w:pPr>
        <w:pStyle w:val="BookText"/>
        <w:rPr/>
      </w:pPr>
      <w:bookmarkEnd w:id="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التأخیر أو التعجیل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الحدّ علی المریض ونحوه کصاحب القروح والمستحاضة إذا کان رجماً أو قتلاً ولا یجلد أحدهم إذا لم یجب القتل أو الرجم خوفاً من السرایة وینتظر 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یتوقّع البرء أو رأی الحاکم المصلحة فی التعجیل ضربهم بالضغث المشتمل علی العدد من سیاط أو شماریخ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وصول کلّ سوط أو شمراخ إلی جسده، فیکفی التأثیر بالاجتماع وصدق مسمّی الضرب بالشماریخ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برء قبل الضرب بالضغث حُدّ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برء بعده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یؤخّر حدّ الحائض، والأحوط التأخیر فی النفساء</w:t>
      </w:r>
      <w:r>
        <w:rPr>
          <w:rFonts w:eastAsia="IRNazanin" w:cs="IRNazanin"/>
          <w:color w:val="111111"/>
          <w:sz w:val="28"/>
          <w:szCs w:val="28"/>
          <w:rtl w:val="true"/>
          <w:lang w:bidi="fa-IR"/>
        </w:rPr>
        <w:t>.</w:t>
      </w:r>
    </w:p>
    <w:p>
      <w:pPr>
        <w:pStyle w:val="Heading4"/>
        <w:numPr>
          <w:ilvl w:val="3"/>
          <w:numId w:val="1"/>
        </w:numPr>
        <w:rPr/>
      </w:pPr>
      <w:bookmarkStart w:id="807" w:name="__RefHeading___Toc79200_3244359995"/>
      <w:bookmarkStart w:id="808" w:name="_Toc308"/>
      <w:bookmarkEnd w:id="807"/>
      <w:r>
        <w:rPr>
          <w:rtl w:val="true"/>
        </w:rPr>
        <w:t>موارد تأخیر و تعجیل در اجرای حدّ</w:t>
      </w:r>
      <w:bookmarkEnd w:id="808"/>
    </w:p>
    <w:p>
      <w:pPr>
        <w:pStyle w:val="Heading5"/>
        <w:numPr>
          <w:ilvl w:val="4"/>
          <w:numId w:val="1"/>
        </w:numPr>
        <w:rPr/>
      </w:pPr>
      <w:bookmarkStart w:id="809" w:name="__RefHeading___Toc79202_3244359995"/>
      <w:bookmarkStart w:id="810" w:name="_Toc309"/>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این مسأله مشتمل بر چهار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مجرم قتل و یا رجم باشد، همان‌گونه که بر فرد سالم این حدود اجرا می‌شود، نسبت به مجرم مریض و یا مجروح و زن مستحاضه نیز اقامه می‌شود؛ اگر غیر رجم و 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 حدّ تازیانه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داشته و به انتظار سلامت او می‌نشینند؛ مبادا اجرای حدّ سبب سرایت مرض به اعضای دیگر شود؛ و پس از بهبودی، به او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کسالت مجرم به گونه‌ای است که انتظار بهبودی و شفای او نمی‌رود و تا آخر عمرش باید با آن دست و پنجه نرم کند، مانند سرطان در زمان ما و مرض سل در عصر صاحب جواهر رحمه الله که قابل معالجه نبوده، و یا حاکم مصلحت را در تعجیل اجرای حدّ می‌بیند، هر چند امید بهبودی مریض هست؛ در این صورت یک دسته و قبضه‌ی صدتایی از تازیانه و یا شاخه‌ی خرما و یا درختان دیگر به هم بسته، یک‌بار بر او می‌زنیم؛ اگر حدّ مجرم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کمتر باشد، به اندازه‌ی حدّ او تازیانه و یا غیر آن بر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ضغث یعنی قبضه، دسته و شمراخ شاخه‌ی خرما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قبضه‌ی صدتایی و یا</w:t>
      </w:r>
      <w:bookmarkStart w:id="811" w:name="pg16919_227361"/>
    </w:p>
    <w:p>
      <w:pPr>
        <w:pStyle w:val="BookText"/>
        <w:rPr/>
      </w:pPr>
      <w:bookmarkEnd w:id="811"/>
      <w:r>
        <w:rPr>
          <w:rFonts w:ascii="IRNazanin" w:hAnsi="IRNazanin" w:eastAsia="IRNazanin"/>
          <w:color w:val="111111"/>
          <w:sz w:val="28"/>
          <w:sz w:val="28"/>
          <w:szCs w:val="28"/>
          <w:rtl w:val="true"/>
          <w:lang w:bidi="fa-IR"/>
        </w:rPr>
        <w:t>کمتر، لازم نیست همه‌ی آن‌ها با بدن مجرم برخورد و تماس داشته باشد، بلکه همین مقدار که ضرب این مجموعه بر بدن او صادق آید،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قبل از اجرای چنین حدّی بهبودی یافت، در این حال، بر او مانند افراد سالم حدّ اجرا می‌شود؛ یعنی صد تازیانه و یا کمتر، به هر مقداری که متناسب با گناه او است، به او زده می‌شود؛ امّا اگر شفا یافتن او پس از اقامه‌ی حدّ بود، بار دیگر حدّ به او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نماز و عبادتی شبیه است که پس از انجام آن، بار دیگر با حصول شرایط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 حائض را به جهت حیضش نمی‌اندازند، ولی احتیاط لزومی در تأخیر حدّ زن نفسا است</w:t>
      </w:r>
      <w:r>
        <w:rPr>
          <w:rFonts w:eastAsia="IRNazanin" w:cs="IRNazanin"/>
          <w:color w:val="111111"/>
          <w:sz w:val="28"/>
          <w:szCs w:val="28"/>
          <w:rtl w:val="true"/>
          <w:lang w:bidi="fa-IR"/>
        </w:rPr>
        <w:t>.</w:t>
      </w:r>
    </w:p>
    <w:p>
      <w:pPr>
        <w:pStyle w:val="Heading5"/>
        <w:numPr>
          <w:ilvl w:val="4"/>
          <w:numId w:val="1"/>
        </w:numPr>
        <w:rPr/>
      </w:pPr>
      <w:bookmarkStart w:id="812" w:name="__RefHeading___Toc79204_3244359995"/>
      <w:bookmarkStart w:id="813" w:name="_Toc310"/>
      <w:bookmarkEnd w:id="812"/>
      <w:r>
        <w:rPr>
          <w:rtl w:val="true"/>
        </w:rPr>
        <w:t>فرع اوّل</w:t>
      </w:r>
      <w:r>
        <w:rPr>
          <w:rtl w:val="true"/>
        </w:rPr>
        <w:t xml:space="preserve">: </w:t>
      </w:r>
      <w:r>
        <w:rPr>
          <w:rtl w:val="true"/>
        </w:rPr>
        <w:t>عدم جواز تأخیر حدّ مریض در رجم و قتل</w:t>
      </w:r>
      <w:bookmarkEnd w:id="813"/>
    </w:p>
    <w:p>
      <w:pPr>
        <w:pStyle w:val="BookText"/>
        <w:rPr/>
      </w:pPr>
      <w:r>
        <w:rPr>
          <w:rFonts w:ascii="IRNazanin" w:hAnsi="IRNazanin" w:eastAsia="IRNazanin"/>
          <w:color w:val="111111"/>
          <w:sz w:val="28"/>
          <w:sz w:val="28"/>
          <w:szCs w:val="28"/>
          <w:rtl w:val="true"/>
          <w:lang w:bidi="fa-IR"/>
        </w:rPr>
        <w:t>اگر حدّ مریض، یا مجروح و یا زن مستحاضه قتل بود، مانند این‌که با محارم خود زنا کرده، یا باید رجم شود مثل این‌که زنای احصانی از او سر زنده باشد، این مرض، یا جراحت و استحاضه سبب تأخیر حدّ نمی‌گردد؛ زیرا، معنای قتل و رجم در حقّ آن فرد نابود کردن اوست؛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باید از بین برود 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روایات، تعابیری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عن بنان بن محمّد، عن أبیه، عن ابن المغیرة، عن السکونی، عن جعفر، عن أبیه، عن علیّ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حدود حتّی یک لحظه مهلت داده نشده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مطلب، به چه مناسبت باید انتظار کشید تا مریض بهبودی یافته، یا جراحات وی خوب شود و یا ایّام استحاضه‌ی زن سپری گردد، سپس بر او حدّ را اقامه کنیم؟</w:t>
      </w:r>
    </w:p>
    <w:p>
      <w:pPr>
        <w:pStyle w:val="BookText"/>
        <w:rPr/>
      </w:pPr>
      <w:r>
        <w:rPr>
          <w:rFonts w:ascii="IRNazanin" w:hAnsi="IRNazanin" w:eastAsia="IRNazanin"/>
          <w:color w:val="111111"/>
          <w:sz w:val="28"/>
          <w:sz w:val="28"/>
          <w:szCs w:val="28"/>
          <w:rtl w:val="true"/>
          <w:lang w:bidi="fa-IR"/>
        </w:rPr>
        <w:t>وجهی برای تأخیر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مقتضای منطق هم تعجیل در اجرای حدّ باشد؛ زیرا، کسی را که می‌خواهند اعدام کنند، برای چه، مخارج سنگینی را متحمّل شوند، تا شفا یافته و سالم گردد، آن‌گاه او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القاعده چنین فردی را باید در همین حالت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قاعده، روایتی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متعرّض آن می‌شویم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نیز از شهید ثانی رحمه الله در مسالک وجود دارد که ما آن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در باب رجم مطرح می‌شود، این است که اگر زانی از گودال و حفیره‌ای که برای رجم او تهیّه شده است، فرار کند، در صورتی که جرم او به اقرار ثابت شده باشد، به او کاری ندارند؛ امّا اگر زنای او به بیّنه اثبات شده باشد، او را گرفته به همان محلّ می‌برند و رجم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مریضی را که می‌خواهید رجم کنید، با اقرار ثابت شده باشد، او را به حفیره بردید و سنگسار کردید، چه‌بسا به واسطه‌ی مرض قدرت بر فرار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بر خلاف حقّی است که شارع به او عطا کرده است؛ لذا، باید حدّ را تأخیر انداخته و او را سنگسار نکنند تا سالم گردد و قدرت فرار پیدا کند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صاحب جواهر رحمه الله در نقد کلام شهید ثانی رحمه الله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نظر ایشان به این مطلب باشد که ملازمه‌ای بین حقّ فرار دادن از سوی شارع و آماده کردن امکانات فرار نباشد؛ یعنی صحیح است که شارع به او حقّ فرار داده است، ولی معنای آن، آماده کرن امکانات برای فرار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نمی‌تواند فرار کند، ربطی به شارع ندارد؛ اگر زانی به علّتی غیر از کسالت و مرض نتواند فرار کند، مثل این‌که فرد چاق و بدون تحرّکی باشد، آیا شارعی که به او حقّ فرار داده است، باید برای او وسائل فرار را نیز تهیّه کند؟</w:t>
      </w:r>
      <w:bookmarkStart w:id="814" w:name="pg16919_227365"/>
    </w:p>
    <w:p>
      <w:pPr>
        <w:pStyle w:val="BookText"/>
        <w:rPr/>
      </w:pPr>
      <w:bookmarkEnd w:id="814"/>
      <w:r>
        <w:rPr>
          <w:rFonts w:ascii="IRNazanin" w:hAnsi="IRNazanin" w:eastAsia="IRNazanin"/>
          <w:color w:val="111111"/>
          <w:sz w:val="28"/>
          <w:sz w:val="28"/>
          <w:szCs w:val="28"/>
          <w:rtl w:val="true"/>
          <w:lang w:bidi="fa-IR"/>
        </w:rPr>
        <w:t xml:space="preserve">از بیانات گذشته معلوم شد، نسبت به مریض و صاحب قروح و مستحاضه غیر از حائض و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حکمشان را در فرع آخر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حدّ رجم و قتل تأخیر کرد؛ حتّی اگر در مورد آن‌ها تازیانه نیز مطرح باشد، مانند پیرمرد و پیرزنی که حدّشان رجم و تازیانه است؛ ابتدا آن‌ها را تازیانه زده، آن‌گاه رجم می‌کنیم؛ هر چند مریض و یا صاحب قروح باشند</w:t>
      </w:r>
      <w:r>
        <w:rPr>
          <w:rFonts w:eastAsia="IRNazanin" w:cs="IRNazanin"/>
          <w:color w:val="111111"/>
          <w:sz w:val="28"/>
          <w:szCs w:val="28"/>
          <w:rtl w:val="true"/>
          <w:lang w:bidi="fa-IR"/>
        </w:rPr>
        <w:t>.</w:t>
      </w:r>
    </w:p>
    <w:p>
      <w:pPr>
        <w:pStyle w:val="Heading5"/>
        <w:numPr>
          <w:ilvl w:val="4"/>
          <w:numId w:val="1"/>
        </w:numPr>
        <w:rPr/>
      </w:pPr>
      <w:bookmarkStart w:id="815" w:name="__RefHeading___Toc79206_3244359995"/>
      <w:bookmarkStart w:id="816" w:name="_Toc311"/>
      <w:bookmarkEnd w:id="815"/>
      <w:r>
        <w:rPr>
          <w:rtl w:val="true"/>
        </w:rPr>
        <w:t>فرع دوم</w:t>
      </w:r>
      <w:r>
        <w:rPr>
          <w:rtl w:val="true"/>
        </w:rPr>
        <w:t xml:space="preserve">: </w:t>
      </w:r>
      <w:r>
        <w:rPr>
          <w:rtl w:val="true"/>
        </w:rPr>
        <w:t>جواز تأخیر حدّ جلد در مریض و مستحاضه</w:t>
      </w:r>
      <w:bookmarkEnd w:id="816"/>
    </w:p>
    <w:p>
      <w:pPr>
        <w:pStyle w:val="BookText"/>
        <w:rPr/>
      </w:pPr>
      <w:r>
        <w:rPr>
          <w:rFonts w:ascii="IRNazanin" w:hAnsi="IRNazanin" w:eastAsia="IRNazanin"/>
          <w:color w:val="111111"/>
          <w:sz w:val="28"/>
          <w:sz w:val="28"/>
          <w:szCs w:val="28"/>
          <w:rtl w:val="true"/>
          <w:lang w:bidi="fa-IR"/>
        </w:rPr>
        <w:t>این فرع در جایی مطرح است که فقط حدّ او تازیانه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راحل رحمه الله در تحریر الوسیله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یجلد أحدهم إذا لم یجب القتل أو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مواردی که ثبوت تازیانه همراه با قتل و رجم مطرح است را خارج کند؛ زیرا، در آن موارد، تأخیر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اقامه‌ی حدّ بر مریض و صاحب قروح و زن مستحاضه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این زمینه رسیده‌اند؛ باید به بررسی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عن أحمد بن محمّد، عن أبی همام، عن محمّد بن سعید،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برجل أصاب حدّاً وبه قروح فی جسده کثیرة،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 حتّی تبرأ لا تنکؤها علیه فتقتلوه</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معتبره، سکونی از امام صادق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نزد امیرمؤمنان علیه السلام آوردند که باید بر او حدّ جاری می‌شد؛ در حالی که بدنش زخم‌های فراوانی داشت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تحت نظر نگاه دارید تا بهبودی یابد؛ زخم‌های او را باز نکنید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نَکَأ به معنای منفجر شدن و سر باز کردن زخم قبل از زمان طبیعی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این کار سبب قتل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جمود بر ظاهر لفظ اقتضا می‌کند که به دنبال اجرای حدّ تازیانه مرگ باشد، امّا به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لاتنکؤها علیه فتقتلوه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قتل و موت وجود دارد؛ و در معرض مرگ قرار می‌گیرد؛ لذا، لازم نیست حتماً علم به تحقّق موت به دنبال اجرای حدّ داشته باشیم؛ بلکه همین مقدار که خوف مرگ را بدهیم،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سهل بن زیاد، عن محمّد بن الحسن بن شمون، عن عبداللّه بن عبدالرّحمن الأصمّ، عن مسمع بن عبدالملک، عن أبی عبداللّه علیه السلام، أنّ أمیر المؤمنین علیه السلام اتی برجل أصاب حدّاً وبه قروح ومرض وأشباه ذلک،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 حتّی تبرأ لا تنکؤ قروحه علیه، فیموت ولکن إذا برأ حدّدناه</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روایت، همان روایت قبل است؛ منتهی راوی دیگری آن را نقل و بعضی از عباراتش عوض شده است؛ وگرنه داستان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امیرمؤمنان علیه السلام آوردند که باید بر او حدّ اقامه می‌شد؛ ودر بدن او زخم، مرض و مانند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را تأخیر بیندازید تا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پوست زخم‌های او برود و قروح او منفجر گردد؛ و در نتیجه، مرد در اثر اجرای حدّ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خوب شد، حدّ الهی را درباره‌اش اجرا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در باب تازیانه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حدّ بزنیم، زخم‌هایش باز شده، و امکان مرگ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در باب مستحاضه رسیده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النوفلی، عن السکونی،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یقام الحدّ علی المستحاضة حتّی ینقطع الدم عنها</w:t>
      </w:r>
      <w:r>
        <w:rPr>
          <w:rFonts w:eastAsia="IRNazanin" w:cs="IRNazanin"/>
          <w:color w:val="111111"/>
          <w:sz w:val="28"/>
          <w:szCs w:val="28"/>
          <w:rtl w:val="true"/>
          <w:lang w:bidi="fa-IR"/>
        </w:rPr>
        <w:t>.</w:t>
      </w:r>
      <w:r>
        <w:rPr>
          <w:rStyle w:val="FootnoteAnchor"/>
          <w:rtl w:val="true"/>
        </w:rPr>
        <w:footnoteReference w:id="840"/>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زن مستحاضه اجرا نمی‌شود، تا</w:t>
      </w:r>
    </w:p>
    <w:p>
      <w:pPr>
        <w:pStyle w:val="BookText"/>
        <w:rPr/>
      </w:pPr>
      <w:r>
        <w:rPr>
          <w:rFonts w:ascii="IRNazanin" w:hAnsi="IRNazanin" w:eastAsia="IRNazanin"/>
          <w:color w:val="111111"/>
          <w:sz w:val="28"/>
          <w:sz w:val="28"/>
          <w:szCs w:val="28"/>
          <w:rtl w:val="true"/>
          <w:lang w:bidi="fa-IR"/>
        </w:rPr>
        <w:t>خون او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هم شامل رجم و هم شامل تازیانه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آن تمسّک کرده و حتّی در مورد رجم نیز فتوا به تأخیر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تضعیف این اطلاق می‌شود، عدم فتوای هیچ یک از اصحاب به تأخیر رجم درباره‌ی زن مستحاضه است؛ بلکه بر عکس، به طور صریح فتوا داده‌اند که زن مستحاضه را بدون تأخیر رجم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این اطلاق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روایت را به مورد تازیانه منحصر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دو روایت اوّل، لزومِ تأخیر حدّ درباره‌ی مریضی بود که اجرای حدّ در حقّ او خوف قتل و مرگ را به همراه دارد؛ امّا اگر یقین داریم اقامه‌ی حدّ به این‌جا منتهی نمی‌شود، ولی سبب شدّت مرض و یا طولانی شدن آن می‌گردد، وظیفه چیست؟</w:t>
      </w:r>
    </w:p>
    <w:p>
      <w:pPr>
        <w:pStyle w:val="BookText"/>
        <w:rPr/>
      </w:pPr>
      <w:r>
        <w:rPr>
          <w:rFonts w:ascii="IRNazanin" w:hAnsi="IRNazanin" w:eastAsia="IRNazanin"/>
          <w:color w:val="111111"/>
          <w:sz w:val="28"/>
          <w:sz w:val="28"/>
          <w:szCs w:val="28"/>
          <w:rtl w:val="true"/>
          <w:lang w:bidi="fa-IR"/>
        </w:rPr>
        <w:t>در تحریر الوسیله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یجلد أحدهم إذا لم یجب القتل والرجم خوفاً من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قتل و رجم واجب نباشد، به مریض و صاحب قروح و مستحاضه تازیانه نمی‌زنیم؛ به خاطر ترس از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روایت چنین مطلبی نیست، و بلکه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تنکؤها علیه فتقتلوه</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تنکؤ قروحه علیه فیموت</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که با استفاده از فهم عرف، قتل و مرگ را به خوف از آن دو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نسبت به سرایت و شدّت مرض، تصریحی ندارد، پس چگونه حکم کنیم؟</w:t>
      </w:r>
    </w:p>
    <w:p>
      <w:pPr>
        <w:pStyle w:val="BookText"/>
        <w:rPr/>
      </w:pPr>
      <w:r>
        <w:rPr>
          <w:rFonts w:ascii="IRNazanin" w:hAnsi="IRNazanin" w:eastAsia="IRNazanin"/>
          <w:color w:val="111111"/>
          <w:sz w:val="28"/>
          <w:sz w:val="28"/>
          <w:szCs w:val="28"/>
          <w:rtl w:val="true"/>
          <w:lang w:bidi="fa-IR"/>
        </w:rPr>
        <w:t>از تناسب حکم و موضوع استفاده می‌شود شخصی که مرتکب کار حرام شده، عقوبت او فقط تازیانه است؛ یعنی در رابطه‌ی با این گناه باید این مقدار کیفر شود و زجر ببیند، نه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واسطه‌ی اجرای حدّ بر مریض، مرض و کسالت یک‌ماهه‌ی او به یک بیماری پنج ساله مبدّل شود، به چه حسابی چنین کسالتی را به او تحمیل کنیم و به گردنش بگذاریم؟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حدّ بر چنین فردی، در حقیقت، وارد نمودن دو عقوبت بر او است که دلیل ندارد؛ لذا هر چند روایت مسأله‌ی خوف موت را مطرح کرده، لیکن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bookmarkStart w:id="817" w:name="pg16919_227372"/>
    </w:p>
    <w:p>
      <w:pPr>
        <w:pStyle w:val="BookText"/>
        <w:rPr/>
      </w:pPr>
      <w:bookmarkEnd w:id="817"/>
      <w:r>
        <w:rPr>
          <w:rFonts w:ascii="IRNazanin" w:hAnsi="IRNazanin" w:eastAsia="IRNazanin"/>
          <w:color w:val="111111"/>
          <w:sz w:val="28"/>
          <w:sz w:val="28"/>
          <w:szCs w:val="28"/>
          <w:rtl w:val="true"/>
          <w:lang w:bidi="fa-IR"/>
        </w:rPr>
        <w:t>منحصر به مرگ نیست؛ بلکه شامل ترس هر چیزی می‌گردد که به سبب تازیانه پیدا شود؛ خواه مرگ باشد، یا سرایت و شدّت مرض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در کلمات فقها کلمه‌ی مرگ وقتل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مطرح است</w:t>
      </w:r>
      <w:r>
        <w:rPr>
          <w:rFonts w:eastAsia="IRNazanin" w:cs="IRNazanin"/>
          <w:color w:val="111111"/>
          <w:sz w:val="28"/>
          <w:szCs w:val="28"/>
          <w:rtl w:val="true"/>
          <w:lang w:bidi="fa-IR"/>
        </w:rPr>
        <w:t>.</w:t>
      </w:r>
    </w:p>
    <w:p>
      <w:pPr>
        <w:pStyle w:val="Heading5"/>
        <w:numPr>
          <w:ilvl w:val="4"/>
          <w:numId w:val="1"/>
        </w:numPr>
        <w:rPr/>
      </w:pPr>
      <w:bookmarkStart w:id="818" w:name="__RefHeading___Toc79208_3244359995"/>
      <w:bookmarkStart w:id="819" w:name="_Toc312"/>
      <w:bookmarkEnd w:id="818"/>
      <w:r>
        <w:rPr>
          <w:rtl w:val="true"/>
        </w:rPr>
        <w:t>فرع دوم</w:t>
      </w:r>
      <w:r>
        <w:rPr>
          <w:rtl w:val="true"/>
        </w:rPr>
        <w:t xml:space="preserve">: </w:t>
      </w:r>
      <w:r>
        <w:rPr>
          <w:rtl w:val="true"/>
        </w:rPr>
        <w:t>کیفیّت اجرای حدّ تعجیلی بر مریض</w:t>
      </w:r>
      <w:bookmarkEnd w:id="819"/>
    </w:p>
    <w:p>
      <w:pPr>
        <w:pStyle w:val="Heading6"/>
        <w:numPr>
          <w:ilvl w:val="5"/>
          <w:numId w:val="1"/>
        </w:numPr>
        <w:rPr/>
      </w:pPr>
      <w:bookmarkStart w:id="820" w:name="__RefHeading___Toc79210_3244359995"/>
      <w:bookmarkStart w:id="821" w:name="_Toc313"/>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اگر مجرم مبتلا به مرضی است که امید بهبودی آن نمی‌رود، مانند سرطان در این زمان و یا سل در زمان‌های گذشته، و یا حاکم مصلحت را در تعجیل حدّ می‌بیند هرچند کسالت مریض به گونه‌ای باشد که با گذشت زمان برطرف شود،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ضربهم بالضغث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یک دسته و قبضه‌ای که مشتمل بر عدد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 و یا صد شاخه‌ی درخت خرما و یا هر درخت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مرتبه بر آن زن مستحاضه، یا فرد مریض و یا صاحب قروح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صد تازیانه یا شاخه‌ی درخت با بدن او تماس پیدا کند، همین که با چنین مجموعه‌ای ضرب واقع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روایاتی است که در این مورد رسیده است؛ که البته باید دلالت آن‌ها و کیفیّت جمع بین این دسته از روایات و روایاتی که به تأخیر حدّ تا بهبودی حکم می‌کرد، ملاحظه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عن محمّد بن عیسی، عن یونس، عن أبان بن عثمان، عن أبی العباس،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رسول اللّه صلی الله علیه و آله برجل دمیم قصیر قد سقی بطنه وقد درّت عروق بطنه، قد فجر بامرأة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به إلّاوقد دخل علیّ،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أزنیت؟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یکن احصن؛ فصعد رسول اللّه صلی الله علیه و آله بصره و خفضه ثمّ دعا بعذق فعدّه مائة، ثمّ ضربه بشماریخه</w:t>
      </w:r>
      <w:r>
        <w:rPr>
          <w:rFonts w:eastAsia="IRNazanin" w:cs="IRNazanin"/>
          <w:color w:val="111111"/>
          <w:sz w:val="28"/>
          <w:szCs w:val="28"/>
          <w:rtl w:val="true"/>
          <w:lang w:bidi="fa-IR"/>
        </w:rPr>
        <w:t>.</w:t>
      </w:r>
      <w:r>
        <w:rPr>
          <w:rStyle w:val="FootnoteAnchor"/>
          <w:rtl w:val="true"/>
        </w:rPr>
        <w:footnoteReference w:id="84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ابو العباس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زناکار کوتاه قدّی را نزد رسول‌اللّه صلی الله علیه و آله آوردند که خون‌ریزی داشت، شکمش آب آورده و</w:t>
      </w:r>
    </w:p>
    <w:p>
      <w:pPr>
        <w:pStyle w:val="BookText"/>
        <w:rPr/>
      </w:pPr>
      <w:r>
        <w:rPr>
          <w:rFonts w:ascii="IRNazanin" w:hAnsi="IRNazanin" w:eastAsia="IRNazanin"/>
          <w:color w:val="111111"/>
          <w:sz w:val="28"/>
          <w:sz w:val="28"/>
          <w:szCs w:val="28"/>
          <w:rtl w:val="true"/>
          <w:lang w:bidi="fa-IR"/>
        </w:rPr>
        <w:t>رگ‌های خونی شکمش باز شده و از او خون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مفعول واقع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که می‌دانم، ورود او بر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با من دخول کرده و زنا محقّق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مریض محصن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چشمان خود را بالا برده و بعد نظرش را به پایین انداخته، سپس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شاخه‌ی درخت خرمایی را بیاورند، آن را به صد جزء تقسیم کرد و با شاخه‌های آن بر مرد زانی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باید بر موردی حمل کنیم که زنای فرد ثابت شده و از این جهت مشکلی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سهل بن زیاد، وبإسناده عن الحسین بن سعید، عن الحسن، عن زرعة عن سماعة، عن أبی عبداللّه، عن أبیه عن آبائه علیهم السلام عن النبی صلی الله علیه و آله، أنّه اتی برجل کبیر البطن قد أصاب محرّماً، فدعا رسول اللّه صلی الله علیه و آله بعرجون فیه مائة شمراخ، فضربه مرّة واحدة، فکان الحدّ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نزد رسول گرامی اسلام صلی الله علیه و آله آوردند که به جهت کسالت، شکمش خیلی بزرگ شده بود؛ و وی مرتکب کار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عرجونی که در آن صد شاخه بود، بیاورند و با آن یک ضربه بر بدن آن مرد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همین مقدار بود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بن عیسی، عن ابن محبوب، عن محمّد بن إسماعیل بن بزیع، عن حنّان بن سدیر، عن یحیی بن عباد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لک من أبی عبداللّه علیه السلام منزلة، فسله عن رجل زنی وهو مریض، إن اقیم علیه الحدّ</w:t>
      </w:r>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خافوا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تلقاء نفسک؟ أو قال لک إنسان أن تسألنی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سألنی أن أسألک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اتی برجل احتبین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مستسقی البطن، قد بدت عروق فخذیه وقد زنی بامرأة مریضة، فأمر رسول اللّه صلی الله علیه و آله بعذق فیه شمراخ، فضرب به الرّجل ضربة وضربت به المرأة ضربة ثمّ خلّی سبیلهما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عباد 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امام صادق علیه السلام دارای مقام و منزلت هستی؛ به خدمت او رفته، و از او در مورد مریضی که زنا کرده بود، سؤال کن که اگر بر او حدّ جاری شود، می‌میرد؛ و یا می‌ترسند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او چیست؟</w:t>
      </w:r>
    </w:p>
    <w:p>
      <w:pPr>
        <w:pStyle w:val="BookText"/>
        <w:rPr/>
      </w:pPr>
      <w:r>
        <w:rPr>
          <w:rFonts w:ascii="IRNazanin" w:hAnsi="IRNazanin" w:eastAsia="IRNazanin"/>
          <w:color w:val="111111"/>
          <w:sz w:val="28"/>
          <w:sz w:val="28"/>
          <w:szCs w:val="28"/>
          <w:rtl w:val="true"/>
          <w:lang w:bidi="fa-IR"/>
        </w:rPr>
        <w:t>یحیی بن عباد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شرفیاب شده، و مسأله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خودت هست و یا انسانی از تو خواسته سؤال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من خواسته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پیامبر اکرم صلی الله علیه و آله آوردند که شکمش ورم کرده و خیلی بزرگ شده و آب آورده بود، رگ‌های رانش واضح وآشکار گشته بود و با این حال با زن مریضی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ساقه‌ی خرمایی که در آن شاخه‌های فراوانی بود آوردند و یک مرتبه بر زن و یک مرتبه بر مرد زد و آنان را رها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این آیه را تلاوت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جریان ایّوب پیامبر به او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ضغثی بردار و با آن بر او بزن و قَسَمَت را نشکن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اتی بامرأة مریضة ورجل أجرب مریض قد بدت عروق فخذیه قد فجر بامرأة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واسقفنی، فقد جهدت،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 أفعل بک، ففعل، فجلده رسول اللّه صلی الله علیه و آله بغیر بیّنة مائة شمراخ ضربة واحدة وخلّی سبیله، ولم یضرب المرأة</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همان جریان را نقل کرده است؛ و بر اساس مبنای ما، این‌ها چهار روایت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یک جریان را از رسول خدا صلی الله علیه و آله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عباراتشان کم و زیاد دارد؛ و سه روایت از امام صادق علیه السلام و یکی هم از امام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روایات</w:t>
      </w:r>
    </w:p>
    <w:p>
      <w:pPr>
        <w:pStyle w:val="BookText"/>
        <w:rPr/>
      </w:pPr>
      <w:r>
        <w:rPr>
          <w:rFonts w:ascii="IRNazanin" w:hAnsi="IRNazanin" w:eastAsia="IRNazanin"/>
          <w:color w:val="111111"/>
          <w:sz w:val="28"/>
          <w:sz w:val="28"/>
          <w:szCs w:val="28"/>
          <w:rtl w:val="true"/>
          <w:lang w:bidi="fa-IR"/>
        </w:rPr>
        <w:t>روایات گذشته دلالت داشتند که حدّ به تأخیر انداخته شود تا مریضی بهبودی یابد؛ و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جاری ساختن حدّ سبب انفجار قروح او نشوید، ممکن است این کار مقدّمه‌ی مرگ زانی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دسته از احادیث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حدّ را تأخیر نینداخته و در همان حال کسالت و مرضِ مجرم، حدّ را بر او جاری ساختند؛ لیکن با فرود آوردن ضربه‌ای مشتمل بر شمراخ و شاخه‌ی درخت چگونه بین این دو طایفه از روایات جمع کنیم؟</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روایات صاحب قروح جایی است که امید به بهبودی او داشته باشند؛ از این رو،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است؛ امّا مورد روایات شمراخ جایی است که رفع کسالت متوقّع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کسی که گرفتار استسقا و آب آوردن شکم می‌شد، راه علاجی برای آن نمی‌دانستند، از این رو، در چنین ناخوشی، امید به سلامت و بهبودی مریض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حدّ را در حقّ او اجرا کردند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مصلحتی در تعجیل حدّ می‌دیدند، و به همین جهت، آن را اقامه کردند؛ ولی روایات قروح مربوط به صورتی است که در تعجیل حدّ مصلحتی نباشد</w:t>
      </w:r>
      <w:r>
        <w:rPr>
          <w:rFonts w:eastAsia="IRNazanin" w:cs="IRNazanin"/>
          <w:color w:val="111111"/>
          <w:sz w:val="28"/>
          <w:szCs w:val="28"/>
          <w:rtl w:val="true"/>
          <w:lang w:bidi="fa-IR"/>
        </w:rPr>
        <w:t>.</w:t>
      </w:r>
      <w:bookmarkStart w:id="822" w:name="pg16919_227380"/>
    </w:p>
    <w:p>
      <w:pPr>
        <w:pStyle w:val="BookText"/>
        <w:rPr/>
      </w:pPr>
      <w:bookmarkEnd w:id="822"/>
      <w:r>
        <w:rPr>
          <w:rFonts w:ascii="IRNazanin" w:hAnsi="IRNazanin" w:eastAsia="IRNazanin"/>
          <w:color w:val="111111"/>
          <w:sz w:val="28"/>
          <w:sz w:val="28"/>
          <w:szCs w:val="28"/>
          <w:rtl w:val="true"/>
          <w:lang w:bidi="fa-IR"/>
        </w:rPr>
        <w:t>این دو راه برای جمع روایات، مقابل هم نبوده، و می‌توان هر دو را وجه توجیه و حمل دانست؛ لذا، امام راحل رحمه الله در تحریر 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یتوقّع البرء أو رأی الحاکم المصلحة فی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بازیابی سلامت مجرم نمی‌رود و یا حاکم مصلحت را در تعجیل حدّ دید، مجموعه‌ای مرکب از صد شمراخ خرما و یا غیر آن تهیّه کنند و یک مرتبه به او بزنند</w:t>
      </w:r>
      <w:r>
        <w:rPr>
          <w:rFonts w:eastAsia="IRNazanin" w:cs="IRNazanin"/>
          <w:color w:val="111111"/>
          <w:sz w:val="28"/>
          <w:szCs w:val="28"/>
          <w:rtl w:val="true"/>
          <w:lang w:bidi="fa-IR"/>
        </w:rPr>
        <w:t>.</w:t>
      </w:r>
    </w:p>
    <w:p>
      <w:pPr>
        <w:pStyle w:val="Heading6"/>
        <w:numPr>
          <w:ilvl w:val="5"/>
          <w:numId w:val="1"/>
        </w:numPr>
        <w:rPr/>
      </w:pPr>
      <w:bookmarkStart w:id="823" w:name="__RefHeading___Toc79212_3244359995"/>
      <w:bookmarkStart w:id="824" w:name="_Toc314"/>
      <w:bookmarkEnd w:id="823"/>
      <w:r>
        <w:rPr>
          <w:rtl w:val="true"/>
        </w:rPr>
        <w:t>کیفیّت ضرب شماریخ</w:t>
      </w:r>
      <w:bookmarkEnd w:id="824"/>
    </w:p>
    <w:p>
      <w:pPr>
        <w:pStyle w:val="BookText"/>
        <w:rPr/>
      </w:pPr>
      <w:r>
        <w:rPr>
          <w:rFonts w:ascii="IRNazanin" w:hAnsi="IRNazanin" w:eastAsia="IRNazanin"/>
          <w:color w:val="111111"/>
          <w:sz w:val="28"/>
          <w:sz w:val="28"/>
          <w:szCs w:val="28"/>
          <w:rtl w:val="true"/>
          <w:lang w:bidi="fa-IR"/>
        </w:rPr>
        <w:t xml:space="preserve">نکته‌ای که باید به آن توجّه کرد، این است که بایستی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پس، اگر آن قبضه را یک وجب بالا بیاورد و بر بدن زانی بزند،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اگر با یک تازیانه، یا یک شاخته بر بدن مجرم زده شود، هر چند که از فاصله کم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می‌گردد؛ امّا اگر مجموعه و قبضه شد، باید به اندازه‌ای بین بدن زانی و قبضه فاصله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بنابراین، مجرّد اتّصال و برخورد با بدن،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بِیَدِکَ ضِغْثاً فَاضْرِبْ بِهِ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مهم دیگر، آن که در تحقّق ضرب لازم نیست تک تک تازیانه‌ها، یا شماریخ و شاخه‌ها با بدن زانی برخورد کند، چنین برخوردی به طور معمول محال است؛ زیرا، هنگامی که یک قبضه‌ی صدتایی درست شود، تعدادی از تازیانه‌ها و یا شاخه‌ها در وسط و بالا قرار می‌گیرد و فقط مقداری که در زیر واقع می‌شود با بدن زانی تماس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مقداری که لازم است، این است که استناد ضرب به مجموعه باشد؛ یعنی با این مجموعه، ضرب بر بدن مجرم محقّق گردد؛ و ناراحتی حاصل از ضرب مسبب از مجموعه و قبضه باشد</w:t>
      </w:r>
      <w:r>
        <w:rPr>
          <w:rFonts w:eastAsia="IRNazanin" w:cs="IRNazanin"/>
          <w:color w:val="111111"/>
          <w:sz w:val="28"/>
          <w:szCs w:val="28"/>
          <w:rtl w:val="true"/>
          <w:lang w:bidi="fa-IR"/>
        </w:rPr>
        <w:t>.</w:t>
      </w:r>
    </w:p>
    <w:p>
      <w:pPr>
        <w:pStyle w:val="Heading6"/>
        <w:numPr>
          <w:ilvl w:val="5"/>
          <w:numId w:val="1"/>
        </w:numPr>
        <w:rPr/>
      </w:pPr>
      <w:bookmarkStart w:id="825" w:name="__RefHeading___Toc79214_3244359995"/>
      <w:bookmarkStart w:id="826" w:name="_Toc315"/>
      <w:bookmarkEnd w:id="825"/>
      <w:r>
        <w:rPr>
          <w:rtl w:val="true"/>
        </w:rPr>
        <w:t>ذکر چند فرع از صاحب جواهر رحمه الله</w:t>
      </w:r>
      <w:bookmarkEnd w:id="82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نداشت که از صد تازیانه و یا شاخه، یک قبضه درست شود، آیا می‌توان قبضه‌ی پنجاه‌تایی درست کرد و دوبار به بدن مجرم زد و یا با دو قبضه‌ی پنجاه تایی یک بار به مجرم زد؟</w:t>
      </w:r>
      <w:bookmarkStart w:id="827" w:name="pg16919_227382"/>
    </w:p>
    <w:p>
      <w:pPr>
        <w:pStyle w:val="BookText"/>
        <w:rPr/>
      </w:pPr>
      <w:bookmarkEnd w:id="827"/>
      <w:r>
        <w:rPr>
          <w:rFonts w:ascii="IRNazanin" w:hAnsi="IRNazanin" w:eastAsia="IRNazanin"/>
          <w:color w:val="111111"/>
          <w:sz w:val="28"/>
          <w:sz w:val="28"/>
          <w:szCs w:val="28"/>
          <w:rtl w:val="true"/>
          <w:lang w:bidi="fa-IR"/>
        </w:rPr>
        <w:t>روایات متضمّن مطلبی در این‌باره نیست؛ و طبق قاعده این مطلب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اقامه‌ی ده تازیانه بر مریض ضرر نداشته باشد، آیا می‌توان به این مقدار تازیانه زده و بقیّه را به صورت مجموعه و قبضه به مجرم زد؟ و اگر مریضی طاقت بیست تازیانه دارد، هشتاد تازیانه‌ی دیگر را با قبضه‌ای هشتاد تایی اقامه کرد؟</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مریضی قدرت دارد که روزی پنج و یا ده تازیانه به او زده شود، آیا این‌گونه اجرای حدّ جایز است؛ و یا همین که شخصی قدرت صد تازیانه را نداشت،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و نباید ملاحظه کنیم آیا طاقت بیست تازیانه را دارد یا نه، و تقسیم حدّ بر ایّام صحیح نیست؟ </w:t>
      </w:r>
      <w:r>
        <w:rPr>
          <w:rStyle w:val="FootnoteAnchor"/>
          <w:rtl w:val="true"/>
        </w:rPr>
        <w:footnoteReference w:id="849"/>
      </w: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به خصوص با عدم استفصالی که در برخی از آن‌ها مطرح می‌باشد، این است که نباید چنین دقّت‌هایی صورت گیرد که آیا قدرت تحمّل بیست تازیانه را دارد و یا می‌توان حدّ را در روزهای مختلف به او زد؟</w:t>
      </w:r>
    </w:p>
    <w:p>
      <w:pPr>
        <w:pStyle w:val="BookText"/>
        <w:rPr/>
      </w:pPr>
      <w:r>
        <w:rPr>
          <w:rFonts w:ascii="IRNazanin" w:hAnsi="IRNazanin" w:eastAsia="IRNazanin"/>
          <w:color w:val="111111"/>
          <w:sz w:val="28"/>
          <w:sz w:val="28"/>
          <w:szCs w:val="28"/>
          <w:rtl w:val="true"/>
          <w:lang w:bidi="fa-IR"/>
        </w:rPr>
        <w:t xml:space="preserve">کسی که مصلحت در مورد او تعجیل حدّ است، و یا مریضی که امیدی به رفع کسالتش نیست، صد تازیانه در حقّ او به صورت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یک قبضه‌ی صد 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می‌شود؛ خواه قدرت بیست تازیانه را داشته باشد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 فرع اخیر اجرای حدّ به همان صورتی که در روایات آمده، کفایت می‌کند</w:t>
      </w:r>
      <w:r>
        <w:rPr>
          <w:rFonts w:eastAsia="IRNazanin" w:cs="IRNazanin"/>
          <w:color w:val="111111"/>
          <w:sz w:val="28"/>
          <w:szCs w:val="28"/>
          <w:rtl w:val="true"/>
          <w:lang w:bidi="fa-IR"/>
        </w:rPr>
        <w:t>.</w:t>
      </w:r>
    </w:p>
    <w:p>
      <w:pPr>
        <w:pStyle w:val="Heading5"/>
        <w:numPr>
          <w:ilvl w:val="4"/>
          <w:numId w:val="1"/>
        </w:numPr>
        <w:rPr/>
      </w:pPr>
      <w:bookmarkStart w:id="828" w:name="__RefHeading___Toc79216_3244359995"/>
      <w:bookmarkStart w:id="829" w:name="_Toc316"/>
      <w:bookmarkEnd w:id="828"/>
      <w:r>
        <w:rPr>
          <w:rtl w:val="true"/>
        </w:rPr>
        <w:t>فرع سوم</w:t>
      </w:r>
      <w:r>
        <w:rPr>
          <w:rtl w:val="true"/>
        </w:rPr>
        <w:t xml:space="preserve">: </w:t>
      </w:r>
      <w:r>
        <w:rPr>
          <w:rtl w:val="true"/>
        </w:rPr>
        <w:t>حکم بازیافت سلامتی قبل از ضرب ضغث و بعد از آن</w:t>
      </w:r>
      <w:bookmarkEnd w:id="829"/>
    </w:p>
    <w:p>
      <w:pPr>
        <w:pStyle w:val="BookText"/>
        <w:rPr/>
      </w:pPr>
      <w:r>
        <w:rPr>
          <w:rFonts w:ascii="IRNazanin" w:hAnsi="IRNazanin" w:eastAsia="IRNazanin"/>
          <w:color w:val="111111"/>
          <w:sz w:val="28"/>
          <w:sz w:val="28"/>
          <w:szCs w:val="28"/>
          <w:rtl w:val="true"/>
          <w:lang w:bidi="fa-IR"/>
        </w:rPr>
        <w:t>اگر خواستیم حدّ را با ضغث و قبضه اجرا کنیم، معلوم شد کسالت شخص مرتفع شده و به صحّت مبدّل گشته است، در این صورت جای اجرای حدّ ضغثی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روایات استفاده می‌شود باید هنگام اجرای این حدّ، عنوان مرض محفوظ باشد؛ و چنین فردی فاقد این عنوان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خیال این‌که کسالت قابل رفع نیست و با ضغث، حدّ را اقامه کردیم؛ امّا پس از گذشت چند روز تصادفاً مرض او برطرف گشت، آیا باید حدّ معمولی در حقّ او اجرا گردد؟</w:t>
      </w:r>
      <w:bookmarkStart w:id="830" w:name="pg16919_227384"/>
    </w:p>
    <w:p>
      <w:pPr>
        <w:pStyle w:val="BookText"/>
        <w:rPr/>
      </w:pPr>
      <w:bookmarkEnd w:id="830"/>
      <w:r>
        <w:rPr>
          <w:rFonts w:ascii="IRNazanin" w:hAnsi="IRNazanin" w:eastAsia="IRNazanin"/>
          <w:color w:val="111111"/>
          <w:sz w:val="28"/>
          <w:sz w:val="28"/>
          <w:szCs w:val="28"/>
          <w:rtl w:val="true"/>
          <w:lang w:bidi="fa-IR"/>
        </w:rPr>
        <w:t>اجرای حدّ برای مرتبه‌ی دوم معنا ندارد؛ زیرا، در زمان اجرای حدّ، مجرم مریض بوده و حدّی که شارع برای وی معیّن کرده بود، جاری شده است؛ دلیلی نیز بر اجرای دوباره‌ی آن نداریم</w:t>
      </w:r>
      <w:r>
        <w:rPr>
          <w:rFonts w:eastAsia="IRNazanin" w:cs="IRNazanin"/>
          <w:color w:val="111111"/>
          <w:sz w:val="28"/>
          <w:szCs w:val="28"/>
          <w:rtl w:val="true"/>
          <w:lang w:bidi="fa-IR"/>
        </w:rPr>
        <w:t>.</w:t>
      </w:r>
    </w:p>
    <w:p>
      <w:pPr>
        <w:pStyle w:val="Heading5"/>
        <w:numPr>
          <w:ilvl w:val="4"/>
          <w:numId w:val="1"/>
        </w:numPr>
        <w:rPr/>
      </w:pPr>
      <w:bookmarkStart w:id="831" w:name="__RefHeading___Toc79218_3244359995"/>
      <w:bookmarkStart w:id="832" w:name="_Toc317"/>
      <w:bookmarkEnd w:id="831"/>
      <w:r>
        <w:rPr>
          <w:rtl w:val="true"/>
        </w:rPr>
        <w:t>فرع چهارم</w:t>
      </w:r>
      <w:r>
        <w:rPr>
          <w:rtl w:val="true"/>
        </w:rPr>
        <w:t xml:space="preserve">: </w:t>
      </w:r>
      <w:r>
        <w:rPr>
          <w:rtl w:val="true"/>
        </w:rPr>
        <w:t>حکم حدّ زن حائض و نفساء</w:t>
      </w:r>
      <w:bookmarkEnd w:id="832"/>
    </w:p>
    <w:p>
      <w:pPr>
        <w:pStyle w:val="BookText"/>
        <w:rPr/>
      </w:pPr>
      <w:r>
        <w:rPr>
          <w:rFonts w:ascii="IRNazanin" w:hAnsi="IRNazanin" w:eastAsia="IRNazanin"/>
          <w:color w:val="111111"/>
          <w:sz w:val="28"/>
          <w:sz w:val="28"/>
          <w:szCs w:val="28"/>
          <w:rtl w:val="true"/>
          <w:lang w:bidi="fa-IR"/>
        </w:rPr>
        <w:t>اگر حدّ حائض رجم باشد، باید اجرا گردد؛ امّا اگر تازیانه باشد،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کسالت نیست، بلکه چه‌بسا دلیل بر صحّت وسلامتی زن باشد که به‌طور طبیعی عادت می‌شوند؛ لذا، وجهی برای تأخیر حدّ در ایام حیض نیست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نسبت به نفساء، امام راحل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التأخیر فی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لزومی تأخیر در حدّ زنی است که زایمان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ایشان، احتیاط واجب در تأخیر حدّ تازیانه و رجم،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احتیاط، روایاتی است که در مستدرک الوسائل، بحار الأنوار، عوالی اللئالی و قرب الإسناد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آن‌ها عدم جریان حدّ بر زن نفساء است تا زمانی که به طور کامل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مرسل هستند، و در گذشته به آن‌ها اشاره کردیم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در باب رجم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مات الولد حین وضعته رجمت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اگر بچّه هنگام زایمان بمیرد، مادرش را رجم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این احتیاط لزومی نیست؛ به خصوص با توجّه به مرسل بودن روایات و عمل نکردن اصحاب به آن‌ها</w:t>
      </w:r>
      <w:r>
        <w:rPr>
          <w:rFonts w:eastAsia="IRNazanin" w:cs="IRNazanin"/>
          <w:color w:val="111111"/>
          <w:sz w:val="28"/>
          <w:szCs w:val="28"/>
          <w:rtl w:val="true"/>
          <w:lang w:bidi="fa-IR"/>
        </w:rPr>
        <w:t>.</w:t>
      </w:r>
      <w:r>
        <w:rPr>
          <w:rStyle w:val="FootnoteAnchor"/>
          <w:rtl w:val="true"/>
        </w:rPr>
        <w:footnoteReference w:id="852"/>
      </w:r>
      <w:bookmarkStart w:id="833" w:name="pg16919_227386"/>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الحدّ علی المجنون والمرتدّ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الحدّ باعتراض الجنون أو الإرتداد، فإن أوجب علی نفسه الحدّ وهو صحیح لا علّة به من ذهاب عقل ثمّ جنّ اقیم علیه الحدّ رجماً أو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ارتکب المجنون الأدواری ما یوجبه فی دور إفاقته وصحّته اقیم علیه الحدّ ولو فی دور جنونه، ولا ینتظر به الإفاقة، ولا فرق بین أن یحسّ بالألم حال الجنون أولا</w:t>
      </w:r>
      <w:r>
        <w:rPr>
          <w:rFonts w:eastAsia="IRNazanin" w:cs="IRNazanin"/>
          <w:color w:val="111111"/>
          <w:sz w:val="28"/>
          <w:szCs w:val="28"/>
          <w:rtl w:val="true"/>
          <w:lang w:bidi="fa-IR"/>
        </w:rPr>
        <w:t>.</w:t>
      </w:r>
    </w:p>
    <w:p>
      <w:pPr>
        <w:pStyle w:val="Heading4"/>
        <w:numPr>
          <w:ilvl w:val="3"/>
          <w:numId w:val="1"/>
        </w:numPr>
        <w:rPr/>
      </w:pPr>
      <w:bookmarkStart w:id="834" w:name="__RefHeading___Toc79220_3244359995"/>
      <w:bookmarkStart w:id="835" w:name="_Toc318"/>
      <w:bookmarkEnd w:id="834"/>
      <w:r>
        <w:rPr>
          <w:rtl w:val="true"/>
        </w:rPr>
        <w:t>اجرای حدّ بر مجنون ومرتد</w:t>
      </w:r>
      <w:bookmarkEnd w:id="835"/>
    </w:p>
    <w:p>
      <w:pPr>
        <w:pStyle w:val="Heading5"/>
        <w:numPr>
          <w:ilvl w:val="4"/>
          <w:numId w:val="1"/>
        </w:numPr>
        <w:rPr/>
      </w:pPr>
      <w:bookmarkStart w:id="836" w:name="__RefHeading___Toc79222_3244359995"/>
      <w:bookmarkStart w:id="837" w:name="_Toc319"/>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در این مسأله دو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فردی در حال کمال عقل، زنایی مرتکب شد و نزد حاکم به ثبوت رسید، در صورتی که هنگام اقامه‌ی حدّ حالت جنون بر زانی عارض شد و یا مرتد گشت، مانع اجرای حدّ نمی‌شود و لازم نیست صبر کنیم تا عاقل گردد و حالت جنون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 زانی مبتلا به جنون ادواری باشد و هنگام سلامت عقل مرتکب زنا شود، در همان حال جنون به او حدّ زده می‌شود و به انتظار افاقه و به هوش آمدنش نمی‌نشینیم؛ در اقامه‌ی حدّ نیز فرق نیست که مجنون درد و ناراحتی حسّ می‌کند یا نه</w:t>
      </w:r>
      <w:r>
        <w:rPr>
          <w:rFonts w:eastAsia="IRNazanin" w:cs="IRNazanin"/>
          <w:color w:val="111111"/>
          <w:sz w:val="28"/>
          <w:szCs w:val="28"/>
          <w:rtl w:val="true"/>
          <w:lang w:bidi="fa-IR"/>
        </w:rPr>
        <w:t>.</w:t>
      </w:r>
    </w:p>
    <w:p>
      <w:pPr>
        <w:pStyle w:val="Heading5"/>
        <w:numPr>
          <w:ilvl w:val="4"/>
          <w:numId w:val="1"/>
        </w:numPr>
        <w:rPr/>
      </w:pPr>
      <w:bookmarkStart w:id="838" w:name="__RefHeading___Toc79224_3244359995"/>
      <w:bookmarkStart w:id="839" w:name="_Toc320"/>
      <w:bookmarkEnd w:id="838"/>
      <w:r>
        <w:rPr>
          <w:rtl w:val="true"/>
        </w:rPr>
        <w:t>دلیل مسأله</w:t>
      </w:r>
      <w:bookmarkEnd w:id="839"/>
    </w:p>
    <w:p>
      <w:pPr>
        <w:pStyle w:val="BookText"/>
        <w:rPr/>
      </w:pPr>
      <w:r>
        <w:rPr>
          <w:rFonts w:ascii="IRNazanin" w:hAnsi="IRNazanin" w:eastAsia="IRNazanin"/>
          <w:color w:val="111111"/>
          <w:sz w:val="28"/>
          <w:sz w:val="28"/>
          <w:szCs w:val="28"/>
          <w:rtl w:val="true"/>
          <w:lang w:bidi="fa-IR"/>
        </w:rPr>
        <w:t>اگر با عروض حالت جنون شکّ کنیم که حدّ ساقط است یا نه؟ مقتضای استصحاب، وجوب اجرای آن است؛ لیکن با وجود روایت صحیحه‌ای در این مقام، نوبت به اصل عملی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روایت هر شکّ و شبهه‌ای را که جریان اصل متقوّم به وجود آن است، رفع می‌کند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الحسن بن محبوب، عن علیّ بن رئاب، عن أبی عبیدة، عن أبی جعفر علیه السلام، فی رجل وجب علیه الحدّ فلم یضرب حتّی خولط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أوجب علی نفسه الحدّ وهو صحیح لا علّة به من ذهاب عقل اقیم علیه الحدّ کائناً ما کان</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امام باقر علیه السلام درباره‌ی مردی که حدّ بر او واجب شد، لیکن قبل از اجرای حدّ حالت جنون به او دست داد، پرسید که حکمش چیست؟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صحّت و عقل، موجِب حدّ را انجام داده باشد، حدّ را بر او جاری می‌کنند، به هر حال و صورتی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راوی استفاده می‌شود حدّ او تازیانه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حکم به رجم نیز سرایت دارد؟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شبهات و اشکالاتی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لذا، در مورد مستحاضه و صاحب قروح و مریض گفتیم رجم آن‌ها بدون اشکال است؛ امّا اگر حدّ مجرم تازیانه بود، اجرای حدّ را به تأخیر می‌اندازند تا بهبودی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روایت، تازیانه زدن زانی را در حال جنون اجازه دهد، به طریق اولی می‌توان او را رجم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سؤال از جلد است، امّا جواب امام علیه السلام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کان أوجب علی نفسه الحدّ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حدّی باشد، رجم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نیست در این‌که سؤال از مطلب خاصّی و در خصوص جلد باشد، امّا امام علیه السلام جواب مطلق و عامّی بفرماید؛ لذا، اطلاق جواب امام علیه السلام شامل رجم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شریفه به اطلاقش دلالت دارد بر این‌که هر فردی در حال سلامت و کمال عقل موجِب حدّی را مرتکب شود، در حال زوال عقل و عروض حالت جنون می‌توان بر او حدّ اقامه کرد، خواه جنون او ادواری باشد، یا اطباقی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شبهه و دفع آن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جنون اطباقی و ادواری تفصیل داد؛ اگر جنون او اطباقی باشد، بعید نیست که بگوییم حدّ جلد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تفصیل دیگری مطرح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اطباقی بر دو نوع است؛ در یک نوع آن، مجنون از ضربات تازیانه احساس درد و ناراحتی می‌کند، که در این صورت، مانعی از اقامه‌ی حدّ نیست؛ لیکن در یک نوع دیگرش هیچ احساس درد و ناراحتی از وقوع تازیانه‌ها ندارد، در این فرض، چه فایده‌ای بر اجرای حدّ مترتّب است؟ عذاب و تازیانه به منظور این است که مجرم منزجر گردد و برای بار دیگر تکرار نشود، و مجنون از عقل بهره‌مند نیست تا در او حالت انزجار و تنبّه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تفصیل‌ها را صاحب جواهر رحمه الله در یک کلمه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عن بعض من احتمال السقوط فی المطبق مطلقاً وآخر من السقوط کذلک إن لم یحسّ بالألم وکان بحیث لا ینزجر به، کالاجتهاد فی مقابلة النصّ والفتوی</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روایت صحیحه‌ی ابوعبیده که دلالتی واضح و روشن دارد، نمی‌توان به این احتمالات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اشکال و جواب آن</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به این مضامین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یعنی تا مجنون به حالت عقل برنگردد، حدّی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فرد مجنونی است که در حال عقل مرتکب زنا شده است؛ ولی موضوع این روایت، مجنونی است که در حال جنون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نفی ثبوت حدّ از مجنون می‌کند، و این معنا با اجرای حدّ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در اجرای حدّ است نه ثبوت و نفی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روایت صحیحه دلالت دارد حدّ زنا بر فردی که در حال سلامت عقل به زنا دست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جنون اطباقی باشد و یا ادواری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فلسفه‌بافی برای حدّ و جریانش وجهی ندارد؛ زیرا، نمی‌دانیم تمامْ ملاک و علّتِ</w:t>
      </w:r>
      <w:bookmarkStart w:id="840" w:name="pg16919_227393"/>
    </w:p>
    <w:p>
      <w:pPr>
        <w:pStyle w:val="BookText"/>
        <w:rPr/>
      </w:pPr>
      <w:bookmarkEnd w:id="840"/>
      <w:r>
        <w:rPr>
          <w:rFonts w:ascii="IRNazanin" w:hAnsi="IRNazanin" w:eastAsia="IRNazanin"/>
          <w:color w:val="111111"/>
          <w:sz w:val="28"/>
          <w:sz w:val="28"/>
          <w:szCs w:val="28"/>
          <w:rtl w:val="true"/>
          <w:lang w:bidi="fa-IR"/>
        </w:rPr>
        <w:t>اجرای حدّ چیست؟ از 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ملاک در باب حدّ، احساس درد و ناراحتی است تا بگویید مجنون آن را احساس نمی‌کند؟ ممکن است یکی از ملاکاتش متنبّه شدن دیگران و عبرت گرفتن آنان باشد؛ به خصوص با ملاحظه‌ی آیه‌ی شریفه وَ لْیَشْهَدْ عَذابَهُما طائِفَةٌ مِنَ الْمُؤْمِنِینَ </w:t>
      </w:r>
      <w:r>
        <w:rPr>
          <w:rStyle w:val="FootnoteAnchor"/>
          <w:rtl w:val="true"/>
        </w:rPr>
        <w:footnoteReference w:id="856"/>
      </w:r>
      <w:r>
        <w:rPr>
          <w:rFonts w:ascii="IRNazanin" w:hAnsi="IRNazanin" w:eastAsia="IRNazanin"/>
          <w:color w:val="111111"/>
          <w:sz w:val="28"/>
          <w:sz w:val="28"/>
          <w:szCs w:val="28"/>
          <w:rtl w:val="true"/>
          <w:lang w:bidi="fa-IR"/>
        </w:rPr>
        <w:t>، در جایی که دیوانه را تازیانه می‌زنند، این تنبّه حاصل می‌شود؛ و شاید به صورت قوی‌تر نیز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نباید عقل خود را ملاک قرار داد، و یک‌سری مطالب را به عنوان علّت تخیّل نمود؛ و احکام خدا را تابع آن علل تخیّلی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تابع به هر چه دلالت کند، متابعت کرده و فتوا می‌دهیم</w:t>
      </w:r>
      <w:r>
        <w:rPr>
          <w:rFonts w:eastAsia="IRNazanin" w:cs="IRNazanin"/>
          <w:color w:val="111111"/>
          <w:sz w:val="28"/>
          <w:szCs w:val="28"/>
          <w:rtl w:val="true"/>
          <w:lang w:bidi="fa-IR"/>
        </w:rPr>
        <w:t>.</w:t>
      </w:r>
    </w:p>
    <w:p>
      <w:pPr>
        <w:pStyle w:val="Heading5"/>
        <w:numPr>
          <w:ilvl w:val="4"/>
          <w:numId w:val="1"/>
        </w:numPr>
        <w:rPr/>
      </w:pPr>
      <w:bookmarkStart w:id="841" w:name="__RefHeading___Toc79226_3244359995"/>
      <w:bookmarkStart w:id="842" w:name="_Toc321"/>
      <w:bookmarkEnd w:id="841"/>
      <w:r>
        <w:rPr>
          <w:rtl w:val="true"/>
        </w:rPr>
        <w:t>حکم زانی پس از ارتداد</w:t>
      </w:r>
      <w:bookmarkEnd w:id="84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 ارتداد سبب سقوط حدّ نمی‌شود؛ زیرا، ارتداد به عقوبت کمک می‌کند نه این‌که مانع عقوبت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نداریم که در حال اجرای حدّ، بایستی اسلام مجرم محفوظ باشد؛ لذا، حکم این فرع نیز روشن است</w:t>
      </w:r>
      <w:r>
        <w:rPr>
          <w:rFonts w:eastAsia="IRNazanin" w:cs="IRNazanin"/>
          <w:color w:val="111111"/>
          <w:sz w:val="28"/>
          <w:szCs w:val="28"/>
          <w:rtl w:val="true"/>
          <w:lang w:bidi="fa-IR"/>
        </w:rPr>
        <w:t>.</w:t>
      </w:r>
      <w:bookmarkStart w:id="843" w:name="pg16919_227395"/>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ومکان إقامة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لایقام الحدّ إذا کان جلداً فی الحرّ الشدید ولا البرد الشدید، فیتوخّی به فی الشتاء وسط النهار وفی الصیف فی ساعة برده خوفاً من الهلاک أو الضرر زائداً علی ما هو لازم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یقام فی أرض العدوّ، ولا فی الحرم علی من التجأ إلیه، لکن یضیق علیه فی المطعم والمشرب لیخرج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أحدث موجب الحدّ فی الحرم یقام علیه فیه</w:t>
      </w:r>
      <w:r>
        <w:rPr>
          <w:rFonts w:eastAsia="IRNazanin" w:cs="IRNazanin"/>
          <w:color w:val="111111"/>
          <w:sz w:val="28"/>
          <w:szCs w:val="28"/>
          <w:rtl w:val="true"/>
          <w:lang w:bidi="fa-IR"/>
        </w:rPr>
        <w:t>.</w:t>
      </w:r>
    </w:p>
    <w:p>
      <w:pPr>
        <w:pStyle w:val="Heading4"/>
        <w:numPr>
          <w:ilvl w:val="3"/>
          <w:numId w:val="1"/>
        </w:numPr>
        <w:rPr/>
      </w:pPr>
      <w:bookmarkStart w:id="844" w:name="__RefHeading___Toc79228_3244359995"/>
      <w:bookmarkStart w:id="845" w:name="_Toc322"/>
      <w:bookmarkEnd w:id="844"/>
      <w:r>
        <w:rPr>
          <w:rtl w:val="true"/>
        </w:rPr>
        <w:t>خصوصیّات زمان و مکان اقامه‌ی حدّ</w:t>
      </w:r>
      <w:bookmarkEnd w:id="845"/>
    </w:p>
    <w:p>
      <w:pPr>
        <w:pStyle w:val="Heading5"/>
        <w:numPr>
          <w:ilvl w:val="4"/>
          <w:numId w:val="1"/>
        </w:numPr>
        <w:rPr/>
      </w:pPr>
      <w:bookmarkStart w:id="846" w:name="__RefHeading___Toc79230_3244359995"/>
      <w:bookmarkStart w:id="847" w:name="_Toc323"/>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حدّ زانی تازیانه باشد، در زمستان اوّل صبح و یا نزدیک غروب که هوا به شدّت سرد است، نباید حدّ را اجرا کرد؛ بلکه باید صبر کنند تا از شدّت سرما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مطلب بر عکس است نباید در وسط روز و در شدّت گرما، تازیانه بزنند، بلکه در اوائل روز که هنوز هوا گرم نشده و یا در اواخرش که گرما از شدّت افتاده، حدّ را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ترس از هلاکت مجرم و یا ورود ضرری بیش از لازمه‌ی حدّ است در مباحث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ادلّه‌ی تازیانه استفاده می‌شود، این است که مقدار درد و ناراحتی که زانی باید ببیند، به همان اندازه‌ای است که طبیعت صد ضربه تازیانه تولید می‌کند؛ بنابراین، برای اضافه‌ی آن، مثل تازیانه زدن در شدّت سرما و یا گرما مجوّزی نداریم؛ لذا، برای عدم تحقّق مازاد صبر می‌کنیم تا هوا گرم شود، یا از گرمای آن کاسته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اسلامی باید در کشور اسلام اجرا گردد؛ بنابراین، در غیر کشور اسلامی اجرای حدّ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خارج از حرم خدا مرتکب عمل موجب حدّ شد و پس از اثبات آن و محکومیت به حدّ، به حرم خدا پناهنده شد، در حرم بر او حدّ جاری نمی‌شود؛ بلکه از نظر طعام و شراب بر او سخت می‌گیرند تا مجبور به ترک حرم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فردی در داخل حرم خدا عملی را که موجب حدّ است مرتکب شد، در همان جا بر او حدّ اقامه می‌شود</w:t>
      </w:r>
      <w:r>
        <w:rPr>
          <w:rFonts w:eastAsia="IRNazanin" w:cs="IRNazanin"/>
          <w:color w:val="111111"/>
          <w:sz w:val="28"/>
          <w:szCs w:val="28"/>
          <w:rtl w:val="true"/>
          <w:lang w:bidi="fa-IR"/>
        </w:rPr>
        <w:t>.</w:t>
      </w:r>
      <w:bookmarkStart w:id="848" w:name="pg16919_227397"/>
    </w:p>
    <w:p>
      <w:pPr>
        <w:pStyle w:val="Heading5"/>
        <w:numPr>
          <w:ilvl w:val="4"/>
          <w:numId w:val="1"/>
        </w:numPr>
        <w:rPr/>
      </w:pPr>
      <w:bookmarkStart w:id="849" w:name="__RefHeading___Toc79232_3244359995"/>
      <w:bookmarkStart w:id="850" w:name="_Toc324"/>
      <w:bookmarkEnd w:id="848"/>
      <w:bookmarkEnd w:id="849"/>
      <w:r>
        <w:rPr>
          <w:rtl w:val="true"/>
        </w:rPr>
        <w:t xml:space="preserve">ادلّه‌ی فرع اوّل </w:t>
      </w:r>
      <w:r>
        <w:rPr>
          <w:rtl w:val="true"/>
        </w:rPr>
        <w:t>(</w:t>
      </w:r>
      <w:r>
        <w:rPr>
          <w:rtl w:val="true"/>
        </w:rPr>
        <w:t>عدم اجرای حدّ در هوای سرد و گرم</w:t>
      </w:r>
      <w:r>
        <w:rPr>
          <w:rtl w:val="true"/>
        </w:rPr>
        <w:t>)</w:t>
      </w:r>
      <w:bookmarkEnd w:id="8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روایاتی که در باب صاحب قروح و مرض و زن مستحاضه رسیده این مطلب را استفاده می‌کند که مجرم نباید اضافه‌تر از عذاب تازیانه، کیفری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به عنوان تأیید این فهم عرفی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صفوان، عن الحسین بن عطیّة، عن هشام بن أحمر،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 المسجد وأنا معه فسمع صوت رجل یضرب صلاة الغداة فی یوم شدید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یضرب أحد فی شیء من الحدود فی الشتاء إلّافی أحرّ ساعة من النهار، ولا فی الصیف إلّا فی أبرد ما یکون من النهار</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اکرم صلی الله علیه و آله خدمت موسی بن جعفر علیهما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صدای مردی را شنید که در یک روز سرد هنگام نماز صبح به او تازیانه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ساعتی حدّ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نباید به کسی تازیانه بزنند، مگر در ساعتی که هوا گرم‌تر از ساعات دیگر باشد؛ در تابستان نیز نباید تازیانه بزنند، مگر زمانی که هوا از ساعات دیگر خنک‌تر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الحسین بن محمّد، عن معلّی بن محمّد، عن أبی داود المسترقّ،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أبی عبداللّه علیه السلام وإذا رجل یضرب بالسیاط،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فی مثل هذا الوقت یضرب؟ قلت 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وللضرب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البرد ضرب فی حرّ النهار، وإذا کان فی الحرّ ضرب فی</w:t>
      </w:r>
      <w:bookmarkStart w:id="851" w:name="pg16919_227399"/>
    </w:p>
    <w:p>
      <w:pPr>
        <w:pStyle w:val="BookText"/>
        <w:rPr/>
      </w:pPr>
      <w:bookmarkEnd w:id="851"/>
      <w:r>
        <w:rPr>
          <w:rFonts w:ascii="IRNazanin" w:hAnsi="IRNazanin" w:eastAsia="IRNazanin"/>
          <w:color w:val="111111"/>
          <w:sz w:val="28"/>
          <w:sz w:val="28"/>
          <w:szCs w:val="28"/>
          <w:rtl w:val="true"/>
          <w:lang w:bidi="fa-IR"/>
        </w:rPr>
        <w:t>برد النهار</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خیابان با امام صادق علیه السلام قدم می‌زدیم؛ با مردی مواجه شدیم که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باید تازیانه بخورد؟ 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ضرب حدّی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زمستان باشد، در گرمی روز، و اگر تابستان باشد، در خنکی روز به او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معلّی، عن علیِّ بن مرداس، عن سعدان بن مسلم،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الحسن علیه السلام فی بعض حوائجه، فمرّ برجل یحدّه فی الشتاء،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لمن یحدّ فی الشتاء أن یحدّ فی حرّ النهار، ولمن حدّ فی الصیف أن یحدّ فی برد النهار</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با دو حدیث قبل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روایات و فتوای اصحاب بر طبق آن، در این مسأله اشکالی نیست</w:t>
      </w:r>
      <w:r>
        <w:rPr>
          <w:rFonts w:eastAsia="IRNazanin" w:cs="IRNazanin"/>
          <w:color w:val="111111"/>
          <w:sz w:val="28"/>
          <w:szCs w:val="28"/>
          <w:rtl w:val="true"/>
          <w:lang w:bidi="fa-IR"/>
        </w:rPr>
        <w:t>.</w:t>
      </w:r>
    </w:p>
    <w:p>
      <w:pPr>
        <w:pStyle w:val="Heading5"/>
        <w:numPr>
          <w:ilvl w:val="4"/>
          <w:numId w:val="1"/>
        </w:numPr>
        <w:rPr/>
      </w:pPr>
      <w:bookmarkStart w:id="852" w:name="__RefHeading___Toc79234_3244359995"/>
      <w:bookmarkStart w:id="853" w:name="_Toc325"/>
      <w:bookmarkEnd w:id="852"/>
      <w:r>
        <w:rPr>
          <w:rtl w:val="true"/>
        </w:rPr>
        <w:t xml:space="preserve">بررسی فرع دوم </w:t>
      </w:r>
      <w:r>
        <w:rPr>
          <w:rtl w:val="true"/>
        </w:rPr>
        <w:t>(</w:t>
      </w:r>
      <w:r>
        <w:rPr>
          <w:rtl w:val="true"/>
        </w:rPr>
        <w:t>اجرای حدّ در ممالک غیر اسلامی</w:t>
      </w:r>
      <w:r>
        <w:rPr>
          <w:rtl w:val="true"/>
        </w:rPr>
        <w:t>)</w:t>
      </w:r>
      <w:bookmarkEnd w:id="853"/>
    </w:p>
    <w:p>
      <w:pPr>
        <w:pStyle w:val="BookText"/>
        <w:rPr/>
      </w:pPr>
      <w:r>
        <w:rPr>
          <w:rFonts w:ascii="IRNazanin" w:hAnsi="IRNazanin" w:eastAsia="IRNazanin"/>
          <w:color w:val="111111"/>
          <w:sz w:val="28"/>
          <w:sz w:val="28"/>
          <w:szCs w:val="28"/>
          <w:rtl w:val="true"/>
          <w:lang w:bidi="fa-IR"/>
        </w:rPr>
        <w:t>حدّ اسلامی باید در کشور مسلمان اجرا گردد؛ و در ممالک کفر اجرای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فتوا به اطلاقش صحیح است و یا در صورتی که ترس پناهندگیِ محدود داده شود، جایز نیست؟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اطلاق عبارت تحریر الوسیله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یقام فی أرض العدوّ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یقام فی أرض العدوّ مخافة الالتحاق</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یعنی هرگاه ترسیده شود اجرای حدّ سبب ملحق شدن فرد به اردوی دشمن می‌شود، نباید</w:t>
      </w:r>
      <w:bookmarkStart w:id="854" w:name="pg16919_227401"/>
    </w:p>
    <w:p>
      <w:pPr>
        <w:pStyle w:val="BookText"/>
        <w:rPr/>
      </w:pPr>
      <w:bookmarkEnd w:id="854"/>
      <w:r>
        <w:rPr>
          <w:rFonts w:ascii="IRNazanin" w:hAnsi="IRNazanin" w:eastAsia="IRNazanin"/>
          <w:color w:val="111111"/>
          <w:sz w:val="28"/>
          <w:sz w:val="28"/>
          <w:szCs w:val="28"/>
          <w:rtl w:val="true"/>
          <w:lang w:bidi="fa-IR"/>
        </w:rPr>
        <w:t>حدّ اقامه شود؛ امّا اگر اطمینان باشد که اجرای حدّ در سرزمین دشمن موجب پناهندگی مجرم نمی‌شود، به چه دلیل حدّ جایز نباشد؟</w:t>
      </w:r>
    </w:p>
    <w:p>
      <w:pPr>
        <w:pStyle w:val="BookText"/>
        <w:rPr/>
      </w:pPr>
      <w:r>
        <w:rPr>
          <w:rFonts w:ascii="IRNazanin" w:hAnsi="IRNazanin" w:eastAsia="IRNazanin"/>
          <w:color w:val="111111"/>
          <w:sz w:val="28"/>
          <w:sz w:val="28"/>
          <w:szCs w:val="28"/>
          <w:rtl w:val="true"/>
          <w:lang w:bidi="fa-IR"/>
        </w:rPr>
        <w:t>دلیل بر تقیید روایات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ابن فضّال، عن یونس بن یعقوب،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علی أحد حدّ بأرض العدوّ</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در سرزمین دشمن حدّ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مطلق و بدون 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الحسین بن سعید، عن محمّد بن یحیی، عن غیاث بن إبراهیم، عن جعفر، عن أبیه،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اقیم علی رجل حدّاً بأرض العدوّ حتّی یخرج منها مخافة أن تحمله الحمیُّ فیلحق بالعدوّ</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در سرزمین دشمن است، حدّ اقامه نمی‌کنم تا از آن‌جا خارج شود؛ زیرا، ممکن است غیرت و عصبیّت، او را وادار کند که به دشمن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رایج این عصر، تابعیّت گرفته و به آن‌ها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مطلق و روایت دوم مقیّد است؛ و ظاهر صناعت اصولی، حمل مطلق بر مقیّد است؛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حدّ در سرزمین دشمن مقیّد به ترس از ملحق شدن به آنان است؛ والّا اگر ترسی نباشد، حدّ جاری می‌شود</w:t>
      </w:r>
      <w:r>
        <w:rPr>
          <w:rFonts w:eastAsia="IRNazanin" w:cs="IRNazanin"/>
          <w:color w:val="111111"/>
          <w:sz w:val="28"/>
          <w:szCs w:val="28"/>
          <w:rtl w:val="true"/>
          <w:lang w:bidi="fa-IR"/>
        </w:rPr>
        <w:t>.</w:t>
      </w:r>
    </w:p>
    <w:p>
      <w:pPr>
        <w:pStyle w:val="Heading5"/>
        <w:numPr>
          <w:ilvl w:val="4"/>
          <w:numId w:val="1"/>
        </w:numPr>
        <w:rPr/>
      </w:pPr>
      <w:bookmarkStart w:id="855" w:name="__RefHeading___Toc79236_3244359995"/>
      <w:bookmarkStart w:id="856" w:name="_Toc326"/>
      <w:bookmarkEnd w:id="855"/>
      <w:r>
        <w:rPr>
          <w:rtl w:val="true"/>
        </w:rPr>
        <w:t xml:space="preserve">بررسی فرع سوم و چهارم </w:t>
      </w:r>
      <w:r>
        <w:rPr>
          <w:rtl w:val="true"/>
        </w:rPr>
        <w:t>(</w:t>
      </w:r>
      <w:r>
        <w:rPr>
          <w:rtl w:val="true"/>
        </w:rPr>
        <w:t>اقامه‌ی حدّ بر پناهنده‌ی به حرم خدا</w:t>
      </w:r>
      <w:r>
        <w:rPr>
          <w:rtl w:val="true"/>
        </w:rPr>
        <w:t>)</w:t>
      </w:r>
      <w:bookmarkEnd w:id="85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در خارج از حرم خدا موجب حدّی را انجام دهد و محکوم گردد، لیکن هنگامی که خواستند بر او اقامه‌ی حدّ کنند، فرار کرده و به حرم خداوند پناهنده شده، از</w:t>
      </w:r>
    </w:p>
    <w:p>
      <w:pPr>
        <w:pStyle w:val="BookText"/>
        <w:rPr/>
      </w:pPr>
      <w:r>
        <w:rPr>
          <w:rFonts w:ascii="Amiri" w:hAnsi="Amiri" w:eastAsia="Amiri" w:cs="Amiri"/>
          <w:color w:val="111111"/>
          <w:sz w:val="28"/>
          <w:sz w:val="28"/>
          <w:szCs w:val="28"/>
          <w:rtl w:val="true"/>
          <w:lang w:bidi="ar-SA"/>
        </w:rPr>
        <w:t xml:space="preserve">آن‌جا که وَ مَنْ دَخَلَهُ کانَ آمِناً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داخل حرم شود، از هر عقوبتی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 او حدّ جاری کرد؛ بلکه باید از نظر غذا و آشامیدنی او را در تنگنا قرار دهند و به اندازه‌ی قوت لایموت به او داده تا این زجر و ناراحتی سبب خروج او از حرم گردد؛ و آن‌گاه حدّ را بر وی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فردی در حرم مرتکب گناه موجب حدّ شد، می‌توان بر او حدّ اقامه کرد؛ زیرا، کسی که احترام حرم را رعایت نکرده و به این مسأله معتقد نبوده، مراعات او لازم نبوده و بر او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هر دو فرع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ابن أبی عمیر، عن هشام بن الحکم، عن أبی عبداللّه علیه السلام فی الرجل یجنی فی غیر الحرم ثمّ یلجأ إلی الحرم،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تقام علیه الحدّ، ولا یطعم ولا یسقی، ولا یکلّم، ولا یبایع، فإنّه إذا فعل به ذلک یوشک أن یخرج فیقام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جنی فی الحرم جنایة اقیم علیه الحدّ فی الحرم، فإنّه لم یر للحرم حرمة</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صحیحه‌ی به تمام معنا، امام صادق علیه السلام درباره‌ی مردی که در غیر حرم جنایت کرده و به حرم پناه می‌آورد،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در حرم جاری نمی‌شود؛ بلکه به او طعام و شراب نمی‌دهند و با او سخن گفته نمی‌شود و معامله‌ای نیز با وی انجام نمی‌دهند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روایت این است که هیچ غذا و نوشیدنی به وی داده نشود؛ امّا به لحاظ تعلیل ذیل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کنند، امید است از حرم خارج شود و بتوان بر او حدّ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مراد سخت‌گیری در آب و غذا است، نه این که هیچ طعام و شرابی به او ندهند؛ زیرا، در این صورت می‌میرد و موضوعی برای خروج از حرم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جنایتش در داخل حرم بوده، در همان‌جا بر او حدّ می‌زنند؛ زیرا، این فرد احترام حرم را رعایت نکرده است</w:t>
      </w:r>
      <w:r>
        <w:rPr>
          <w:rFonts w:eastAsia="IRNazanin" w:cs="IRNazanin"/>
          <w:color w:val="111111"/>
          <w:sz w:val="28"/>
          <w:szCs w:val="28"/>
          <w:rtl w:val="true"/>
          <w:lang w:bidi="fa-IR"/>
        </w:rPr>
        <w:t>.</w:t>
      </w:r>
      <w:bookmarkStart w:id="857" w:name="pg16919_227405"/>
    </w:p>
    <w:p>
      <w:pPr>
        <w:pStyle w:val="Heading5"/>
        <w:numPr>
          <w:ilvl w:val="4"/>
          <w:numId w:val="1"/>
        </w:numPr>
        <w:rPr/>
      </w:pPr>
      <w:bookmarkStart w:id="858" w:name="__RefHeading___Toc79238_3244359995"/>
      <w:bookmarkStart w:id="859" w:name="_Toc327"/>
      <w:bookmarkEnd w:id="857"/>
      <w:bookmarkEnd w:id="858"/>
      <w:r>
        <w:rPr>
          <w:rtl w:val="true"/>
        </w:rPr>
        <w:t>مقصود از حرم</w:t>
      </w:r>
      <w:bookmarkEnd w:id="859"/>
    </w:p>
    <w:p>
      <w:pPr>
        <w:pStyle w:val="BookText"/>
        <w:rPr/>
      </w:pPr>
      <w:r>
        <w:rPr>
          <w:rFonts w:ascii="IRNazanin" w:hAnsi="IRNazanin" w:eastAsia="IRNazanin"/>
          <w:color w:val="111111"/>
          <w:sz w:val="28"/>
          <w:sz w:val="28"/>
          <w:szCs w:val="28"/>
          <w:rtl w:val="true"/>
          <w:lang w:bidi="fa-IR"/>
        </w:rPr>
        <w:t>آیا مراد از حرم همان حرم امن الهی در سرزمین مکّه است یا شامل حرم رسول خدا و ائمّه‌ی اطهار علیهما السلام نیز می‌شود؟</w:t>
      </w:r>
    </w:p>
    <w:p>
      <w:pPr>
        <w:pStyle w:val="BookText"/>
        <w:rPr/>
      </w:pPr>
      <w:r>
        <w:rPr>
          <w:rFonts w:ascii="IRNazanin" w:hAnsi="IRNazanin" w:eastAsia="IRNazanin"/>
          <w:color w:val="111111"/>
          <w:sz w:val="28"/>
          <w:sz w:val="28"/>
          <w:szCs w:val="28"/>
          <w:rtl w:val="true"/>
          <w:lang w:bidi="fa-IR"/>
        </w:rPr>
        <w:t>شیخ طوسی رحمه الله در نهایه</w:t>
      </w:r>
      <w:r>
        <w:rPr>
          <w:rStyle w:val="FootnoteAnchor"/>
          <w:rtl w:val="true"/>
        </w:rPr>
        <w:footnoteReference w:id="865"/>
      </w:r>
      <w:r>
        <w:rPr>
          <w:rFonts w:ascii="IRNazanin" w:hAnsi="IRNazanin" w:eastAsia="IRNazanin"/>
          <w:color w:val="111111"/>
          <w:sz w:val="28"/>
          <w:sz w:val="28"/>
          <w:szCs w:val="28"/>
          <w:rtl w:val="true"/>
          <w:lang w:bidi="fa-IR"/>
        </w:rPr>
        <w:t>و تهذیب،</w:t>
      </w:r>
      <w:r>
        <w:rPr>
          <w:rStyle w:val="FootnoteAnchor"/>
          <w:rtl w:val="true"/>
        </w:rPr>
        <w:footnoteReference w:id="866"/>
      </w:r>
      <w:r>
        <w:rPr>
          <w:rFonts w:ascii="IRNazanin" w:hAnsi="IRNazanin" w:eastAsia="IRNazanin"/>
          <w:color w:val="111111"/>
          <w:sz w:val="28"/>
          <w:sz w:val="28"/>
          <w:szCs w:val="28"/>
          <w:rtl w:val="true"/>
          <w:lang w:bidi="fa-IR"/>
        </w:rPr>
        <w:t>حرم پیامبر و امامان علیهم السلام را نیز به حرم الهی ملحق کرده است؛ و ابن حمزه رحمه الله</w:t>
      </w:r>
      <w:r>
        <w:rPr>
          <w:rStyle w:val="FootnoteAnchor"/>
          <w:rtl w:val="true"/>
        </w:rPr>
        <w:footnoteReference w:id="867"/>
      </w:r>
      <w:r>
        <w:rPr>
          <w:rFonts w:ascii="IRNazanin" w:hAnsi="IRNazanin" w:eastAsia="IRNazanin"/>
          <w:color w:val="111111"/>
          <w:sz w:val="28"/>
          <w:sz w:val="28"/>
          <w:szCs w:val="28"/>
          <w:rtl w:val="true"/>
          <w:lang w:bidi="fa-IR"/>
        </w:rPr>
        <w:t>فقط به الحاق حرم نبی صلی الله علیه و آله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تعمیمی صحیح است؟ تنها دلیل ما در این مسأله، روایت هشام است که ظهور حرم در همان حرم معهود و متعارف، یعنی حرم کعبه و اطراف آن است؛ و دلیلی نیز بر تعمیم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 سابق مرسوم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 را توسعه داده بودند؛ به گونه‌ای که توسعه‌ی آن به امام‌زاده‌ها هم رسیده بود و هر فردی جنایت می‌کرد، خود را به صحن حضرت معصومه علیها السلام رسانده و بست می‌نشست و کسی حقّ نداشت متعرّض او شود، تا چه برسد به حرم امامان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مدرک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حتّی نسبت به الحاق حرم نبیّ اکرم صلی الله علیه و آله قصور دارد تا چه رسد به حرم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روایت مرسله‌ای را در من لایحضره الفقیه آورده که مفاد آن که بیرون آوردن جانی از حرم و گردن زدن او است؛ لیکن روایت مرسله قابل تعارض با صحیحه نیست به خصوص، ملاحظه‌ی تعلیل روایت صحیحه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الإسلام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رجلاً دخل الکعبة فبال فیها معانداً اخرج من الکعبة ومن الحرم، وضربت عنقه</w:t>
      </w:r>
      <w:r>
        <w:rPr>
          <w:rFonts w:eastAsia="IRNazanin" w:cs="IRNazanin"/>
          <w:color w:val="111111"/>
          <w:sz w:val="28"/>
          <w:szCs w:val="28"/>
          <w:rtl w:val="true"/>
          <w:lang w:bidi="fa-IR"/>
        </w:rPr>
        <w:t>.</w:t>
      </w:r>
      <w:r>
        <w:rPr>
          <w:rStyle w:val="FootnoteAnchor"/>
          <w:rtl w:val="true"/>
        </w:rPr>
        <w:footnoteReference w:id="868"/>
      </w:r>
      <w:bookmarkStart w:id="860" w:name="pg16919_227406"/>
    </w:p>
    <w:p>
      <w:pPr>
        <w:pStyle w:val="Heading3"/>
        <w:numPr>
          <w:ilvl w:val="2"/>
          <w:numId w:val="1"/>
        </w:numPr>
        <w:rPr/>
      </w:pPr>
      <w:bookmarkStart w:id="861" w:name="__RefHeading___Toc79240_3244359995"/>
      <w:bookmarkStart w:id="862" w:name="_Toc328"/>
      <w:bookmarkEnd w:id="860"/>
      <w:bookmarkEnd w:id="861"/>
      <w:r>
        <w:rPr>
          <w:rtl w:val="true"/>
        </w:rPr>
        <w:t>فصل چهارم</w:t>
      </w:r>
      <w:r>
        <w:rPr>
          <w:rtl w:val="true"/>
        </w:rPr>
        <w:t xml:space="preserve">: </w:t>
      </w:r>
      <w:r>
        <w:rPr>
          <w:rtl w:val="true"/>
        </w:rPr>
        <w:t>کیفیت اجرای حدّ</w:t>
      </w:r>
      <w:bookmarkEnd w:id="86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3" w:name="__RefHeading___Toc79242_3244359995"/>
      <w:bookmarkStart w:id="864" w:name="_Toc329"/>
      <w:bookmarkEnd w:id="863"/>
      <w:r>
        <w:rPr>
          <w:rtl w:val="true"/>
        </w:rPr>
        <w:t>اشاره</w:t>
      </w:r>
      <w:bookmarkStart w:id="865" w:name="pg16919_227410"/>
      <w:bookmarkEnd w:id="864"/>
    </w:p>
    <w:p>
      <w:pPr>
        <w:pStyle w:val="BookText"/>
        <w:rPr/>
      </w:pPr>
      <w:bookmarkEnd w:id="8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کیفیّة ایقاع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علی شخص حدود بدأ بما لا یفوت معه الآخر، فلو اجتمع الجلد والرجم علیه جلد أوّلاً ثمّ رجم، ولو کان علیه حدّ البکر والمحصن فالظّاهر وجوب کون الرجم بعد التغریب علی اشکال ولا یجب توقّع برء جلده فی ما اجتمع الجلد والرجم، بل الأحوط عدم التأخیر</w:t>
      </w:r>
      <w:r>
        <w:rPr>
          <w:rFonts w:eastAsia="IRNazanin" w:cs="IRNazanin"/>
          <w:color w:val="111111"/>
          <w:sz w:val="28"/>
          <w:szCs w:val="28"/>
          <w:rtl w:val="true"/>
          <w:lang w:bidi="fa-IR"/>
        </w:rPr>
        <w:t>.</w:t>
      </w:r>
    </w:p>
    <w:p>
      <w:pPr>
        <w:pStyle w:val="Heading4"/>
        <w:numPr>
          <w:ilvl w:val="3"/>
          <w:numId w:val="1"/>
        </w:numPr>
        <w:rPr/>
      </w:pPr>
      <w:bookmarkStart w:id="866" w:name="__RefHeading___Toc79244_3244359995"/>
      <w:bookmarkStart w:id="867" w:name="_Toc330"/>
      <w:bookmarkEnd w:id="866"/>
      <w:r>
        <w:rPr>
          <w:rtl w:val="true"/>
        </w:rPr>
        <w:t>کیفیّت اجرای حدّ</w:t>
      </w:r>
      <w:bookmarkEnd w:id="867"/>
    </w:p>
    <w:p>
      <w:pPr>
        <w:pStyle w:val="Heading5"/>
        <w:numPr>
          <w:ilvl w:val="4"/>
          <w:numId w:val="1"/>
        </w:numPr>
        <w:rPr/>
      </w:pPr>
      <w:bookmarkStart w:id="868" w:name="__RefHeading___Toc79246_3244359995"/>
      <w:bookmarkStart w:id="869" w:name="_Toc331"/>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در این مسأله چند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بر مجرمی باید چند حدّ اقامه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موجبِ حدّ، واحد باشد، مانند زنای شیخ و شیخه که سبب رجم و تازیانه است، ویا موجب متعدّد داشته باشد، مانند این‌که مردی قبل از تحقّق احصان زنا کند و پس از ازدواج و دخول به اهل نیز مرتکب زنا شود، مقتضای زنای اولی فقط تازیانه و مقتضای زنای دوّمی فقط رجم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اجرا، باید به حدّی ابتدا شود که زمینه برای اجرای حدّ دیگر محفوظ بماند؛ در مثال مذکور، اوّل به او تازیانه زده می‌شود و سپس رجم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این کار انجام شود، با رجم او، موضوعی برای تازیانه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فردی در حال بکر بودن زنا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 تازیانه و حلق و تبعید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دخول به همسر و تحقّق احصان نیز مرتکب زنا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 رجم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تأخیر رجم تا پس از ایّام تبعید اشکال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حدّ فردی تازیانه و رجم باشد، پس از اجرای تازیانه لازم نیست به انتظار بهبودی پوست بدنش بنشینیم، بلکه احتیاط در عدم تأخیر رجم است</w:t>
      </w:r>
      <w:r>
        <w:rPr>
          <w:rFonts w:eastAsia="IRNazanin" w:cs="IRNazanin"/>
          <w:color w:val="111111"/>
          <w:sz w:val="28"/>
          <w:szCs w:val="28"/>
          <w:rtl w:val="true"/>
          <w:lang w:bidi="fa-IR"/>
        </w:rPr>
        <w:t>.</w:t>
      </w:r>
    </w:p>
    <w:p>
      <w:pPr>
        <w:pStyle w:val="Heading5"/>
        <w:numPr>
          <w:ilvl w:val="4"/>
          <w:numId w:val="1"/>
        </w:numPr>
        <w:rPr/>
      </w:pPr>
      <w:bookmarkStart w:id="870" w:name="__RefHeading___Toc79248_3244359995"/>
      <w:bookmarkStart w:id="871" w:name="_Toc332"/>
      <w:bookmarkEnd w:id="870"/>
      <w:r>
        <w:rPr>
          <w:rtl w:val="true"/>
        </w:rPr>
        <w:t>فرع اوّل</w:t>
      </w:r>
      <w:r>
        <w:rPr>
          <w:rtl w:val="true"/>
        </w:rPr>
        <w:t xml:space="preserve">: </w:t>
      </w:r>
      <w:r>
        <w:rPr>
          <w:rtl w:val="true"/>
        </w:rPr>
        <w:t>اجتماع حدود</w:t>
      </w:r>
      <w:bookmarkEnd w:id="871"/>
    </w:p>
    <w:p>
      <w:pPr>
        <w:pStyle w:val="BookText"/>
        <w:rPr/>
      </w:pPr>
      <w:r>
        <w:rPr>
          <w:rFonts w:ascii="IRNazanin" w:hAnsi="IRNazanin" w:eastAsia="IRNazanin"/>
          <w:color w:val="111111"/>
          <w:sz w:val="28"/>
          <w:sz w:val="28"/>
          <w:szCs w:val="28"/>
          <w:rtl w:val="true"/>
          <w:lang w:bidi="fa-IR"/>
        </w:rPr>
        <w:t>در صورت اجتماع حدود باید اجرای حدّی را مقدّم بداریم که زمینه برای اجرای حدود دیگر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این مطلب عبارتند از</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مسأله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رجم و جلد، لازمه‌ی مقدّم کردن لغویّت جعل تازیانه است، در صورتی که سبب واحد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شیخ و شیخه؛ و اگر سبب متعدّد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فردی قبل از تأهّل و بعد از آن، در این حالت، گرفتار دو دلیل هستیم و امر دایر است بین آن که به یکی عمل شود و دیگری بدون موضوع بماند و یا به هر دو دلیل عمل شود؛ مقتضای قاعده جمع بین دو سبب است؛ یعنی اوّل تازیانه زده شود و سپس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وضوحِ دلیل مسأله، نیازمند دلیل دیگری نیستیم؛ هر چند روایات مستفیضه‌ای در این باب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علیّ بن رئاب،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اجتمعت علیه حدود فیها القتل یبدأ بالحدود الّتی هی دون القتل ثمّ یقتل بعد ذلک</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حدود متعدّد بر او اجتماع کند، و یکی از آن‌ها قتل باشد، ابتدا حدود کمتر از قتل جاری شده و سپس او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آخرین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روایت، روایت هشتم این باب است که علی بن رئاب از زراره نقل کرده است؛ که بر اساس مبنای ما، یک روایت است که دو راوی آن را از علی بن رئاب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الحسین بن سعید، عن ابن محبوب، عن علیّ بن رئاب،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اجتمعت علیه حدود فیها القتل فإنّه یبدأ بالحدود الّتی دون القتل ثمَّ یقتل</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أبی عمیر، عن حمّاد بن عثمان، عن أبی عبداللّه علیه السلام فی الرّجل یکون علیه الحدود، منها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علیه الحدود، ثُمَّ یقتل</w:t>
      </w:r>
      <w:r>
        <w:rPr>
          <w:rFonts w:eastAsia="IRNazanin" w:cs="IRNazanin"/>
          <w:color w:val="111111"/>
          <w:sz w:val="28"/>
          <w:szCs w:val="28"/>
          <w:rtl w:val="true"/>
          <w:lang w:bidi="fa-IR"/>
        </w:rPr>
        <w:t>.</w:t>
      </w:r>
      <w:r>
        <w:rPr>
          <w:rStyle w:val="FootnoteAnchor"/>
          <w:rtl w:val="true"/>
        </w:rPr>
        <w:footnoteReference w:id="87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صحیح و حسن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w:t>
      </w:r>
    </w:p>
    <w:p>
      <w:pPr>
        <w:pStyle w:val="BookText"/>
        <w:rPr/>
      </w:pPr>
      <w:r>
        <w:rPr>
          <w:rFonts w:ascii="IRNazanin" w:hAnsi="IRNazanin" w:eastAsia="IRNazanin"/>
          <w:color w:val="111111"/>
          <w:sz w:val="28"/>
          <w:sz w:val="28"/>
          <w:szCs w:val="28"/>
          <w:rtl w:val="true"/>
          <w:lang w:bidi="fa-IR"/>
        </w:rPr>
        <w:t>مردی که حدود متعدّد از جمله قتل به عهده‌ی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حدود دیگر را اقامه کرده، سپس او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أبیه، عن ابن محبوب، عن عبداللّه بن سنان وابن بکیر جمیعاً، عن أبی عبداللّه علیه السلام فی رجل اجتمعت علیه حدود فیها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بالحدود الّتی هی دون القتل ویقتل بعد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بوده، و دلالتش مانند روایات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الحسن بن علیّ بن فضّال، عن ابن بکیر، عن عبید بن زرارة، عن أبی عبداللّه علیه السلام فی الرجل یؤخذ وعلیه الحدود أحدها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 السلام یقیم علیه الحدّ ثمّ یقتله، ولا تخالف علیّاً</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موثّقه، امام صادق علیه السلام درباره‌ی مردی که دستگیر شده و حدود متعدّد، که یکی از آن‌ها قتل است، به عهده‌ی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حدّ را بر او جاری ساخته، سپس او را می‌کشت؛ با علی مخالفت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می‌دهیم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به صورت متکلّم مع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ولی در نسخه‌ها به صورت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این یک حکم الزامی است، و نباید با آن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صحیحه‌ی محمّد بن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العلاء بن رزین، عن محمّد بن مسلم، عن أبی عبداللّه علیه السلام فی الرجل یؤخذ وعلیه حدود أحدّها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یقیم علیه الحدود، ثمّ یقتله، ولا تخالف علیّاً علیه السلام</w:t>
      </w:r>
      <w:r>
        <w:rPr>
          <w:rFonts w:eastAsia="IRNazanin" w:cs="IRNazanin"/>
          <w:color w:val="111111"/>
          <w:sz w:val="28"/>
          <w:szCs w:val="28"/>
          <w:rtl w:val="true"/>
          <w:lang w:bidi="fa-IR"/>
        </w:rPr>
        <w:t>.</w:t>
      </w:r>
      <w:r>
        <w:rPr>
          <w:rStyle w:val="FootnoteAnchor"/>
          <w:rtl w:val="true"/>
        </w:rPr>
        <w:footnoteReference w:id="87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عدّة من أصحابنا، عن أحمد بن محمّد بن عیسی، عن الحسین بن</w:t>
      </w:r>
      <w:bookmarkStart w:id="872" w:name="pg16919_227416"/>
    </w:p>
    <w:p>
      <w:pPr>
        <w:pStyle w:val="BookText"/>
        <w:rPr/>
      </w:pPr>
      <w:bookmarkEnd w:id="872"/>
      <w:r>
        <w:rPr>
          <w:rFonts w:ascii="IRNazanin" w:hAnsi="IRNazanin" w:eastAsia="IRNazanin"/>
          <w:color w:val="111111"/>
          <w:sz w:val="28"/>
          <w:sz w:val="28"/>
          <w:szCs w:val="28"/>
          <w:rtl w:val="true"/>
          <w:lang w:bidi="fa-IR"/>
        </w:rPr>
        <w:t>سعید، عن أخیه الحسن، عن زرعة، عن سماعة،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من قتل و شرب خمراً وسرق، فأقام علیه الحدّ، فجلده لشربه الخمر وقطع یده لسرقته وقتله بقتله</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درباره‌ی مردی که مرتکب قتل و شراب‌خواری و سرقت شده بود، به این صورت قضاوت کرد که ابتدا به خاطر شراب‌خواری به او تازیانه زد، سپس به خاطر دزدی دستش را برید، و سرانجام او را قصاص کرده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مجموعه‌ی این روایات بر قاعده‌ای که در ابتدای فرع گفتیم، دلالت دارد</w:t>
      </w:r>
      <w:r>
        <w:rPr>
          <w:rFonts w:eastAsia="IRNazanin" w:cs="IRNazanin"/>
          <w:color w:val="111111"/>
          <w:sz w:val="28"/>
          <w:szCs w:val="28"/>
          <w:rtl w:val="true"/>
          <w:lang w:bidi="fa-IR"/>
        </w:rPr>
        <w:t>.</w:t>
      </w:r>
    </w:p>
    <w:p>
      <w:pPr>
        <w:pStyle w:val="Heading5"/>
        <w:numPr>
          <w:ilvl w:val="4"/>
          <w:numId w:val="1"/>
        </w:numPr>
        <w:rPr/>
      </w:pPr>
      <w:bookmarkStart w:id="873" w:name="__RefHeading___Toc79250_3244359995"/>
      <w:bookmarkStart w:id="874" w:name="_Toc333"/>
      <w:bookmarkEnd w:id="873"/>
      <w:r>
        <w:rPr>
          <w:rtl w:val="true"/>
        </w:rPr>
        <w:t>فرع دوم</w:t>
      </w:r>
      <w:r>
        <w:rPr>
          <w:rtl w:val="true"/>
        </w:rPr>
        <w:t xml:space="preserve">: </w:t>
      </w:r>
      <w:r>
        <w:rPr>
          <w:rtl w:val="true"/>
        </w:rPr>
        <w:t>کیفیّت اجرای حدّ بکر و محصن بر یک نفر</w:t>
      </w:r>
      <w:bookmarkEnd w:id="874"/>
    </w:p>
    <w:p>
      <w:pPr>
        <w:pStyle w:val="Heading6"/>
        <w:numPr>
          <w:ilvl w:val="5"/>
          <w:numId w:val="1"/>
        </w:numPr>
        <w:rPr/>
      </w:pPr>
      <w:bookmarkStart w:id="875" w:name="__RefHeading___Toc79252_3244359995"/>
      <w:bookmarkStart w:id="876" w:name="_Toc334"/>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اگر جوان متأهّلی، قبل از دخول به همسرش مرتکب زنا شد، حدّ او تازیانه و تراشیدن سر و تبعید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فرد پس از دخول به اهل، بار دیگر زنا کرد، حدّش،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 را چگونه اجرا می‌کنند؟</w:t>
      </w:r>
    </w:p>
    <w:p>
      <w:pPr>
        <w:pStyle w:val="BookText"/>
        <w:rPr/>
      </w:pPr>
      <w:r>
        <w:rPr>
          <w:rFonts w:ascii="IRNazanin" w:hAnsi="IRNazanin" w:eastAsia="IRNazanin"/>
          <w:color w:val="111111"/>
          <w:sz w:val="28"/>
          <w:sz w:val="28"/>
          <w:szCs w:val="28"/>
          <w:rtl w:val="true"/>
          <w:lang w:bidi="fa-IR"/>
        </w:rPr>
        <w:t>مقتضای قاعده‌ی اوّلیه و روایات باب این است که وی را تازیانه زده، سرش را تراشیده و یک سال به تبعید بفرستند، و پس از اتمام تبعید،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تحریر الوسیله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وجوب کون الرجم بعد التغریب 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واجب است رجم بعد از تبعید باشد، آن‌گاه در مسأله تردید می‌کنند؛ یعنی روشن نیست آن قاعده بر این مورد هم تطابق داشته باشد؛ سپس در عدم تأخیر احتیاط می‌کند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حدّ مریض و صاحب قروح و مستحاضه گفتیم نباید رجم را به تأخیر انداخت، و در همان حالت او را سنگسار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بود که چنین فردی باید از اجتماع کنار گذاشته شده و اعدام گردد؛ و این مطلب حکمت و فلسفه‌ی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چرا یک سال رجم را تأخیر انداخته تا تبعید و اقامت اجباری محقّق شود؟ در</w:t>
      </w:r>
      <w:bookmarkStart w:id="877" w:name="pg16919_227418"/>
    </w:p>
    <w:p>
      <w:pPr>
        <w:pStyle w:val="BookText"/>
        <w:rPr/>
      </w:pPr>
      <w:bookmarkEnd w:id="877"/>
      <w:r>
        <w:rPr>
          <w:rFonts w:ascii="IRNazanin" w:hAnsi="IRNazanin" w:eastAsia="IRNazanin"/>
          <w:color w:val="111111"/>
          <w:sz w:val="28"/>
          <w:sz w:val="28"/>
          <w:szCs w:val="28"/>
          <w:rtl w:val="true"/>
          <w:lang w:bidi="fa-IR"/>
        </w:rPr>
        <w:t>نتیجه، فردی که گناهش بیشتر از زانی محصن است، عقوبتش کمتر از او باشد؛ چرا که زانی محصن را بی‌درنگ رجم می‌کنند، ولی به این شخص یک سال مهلت می‌دهند تا از لوازم حیات و زندگی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ضابطه‌ی کلّی در روایات باید دست برداریم؟ به نظر می‌رسد می‌توان ادّعای انصراف کرده و بگوییم کلّیتی که در این روایات گفته شده، از این مورد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جهت همین انصراف، امام راحل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فلسفه‌ی رجم و قتل، نابود شدن فرد است؛ و از سوی دیگر، روایاتی داشتیم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نباید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می‌توان مستفاد از روایات مذکور را چنان توسعه دهیم و بگوییم در هر موردی که چند حدّ مطرح بود، باید حدِّ کمتر از قتل را شروع کرده و به قتل پایان دهیم؛ هر چند سبب یک سال تأخیر شود؛ بلکه به احتمال قوی، از این مورد انصراف دارد و به طور قاطع نمی‌توانیم آن ضابطه‌ی کلّی را در این‌جا پیاده کنیم</w:t>
      </w:r>
      <w:r>
        <w:rPr>
          <w:rFonts w:eastAsia="IRNazanin" w:cs="IRNazanin"/>
          <w:color w:val="111111"/>
          <w:sz w:val="28"/>
          <w:szCs w:val="28"/>
          <w:rtl w:val="true"/>
          <w:lang w:bidi="fa-IR"/>
        </w:rPr>
        <w:t>.</w:t>
      </w:r>
    </w:p>
    <w:p>
      <w:pPr>
        <w:pStyle w:val="Heading6"/>
        <w:numPr>
          <w:ilvl w:val="5"/>
          <w:numId w:val="1"/>
        </w:numPr>
        <w:rPr/>
      </w:pPr>
      <w:bookmarkStart w:id="878" w:name="__RefHeading___Toc79254_3244359995"/>
      <w:bookmarkStart w:id="879" w:name="_Toc335"/>
      <w:bookmarkEnd w:id="878"/>
      <w:r>
        <w:rPr>
          <w:rtl w:val="true"/>
        </w:rPr>
        <w:t>کیفیّت تقدیم حدود بر یکدیگر</w:t>
      </w:r>
      <w:bookmarkEnd w:id="879"/>
    </w:p>
    <w:p>
      <w:pPr>
        <w:pStyle w:val="BookText"/>
        <w:rPr/>
      </w:pPr>
      <w:r>
        <w:rPr>
          <w:rFonts w:ascii="IRNazanin" w:hAnsi="IRNazanin" w:eastAsia="IRNazanin"/>
          <w:color w:val="111111"/>
          <w:sz w:val="28"/>
          <w:sz w:val="28"/>
          <w:szCs w:val="28"/>
          <w:rtl w:val="true"/>
          <w:lang w:bidi="fa-IR"/>
        </w:rPr>
        <w:t>آیا ملاکی بر تقدیم و تأخیر در حدود هست؟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حدود، حدّی باشد که در آن جنبه‌ی حقّ الناس مطرح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حدّ قذف که در آن آبروی دیگران را مورد هتک قرار داده و به آنان نسبت زنا داده است و نتوانسته این نسبت را با شهود ثابت کند، ولی در حدّ زنا فقط حقّ خدا مطرح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حقّ‌اللّه مقدّم می‌شود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اگر این وجه قوی هم نباشد، مقتضای احتیاط خواهد بود؛ به ویژه در جایی که احتمال داده می‌شود ضمن اجرای حدّ اوّل، اصلاً زمینه‌ای برای حدّ دوم محفوظ نماند؛ مثل این که فرد ناتوان باشد و در صورت اجرای حدّ قذف، احتمال داده شود که تلف شده و بمیرد</w:t>
      </w:r>
      <w:r>
        <w:rPr>
          <w:rFonts w:eastAsia="IRNazanin" w:cs="IRNazanin"/>
          <w:color w:val="111111"/>
          <w:sz w:val="28"/>
          <w:szCs w:val="28"/>
          <w:rtl w:val="true"/>
          <w:lang w:bidi="fa-IR"/>
        </w:rPr>
        <w:t>.</w:t>
      </w:r>
      <w:bookmarkStart w:id="880" w:name="pg16919_227420"/>
    </w:p>
    <w:p>
      <w:pPr>
        <w:pStyle w:val="BookText"/>
        <w:rPr/>
      </w:pPr>
      <w:bookmarkEnd w:id="880"/>
      <w:r>
        <w:rPr>
          <w:rFonts w:ascii="IRNazanin" w:hAnsi="IRNazanin" w:eastAsia="IRNazanin"/>
          <w:color w:val="111111"/>
          <w:sz w:val="28"/>
          <w:sz w:val="28"/>
          <w:szCs w:val="28"/>
          <w:rtl w:val="true"/>
          <w:lang w:bidi="fa-IR"/>
        </w:rPr>
        <w:t>طرح یک اشکال</w:t>
      </w:r>
    </w:p>
    <w:p>
      <w:pPr>
        <w:pStyle w:val="BookText"/>
        <w:rPr/>
      </w:pPr>
      <w:r>
        <w:rPr>
          <w:rFonts w:ascii="IRNazanin" w:hAnsi="IRNazanin" w:eastAsia="IRNazanin"/>
          <w:color w:val="111111"/>
          <w:sz w:val="28"/>
          <w:sz w:val="28"/>
          <w:szCs w:val="28"/>
          <w:rtl w:val="true"/>
          <w:lang w:bidi="fa-IR"/>
        </w:rPr>
        <w:t>در این مورد روایتی داریم که هیچ فقیهی غیر از شیخ مفید رحمه الله</w:t>
      </w:r>
      <w:r>
        <w:rPr>
          <w:rStyle w:val="FootnoteAnchor"/>
          <w:rtl w:val="true"/>
        </w:rPr>
        <w:footnoteReference w:id="877"/>
      </w:r>
      <w:r>
        <w:rPr>
          <w:rFonts w:ascii="IRNazanin" w:hAnsi="IRNazanin" w:eastAsia="IRNazanin"/>
          <w:color w:val="111111"/>
          <w:sz w:val="28"/>
          <w:sz w:val="28"/>
          <w:szCs w:val="28"/>
          <w:rtl w:val="true"/>
          <w:lang w:bidi="fa-IR"/>
        </w:rPr>
        <w:t>به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الحسن، عن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اخذ وعلیه ثلاثة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والزنا والسرقة، بأیّها یبدأ به من الحدود؟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الخمر، ثمّ السرقة، ثمّ الزنا</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که سه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خمر، حدّ سرقت و حدّ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دستگیر کردند، کدام یک باید اوّل اجرا 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 خمر شروع کرده، سپس حدّ سرقت و بعد از آن حدّ زنا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معیارهایی که دست ما وجود دارد، تطبیق نمی‌کند؛ زیرا، فرقی بین حدّ زنا و حدّ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حدّ زنا، تازیانه نبوده است؛ زیرا، در موارد زیادی، حدّ زنا، قتل و یا رجم است؛ 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را در آخر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تأخیر حدّ سرقت از حدّ خمر نیز به جهت این است که تازیانه را بر تمام بدن باید بزنند و اگر دست این فرد را قطع کنند، انگشتی وجود ندارد که تازیانه بر آن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روایت، مخالفتی با قاعده ندارد؛ هر چند غیر از شیخ مفید رحمه الله کسی به آن فتوا نداده است</w:t>
      </w:r>
      <w:r>
        <w:rPr>
          <w:rFonts w:eastAsia="IRNazanin" w:cs="IRNazanin"/>
          <w:color w:val="111111"/>
          <w:sz w:val="28"/>
          <w:szCs w:val="28"/>
          <w:rtl w:val="true"/>
          <w:lang w:bidi="fa-IR"/>
        </w:rPr>
        <w:t>.</w:t>
      </w:r>
    </w:p>
    <w:p>
      <w:pPr>
        <w:pStyle w:val="Heading5"/>
        <w:numPr>
          <w:ilvl w:val="4"/>
          <w:numId w:val="1"/>
        </w:numPr>
        <w:rPr/>
      </w:pPr>
      <w:bookmarkStart w:id="881" w:name="__RefHeading___Toc79256_3244359995"/>
      <w:bookmarkStart w:id="882" w:name="_Toc336"/>
      <w:bookmarkEnd w:id="881"/>
      <w:r>
        <w:rPr>
          <w:rtl w:val="true"/>
        </w:rPr>
        <w:t>فرع سوم</w:t>
      </w:r>
      <w:r>
        <w:rPr>
          <w:rtl w:val="true"/>
        </w:rPr>
        <w:t xml:space="preserve">: </w:t>
      </w:r>
      <w:r>
        <w:rPr>
          <w:rtl w:val="true"/>
        </w:rPr>
        <w:t>فاصله‌ی بین تازیانه و رجم</w:t>
      </w:r>
      <w:bookmarkEnd w:id="882"/>
    </w:p>
    <w:p>
      <w:pPr>
        <w:pStyle w:val="Heading6"/>
        <w:numPr>
          <w:ilvl w:val="5"/>
          <w:numId w:val="1"/>
        </w:numPr>
        <w:rPr/>
      </w:pPr>
      <w:bookmarkStart w:id="883" w:name="__RefHeading___Toc79258_3244359995"/>
      <w:bookmarkStart w:id="884" w:name="_Toc337"/>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در جایی که باید تازیانه و رجم، هر دو اجرا شود، فاصله‌ی بین این دو چه مقدار است؟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تحریر الوسیله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برای بهبودی پوست صبر کرد و پس از آن، رجم را جاری ساخت؛ بلکه احتیاط در عدم تأخیر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اختلاف</w:t>
      </w:r>
    </w:p>
    <w:p>
      <w:pPr>
        <w:pStyle w:val="BookText"/>
        <w:rPr/>
      </w:pPr>
      <w:r>
        <w:rPr>
          <w:rFonts w:ascii="IRNazanin" w:hAnsi="IRNazanin" w:eastAsia="IRNazanin"/>
          <w:color w:val="111111"/>
          <w:sz w:val="28"/>
          <w:sz w:val="28"/>
          <w:szCs w:val="28"/>
          <w:rtl w:val="true"/>
          <w:lang w:bidi="fa-IR"/>
        </w:rPr>
        <w:t>شدیدی بین فقها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شیخ مفید رحمه الله در مقنعه،</w:t>
      </w:r>
      <w:r>
        <w:rPr>
          <w:rStyle w:val="FootnoteAnchor"/>
          <w:rtl w:val="true"/>
        </w:rPr>
        <w:footnoteReference w:id="879"/>
      </w:r>
      <w:r>
        <w:rPr>
          <w:rFonts w:ascii="IRNazanin" w:hAnsi="IRNazanin" w:eastAsia="IRNazanin"/>
          <w:color w:val="111111"/>
          <w:sz w:val="28"/>
          <w:sz w:val="28"/>
          <w:szCs w:val="28"/>
          <w:rtl w:val="true"/>
          <w:lang w:bidi="fa-IR"/>
        </w:rPr>
        <w:t>شیخ طوسی رحمه الله در نهایة</w:t>
      </w:r>
      <w:r>
        <w:rPr>
          <w:rStyle w:val="FootnoteAnchor"/>
          <w:rtl w:val="true"/>
        </w:rPr>
        <w:footnoteReference w:id="880"/>
      </w:r>
      <w:r>
        <w:rPr>
          <w:rFonts w:ascii="IRNazanin" w:hAnsi="IRNazanin" w:eastAsia="IRNazanin"/>
          <w:color w:val="111111"/>
          <w:sz w:val="28"/>
          <w:sz w:val="28"/>
          <w:szCs w:val="28"/>
          <w:rtl w:val="true"/>
          <w:lang w:bidi="fa-IR"/>
        </w:rPr>
        <w:t>و مرحوم ابن زهره در غنیه</w:t>
      </w:r>
      <w:r>
        <w:rPr>
          <w:rStyle w:val="FootnoteAnchor"/>
          <w:rtl w:val="true"/>
        </w:rPr>
        <w:footnoteReference w:id="88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اندازه‌ای صبر کرد که جای تازیانه‌ها خوب شده و ناراحتی آن برطرف گردد؛ پس از آن، او را سنگسار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اگر بلافاصله پس از تازیانه زدن، شخص سنگسار شود، هدف شارع از حکم به تازیانه تأمین نمی‌شود؛ زیرا، مقصود از اجرای تازیانه فقط ضرب نیست، بلکه ناراحتی و رنج‌هایی مثل تورّم محل ضرب و غیر آن که به دنبال تازیانه وجود دارد نیز مورد قصد است؛ و با سنگسار شدن، فرد از بین رفته و دیگر متحمّل آن ناراحتی‌ها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رحمه الله در سرائر</w:t>
      </w:r>
      <w:r>
        <w:rPr>
          <w:rStyle w:val="FootnoteAnchor"/>
          <w:rtl w:val="true"/>
        </w:rPr>
        <w:footnoteReference w:id="882"/>
      </w:r>
      <w:r>
        <w:rPr>
          <w:rFonts w:ascii="IRNazanin" w:hAnsi="IRNazanin" w:eastAsia="IRNazanin"/>
          <w:color w:val="111111"/>
          <w:sz w:val="28"/>
          <w:sz w:val="28"/>
          <w:szCs w:val="28"/>
          <w:rtl w:val="true"/>
          <w:lang w:bidi="fa-IR"/>
        </w:rPr>
        <w:t>فتوا به استحباب تأخیر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نیز روایتی می‌داند که به نحو ارسال به اصحاب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أنّه لا یرجم حتّی یبرأ جلده، فإذا برأ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سنگسار نمی‌شود تا پوست بدنش خوب شود، آن‌گاه او را رجم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فتوای به استحباب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از سنگسار هلاکت و نابودی شخص است؛ پس، لزومی در تأخیر رجم نیست؛ ولی با وجود چنین روایتی که اصحاب نقل کرده‌اند، برای این‌که به طور کامل با روایت مخالفت نکرده باشیم، با ظهور آن مخالفت کرده، و فتوا به استحباب می‌دهیم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و گروهی از متأخّران نیز به استحباب متمایل شده‌اند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در برابر این فتوا، قول دیگری مبنی بر عدم جواز تأخیر رجم وجود دارد؛ و بیان می‌کند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یتّجه عدم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چاپ شده و صحیح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یتّجه القول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رحمه الله در کتاب مجمع الفائدة والبرهان</w:t>
      </w:r>
      <w:r>
        <w:rPr>
          <w:rStyle w:val="FootnoteAnchor"/>
          <w:rtl w:val="true"/>
        </w:rPr>
        <w:footnoteReference w:id="884"/>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کسی است که به صراحت فتوای به عدم جواز تأخیر داده، و عبارت مرحوم علّامه در ارشاد</w:t>
      </w:r>
      <w:r>
        <w:rPr>
          <w:rStyle w:val="FootnoteAnchor"/>
          <w:rtl w:val="true"/>
        </w:rPr>
        <w:footnoteReference w:id="885"/>
      </w:r>
      <w:r>
        <w:rPr>
          <w:rFonts w:ascii="IRNazanin" w:hAnsi="IRNazanin" w:eastAsia="IRNazanin"/>
          <w:color w:val="111111"/>
          <w:sz w:val="28"/>
          <w:sz w:val="28"/>
          <w:szCs w:val="28"/>
          <w:rtl w:val="true"/>
          <w:lang w:bidi="fa-IR"/>
        </w:rPr>
        <w:t>نیز اشعاری به این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صاحب‌ریاض رحمه الله</w:t>
      </w:r>
      <w:r>
        <w:rPr>
          <w:rStyle w:val="FootnoteAnchor"/>
          <w:rtl w:val="true"/>
        </w:rPr>
        <w:footnoteReference w:id="886"/>
      </w:r>
      <w:r>
        <w:rPr>
          <w:rFonts w:ascii="IRNazanin" w:hAnsi="IRNazanin" w:eastAsia="IRNazanin"/>
          <w:color w:val="111111"/>
          <w:sz w:val="28"/>
          <w:sz w:val="28"/>
          <w:szCs w:val="28"/>
          <w:rtl w:val="true"/>
          <w:lang w:bidi="fa-IR"/>
        </w:rPr>
        <w:t>در ردّ نظر محقّق اردبیلی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رجم امری جایز و مورد اتّفاق است؛ لیکن عدّه‌ای به وجوب تأخیر و عدّه‌ای به استحباب آن معتقدند؛ و فتوا به عدم جواز تأخیر، احداث قول سوّمی در مسأله است؛ بنابراین، این قول به جهت مخالفت با اجماع مرکّب و قول فقها کنار گذاشته می‌شود، و باید یکی از آن دو قول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قول به وجوب تأخیر، دلیل محکمی ندارد، ولی بزرگانی از فقها به آن فتوا داده‌اند؛ بنابراین مقتضای احتیاط، تأخیر در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اتّفاق و اجماع محکمی وجود ندارد که نتوان با آن مخالفت کرد؛ بلکه 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وجود قول دیگری از ابن جنید رحمه الله که با استناد به روایت اهل سنّت در قضیّه شراجه همدانی</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پنجشنبه به او تازیانه زده و در روز جمعه سنگسار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تازیانه و سنگسار یک روز فاصله باشد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با توجّه به این اختلاف‌ها، در تحریر الوسیله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کلام، قول فقهای متقدّم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عدم تأخیر است؛ کلام صاحب ریاض رحمه الله که احتیاط را در تأخیر می‌دید، ردّ کرد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فتوای بزرگانی چون شیخ مفید و طوسی رحمه الله و دیگران، اگر مستند وجوب، همان علّت‌هایی باشد که مرحوم صاحب شرایع فرموده، یعنی تأخیر حدّ به خاطر این است که دردهای ناشی از تازیانه را تحمّل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تأکیداً فی الزجر</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w:t>
      </w:r>
    </w:p>
    <w:p>
      <w:pPr>
        <w:pStyle w:val="BookText"/>
        <w:rPr/>
      </w:pPr>
      <w:r>
        <w:rPr>
          <w:rFonts w:ascii="IRNazanin" w:hAnsi="IRNazanin" w:eastAsia="IRNazanin"/>
          <w:color w:val="111111"/>
          <w:sz w:val="28"/>
          <w:sz w:val="28"/>
          <w:szCs w:val="28"/>
          <w:rtl w:val="true"/>
          <w:lang w:bidi="fa-IR"/>
        </w:rPr>
        <w:t>است که با این مقدار، نمی‌توان وجوب را اثبات کرد؛ زیرا، اگر در این زمان که علم پیشرفت کرده، شخصی به مداوای خود بپردازد و با استعمال دارو درد را از بین ببرد، آیا حاکم شرع وظیفه دارد که از فرد تازیانه خورده مراقبت کند تا مبادا به مداوای خود بپردازد؟ و یا پس از تازیانه او را رها می‌کنند و حاکم شرع وظیفه‌ی دیگری ندارد؛ فرد تازیانه خورده نیز هر عملی انجام می‌دهد به حاکم ربطی ندارد؟ لذا، دلیل محقّق رحمه الله مفید فایده نبوده و نمی‌تواند وجوب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متقدّمان بر این فتوا، روایت سرائر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لا یرجم حتّی یبرأ جلده وإذا برأ رجم</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مرسل است، ولی بزرگان اصحاب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891"/>
      </w:r>
      <w:r>
        <w:rPr>
          <w:rFonts w:ascii="IRNazanin" w:hAnsi="IRNazanin" w:eastAsia="IRNazanin"/>
          <w:color w:val="111111"/>
          <w:sz w:val="28"/>
          <w:sz w:val="28"/>
          <w:szCs w:val="28"/>
          <w:rtl w:val="true"/>
          <w:lang w:bidi="fa-IR"/>
        </w:rPr>
        <w:t>شیخ مفید</w:t>
      </w:r>
      <w:r>
        <w:rPr>
          <w:rStyle w:val="FootnoteAnchor"/>
          <w:rtl w:val="true"/>
        </w:rPr>
        <w:footnoteReference w:id="892"/>
      </w:r>
      <w:r>
        <w:rPr>
          <w:rFonts w:ascii="IRNazanin" w:hAnsi="IRNazanin" w:eastAsia="IRNazanin"/>
          <w:color w:val="111111"/>
          <w:sz w:val="28"/>
          <w:sz w:val="28"/>
          <w:szCs w:val="28"/>
          <w:rtl w:val="true"/>
          <w:lang w:bidi="fa-IR"/>
        </w:rPr>
        <w:t>، ابن زهره</w:t>
      </w:r>
      <w:r>
        <w:rPr>
          <w:rStyle w:val="FootnoteAnchor"/>
          <w:rtl w:val="true"/>
        </w:rPr>
        <w:footnoteReference w:id="893"/>
      </w:r>
      <w:r>
        <w:rPr>
          <w:rFonts w:ascii="IRNazanin" w:hAnsi="IRNazanin" w:eastAsia="IRNazanin"/>
          <w:color w:val="111111"/>
          <w:sz w:val="28"/>
          <w:sz w:val="28"/>
          <w:szCs w:val="28"/>
          <w:rtl w:val="true"/>
          <w:lang w:bidi="fa-IR"/>
        </w:rPr>
        <w:t>، ابن حمزه</w:t>
      </w:r>
      <w:r>
        <w:rPr>
          <w:rStyle w:val="FootnoteAnchor"/>
          <w:rtl w:val="true"/>
        </w:rPr>
        <w:footnoteReference w:id="894"/>
      </w:r>
      <w:r>
        <w:rPr>
          <w:rFonts w:ascii="Amiri" w:hAnsi="Amiri" w:eastAsia="Amiri" w:cs="Amiri"/>
          <w:color w:val="111111"/>
          <w:sz w:val="28"/>
          <w:sz w:val="28"/>
          <w:szCs w:val="28"/>
          <w:rtl w:val="true"/>
          <w:lang w:bidi="ar-SA"/>
        </w:rPr>
        <w:t>، ابن برّاج</w:t>
      </w:r>
      <w:r>
        <w:rPr>
          <w:rStyle w:val="FootnoteAnchor"/>
          <w:rtl w:val="true"/>
        </w:rPr>
        <w:footnoteReference w:id="895"/>
      </w:r>
      <w:r>
        <w:rPr>
          <w:rFonts w:ascii="IRNazanin" w:hAnsi="IRNazanin" w:eastAsia="IRNazanin"/>
          <w:color w:val="111111"/>
          <w:sz w:val="28"/>
          <w:sz w:val="28"/>
          <w:szCs w:val="28"/>
          <w:rtl w:val="true"/>
          <w:lang w:bidi="fa-IR"/>
        </w:rPr>
        <w:t>و ابن سعید رحمهما الله</w:t>
      </w:r>
      <w:r>
        <w:rPr>
          <w:rStyle w:val="FootnoteAnchor"/>
          <w:rtl w:val="true"/>
        </w:rPr>
        <w:footnoteReference w:id="896"/>
      </w:r>
      <w:r>
        <w:rPr>
          <w:rFonts w:ascii="IRNazanin" w:hAnsi="IRNazanin" w:eastAsia="IRNazanin"/>
          <w:color w:val="111111"/>
          <w:sz w:val="28"/>
          <w:sz w:val="28"/>
          <w:szCs w:val="28"/>
          <w:rtl w:val="true"/>
          <w:lang w:bidi="fa-IR"/>
        </w:rPr>
        <w:t>به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قدس سره بارها می‌فرمود و از آن استفاده‌ها می‌برد که تدوین کتاب‌های فقهی قدما تا زمان شیخ طوسی رحمه الله و بعد از زمان او، مانند نهایه و غیر آن، به این صورت بوده که متن روایات را دسته‌بندی کرده و به تناسب کتاب‌های فقهی و ابواب فقهی، همان متن را بدون سند می‌نوشتند و در الفاظ روایات دخل و تصرّف نمی‌کردند، بلکه عین عبارت معصوم علیه السلام را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فقهای امامی سبب طعنه زدن اهل سنّت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اهل اجتهاد و تفریع نیستند و نمی‌توانند به ابتکار فروعات دست بزنند، بلکه عبارت روایات را گردآوری می‌کنند، به همین جهت، اگر فرعی در روایات مطرح نباشد، امامیّه آن را نمی‌آورند؛ و این بیانگر بی‌بهره‌گی آنان از اجتهاد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برای ردّ این طعن، کتاب مبسوط را به عنوان یک کتاب تفریعی و مشتمل بر فروعات بسیار و متعدّد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به این مطلب اشاره می‌کند که ما گرفتار چنین تهمتی از ناحیه‌ی اهل سنّت بودیم، و لذا برای اثبات اجتهاد، این کتاب را نوشتیم که</w:t>
      </w:r>
      <w:bookmarkStart w:id="885" w:name="pg16919_227428"/>
    </w:p>
    <w:p>
      <w:pPr>
        <w:pStyle w:val="BookText"/>
        <w:rPr/>
      </w:pPr>
      <w:bookmarkEnd w:id="885"/>
      <w:r>
        <w:rPr>
          <w:rFonts w:ascii="IRNazanin" w:hAnsi="IRNazanin" w:eastAsia="IRNazanin"/>
          <w:color w:val="111111"/>
          <w:sz w:val="28"/>
          <w:sz w:val="28"/>
          <w:szCs w:val="28"/>
          <w:rtl w:val="true"/>
          <w:lang w:bidi="fa-IR"/>
        </w:rPr>
        <w:t>سبک آن با دیگر کتاب‌ها تفاوت دارد؛ و در بردارنده‌ی فروع فراوانی است که درباره‌ی آن‌ها روایتی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مرحوم آیت‌اللّه بروجردی رحمه الله، با توجّه به این نکته، اگر در کتاب‌های فتوایی مانند نهایه، مقنعه و امثال آن مسأله‌ای آمده بود که روایتی در جوامع روایی نداشته باشد، همان متن کتاب را به عنوان روایت تلقّی کرده و به آن اعتماد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مورد بحث، شیخ طوسی رحمه الله در کتاب نهایه و شیخ مفید رحمه الله در مقنعه وجوب تأخیر را متعرّض شده‌اند، و ابن ادریس رحمه الله نیز روایتی به اصحاب نسبت می‌دهد؛ آیا با توجّه به این نکات، شبهه‌ی وجوب، تقویت پیدا نمی‌کند؟ حمل کردن روایت بر استحباب به چه دلیل است؟ و با وجود این که روایتی بر خلاف نداریم، چه وجهی برای حمل بر استحباب وجود دارد که مرحوم ابن ادریس قدس سره مرتکب شده است؟</w:t>
      </w:r>
    </w:p>
    <w:p>
      <w:pPr>
        <w:pStyle w:val="BookText"/>
        <w:rPr/>
      </w:pPr>
      <w:r>
        <w:rPr>
          <w:rFonts w:ascii="IRNazanin" w:hAnsi="IRNazanin" w:eastAsia="IRNazanin"/>
          <w:color w:val="111111"/>
          <w:sz w:val="28"/>
          <w:sz w:val="28"/>
          <w:szCs w:val="28"/>
          <w:rtl w:val="true"/>
          <w:lang w:bidi="fa-IR"/>
        </w:rPr>
        <w:t xml:space="preserve">از دیگر سو، فتوا دادن به نفی وجوبِ تأخیر نیز مشکل است؛ هر چند روایاتی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ولی با خصوصیّاتی که گفتیم، احتیاط در تأخیر اجرای رجم است</w:t>
      </w:r>
      <w:r>
        <w:rPr>
          <w:rFonts w:eastAsia="IRNazanin" w:cs="IRNazanin"/>
          <w:color w:val="111111"/>
          <w:sz w:val="28"/>
          <w:szCs w:val="28"/>
          <w:rtl w:val="true"/>
          <w:lang w:bidi="fa-IR"/>
        </w:rPr>
        <w:t>.</w:t>
      </w:r>
    </w:p>
    <w:p>
      <w:pPr>
        <w:pStyle w:val="Heading6"/>
        <w:numPr>
          <w:ilvl w:val="5"/>
          <w:numId w:val="1"/>
        </w:numPr>
        <w:rPr/>
      </w:pPr>
      <w:bookmarkStart w:id="886" w:name="__RefHeading___Toc79260_3244359995"/>
      <w:bookmarkStart w:id="887" w:name="_Toc338"/>
      <w:bookmarkEnd w:id="886"/>
      <w:r>
        <w:rPr>
          <w:rtl w:val="true"/>
        </w:rPr>
        <w:t>ادلّه‌ی فتوای امام راحل رحمه الله</w:t>
      </w:r>
      <w:bookmarkEnd w:id="887"/>
    </w:p>
    <w:p>
      <w:pPr>
        <w:pStyle w:val="BookText"/>
        <w:rPr/>
      </w:pPr>
      <w:r>
        <w:rPr>
          <w:rFonts w:ascii="IRNazanin" w:hAnsi="IRNazanin" w:eastAsia="IRNazanin"/>
          <w:color w:val="111111"/>
          <w:sz w:val="28"/>
          <w:sz w:val="28"/>
          <w:szCs w:val="28"/>
          <w:rtl w:val="true"/>
          <w:lang w:bidi="fa-IR"/>
        </w:rPr>
        <w:t>به حسب ظاهر، برای وجوبِ تأخیر رجم، دلیلی نداریم؛ روایت مرسله‌ی ابن ادریس رحمه الله اعتباری ندارد؛ و ارسالش مانند مرسلات مرحوم صدوق نیست که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روایاتی بر عدم جوازِ تأخیر در حدود دلالت دارد؛ به ویژه در باب رجم، روایاتی بر رجم مریض و صاحب قروح و زن مستحاضه و امثال آن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هم وجوب تأخیر را نفی کرد و هم مقتضای احتیاط را در عدم تأخیر دانست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شبهه‌ی وجوب، در این مقام قوی است؛ و ما نیز چون مرحوم صاحب ریاض</w:t>
      </w:r>
      <w:r>
        <w:rPr>
          <w:rStyle w:val="FootnoteAnchor"/>
          <w:rtl w:val="true"/>
        </w:rPr>
        <w:footnoteReference w:id="898"/>
      </w:r>
      <w:r>
        <w:rPr>
          <w:rFonts w:ascii="IRNazanin" w:hAnsi="IRNazanin" w:eastAsia="IRNazanin"/>
          <w:color w:val="111111"/>
          <w:sz w:val="28"/>
          <w:sz w:val="28"/>
          <w:szCs w:val="28"/>
          <w:rtl w:val="true"/>
          <w:lang w:bidi="fa-IR"/>
        </w:rPr>
        <w:t>احتیاط را در تأخیر رجم می‌دانیم</w:t>
      </w:r>
      <w:r>
        <w:rPr>
          <w:rFonts w:eastAsia="IRNazanin" w:cs="IRNazanin"/>
          <w:color w:val="111111"/>
          <w:sz w:val="28"/>
          <w:szCs w:val="28"/>
          <w:rtl w:val="true"/>
          <w:lang w:bidi="fa-IR"/>
        </w:rPr>
        <w:t>.</w:t>
      </w:r>
      <w:bookmarkStart w:id="888" w:name="pg16919_227430"/>
    </w:p>
    <w:p>
      <w:pPr>
        <w:pStyle w:val="BookText"/>
        <w:rPr/>
      </w:pPr>
      <w:bookmarkEnd w:id="8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الرجم و حکم الفرار من الحفیرة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یدفن الرجل للرجم إلی حقویه لا أزید، والمرأة إلی وسطها فوق الحقوة تحت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 أو فرّت من الحفیرة ردّا إن ثبت الزّنا بالبیّنة، وإن ثبت بالإقرار فإن فرّا بعد إصابة حجر ولو واحداً لم یردّا، وإلّا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مشهور إن ثبت بالاقرار لا یردّ مطلقاً وهو أحوط، هذا فی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الجلد فالفرار غیر نافع فیه بل یردّ ویحدّ مطلقاً</w:t>
      </w:r>
      <w:r>
        <w:rPr>
          <w:rFonts w:eastAsia="IRNazanin" w:cs="IRNazanin"/>
          <w:color w:val="111111"/>
          <w:sz w:val="28"/>
          <w:szCs w:val="28"/>
          <w:rtl w:val="true"/>
          <w:lang w:bidi="fa-IR"/>
        </w:rPr>
        <w:t>.</w:t>
      </w:r>
    </w:p>
    <w:p>
      <w:pPr>
        <w:pStyle w:val="Heading4"/>
        <w:numPr>
          <w:ilvl w:val="3"/>
          <w:numId w:val="1"/>
        </w:numPr>
        <w:rPr/>
      </w:pPr>
      <w:bookmarkStart w:id="889" w:name="__RefHeading___Toc79262_3244359995"/>
      <w:bookmarkStart w:id="890" w:name="_Toc339"/>
      <w:bookmarkEnd w:id="889"/>
      <w:r>
        <w:rPr>
          <w:rtl w:val="true"/>
        </w:rPr>
        <w:t>کیفیّت رجم و فرار از حدّ</w:t>
      </w:r>
      <w:bookmarkEnd w:id="890"/>
    </w:p>
    <w:p>
      <w:pPr>
        <w:pStyle w:val="Heading5"/>
        <w:numPr>
          <w:ilvl w:val="4"/>
          <w:numId w:val="1"/>
        </w:numPr>
        <w:rPr/>
      </w:pPr>
      <w:bookmarkStart w:id="891" w:name="__RefHeading___Toc79264_3244359995"/>
      <w:bookmarkStart w:id="892" w:name="_Toc340"/>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این مسأله چند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بخواهند مردی را رجم کنند، باید او را در حفیره و گودالی تا حِقْوَین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جایی که لگن خاصره وجود دارد که نزدیک ناف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و اگر زانی زن باشد، بیشتر از این مقدار، یعنی تا زیر سینه‌اش دفن کرده و سپس، وی را رجم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و یا زن زانی از حفیره فرار کنند، در صورتی که زنای آنان با بیّنه ثابت شده باشد، آنان را بر می‌گردانند؛ و اگر با اقرار ثابت شده باشد و بعد از برخورد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وی را بر نمی‌گردانند؛ امّا اگر سنگی اصابت نکرده باشد، او را برمی‌گردانند؛ ولی بنا بر قول مشهور،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سنگی اصابت کرده باشد، و چه سنگی به او برخورد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را برنمی‌گردانند؛ و این قول، مطابق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حدّ زانی تازیانه بود، چه با اقرار ثابت شده باشد و چه با بیّنه، در صورت فرار، او را بازگردانده و حدّ می‌زنند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3" w:name="__RefHeading___Toc79266_3244359995"/>
      <w:bookmarkStart w:id="894" w:name="_Toc341"/>
      <w:bookmarkEnd w:id="893"/>
      <w:r>
        <w:rPr>
          <w:rtl w:val="true"/>
        </w:rPr>
        <w:t>فرع اوّل</w:t>
      </w:r>
      <w:r>
        <w:rPr>
          <w:rtl w:val="true"/>
        </w:rPr>
        <w:t xml:space="preserve">: </w:t>
      </w:r>
      <w:r>
        <w:rPr>
          <w:rtl w:val="true"/>
        </w:rPr>
        <w:t>دفن مقداری از بدن زانی برای رجم</w:t>
      </w:r>
      <w:bookmarkEnd w:id="894"/>
    </w:p>
    <w:p>
      <w:pPr>
        <w:pStyle w:val="BookText"/>
        <w:rPr/>
      </w:pPr>
      <w:r>
        <w:rPr>
          <w:rFonts w:ascii="IRNazanin" w:hAnsi="IRNazanin" w:eastAsia="IRNazanin"/>
          <w:color w:val="111111"/>
          <w:sz w:val="28"/>
          <w:sz w:val="28"/>
          <w:szCs w:val="28"/>
          <w:rtl w:val="true"/>
          <w:lang w:bidi="fa-IR"/>
        </w:rPr>
        <w:t>آیا برای اجرای حدّ رجم به حفر گودال نیاز است، یا آن که مقصود از حفر، این است که زانی در هنگام پرتاب سنگ در یک جا متمرکز باشد، و تمرکز با بستن به چوب یا درخت و امثال آن حاصل می‌شود، و یا هیچ‌یک از این امور لازم نیست؛ بلکه اگر او را در محلّی قرار داده و اطرافش را احاطه کنند و سنگ از هر طرف مانند سیل به سوی او سرازیر شود، کافی است؟</w:t>
      </w:r>
    </w:p>
    <w:p>
      <w:pPr>
        <w:pStyle w:val="BookText"/>
        <w:rPr/>
      </w:pPr>
      <w:r>
        <w:rPr>
          <w:rFonts w:ascii="IRNazanin" w:hAnsi="IRNazanin" w:eastAsia="IRNazanin"/>
          <w:color w:val="111111"/>
          <w:sz w:val="28"/>
          <w:sz w:val="28"/>
          <w:szCs w:val="28"/>
          <w:rtl w:val="true"/>
          <w:lang w:bidi="fa-IR"/>
        </w:rPr>
        <w:t xml:space="preserve">و بر فرض این که لازم باشد گودالی آماده سازند، آیا باید پس از قرار دادن زانی در گودال، اطراف بدنش را با خاک و مانند آن پر کنند تا عنوان دفن محقّق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کاشت درخت که با خاک ریشه‌هایش را می‌پوشانند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که او را در گودال قرار دهند، کافی است؟ تفاوت این دو حالت در فرار از گودال ظاهر می‌شود؛ در صورت اوّل، فرارش مشکل می‌گردد بر خلاف صورت دوم که به آسانی می‌تواند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این باب رسیده، بیشتر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هرچند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بنابراین، باید به بررسی روایات پرداخت تا به مفاد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ما در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گودالی حفر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مقداری از بدن مرد و زن زانی برای رجم دفن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حفر گودال</w:t>
      </w:r>
    </w:p>
    <w:p>
      <w:pPr>
        <w:pStyle w:val="BookText"/>
        <w:rPr/>
      </w:pPr>
      <w:r>
        <w:rPr>
          <w:rFonts w:ascii="IRNazanin" w:hAnsi="IRNazanin" w:eastAsia="IRNazanin"/>
          <w:color w:val="111111"/>
          <w:sz w:val="28"/>
          <w:sz w:val="28"/>
          <w:szCs w:val="28"/>
          <w:rtl w:val="true"/>
          <w:lang w:bidi="fa-IR"/>
        </w:rPr>
        <w:t>روایاتی در این زمینه رسیده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محمّد بن عیسی بن عبید، عن یونس، عن إسحاق بن 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تدفن المرأة إلی وسطها إذا أرادوا أن یرجموها ویرمی الإمام ثمّ یرمی الناس بعد بأحجار صغار</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بخواهند زنی را رجم کنند، تا وسط او را دفن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وسط در مقدار دفن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سنگ پرتاب می‌کند، سپس دیگران، با سنگ‌های کوچک به او می‌زنند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دفن دارد، و نمی‌توان از این ظهور چشم</w:t>
      </w:r>
    </w:p>
    <w:p>
      <w:pPr>
        <w:pStyle w:val="BookText"/>
        <w:rPr/>
      </w:pPr>
      <w:r>
        <w:rPr>
          <w:rFonts w:ascii="IRNazanin" w:hAnsi="IRNazanin" w:eastAsia="IRNazanin"/>
          <w:color w:val="111111"/>
          <w:sz w:val="28"/>
          <w:sz w:val="28"/>
          <w:szCs w:val="28"/>
          <w:rtl w:val="true"/>
          <w:lang w:bidi="fa-IR"/>
        </w:rPr>
        <w:t>پوشید؛ و ادّعا کرد ظهور در وجوب یا تحقّق عنوان دفن ندارد؛ به خصوص، با توجّه به این نکته که در فقه معمولاً عنوان دفن درباره‌ی مردگان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این عنوان، خصوصیّتی نبود و موضوعیّتی نداشت، به چه وجه و دلیلی آن را به کار برده است؟ لذا، تا دلیل محکمی بر خلاف این ظهور قائم نشود، نمی‌توان از آن رفع 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إبراهیم، عن محمّد بن عیسی بن عبید، عن یونس، عن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ثمّ یرمی الإمام ویرمی النّاس بأحجار صغار، ولا یدفن الرّجل إذا رجم إلّاإلی حقویه</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نیز دلالتی همانند موثّقه‌ی سابق با اضافه‌ای در مرد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تا وسط دفن کرده، آن‌گاه امام علیه السلام آغاز به رجم کرد؛ مردم پس از او با سنگ‌های کوچک به او می‌زنند، و برای رجم، مرد را تا حقوین دفن می‌کنند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دفن را درباره‌ی رجم مرد و زن زانی، هر دو می‌آورد و امتیاز مرد را بر زن در مقدار دفن بیان می‌کند؛ که 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یونس بن یعقوب، عن أبی مریم،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امرأة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بوجهه عنها فتحوّلت حتّی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عنها، ثمّ استقبله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فجرت، فأمر بها فحبست وکانت حاملاً، فتربّص بها حتّی وضعت، ثمّ أمر بها بعد ذلک فحفر لها حفیرة فی الرحبة وخاط علیها ثوباً جدیداً وأدخلها الحفیرة إلی الحقو وموضع الثدیین وأغلق باب الرحبة ورماها بحجر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علی تصدیق کتابک وسنّة نبیّک، ثمّ أمر قنبر فرماها بحجر</w:t>
      </w:r>
      <w:r>
        <w:rPr>
          <w:rFonts w:eastAsia="IRNazanin" w:cs="IRNazanin"/>
          <w:color w:val="111111"/>
          <w:sz w:val="28"/>
          <w:szCs w:val="28"/>
          <w:rtl w:val="true"/>
          <w:lang w:bidi="fa-IR"/>
        </w:rPr>
        <w:t>....</w:t>
      </w:r>
      <w:r>
        <w:rPr>
          <w:rStyle w:val="FootnoteAnchor"/>
          <w:rtl w:val="true"/>
        </w:rPr>
        <w:footnoteReference w:id="901"/>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صحیحه است؛ و مناقشه‌ی بعضی در سند به</w:t>
      </w:r>
    </w:p>
    <w:p>
      <w:pPr>
        <w:pStyle w:val="BookText"/>
        <w:rPr/>
      </w:pPr>
      <w:r>
        <w:rPr>
          <w:rFonts w:ascii="IRNazanin" w:hAnsi="IRNazanin" w:eastAsia="IRNazanin"/>
          <w:color w:val="111111"/>
          <w:sz w:val="28"/>
          <w:sz w:val="28"/>
          <w:szCs w:val="28"/>
          <w:rtl w:val="true"/>
          <w:lang w:bidi="fa-IR"/>
        </w:rPr>
        <w:t>مشترک بودن ابومریم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ابومریم کنیه‌ی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ابومریم انصاری، ثقه بوده، و دیگری، بکر بن حبیب است که توثیق ندارد؛ امّا این دلیل نمی‌شود که هر جا ابومریم ذکر شد، مشترک باشد بین کسی که وثاقتش ثابت شده و کسی که توثیق ندارد و روایت از اعتبار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اسناد روایات تتبّع و دقّت کند، می‌فهمد ابومریم مطلق به انصاری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ابومریم، یونس بن یعقوب است که حتّی یک روایت از بکر بن حبیب ندارد؛ و او از شاگردان روایی ابومریم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امیرمؤمنان علیه السلام آمد و اقرار به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از او رو برگردانید تا چهار مرتبه اقرار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سبب آبستن بودن زن، دستور داد او را زندانی کنند؛ آن‌گاه که وضع حمل او تمام شد، فرمان به حفر گودالی در رحبه داده، و دستور داد پیراهن جدیدی برای او بدوزند که تمام بدنش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حقو و پستان‌هایش داخل گودال کردند و شخص امام علیه السلام به او سنگی 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صاحب جواهر رحمه الله بر دلالت این روایت</w:t>
      </w:r>
    </w:p>
    <w:p>
      <w:pPr>
        <w:pStyle w:val="BookText"/>
        <w:rPr/>
      </w:pPr>
      <w:r>
        <w:rPr>
          <w:rFonts w:ascii="IRNazanin" w:hAnsi="IRNazanin" w:eastAsia="IRNazanin"/>
          <w:color w:val="111111"/>
          <w:sz w:val="28"/>
          <w:sz w:val="28"/>
          <w:szCs w:val="28"/>
          <w:rtl w:val="true"/>
          <w:lang w:bidi="fa-IR"/>
        </w:rPr>
        <w:t>مرحوم صاحب جواهر در مقام اشکال بر دلالت روایت،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أنّه أعمّ من الوجوب مع قطع النظر عن التأسّی</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یعنی هرچند امیر مؤمنان علیه السلام این کار را انجام دادند، لیکن معنای آن تعیّن و وجوب حفر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حفر کردن حرام است؛ بلکه سخن در لزوم و استحباب آن بوده، و به طور کلّ ممکن است بگوییم نه وجوب دارد و نه استحباب؛ بلکه حفر گودال یکی از راه‌های اقامه‌ی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نقد صاحب جواهر رحمه الله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را یک‌بار کتاب تاریخ برای ما نقل می‌کند؛ امّا هرچند تاریخ قطعی باشد، از نقل تاریخ نمی‌توان حکمی از احکام را استفاده کرد؛ لیکن گاه امام باقر علیه السلام واقعه‌ای را حکایت</w:t>
      </w:r>
    </w:p>
    <w:p>
      <w:pPr>
        <w:pStyle w:val="BookText"/>
        <w:rPr/>
      </w:pPr>
      <w:r>
        <w:rPr>
          <w:rFonts w:ascii="IRNazanin" w:hAnsi="IRNazanin" w:eastAsia="IRNazanin"/>
          <w:color w:val="111111"/>
          <w:sz w:val="28"/>
          <w:sz w:val="28"/>
          <w:szCs w:val="28"/>
          <w:rtl w:val="true"/>
          <w:lang w:bidi="fa-IR"/>
        </w:rPr>
        <w:t>می‌کند که در این حال، نقل او جنبه‌ی تاریخی ندارد، بلکه هدفش بیان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به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را به‌طور مستقیم و بدون نقل مسائل گذشته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گفتار پیامبر و یا امیرمؤمنان علیهما السلام به عملی مستحبّ دست زده یا یکی از راه‌های اجرای حدّ رجم را پیاده کرده است؛ بلکه این بیان مانند گفتار امام باقر علیه السلام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احفر 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حفر گودال تعیّن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 اشکال و 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روایت گذشته،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ولی در این روایت سوم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لها حفیرة فی الرحبة وأدخلها الحفیرة إلی الحقو وموضع الثدیین</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یعنی فقط مسأله‌ی حفر گودال و قرار گرفتن زن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مطلب چگونه جمع می‌کنید؟</w:t>
      </w:r>
    </w:p>
    <w:p>
      <w:p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موثّقه، مطلبی اضافه‌تر از این روایت صحیحه را حکایت می‌کند؛ یعنی مشتمل بر عنوان دفن بود، و این قرینه است بر آن که مراد وقوع زن در حفیره به صورت دفن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توجّه به این روایات صحیحه و موثّقه، نمی‌توانیم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فرع بعد مطرح شده که اگر زنا با اقرار ثابت شد و زانی از گودال فرار کند، او را برنمی‌گرداند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دفن بدن او تا حقوین و یا نزدیک سینه چگونه قابل جمع است؟ برای فردی که قسمتی از بدنش دفن می‌شود، امکان فرار وجود ندارد، و فرع بعد هیچ‌گاه نمی‌تواند محقّق گردد و موضوع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نیامده که حاکم را به بازگشتنِ راه فرار موظّف 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قسمتی از بدن زانی با سنگ، سیمان و بتون آرمه نیست که هیچ امکان فرار نداشته باشد؛ بلکه اطراف بدنش خاک می‌ریزند و حتّی خاک‌ها را نمی‌کوبند تا محکم</w:t>
      </w:r>
    </w:p>
    <w:p>
      <w:pPr>
        <w:pStyle w:val="BookText"/>
        <w:rPr/>
      </w:pPr>
      <w:r>
        <w:rPr>
          <w:rFonts w:ascii="IRNazanin" w:hAnsi="IRNazanin" w:eastAsia="IRNazanin"/>
          <w:color w:val="111111"/>
          <w:sz w:val="28"/>
          <w:sz w:val="28"/>
          <w:szCs w:val="28"/>
          <w:rtl w:val="true"/>
          <w:lang w:bidi="fa-IR"/>
        </w:rPr>
        <w:t>گردد؛ بنابراین، فرار ممکن است، هرچند سهولت ندارد؛ باید به فرق بین سهولت و امکان فرار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قائل می‌شویم، امکان فرار است؛ و دلیلی نداریم که باید به آسانی راه برای فرار او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توجّه به این‌گونه اشکالات، حقّ داریم از ظاهر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کنیم؟ استعمال این عنوان، حاکی از عنایت به آن است، وگرنه معنا ندارد که در غیر مردگان،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شهید ثانی رحمه الله بر روایات دفن</w:t>
      </w:r>
    </w:p>
    <w:p>
      <w:pPr>
        <w:pStyle w:val="BookText"/>
        <w:rPr/>
      </w:pPr>
      <w:r>
        <w:rPr>
          <w:rFonts w:ascii="IRNazanin" w:hAnsi="IRNazanin" w:eastAsia="IRNazanin"/>
          <w:color w:val="111111"/>
          <w:sz w:val="28"/>
          <w:sz w:val="28"/>
          <w:szCs w:val="28"/>
          <w:rtl w:val="true"/>
          <w:lang w:bidi="fa-IR"/>
        </w:rPr>
        <w:t>مرحوم شهید ثانی در کتاب مسالک</w:t>
      </w:r>
      <w:r>
        <w:rPr>
          <w:rStyle w:val="FootnoteAnchor"/>
          <w:rtl w:val="true"/>
        </w:rPr>
        <w:footnoteReference w:id="90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بر وجوب دفن نداریم؛ بلکه اصولاً گودال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روایات نیز استفاده می‌شود نیازی به بستن به درخت، یا چوب و مانند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روایاتی هم که دلالت بر وجوب دفن دارد، ضعیف است و با آن‌ها فقط به یک حکم استحبابی، آن هم بنا بر تسامح در ادلّه‌ی سنن می‌توان فتوا داد؛ وبه زاید بر استحباب نمی‌توان قائل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در برخی جریان‌ها ذکر شده است که امیرمؤمنان علیه السلام گودالی حفر کردند، دلیلی بر وجوب حفر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آن امام علیه السلام استحباب حفر گودال را اقتضا دارد، و ضرورت و وجوب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اکرم صلی الله علیه و آله نیز نسبت به زن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حفر گودال داد، ولی نسبت به زن جهنی چنین امری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مسأله‌ی رجم ماعز، که چهار بار اقرار کرد، 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ماعز را گرفتیم، به قبرستان بقیع برده، پهلوی یک درختی بدون آن که گودالی را حفر کنیم و یا او را به چیزی ببندیم، در آن‌جا ایستاد؛ و بعد، با سنگ و استخوان و مانند آن بر او زدیم و او هم فرار کرد؛ دستگیرش کردیم و آن‌قدر سنگ به او زدیم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این جریان اعتراض کردند که چرا پس از فرار، او را بازگردانده و سنگ‌باران کردید؟ گناهش با اقرار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گودالی مطرح نبوده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اشکال ما و صاحب جواهر رحمه الله بر شهید ثانی</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روایاتی که در وجوب دفن رسیده بود، موثّق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موثّقه ابوبصیر و سماعه و صحیحه‌ی ابی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سند و دلالت آن‌ها هیچ قصور و ضعفی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قصه‌ی ماعز، روایات وارده‌ی از شیعه و برخی از روایات عامّه، دلالت بر حفر گودال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که گفته‌اند گودالی باید حفر گردد، دفن در آن است؛ زیرا، برای گودال بدون دفن اثری مترتّب نمی‌شود و وجودش کالعدم است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به نظر ما، کلام صاحب جواهر رحمه الله تمام و در رابطه با این فرع هیچ اشکالی جا ندارد؛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روایات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محکوم را در گودال قرار داد و اطرافش به مقداری که در فرع بعد مطرح می‌شود، خاک بریزند به گونه‌ای که عنوان دفن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اندازه‌ی دفن بدن زانی</w:t>
      </w:r>
    </w:p>
    <w:p>
      <w:pPr>
        <w:pStyle w:val="BookText"/>
        <w:rPr/>
      </w:pPr>
      <w:r>
        <w:rPr>
          <w:rFonts w:ascii="IRNazanin" w:hAnsi="IRNazanin" w:eastAsia="IRNazanin"/>
          <w:color w:val="111111"/>
          <w:sz w:val="28"/>
          <w:sz w:val="28"/>
          <w:szCs w:val="28"/>
          <w:rtl w:val="true"/>
          <w:lang w:bidi="fa-IR"/>
        </w:rPr>
        <w:t>چه مقدار از اعضای مرد و یا زن زانی، باید دفن گردد؟</w:t>
      </w:r>
    </w:p>
    <w:p>
      <w:pPr>
        <w:pStyle w:val="BookText"/>
        <w:rPr/>
      </w:pPr>
      <w:r>
        <w:rPr>
          <w:rFonts w:ascii="IRNazanin" w:hAnsi="IRNazanin" w:eastAsia="IRNazanin"/>
          <w:color w:val="111111"/>
          <w:sz w:val="28"/>
          <w:sz w:val="28"/>
          <w:szCs w:val="28"/>
          <w:rtl w:val="true"/>
          <w:lang w:bidi="fa-IR"/>
        </w:rPr>
        <w:t>امام راحل رحمه الله در تحریر الوسیله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باید باید تا حقوین دفن گردد و نه بیش‌تر؛ غایت هم داخل مغیّا است، یعنی مقداری که ازار آن را می‌پوشاند نیز باید مدفون شود؛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ازار نیز مجازاً گفته می‌شود؛ از باب این‌که محل به وسیله‌ی ازار پوشیده می‌شود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مقداری از لگن خاصره زیر پوشش خاک قرار گیرد و طبعاً مقدرای زیر ناف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وسط بدنش بالای حقو و زیر سینه؛ یعنی بین این دو از حقو بالاتر و از سینه پایین‌تر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تا سینه دفن می‌کنند و صاحب جواهر رحمه الله آن را قول اشهر دانسته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کرده، آن را به مشهور نسبت می‌دهد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شیخ صدوق رحمه الله در کتاب المقنع مقدار گودال را تمامِ قامت زانی تا گردنش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والرجم أن یحفر له حفیرة مقدار ما یقوم فیها فتکون بطوله إلی عنقه فیرجم</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شیخ مفید رحمه الله در مقنعه</w:t>
      </w:r>
      <w:r>
        <w:rPr>
          <w:rStyle w:val="FootnoteAnchor"/>
          <w:rtl w:val="true"/>
        </w:rPr>
        <w:footnoteReference w:id="909"/>
      </w:r>
      <w:r>
        <w:rPr>
          <w:rFonts w:ascii="IRNazanin" w:hAnsi="IRNazanin" w:eastAsia="IRNazanin"/>
          <w:color w:val="111111"/>
          <w:sz w:val="28"/>
          <w:sz w:val="28"/>
          <w:szCs w:val="28"/>
          <w:rtl w:val="true"/>
          <w:lang w:bidi="fa-IR"/>
        </w:rPr>
        <w:t>و ابن زهره رحمه الله در غنیه</w:t>
      </w:r>
      <w:r>
        <w:rPr>
          <w:rStyle w:val="FootnoteAnchor"/>
          <w:rtl w:val="true"/>
        </w:rPr>
        <w:footnoteReference w:id="91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تا سینه دفن شوند و فرقی با همدیگر ندارند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سلّار رحمه الله در کتاب مراسم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برای مرد تا سینه و برای زن تا وسطش حفر می‌کند؛ ولی مقصود از وسط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قاعده‌ای که دست ما هست، می‌توان مقدار آن را معیّن کرد؛ زیرا، می‌دانیم زن به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نیاز دارد؛ از این رو، اقتضا می‌کند بیشتر دفن شده و پوشیده گردد، وطبعاً تأذّی او کمتر خواهد بود؛ زیرا، هر مقداری که دفن بیش‌تر باشد، آن مقدرای که پوشیده شده، از ناراحتی سنگ‌ها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قاعده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سلّار از صدر، از سینه بالاتر خواهد بود و عکس آن بعید است؛ زیرا، لازمه‌اش این است که اندازه‌ی دفن بدن مرد بیشتر از زن باشد، و این مخالف با تمام فقها است؛ زیرا، همه یا قائل‌اند که مرد باید کمتر از زن در گودال باشد و یا به تساوی فتوا داده‌اند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مرحوم صدوق رحمه الله در من لایحضره الفقیه روایت زنی که عمرو بن حریث متکفّل نگهداری فرزندش شد را آورده، 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لها أمیر المؤمنین علیه السلام حفیرة ودفنها فیها إلی حقویها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حقوین او را دفن کرد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مختلف فقها کشف می‌کند که اجماع مسلّمی در این مسأله نداریم؛ بلکه حتّی یک شهرت مسلّمی هم وجود ندارد؛ هرچند شهرت به تنهایی، فاقد حجیّت است، ولی ترقّی صاحب جواهر رحمه الله از اشهر به مشهور نیز اثبات چنین شهرت مسلّمی را نمی‌کند؛ بنابراین، باید به روایات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در مقدار دفن</w:t>
      </w:r>
    </w:p>
    <w:p>
      <w:pPr>
        <w:pStyle w:val="BookText"/>
        <w:rPr/>
      </w:pPr>
      <w:r>
        <w:rPr>
          <w:rFonts w:ascii="IRNazanin" w:hAnsi="IRNazanin" w:eastAsia="IRNazanin"/>
          <w:color w:val="111111"/>
          <w:sz w:val="28"/>
          <w:sz w:val="28"/>
          <w:szCs w:val="28"/>
          <w:rtl w:val="true"/>
          <w:lang w:bidi="fa-IR"/>
        </w:rPr>
        <w:t>چند روایت مرسل در کتاب‌های فقهی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از کتب عامّه نقل شده که در جوامع روایی ما به صورت ارسال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فاقد اعتبار حجیّت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روایات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المرسل عن النّبیّ صلی الله علیه و آله حفر للعامریة إلی الصدر</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xml:space="preserve">در این روایت مرسل، برای زن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زنای محصنه کرده بود، گودالی تا اندازه‌ی سینه‌ی او حفر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 آله رجم امرأة فحفر لها إلی الثندوة</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سینه و جای پستان؛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مرحوم فاضل اصفهانی به نحو ارسال نقل و منبعی که از آن گرفته معیّن نکرده است، در قضیه‌ی شراجه یا شراهه که روز پنجشنبه به او تازیانه زد و روز جمعه رجم کرد،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الشراهة إلی منکبها أو ثدییها</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منکب از سینه بالاتر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روایت مرسل، در خصوص زن آمده و هیچ صحبتی از مرد در آن‌ها نیست، و به آن‌ها نمی‌توان عمل کرد؛ زیرا، فاقد اعتبار و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همان</w:t>
      </w:r>
    </w:p>
    <w:p>
      <w:pPr>
        <w:pStyle w:val="BookText"/>
        <w:rPr/>
      </w:pPr>
      <w:r>
        <w:rPr>
          <w:rFonts w:ascii="IRNazanin" w:hAnsi="IRNazanin" w:eastAsia="IRNazanin"/>
          <w:color w:val="111111"/>
          <w:sz w:val="28"/>
          <w:sz w:val="28"/>
          <w:szCs w:val="28"/>
          <w:rtl w:val="true"/>
          <w:lang w:bidi="fa-IR"/>
        </w:rPr>
        <w:t>روایات سه گانه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 نیز برای ما مفید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تدفن المرأة إلی وسطها إذا أرادوا أن یرجموها ویرمی الإمام ثمّ یرمی النّاس بعد بأحجار صغار</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این روایت حکم دفن زن را بدین‌گونه بیان کرده که مقدار دفن تا وسط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مقصود از وسط چیست؟ دو احتمال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تاپای زن را حساب کرده و وسطش را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وسط برای مرد و زن یکی خواهد بود؛ ظاهر این محاسبه، حقوین را نتیجه می‌دهند؛ زیرا، حقوین وسط هرکسی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ملاک دفن در زن همان حقوین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حقوین به بالا را حساب کرده وسط آن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وسط همان سینه و پستان‌ها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دو احتمال در روایت، استظهار از آن مشکل می‌شود و باید از روایات دیگر کمک گرفت، و با یاری از قرائنی که در آن‌ها وجود دارد، این روایت را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ثمّ یرمی الإمام ویرمی الناس بأحجار صغار، ولا یدفن الرجل إذا رجم إلّاإلی حقویه</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تنها روایتی که در خصوص مرد داریم، همین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راحل رحمه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الرجل للرجم إلی حقویه 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دفن مرد تا حقوین است نه بیشتر؛ و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این‌که مسأله در باب مرد روشن است و معارضی برای روایت و یا ابهامی در دلالت آن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روایت نیز امر را دائر بین نفی واستثنا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یدفن الرجل إذا رجم إلّاإلی حقویه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معلوم می‌شود که مسأله خیلی أهمیّت دارد؛ یعنی نباید سر سوزنی از حقوین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مرد، بدون هیچ تردید و ابهامی، به دفن تا حقوین حکم می‌کنیم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در روایت هست این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وسط دفن می‌شود و پس از آن حکم مرد را فرمود؛ از این تفصیل بین زن و مرد استفاده می‌شود که زن تا وسط</w:t>
      </w:r>
    </w:p>
    <w:p>
      <w:pPr>
        <w:pStyle w:val="BookText"/>
        <w:rPr/>
      </w:pPr>
      <w:r>
        <w:rPr>
          <w:rFonts w:ascii="IRNazanin" w:hAnsi="IRNazanin" w:eastAsia="IRNazanin"/>
          <w:color w:val="111111"/>
          <w:sz w:val="28"/>
          <w:sz w:val="28"/>
          <w:szCs w:val="28"/>
          <w:rtl w:val="true"/>
          <w:lang w:bidi="fa-IR"/>
        </w:rPr>
        <w:t>دفن می‌گردد، ولی مرد نباید بیش از حقوین دفن شود؛ یعنی وسط مرأة بالاتر از حقوین است و لذا، احتمال اوّل در روایت ابوبصیر از بین می‌رود؛ زیرا، اگر ملاک وسط اندام باشد، همان حقوین خواهد بود؛ و این مخالف با روایت است؛ زیرا، مقابله‌ی بین مرد و زن در روایت اقتضا می‌کند که وسط زن غیر از حقوین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اوّل در روایت قبل ساقط می‌شود و وسط او موضعی بالاتر از حقوین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از وسطی که بالای حقوین است، سینه و صدر است، همان‌گونه که محقّق رحمه الله در کتاب شرایع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إلی صدرها</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 یا مقصود از آن فوق حقوین و پایین‌تر از سینه است که امام راحل رحمه الله در تحریر الوسیله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إلی وسطها فوق الحقوة تحت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از این نظر ابهام دارد، و در روایت سوم دقّت کنیم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بعد ذلک فحفر لها حفیرة فی الرحبة وخاط علیها ثوباً جدیداً وأدخلها الحفیرة إلی الحقو وموضع الثدیین</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این روایت 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نقل صاحب وسائل رحمه الله که در من لا یحضره القیه</w:t>
      </w:r>
      <w:r>
        <w:rPr>
          <w:rStyle w:val="FootnoteAnchor"/>
          <w:rtl w:val="true"/>
        </w:rPr>
        <w:footnoteReference w:id="920"/>
      </w:r>
      <w:r>
        <w:rPr>
          <w:rFonts w:ascii="IRNazanin" w:hAnsi="IRNazanin" w:eastAsia="IRNazanin"/>
          <w:color w:val="111111"/>
          <w:sz w:val="28"/>
          <w:sz w:val="28"/>
          <w:szCs w:val="28"/>
          <w:rtl w:val="true"/>
          <w:lang w:bidi="fa-IR"/>
        </w:rPr>
        <w:t xml:space="preserve">نیز همین گونه است؛ و دیگری نقل محدّث کاشانی رحمه الله در کتاب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منضبطی بوده و ایشان به نقل روایات با کمال دقّت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أدخلها الحفیرة إلی الحقو دون موضع الثدیین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جواهر رحمه الله نیز روایت را موافق با وافی نقل می‌کند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xml:space="preserve">در این روایت باید مرتکب یک خلاف ظاهر شد؛ زیرا، 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الثدیین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موضع الثدیین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حقوین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بین حقو و موضع ثدیین فاصله‌ی زیادی هست؛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خاصره و لگن خاصره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با ازار پوشیده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باید مسامحه‌ای در نقل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دون موضع الثدیین باشد، تسامحش کمتر است</w:t>
      </w:r>
      <w:r>
        <w:rPr>
          <w:rFonts w:eastAsia="IRNazanin" w:cs="IRNazanin"/>
          <w:color w:val="111111"/>
          <w:sz w:val="28"/>
          <w:szCs w:val="28"/>
          <w:rtl w:val="true"/>
          <w:lang w:bidi="fa-IR"/>
        </w:rPr>
        <w:t>.</w:t>
      </w:r>
      <w:bookmarkStart w:id="895" w:name="pg16919_227452"/>
    </w:p>
    <w:p>
      <w:pPr>
        <w:pStyle w:val="BookText"/>
        <w:rPr/>
      </w:pPr>
      <w:bookmarkEnd w:id="895"/>
      <w:r>
        <w:rPr>
          <w:rFonts w:ascii="IRNazanin" w:hAnsi="IRNazanin" w:eastAsia="IRNazanin"/>
          <w:color w:val="111111"/>
          <w:sz w:val="28"/>
          <w:sz w:val="28"/>
          <w:szCs w:val="28"/>
          <w:rtl w:val="true"/>
          <w:lang w:bidi="fa-IR"/>
        </w:rPr>
        <w:t>به هر حال، مواجه با این دو نقل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صاحب وسائل رحمه الله که با من لایحضره الفقیه موافق است؛ و نقل مرحوم فیض که صاحب جواهر رحمه الله نیز مانند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قاعده در چنین مواردی این است که اگر دو نقل داشته باشیم که یکی مشتمل بر زیاده و دیگر فاقد آن است، باید به زیاده اعتماد کرد و ترتیب اثر داد؛ به علّت این که نیاوردن زیاده ممکن است به سبب غفلت باشد؛ زیرا، غفلت و بی‌توجّهی چه‌بسا سبب می‌شود کلمه‌ای نوشته نشود، یا مطلبی فراموش گردد؛ امّا عکس آن، یعنی غفلت سبب زیاد کردن مطلب و جمله‌ای بشود و راوی از پیش خود چیزی را اضافه کند، خیلی بعید و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امر دائر است بین آن که مرحوم صدوق و مانند ایشان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یا مرحوم فیض و صاحب جواهر رحمه الله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باشند؛ فراموشی و غفلت موجب نقص یک امر معمولی و متعارف است، ولی غفلت و فراموشیِ موجب زیاده، غیر متعارف و غیر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موضع الثدیین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کرده، هرچند مرتکب یک خلاف ظاهر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را بالاتر از خاصره و پائین‌تر از سینه می‌دانیم؛ و آن‌چه امام راحل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زن فوق خاصره و در عین حال پائین‌تر از سینه است، مستفاد از مجموع این روایات بوده؛ امّا عنوان صدر در کلام مرحوم محقّق دلیل معتبری ندارد؛ مگر این‌که مراد از صدر همین معنا باشد که ما گفتیم</w:t>
      </w:r>
      <w:r>
        <w:rPr>
          <w:rFonts w:eastAsia="IRNazanin" w:cs="IRNazanin"/>
          <w:color w:val="111111"/>
          <w:sz w:val="28"/>
          <w:szCs w:val="28"/>
          <w:rtl w:val="true"/>
          <w:lang w:bidi="fa-IR"/>
        </w:rPr>
        <w:t>.</w:t>
      </w:r>
    </w:p>
    <w:p>
      <w:pPr>
        <w:pStyle w:val="Heading5"/>
        <w:numPr>
          <w:ilvl w:val="4"/>
          <w:numId w:val="1"/>
        </w:numPr>
        <w:rPr/>
      </w:pPr>
      <w:bookmarkStart w:id="896" w:name="__RefHeading___Toc79268_3244359995"/>
      <w:bookmarkStart w:id="897" w:name="_Toc342"/>
      <w:bookmarkEnd w:id="896"/>
      <w:r>
        <w:rPr>
          <w:rtl w:val="true"/>
        </w:rPr>
        <w:t>فرع دوم</w:t>
      </w:r>
      <w:r>
        <w:rPr>
          <w:rtl w:val="true"/>
        </w:rPr>
        <w:t xml:space="preserve">: </w:t>
      </w:r>
      <w:r>
        <w:rPr>
          <w:rtl w:val="true"/>
        </w:rPr>
        <w:t>حکم فرار از گودال</w:t>
      </w:r>
      <w:bookmarkEnd w:id="897"/>
    </w:p>
    <w:p>
      <w:pPr>
        <w:pStyle w:val="BookText"/>
        <w:rPr/>
      </w:pPr>
      <w:r>
        <w:rPr>
          <w:rFonts w:ascii="IRNazanin" w:hAnsi="IRNazanin" w:eastAsia="IRNazanin"/>
          <w:color w:val="111111"/>
          <w:sz w:val="28"/>
          <w:sz w:val="28"/>
          <w:szCs w:val="28"/>
          <w:rtl w:val="true"/>
          <w:lang w:bidi="fa-IR"/>
        </w:rPr>
        <w:t>این فرع به مقتضای کیفیّت اثبات حدّ،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حدّ زنا در مورد محکوم به رجم از راه بیّنه و شهادت شهود ثابت شده است و مرجوم در حین رجم از گودال فرار کرده باشد، باید او را تعقیب کنند و به گودال برگردانده، حدّ رجم را در حقّ او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هیچ تفصیلی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حدّ زنا به اقرار زانی ثابت شده باشد، دو نظر وجود 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اگر مرجوم فرار کند، هیچ کس حقّ تعقیب او را ندارد، بلکه تعقیبش مطلقاً جایز نیست؛ خواه به او سنگی خورده باشد یا نه</w:t>
      </w:r>
      <w:r>
        <w:rPr>
          <w:rFonts w:eastAsia="IRNazanin" w:cs="IRNazanin"/>
          <w:color w:val="111111"/>
          <w:sz w:val="28"/>
          <w:szCs w:val="28"/>
          <w:rtl w:val="true"/>
          <w:lang w:bidi="fa-IR"/>
        </w:rPr>
        <w:t>.</w:t>
      </w:r>
      <w:bookmarkStart w:id="898" w:name="pg16919_227455"/>
    </w:p>
    <w:p>
      <w:pPr>
        <w:pStyle w:val="BookText"/>
        <w:rPr/>
      </w:pPr>
      <w:bookmarkEnd w:id="89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نهایه</w:t>
      </w:r>
      <w:r>
        <w:rPr>
          <w:rStyle w:val="FootnoteAnchor"/>
          <w:rtl w:val="true"/>
        </w:rPr>
        <w:footnoteReference w:id="922"/>
      </w:r>
      <w:r>
        <w:rPr>
          <w:rFonts w:ascii="IRNazanin" w:hAnsi="IRNazanin" w:eastAsia="IRNazanin"/>
          <w:color w:val="111111"/>
          <w:sz w:val="28"/>
          <w:sz w:val="28"/>
          <w:szCs w:val="28"/>
          <w:rtl w:val="true"/>
          <w:lang w:bidi="fa-IR"/>
        </w:rPr>
        <w:t>و ابن حمزه رحمه الله در وسیله</w:t>
      </w:r>
      <w:r>
        <w:rPr>
          <w:rStyle w:val="FootnoteAnchor"/>
          <w:rtl w:val="true"/>
        </w:rPr>
        <w:footnoteReference w:id="92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فرار پس از برخورد سنگ‌ها با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گونه‌ای که ناراحتی سنگ را دیده باشد، در این حال، او را تعقیب نمی‌کنند؛ امّا اگر قبل از پرتاب و اصابت سنگ فرار کرده و در حقیقت، ناراحتی سنگ را نچشیده باشد، باید او را تعقیب و دستگیر کرده، به گودال بازگردانده و سنگسارش کنند</w:t>
      </w:r>
      <w:r>
        <w:rPr>
          <w:rFonts w:eastAsia="IRNazanin" w:cs="IRNazanin"/>
          <w:color w:val="111111"/>
          <w:sz w:val="28"/>
          <w:szCs w:val="28"/>
          <w:rtl w:val="true"/>
          <w:lang w:bidi="fa-IR"/>
        </w:rPr>
        <w:t>.</w:t>
      </w:r>
    </w:p>
    <w:p>
      <w:pPr>
        <w:pStyle w:val="Heading5"/>
        <w:numPr>
          <w:ilvl w:val="4"/>
          <w:numId w:val="1"/>
        </w:numPr>
        <w:rPr/>
      </w:pPr>
      <w:bookmarkStart w:id="899" w:name="__RefHeading___Toc79270_3244359995"/>
      <w:bookmarkStart w:id="900" w:name="_Toc343"/>
      <w:bookmarkEnd w:id="899"/>
      <w:r>
        <w:rPr>
          <w:rtl w:val="true"/>
        </w:rPr>
        <w:t>بررسی ادلّه‌ی فرع دوم</w:t>
      </w:r>
      <w:bookmarkEnd w:id="900"/>
    </w:p>
    <w:p>
      <w:pPr>
        <w:pStyle w:val="BookText"/>
        <w:rPr/>
      </w:pPr>
      <w:r>
        <w:rPr>
          <w:rFonts w:ascii="IRNazanin" w:hAnsi="IRNazanin" w:eastAsia="IRNazanin"/>
          <w:color w:val="111111"/>
          <w:sz w:val="28"/>
          <w:sz w:val="28"/>
          <w:szCs w:val="28"/>
          <w:rtl w:val="true"/>
          <w:lang w:bidi="fa-IR"/>
        </w:rPr>
        <w:t>اطلاقات ادلّه‌ی رجم، حاکم شرع را موظّف به اجرای حدّ کرده، ولازمه‌ی اقامه‌ی رجم این است که مرجوم فرار نکند تا رجم گردد؛ و اگر فرار کرد، او را بگیرند و نگاه دارند و نگذارند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اقامه‌ی دلیل بر اعاده‌ی مرجوم در صورت فرار نیاز نداریم؛ آن‌چه محتاج دلیل است، سقوط حدّ رجم و تعطیل شدن آن به فرار مجرم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قاعده‌ی اوّلیه در باب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ادلّه و اطلاقاتی که بر رجم زانی محصن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است؛ همان‌گونه که در باب تازیانه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نقشی در سقوط حدّ ندارد؛ قاعده‌ی اوّلیّه این است که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را صد تازیانه بزنید، یعنی اگر صدبار هم فرار کرد، باز باید این حدّ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و عدم اجرای حدّ خلاف قاعده است و باید دنبال دلیل آن گشت؛ و به مقدار دلالتش دست از قاعده‌ی اولیّه برداشت؛ بنابراین، باید روایات وارده را ملاحظه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المرجوم یفرّ،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أقرّ علی نفسه فلا یردّ، وإن کان شهد علیه الشهود یردّ</w:t>
      </w:r>
      <w:r>
        <w:rPr>
          <w:rFonts w:eastAsia="IRNazanin" w:cs="IRNazanin"/>
          <w:color w:val="111111"/>
          <w:sz w:val="28"/>
          <w:szCs w:val="28"/>
          <w:rtl w:val="true"/>
          <w:lang w:bidi="fa-IR"/>
        </w:rPr>
        <w:t>.</w:t>
      </w:r>
      <w:r>
        <w:rPr>
          <w:rStyle w:val="FootnoteAnchor"/>
          <w:rtl w:val="true"/>
        </w:rPr>
        <w:footnoteReference w:id="92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مرسل است؛ امّا از مرسلات صدوق می‌باشد که حجّیت دارد؛ زیرا، مرحوم صدوق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مثل کسی که خودش شاهد قصّه و جریان باشد،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مرسلات صدوق رحمه الله به نظر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مرجومی فرار می‌کند، حکمش چیست؟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زنا از راه اقرار ثابت شده باشد، برگردانده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امام علیه السلام به عدم ردّ، مطلق است در صورت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راه بیّنه و شهود اربعه ثابت شده باشد، وی را بازمی‌گردانند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طور کامل دلالت بر فرق بین صورت اقرار و بیّنه دارد و نسبت به هر دو مورد نیز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ضعف آن را به عمل مشهور جبران کنیم؛ همان‌گونه که صاحب جواهر رحمه الله فرموده است</w:t>
      </w:r>
      <w:r>
        <w:rPr>
          <w:rFonts w:eastAsia="IRNazanin" w:cs="IRNazanin"/>
          <w:color w:val="111111"/>
          <w:sz w:val="28"/>
          <w:szCs w:val="28"/>
          <w:rtl w:val="true"/>
          <w:lang w:bidi="fa-IR"/>
        </w:rPr>
        <w:t>.</w:t>
      </w:r>
      <w:r>
        <w:rPr>
          <w:rStyle w:val="FootnoteAnchor"/>
        </w:rPr>
        <w:footnoteReference w:id="92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صفوان، عن غیر واحد، عن أبی بصیر، عن أبی عبداللّه علیه السلام، أنّه إن کان أصابه ألم الحجارة فلا یردّ وإن لم یکن أصابه ألم الحجارة ردّ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محمّد بن أحمد بن یحیی، عن العبّاس، عن صفوان، عن رجل، عن أبی بصیر وغیره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یفرّ من الحفیرة فیطلب؟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یعرض له إن کان أصابه حجر واحد لم یطلب، فإن هرب قبل أن تصیبه الحجارة ردّ حتّی یصیبه ألم العذاب</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سند این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سرانجام به یک راوی منتهی می‌شود و در واقع این‌ها یک روایت هستند؛ زیرا، در یکی، صفوان از غیر واحد از ابی‌بصیر از امام صادق علیه السلام نقل می‌کند؛ و در دیگری، صفوان از رجلی که او از ابی‌بصیر و غیر او از امام صادق علیه السلام روایت می‌کند، آمده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دو نوع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ارسالی که در روایت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برخی از فقها چنین روایت مرسلی را حجّت می‌دانند؛ زیرا، به علّت بسیاری روات نام آنان را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ارسالی که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غیر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ما، روایت اوّل از غیر واحد نقل می‌کند، علاوه بر این‌که راوی آن صفوان است که مانند ابن ابی‌عمیر مرسلاتش پذیرفته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نیز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نیز صفوان از رجل دارد که آن رجل از ابوبصیر و غیر واحد نقل کرده است و سرانجام به ابوبصیر منتهی می‌شود؛ و این مختصر اختلاف، سبب تعدّد روایت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دلالت دارد بر این‌که اگر زانی ناراحتی برخورد سنگ را حسّ کرده باشد و پس از آن فرار کرده، او را برنمی گردانند؛ وگرنه وی بازگردانده و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این سه روایت</w:t>
      </w:r>
    </w:p>
    <w:p>
      <w:pPr>
        <w:pStyle w:val="BookText"/>
        <w:rPr/>
      </w:pPr>
      <w:r>
        <w:rPr>
          <w:rFonts w:ascii="IRNazanin" w:hAnsi="IRNazanin" w:eastAsia="IRNazanin"/>
          <w:color w:val="111111"/>
          <w:sz w:val="28"/>
          <w:sz w:val="28"/>
          <w:szCs w:val="28"/>
          <w:rtl w:val="true"/>
          <w:lang w:bidi="fa-IR"/>
        </w:rPr>
        <w:t>روایت صدوق رحمه الله بین اثبات زنا با بیّنه و اقرار تفصیل می‌داد؛ ولی نسبت به فرار قبل از اصابه و بعد از آن اطلاق داشت؛ امّا این روایات بین حسّ کردن ناراحتی برخورد سنگ و عدم آن تفصیل می‌دهد؛ و نسبت به کیفیّت اثبات با بیّنه یا اقرار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بین روایات عموم و خصوص من 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این باب وجود دارد که لازم است آن را نیز ملاحظه کنیم، تا نسبت بین همه‌ی روایات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عمرو بن عثمان،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المحصن إذا هو هرب من الحفیرة هل یردّ حتّی یقام علیه الحدّ؟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ولا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المقرّ علی نفسه ثمّ هرب من الحفیرة بعد ما یصیبه شیء من الحجارة لم یردّ، وإن کان إنّما قامت علیه البیّنة وهو یجحد ثمّ هرب ردّ وهو صاغر حتّی یقام علیه الحدّ، وذاک أنّ ماعز بن مالک أقرّ عند رسول اللّه صلی الله علیه و آله بالزّنا فأمر به أن یرجم فهرب من الحفرة فرماه الزبیر بن العوامّ بساق بعیر فعقله فسقط فلحقه النّاس فقتلوه، ثمّ أخبروا رسول اللّه صلی الله علیه و آله بذلک،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ترکتموه إذا هرب یذهب، فإنّما هو الّذی</w:t>
      </w:r>
    </w:p>
    <w:p>
      <w:pPr>
        <w:pStyle w:val="BookText"/>
        <w:rPr/>
      </w:pPr>
      <w:r>
        <w:rPr>
          <w:rFonts w:ascii="IRNazanin" w:hAnsi="IRNazanin" w:eastAsia="IRNazanin"/>
          <w:color w:val="111111"/>
          <w:sz w:val="28"/>
          <w:sz w:val="28"/>
          <w:szCs w:val="28"/>
          <w:rtl w:val="true"/>
          <w:lang w:bidi="fa-IR"/>
        </w:rPr>
        <w:t>أقرّ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 حاضراً معکم لما ظللتم،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وودّاه رسول اللّه صلی الله علیه و آله من بیت مال المسلمین</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به تضعیف روایت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نیز ندارد؛ زیرا، مشهور به مفاد آن 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بیان،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روایت از جهت حسین بن خالد است که نامبرده بین حسین بن خالد ثقفی بدون توثیق و حسین بن خالد خفاف ثقه مردّد است؛ لیکن حقّ آن است که بگوییم حسین بن خالد مطلق منصرف به حسین بن خالد خفاف ثقه است؛ زیرا، او کثیر الروایة است به خلاف حسین بن خالد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متّصف به صحّت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هفتم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محصن از گودال فرار کند، آیا بازگردانیده می‌شود تا حدّ بر او اقامه گردد؟ 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برمی‌گردانند و هم برنمی‌گردانند؛ یعنی بین موارد فرق است، در بعضی از موارد او را برمی‌گردانند و در پاره‌ای موارد برگردانده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تفصیل پرداخته،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محصن بر ضرر خود اقرار، و از گودال پس از برخورد و اصابت چیزی از سنگ‌ها فرار کرد، او را برنمی‌گردانند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ارجاع به اقرار و برخورد سنگ منوط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این‌گونه به نظر می‌رسد، لیکن جملات بعدی، این ظهور را قدری سست می‌کند؛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بیّنه بر او قائم شده و او انکار می‌کند، و به سبب این بیّنه‌ی عادل محکوم به رجم گشته، او را با خفّت و خواری برگردانده و حدّ را اقامه می‌کنند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اوّل دو قید وجود دارد، پس طرف مقابل آن دو فرد پیدا می‌کند، یکی با نبودن قید اوّل و یکی با نبودن قید دوم؛ یعنی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إنّما قامت علیه البیّنة أو کان الفرار قبل إصابة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قسمت دوم اشاره نکرده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کان إنّما قامت علیه البیّنه وهو یجحد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عدم اشاره، مقداری ظهور عدم اصابه‌ی حجاره را سست و متزلزل می‌کند؛ همان‌گونه که تعلیل ذیل روایت نیز در سستی این دلالت دخالت دارد؛ زیرا،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ماعز بن مالک نزد پیامبر صلی الله علیه و آله اقرار به زنا کرد، آن حضرت فرمان به رجم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ماعز از گودال فرار کرده، زبیر بن عوام استخوان پای شتری را به طرفش پرتاب و او را به زمین زده، مردم رسیده اطرافش را گرفتند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جریان را به پیامبر صلی الله علیه و آله گفتند،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 که فرار کرد، او را رها نکردید تا برود؟</w:t>
      </w:r>
    </w:p>
    <w:p>
      <w:pPr>
        <w:pStyle w:val="BookText"/>
        <w:rPr/>
      </w:pPr>
      <w:r>
        <w:rPr>
          <w:rFonts w:ascii="IRNazanin" w:hAnsi="IRNazanin" w:eastAsia="IRNazanin"/>
          <w:color w:val="111111"/>
          <w:sz w:val="28"/>
          <w:sz w:val="28"/>
          <w:szCs w:val="28"/>
          <w:rtl w:val="true"/>
          <w:lang w:bidi="fa-IR"/>
        </w:rPr>
        <w:t>در تعلیل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ضرر خودش اقرار و اقدام کرده بود و زنا به اقرارش ثابت شده بود؛ بنابراین، اگر فرار کرد، نباید او را تعقیب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تعلیل قرص و محکم است و به دنبال آن سخنی از حسّ کردن درد برخورد سنگ‌ها نیست که معنای آن، عدم دخل برای برخورد سنگ‌ها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نقش دارد و تمام ملاک برای سقوط رجم است، ثبوت زنا به اقرار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أقرّ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تعلیل سقوط حدّ رجم است، ظهور صدر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هرب من الحفیرة بعد ما یصیبه شیء من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ظهور روایت ابوبصیر در قید بودنِ اصابت و چشیدن مزه و ناراحتی سنگ‌ها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قید سقوط رجم نیست، برای چه ذکر شده و چه لزومی در بیان آن هست؟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از قیود غالبی است؛ یعنی کسی که وارد گودال شد، زمانی تصمیم بر فرار می‌گیرد که می‌بیند سنگ‌ها قابل تحمّل نیستند، والّا قبل از برخورد سنگ‌ها، شخصی که خودش اقرار کرده و وارد گودال شده و هنوز مسأله‌ای برایش پیش نیامده و سنگی به طرف او پرتاب نشده است، موجبی برای فرار ندارد؛ غالباً فرار پس از برخورد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روایت نیز مانند مرسله‌ی صدوق می‌باشد، که تمام ملاکِ سقوط حدّ را اقرار، و برای عدم آن بیّنه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نقشی برای برخورد سنگ نیست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روایت،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در این جریان حاضر</w:t>
      </w:r>
    </w:p>
    <w:p>
      <w:pPr>
        <w:pStyle w:val="BookText"/>
        <w:rPr/>
      </w:pPr>
      <w:r>
        <w:rPr>
          <w:rFonts w:ascii="IRNazanin" w:hAnsi="IRNazanin" w:eastAsia="IRNazanin"/>
          <w:color w:val="111111"/>
          <w:sz w:val="28"/>
          <w:sz w:val="28"/>
          <w:szCs w:val="28"/>
          <w:rtl w:val="true"/>
          <w:lang w:bidi="fa-IR"/>
        </w:rPr>
        <w:t>بود، حادثه‌ای رخ نمی‌داد و شما گمراه نمی‌شدید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دیه‌ی او را از بیت المال مسلمین پرداخت، زیرا، ماعز نمی‌بایست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تفصیل بین اقرار و بیّنه می‌داد، و دسته‌ی دیگر بین درد برخورد سنگ‌ها و عدم آن تفصیل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به عموم و خصوص من وجه نیست؛ بلکه مسأله اطلاق و تقیید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بیّنه و اقرار از نظر اصابه و عدم اصابه مطلق است، و روایت اصابه‌ی الم حجاره از نظر بیّنه و اقرار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مانعی از تقیید اطلاق هر کدام به قید وارد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اطلاق روایت اقرار را بر صورت برخورد سنگ‌ها حمل کرده، و اطلاق روایت چشیدن درد ناشی از برخورد سنگ‌ها را بر صورت ثبوت زنا به اقرار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حمل، آمدن تفصیل در باب بیّنه است؛ در حالی که در آن‌جا تفصیلی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جواب می‌دهیم که اگر به عدم تحقّق تفصیل باب بیّنه علم داشتیم، چرا به تفصیل در باب اقرار قائل نشویم؟</w:t>
      </w:r>
    </w:p>
    <w:p>
      <w:pPr>
        <w:pStyle w:val="BookText"/>
        <w:rPr/>
      </w:pPr>
      <w:r>
        <w:rPr>
          <w:rFonts w:ascii="IRNazanin" w:hAnsi="IRNazanin" w:eastAsia="IRNazanin"/>
          <w:color w:val="111111"/>
          <w:sz w:val="28"/>
          <w:sz w:val="28"/>
          <w:szCs w:val="28"/>
          <w:rtl w:val="true"/>
          <w:lang w:bidi="fa-IR"/>
        </w:rPr>
        <w:t>نتیجه‌ی این جمع، قول مشهور می‌شود؛ یعنی در سقوط رجم دو چیز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ثبوت زنا به اقرار، و دیگری چشیدن درد ناشی از برخورد سنگ‌ها؛ امّا در باب تازیانه هیچ کس به تفصیل فتوا نداده است، لذا، مقتضای قاعده این است که اگر زانی فرار کند، باید او را بگیرند و تازیانه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نیز در این باب وجود دارد که به آن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باسناده عن محمّد بن علیّ بن محبوب، عن جعفر بن محمّد، عن عبداللّه، عن محمّد بن عیسی بن عبداللّه،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عبداللّه علیه السلام الزانی یجلد فیهرب بعد أن أصابه بعض الحدّ، أیجب علیه أن یخلّی عنه ولایردّ کما یجب للمحصن إذا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یردّ حتّی یضرب الحدّ کاملاً</w:t>
      </w:r>
      <w:r>
        <w:rPr>
          <w:rFonts w:eastAsia="IRNazanin" w:cs="IRNazanin"/>
          <w:color w:val="111111"/>
          <w:sz w:val="28"/>
          <w:szCs w:val="28"/>
          <w:rtl w:val="true"/>
          <w:lang w:bidi="fa-IR"/>
        </w:rPr>
        <w:t>....</w:t>
      </w:r>
      <w:r>
        <w:rPr>
          <w:rStyle w:val="FootnoteAnchor"/>
          <w:rtl w:val="true"/>
        </w:rPr>
        <w:footnoteReference w:id="929"/>
      </w:r>
      <w:bookmarkStart w:id="901" w:name="pg16919_227466"/>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یبدء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أقرّ الزانی المحصن کان أوّل من یرجمه الإمام علیه السلام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قامت علیه البیّنة کان أوّل من یرجمه البیّنة، ثمّ الإمام علیه السلام، ثمّ الناس</w:t>
      </w:r>
      <w:r>
        <w:rPr>
          <w:rFonts w:eastAsia="IRNazanin" w:cs="IRNazanin"/>
          <w:color w:val="111111"/>
          <w:sz w:val="28"/>
          <w:szCs w:val="28"/>
          <w:rtl w:val="true"/>
          <w:lang w:bidi="fa-IR"/>
        </w:rPr>
        <w:t>.</w:t>
      </w:r>
    </w:p>
    <w:p>
      <w:pPr>
        <w:pStyle w:val="Heading4"/>
        <w:numPr>
          <w:ilvl w:val="3"/>
          <w:numId w:val="1"/>
        </w:numPr>
        <w:rPr/>
      </w:pPr>
      <w:bookmarkStart w:id="902" w:name="__RefHeading___Toc79272_3244359995"/>
      <w:bookmarkStart w:id="903" w:name="_Toc344"/>
      <w:bookmarkEnd w:id="902"/>
      <w:r>
        <w:rPr>
          <w:rtl w:val="true"/>
        </w:rPr>
        <w:t>آغازکننده‌ی رجم</w:t>
      </w:r>
      <w:bookmarkEnd w:id="903"/>
    </w:p>
    <w:p>
      <w:pPr>
        <w:pStyle w:val="Heading5"/>
        <w:numPr>
          <w:ilvl w:val="4"/>
          <w:numId w:val="1"/>
        </w:numPr>
        <w:rPr/>
      </w:pPr>
      <w:bookmarkStart w:id="904" w:name="__RefHeading___Toc79274_3244359995"/>
      <w:bookmarkStart w:id="905" w:name="_Toc345"/>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در صورت ثبوت زنای محصنه با اقرار، آغازگر رجم، امام علیه السلام و پس از او مردم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ثبوت زنا با بیّنه، اوّل شهود، پس از آن امام علیه السلام، و آن‌گاه مردم رجم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زنا با اقرار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آغازگر رجم هر کسی می‌تواند باشد؛ هر چند مستحبّ است در صورت اثبات با اقرار، امام علیه السلام، و در صورت اثبات با بیّنه، شهود آغازگر باشند، امّا از نظر حکم وجوبی و لزومی خصوصیّتی مطرح نیست؛ هر کسی بخواهد شروع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آغازگر باید امام علیه السلام باشد؛ خواه زنا با بیّنه ثابت شده باشد، یا با اقرار؛ و پس از آن، مردم به رجم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که شیخ طوسی رحمه الله در کتاب خلاف</w:t>
      </w:r>
      <w:r>
        <w:rPr>
          <w:rStyle w:val="FootnoteAnchor"/>
          <w:rtl w:val="true"/>
        </w:rPr>
        <w:footnoteReference w:id="930"/>
      </w:r>
      <w:r>
        <w:rPr>
          <w:rFonts w:ascii="IRNazanin" w:hAnsi="IRNazanin" w:eastAsia="IRNazanin"/>
          <w:color w:val="111111"/>
          <w:sz w:val="28"/>
          <w:sz w:val="28"/>
          <w:szCs w:val="28"/>
          <w:rtl w:val="true"/>
          <w:lang w:bidi="fa-IR"/>
        </w:rPr>
        <w:t>و مبسوط‌</w:t>
      </w:r>
      <w:r>
        <w:rPr>
          <w:rStyle w:val="FootnoteAnchor"/>
          <w:rtl w:val="true"/>
        </w:rPr>
        <w:footnoteReference w:id="931"/>
      </w:r>
      <w:r>
        <w:rPr>
          <w:rFonts w:ascii="IRNazanin" w:hAnsi="IRNazanin" w:eastAsia="IRNazanin"/>
          <w:color w:val="111111"/>
          <w:sz w:val="28"/>
          <w:sz w:val="28"/>
          <w:szCs w:val="28"/>
          <w:rtl w:val="true"/>
          <w:lang w:bidi="fa-IR"/>
        </w:rPr>
        <w:t>بر آن ادّعای اجماع کرده، همین قولی است که امام راحل رحمه الله در تحریر الوسیله گفته‌اند؛ یعنی تفصیل می‌دهند بین ثبوت زنا با اقرار که امام علیه السلام باید شروع به رجم کند؛ و ثبوت آن به بیّنه، که شهود آغازگر خواهند بود، آن‌گاه نوبت امام علیه السلام شده و پس از او مردم شروع می‌کنند به سنگسار نمودن 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قول نیز روایتی هست که باید به بررسی آن‌ها پرداخت</w:t>
      </w:r>
      <w:r>
        <w:rPr>
          <w:rFonts w:eastAsia="IRNazanin" w:cs="IRNazanin"/>
          <w:color w:val="111111"/>
          <w:sz w:val="28"/>
          <w:szCs w:val="28"/>
          <w:rtl w:val="true"/>
          <w:lang w:bidi="fa-IR"/>
        </w:rPr>
        <w:t>.</w:t>
      </w:r>
    </w:p>
    <w:p>
      <w:pPr>
        <w:pStyle w:val="Heading5"/>
        <w:numPr>
          <w:ilvl w:val="4"/>
          <w:numId w:val="1"/>
        </w:numPr>
        <w:rPr/>
      </w:pPr>
      <w:bookmarkStart w:id="906" w:name="__RefHeading___Toc79276_3244359995"/>
      <w:bookmarkStart w:id="907" w:name="_Toc346"/>
      <w:bookmarkEnd w:id="906"/>
      <w:r>
        <w:rPr>
          <w:rtl w:val="true"/>
        </w:rPr>
        <w:t xml:space="preserve">دلیل قول مشهور </w:t>
      </w:r>
      <w:r>
        <w:rPr>
          <w:rtl w:val="true"/>
        </w:rPr>
        <w:t>(</w:t>
      </w:r>
      <w:r>
        <w:rPr>
          <w:rtl w:val="true"/>
        </w:rPr>
        <w:t>تفصیل بین ثبوت زنا با اقرار و بیّنه</w:t>
      </w:r>
      <w:r>
        <w:rPr>
          <w:rtl w:val="true"/>
        </w:rPr>
        <w:t>)</w:t>
      </w:r>
      <w:bookmarkEnd w:id="90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یحیی، عن أحمد بن محمّد، عن ابن فضّال، عن صفوان، عمّن</w:t>
      </w:r>
    </w:p>
    <w:p>
      <w:pPr>
        <w:pStyle w:val="BookText"/>
        <w:rPr/>
      </w:pPr>
      <w:r>
        <w:rPr>
          <w:rFonts w:ascii="IRNazanin" w:hAnsi="IRNazanin" w:eastAsia="IRNazanin"/>
          <w:color w:val="111111"/>
          <w:sz w:val="28"/>
          <w:sz w:val="28"/>
          <w:szCs w:val="28"/>
          <w:rtl w:val="true"/>
          <w:lang w:bidi="fa-IR"/>
        </w:rPr>
        <w:t>رواه،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الزانی المحصن کان أوّل من یرجمه الإمام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قامت علیه البیّنة کان أوّل من یرجمه البیّنة ثمّ الإمام ثمّ الناس</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طریق کلینی و صدوق رحمهما الله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بر مطلوب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زانی محصن اقرار کرده باشد، اوّل کسی که رجم می‌کند، امام علیه السلام است و پس از او مردم رجم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زنایش با بیّنه ثابت شده باشد، اوّل بیّنه، آن‌گاه امام علیه السلام، و سپس مردم او را رجم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روایت سبب ضعف آن می‌گردد؛ لیکن ضعف آن به علّت استناد مشهور و عملشان به آن، جبران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مقبوله‌ی عمر بن حنظله</w:t>
      </w:r>
      <w:r>
        <w:rPr>
          <w:rStyle w:val="FootnoteAnchor"/>
          <w:rtl w:val="true"/>
        </w:rPr>
        <w:footnoteReference w:id="933"/>
      </w:r>
      <w:r>
        <w:rPr>
          <w:rFonts w:ascii="IRNazanin" w:hAnsi="IRNazanin" w:eastAsia="IRNazanin"/>
          <w:color w:val="111111"/>
          <w:sz w:val="28"/>
          <w:sz w:val="28"/>
          <w:szCs w:val="28"/>
          <w:rtl w:val="true"/>
          <w:lang w:bidi="fa-IR"/>
        </w:rPr>
        <w:t xml:space="preserve">در باب دو خبر متعارض رسیده است؛ لیکن از آن استفاده می‌شود اگر روایتی با شهرت فتوایی مطابقت داشت، همان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خبر معارضی در مقابلش باشد؛ چرا که وجود معارض سبب نمی‌شود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بلکه مجمع علیه بودن سبب لاریب‌فیه شدن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روایتی با شهرت فتوایی مطابقت داشت، به آن عمل می‌کنیم؛ خواه معارضی داشته باشد یا نه؛ وجود معارض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مجمع علیه در مقبوله ابن حنظله نیز مشهور است؛ لذا، در مقابلش شاذّ و نادر را مطرح می‌کنند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 عمل مشهور سبب جبران ضعف سند روایت می‌گردد؛ و از طرف دیگر، مرسِل روایت، صفوان بن یحیی است که مانند إبن ابی‌عمیر به مرسلاتش عمل می‌کنند و مورد اعتماد و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نیازی به این مطلب نیست و عمده اتّکای ما به عمل مشهور است که عین روایت را به صورت فتوا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نمی‌تواند به این حدیث مناقشه‌ی سندی و یا دلالتی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روایات دیگر را ملاحظه کرد</w:t>
      </w:r>
      <w:r>
        <w:rPr>
          <w:rFonts w:eastAsia="IRNazanin" w:cs="IRNazanin"/>
          <w:color w:val="111111"/>
          <w:sz w:val="28"/>
          <w:szCs w:val="28"/>
          <w:rtl w:val="true"/>
          <w:lang w:bidi="fa-IR"/>
        </w:rPr>
        <w:t>.</w:t>
      </w:r>
      <w:bookmarkStart w:id="908" w:name="pg16919_227469"/>
    </w:p>
    <w:p>
      <w:pPr>
        <w:pStyle w:val="Heading5"/>
        <w:numPr>
          <w:ilvl w:val="4"/>
          <w:numId w:val="1"/>
        </w:numPr>
        <w:rPr/>
      </w:pPr>
      <w:bookmarkStart w:id="909" w:name="__RefHeading___Toc79278_3244359995"/>
      <w:bookmarkStart w:id="910" w:name="_Toc347"/>
      <w:bookmarkEnd w:id="908"/>
      <w:bookmarkEnd w:id="909"/>
      <w:r>
        <w:rPr>
          <w:rtl w:val="true"/>
        </w:rPr>
        <w:t xml:space="preserve">دلیل قول دوم </w:t>
      </w:r>
      <w:r>
        <w:rPr>
          <w:rtl w:val="true"/>
        </w:rPr>
        <w:t>(</w:t>
      </w:r>
      <w:r>
        <w:rPr>
          <w:rtl w:val="true"/>
        </w:rPr>
        <w:t>آغازگر امام علیه السلام است</w:t>
      </w:r>
      <w:r>
        <w:rPr>
          <w:rtl w:val="true"/>
        </w:rPr>
        <w:t>)</w:t>
      </w:r>
      <w:bookmarkEnd w:id="910"/>
    </w:p>
    <w:p>
      <w:pPr>
        <w:pStyle w:val="BookText"/>
        <w:rPr/>
      </w:pPr>
      <w:r>
        <w:rPr>
          <w:rFonts w:ascii="IRNazanin" w:hAnsi="IRNazanin" w:eastAsia="IRNazanin"/>
          <w:color w:val="111111"/>
          <w:sz w:val="28"/>
          <w:sz w:val="28"/>
          <w:szCs w:val="28"/>
          <w:rtl w:val="true"/>
          <w:lang w:bidi="fa-IR"/>
        </w:rPr>
        <w:t>محمّد بن یعقوب، عن علیّ بن إبراهیم، عن محمّد بن عیسی بن عبید، عن یونس، عن إسحاق بن 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إذا أرادوا أن یرجموها، ویرمی الإمام ثمّ یرمی الناس بعد بأحجار صغار</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تا وسط بدنش دفن کرده، آن‌گاه امام علیه السلام و بعد از او، مردم با سنگ‌های کوچک او را رمی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تفصیلی بین ثبوت زنا با اقرار و یا بیّنه داده نشده است؛ بلکه به طور اطلاق، امام علیه السلام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محمّد بن عیسی بن عبید، عن یونس، عن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ثمّ یرمی الإمام ویرمی النّاس بأحجار صغار، ولایدفن الرجل إذا رجم إلّاإلی حقویه</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موثّقه به روشنی دلالت موثّقه‌ی ابی‌بصیر نیست؛ زیرا، در موثّقه‌ی 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ویرمی الإمام ثمّ یرمی الناس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دفن آورده، یعنی پس از دفن، امام علیه السلام رمی می‌کند و پس از او مردم با سنگ‌های کوچک وی را سنگسار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ترتیب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ترتیب بین امام علیه السلام و سایر مردم در رجم، روایت صفوان را مرسله‌ی غیر معتبر می‌دانند، و به این دو موثّقه که مطلق بوده و شامل بیّنه و اقرار می‌گردد، عمل می‌کنند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اطلاق این دو موثّقه را نسبت به ثبوت زنا به اقرار و بیّنه به روایت مرسل صفوان تقیید زده،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امام علیه السلام به رمی در صورتی است که زنا به</w:t>
      </w:r>
      <w:bookmarkStart w:id="911" w:name="pg16919_227471"/>
    </w:p>
    <w:p>
      <w:pPr>
        <w:pStyle w:val="BookText"/>
        <w:rPr/>
      </w:pPr>
      <w:bookmarkEnd w:id="911"/>
      <w:r>
        <w:rPr>
          <w:rFonts w:ascii="IRNazanin" w:hAnsi="IRNazanin" w:eastAsia="IRNazanin"/>
          <w:color w:val="111111"/>
          <w:sz w:val="28"/>
          <w:sz w:val="28"/>
          <w:szCs w:val="28"/>
          <w:rtl w:val="true"/>
          <w:lang w:bidi="fa-IR"/>
        </w:rPr>
        <w:t>اقرار ثابت شود؛ ولی اگر به بیّنه اثبات گشت، اوّل باید بیّنه رمی کند، پس از آنان امام علیه السلام و بعد از او، مردم</w:t>
      </w:r>
      <w:r>
        <w:rPr>
          <w:rFonts w:eastAsia="IRNazanin" w:cs="IRNazanin"/>
          <w:color w:val="111111"/>
          <w:sz w:val="28"/>
          <w:szCs w:val="28"/>
          <w:rtl w:val="true"/>
          <w:lang w:bidi="fa-IR"/>
        </w:rPr>
        <w:t>.</w:t>
      </w:r>
    </w:p>
    <w:p>
      <w:pPr>
        <w:pStyle w:val="Heading5"/>
        <w:numPr>
          <w:ilvl w:val="4"/>
          <w:numId w:val="1"/>
        </w:numPr>
        <w:rPr/>
      </w:pPr>
      <w:bookmarkStart w:id="912" w:name="__RefHeading___Toc79280_3244359995"/>
      <w:bookmarkStart w:id="913" w:name="_Toc348"/>
      <w:bookmarkEnd w:id="912"/>
      <w:r>
        <w:rPr>
          <w:rtl w:val="true"/>
        </w:rPr>
        <w:t xml:space="preserve">دلیل قول سوم </w:t>
      </w:r>
      <w:r>
        <w:rPr>
          <w:rtl w:val="true"/>
        </w:rPr>
        <w:t>(</w:t>
      </w:r>
      <w:r>
        <w:rPr>
          <w:rtl w:val="true"/>
        </w:rPr>
        <w:t>تساوی امام علیه السلام و بیّنه و مردم در آغاز رجم</w:t>
      </w:r>
      <w:r>
        <w:rPr>
          <w:rtl w:val="true"/>
        </w:rPr>
        <w:t>)</w:t>
      </w:r>
      <w:bookmarkEnd w:id="913"/>
    </w:p>
    <w:p>
      <w:pPr>
        <w:pStyle w:val="BookText"/>
        <w:rPr/>
      </w:pPr>
      <w:r>
        <w:rPr>
          <w:rFonts w:ascii="IRNazanin" w:hAnsi="IRNazanin" w:eastAsia="IRNazanin"/>
          <w:color w:val="111111"/>
          <w:sz w:val="28"/>
          <w:sz w:val="28"/>
          <w:szCs w:val="28"/>
          <w:rtl w:val="true"/>
          <w:lang w:bidi="fa-IR"/>
        </w:rPr>
        <w:t>این گروه معتقد بودند برای شروع رجم هیچ خصوصیّتی مطرح نیست؛ هر یک از امام علیه السلام یا بیّنه و یا مردم می‌توانند آغازگر رمی باشند؛ بله به عنوان استحباب، از باب تسامح در ادلّه‌ی سنن، می‌توانیم حرف مشهور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اثبات مدّعای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صفوان به علّت ارسال و ضعف کنار می‌رود؛ و این دو موثّقه، هر چند ظهور در وجوب ترتیب دارند و ظاهرشان این است که امام علیه السلام باید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به اقرار باشد و یا به بیّنه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به رمی کند، لیکن روایتی که در مورد ماعز بن مالک رسیده است، این ظهور را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عمرو بن عثمان،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أخبرنی عن المحصن إذا هو هرب من الحفیرة هل یردّ حتّی یقام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ماعز بن مالک أقرّ عند رسول اللّه صلی الله علیه و آله بالزنا فأمر به أن یرجم، فهرب من الحفرة، فرماه الزبیر بن العوامّ بساق بعیر فعقله فسقط فلحقه الناس فقتلوه، ثمّ أخبروا رسول اللّه صلی الله علیه و آله بذلک،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ترکتموه إذا هرب یذهب فإنّما هو الّذی أقرّ علی نفسه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 حاضراً معکم لما ظللتم</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در نقل جریان رجم ماعز بن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او را برای رجم بردند، ماعز فرار کرد، او را تعقیب و عقالش کرده و به قتل رسانیدند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جریان را برای رسول خدا صلی الله علیه و آله تعریف کردند،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فرار او را رها نکردید و به تعقیب او پرداختید؟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با شما در این جریان حاضر بود، چنین مطلبی پیش نمی‌آمد و ماعز کشته نمی‌شد</w:t>
      </w:r>
      <w:r>
        <w:rPr>
          <w:rFonts w:eastAsia="IRNazanin" w:cs="IRNazanin"/>
          <w:color w:val="111111"/>
          <w:sz w:val="28"/>
          <w:szCs w:val="28"/>
          <w:rtl w:val="true"/>
          <w:lang w:bidi="fa-IR"/>
        </w:rPr>
        <w:t>.</w:t>
      </w:r>
      <w:bookmarkStart w:id="914" w:name="pg16919_227474"/>
    </w:p>
    <w:p>
      <w:pPr>
        <w:pStyle w:val="BookText"/>
        <w:rPr/>
      </w:pPr>
      <w:bookmarkEnd w:id="914"/>
      <w:r>
        <w:rPr>
          <w:rFonts w:ascii="IRNazanin" w:hAnsi="IRNazanin" w:eastAsia="IRNazanin"/>
          <w:color w:val="111111"/>
          <w:sz w:val="28"/>
          <w:sz w:val="28"/>
          <w:szCs w:val="28"/>
          <w:rtl w:val="true"/>
          <w:lang w:bidi="fa-IR"/>
        </w:rPr>
        <w:t>از روایت استفاده می‌شود نه تنها در جریان رمی ماعز، امام علیه السلام ابتدا به رمی او نکرده، بلکه اصلاً هیچ کدام از پیامبر و امیرمؤمنان علیه السلام حاضر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لزوم داشت امام علیه السلام آغاز گر رمی باشد، چرا در این صحنه و واقعه حاضر نشد؟ بنابراین، از عدم حضورشان کشف می‌کنیم این مطلب، وجوب و لزوم ندارد؛ بلکه جمع بین ادلّه اقتضای استحباب دارد</w:t>
      </w:r>
      <w:r>
        <w:rPr>
          <w:rFonts w:eastAsia="IRNazanin" w:cs="IRNazanin"/>
          <w:color w:val="111111"/>
          <w:sz w:val="28"/>
          <w:szCs w:val="28"/>
          <w:rtl w:val="true"/>
          <w:lang w:bidi="fa-IR"/>
        </w:rPr>
        <w:t>.</w:t>
      </w:r>
    </w:p>
    <w:p>
      <w:pPr>
        <w:pStyle w:val="Heading5"/>
        <w:numPr>
          <w:ilvl w:val="4"/>
          <w:numId w:val="1"/>
        </w:numPr>
        <w:rPr/>
      </w:pPr>
      <w:bookmarkStart w:id="915" w:name="__RefHeading___Toc79282_3244359995"/>
      <w:bookmarkStart w:id="916" w:name="_Toc349"/>
      <w:bookmarkEnd w:id="915"/>
      <w:r>
        <w:rPr>
          <w:rtl w:val="true"/>
        </w:rPr>
        <w:t>نقد قول سوم</w:t>
      </w:r>
      <w:bookmarkEnd w:id="916"/>
    </w:p>
    <w:p>
      <w:pPr>
        <w:pStyle w:val="BookText"/>
        <w:rPr/>
      </w:pPr>
      <w:r>
        <w:rPr>
          <w:rFonts w:ascii="IRNazanin" w:hAnsi="IRNazanin" w:eastAsia="IRNazanin"/>
          <w:color w:val="111111"/>
          <w:sz w:val="28"/>
          <w:sz w:val="28"/>
          <w:szCs w:val="28"/>
          <w:rtl w:val="true"/>
          <w:lang w:bidi="fa-IR"/>
        </w:rPr>
        <w:t>آیا می‌توان به استناد روایت حسین بن خالد دست از ظهور روایات گذشته در وجوب و ترتیب برداشت؟ 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صفوان و موثّقه سماعه و موثّقه ابی‌بصیر در وجوب تمام است و عدم حضور رسول خدا صلی الله علیه و آله شاید به جهت مانعی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علّت عدم حضور آن حضرت را نمی‌دانیم و نباید به واسطه‌ی این روایت دست از ظهور آن روایات برداشت؛ بلکه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این گروه بر استحباب تمام نیست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حسین بن خالد را از جهت قضیّه فی واقعه کنار می‌گذاریم و جمع بین روایات نیز اقتضای قول مشهور را دارد؛ یعنی همان فتوایی که امام بزرگوار رحمه الله در تحریر الوسیله اختیار کرده‌اند</w:t>
      </w:r>
      <w:r>
        <w:rPr>
          <w:rFonts w:eastAsia="IRNazanin" w:cs="IRNazanin"/>
          <w:color w:val="111111"/>
          <w:sz w:val="28"/>
          <w:szCs w:val="28"/>
          <w:rtl w:val="true"/>
          <w:lang w:bidi="fa-IR"/>
        </w:rPr>
        <w:t>.</w:t>
      </w:r>
      <w:bookmarkStart w:id="917" w:name="pg16919_227476"/>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یجلد الرجل الزانی قائماً مجرّداً من ثیابه إلّاساتر عورته ویضرب أشدّ الضرب، یفرّق علی جسده من أعالی بدنه إلی قدمه، ولکن یتّقی رأسه ووجهه وفرجه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المرأة جالسة وتربط علیها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قتله أو قتلها الحدّ فلا ضمان</w:t>
      </w:r>
      <w:r>
        <w:rPr>
          <w:rFonts w:eastAsia="IRNazanin" w:cs="IRNazanin"/>
          <w:color w:val="111111"/>
          <w:sz w:val="28"/>
          <w:szCs w:val="28"/>
          <w:rtl w:val="true"/>
          <w:lang w:bidi="fa-IR"/>
        </w:rPr>
        <w:t>.</w:t>
      </w:r>
    </w:p>
    <w:p>
      <w:pPr>
        <w:pStyle w:val="Heading4"/>
        <w:numPr>
          <w:ilvl w:val="3"/>
          <w:numId w:val="1"/>
        </w:numPr>
        <w:rPr/>
      </w:pPr>
      <w:bookmarkStart w:id="918" w:name="__RefHeading___Toc79284_3244359995"/>
      <w:bookmarkStart w:id="919" w:name="_Toc350"/>
      <w:bookmarkEnd w:id="918"/>
      <w:r>
        <w:rPr>
          <w:rtl w:val="true"/>
        </w:rPr>
        <w:t>کیفیّت ضرب تازیانه</w:t>
      </w:r>
      <w:bookmarkEnd w:id="919"/>
    </w:p>
    <w:p>
      <w:pPr>
        <w:pStyle w:val="Heading5"/>
        <w:numPr>
          <w:ilvl w:val="4"/>
          <w:numId w:val="1"/>
        </w:numPr>
        <w:rPr/>
      </w:pPr>
      <w:bookmarkStart w:id="920" w:name="__RefHeading___Toc79286_3244359995"/>
      <w:bookmarkStart w:id="921" w:name="_Toc351"/>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در این مسأله فروع زیر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 زانی در حال قیام تازیانه می‌زنند؛ در حالی که بدنش برهنه بوده و ساتر عورتی بر 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تازیانه‌ها را محکم بر بدنش وارد آورده و بر تمام جسدش از بالا تا پایین تقسیم و پراکنده می‌کنند؛ فقط سر و صورت و فرج او استثنا می‌شود و باید از ضرب تازیانه بر آن‌ها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 زانی در حال نشسته تازیانه می‌زنند؛ لباس‌هایش را بر بدنش می‌پوشانند؛ به طوری که چیزی از او پیدا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اثر اقامه‌ی حدّ، زانی و یا زانیه بمیرد، ضمانی بر عهده‌ی مجری حدّ نیست</w:t>
      </w:r>
      <w:r>
        <w:rPr>
          <w:rFonts w:eastAsia="IRNazanin" w:cs="IRNazanin"/>
          <w:color w:val="111111"/>
          <w:sz w:val="28"/>
          <w:szCs w:val="28"/>
          <w:rtl w:val="true"/>
          <w:lang w:bidi="fa-IR"/>
        </w:rPr>
        <w:t>.</w:t>
      </w:r>
    </w:p>
    <w:p>
      <w:pPr>
        <w:pStyle w:val="Heading5"/>
        <w:numPr>
          <w:ilvl w:val="4"/>
          <w:numId w:val="1"/>
        </w:numPr>
        <w:rPr/>
      </w:pPr>
      <w:bookmarkStart w:id="922" w:name="__RefHeading___Toc79288_3244359995"/>
      <w:bookmarkStart w:id="923" w:name="_Toc352"/>
      <w:bookmarkEnd w:id="922"/>
      <w:r>
        <w:rPr>
          <w:rtl w:val="true"/>
        </w:rPr>
        <w:t>فرع اوّل</w:t>
      </w:r>
      <w:r>
        <w:rPr>
          <w:rtl w:val="true"/>
        </w:rPr>
        <w:t xml:space="preserve">: </w:t>
      </w:r>
      <w:r>
        <w:rPr>
          <w:rtl w:val="true"/>
        </w:rPr>
        <w:t>ضرب تازیانه بر مرد زانی در حال قیام</w:t>
      </w:r>
      <w:bookmarkEnd w:id="923"/>
    </w:p>
    <w:p>
      <w:pPr>
        <w:pStyle w:val="BookText"/>
        <w:rPr/>
      </w:pPr>
      <w:r>
        <w:rPr>
          <w:rFonts w:ascii="IRNazanin" w:hAnsi="IRNazanin" w:eastAsia="IRNazanin"/>
          <w:color w:val="111111"/>
          <w:sz w:val="28"/>
          <w:sz w:val="28"/>
          <w:szCs w:val="28"/>
          <w:rtl w:val="true"/>
          <w:lang w:bidi="fa-IR"/>
        </w:rPr>
        <w:t>بین زن و مرد در ضرب تازیانه فرق گذاشته‌اند؛ تازیانه‌ی مرد باید در حال ایستاده باشد و زن در حال نشسته؛ دلیل آن روایت معتبره‌ی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علیّ بن الحکم، عن أبان،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الرّجل الحدّ قیاماً والمرأة قاعدة، ویضرب علی کلّ عضو ویترک الرأس والمذاکیر</w:t>
      </w:r>
      <w:r>
        <w:rPr>
          <w:rFonts w:eastAsia="IRNazanin" w:cs="IRNazanin"/>
          <w:color w:val="111111"/>
          <w:sz w:val="28"/>
          <w:szCs w:val="28"/>
          <w:rtl w:val="true"/>
          <w:lang w:bidi="fa-IR"/>
        </w:rPr>
        <w:t>.</w:t>
      </w:r>
      <w:r>
        <w:rPr>
          <w:rStyle w:val="FootnoteAnchor"/>
          <w:rtl w:val="true"/>
        </w:rPr>
        <w:footnoteReference w:id="93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در حالت ایستاده و بر زن در حالت نشسته</w:t>
      </w:r>
      <w:bookmarkStart w:id="924" w:name="pg16919_227478"/>
    </w:p>
    <w:p>
      <w:pPr>
        <w:pStyle w:val="BookText"/>
        <w:rPr/>
      </w:pPr>
      <w:bookmarkEnd w:id="924"/>
      <w:r>
        <w:rPr>
          <w:rFonts w:ascii="IRNazanin" w:hAnsi="IRNazanin" w:eastAsia="IRNazanin"/>
          <w:color w:val="111111"/>
          <w:sz w:val="28"/>
          <w:sz w:val="28"/>
          <w:szCs w:val="28"/>
          <w:rtl w:val="true"/>
          <w:lang w:bidi="fa-IR"/>
        </w:rPr>
        <w:t>تازیانه می‌زنند؛ و بر هر عضوی از بدن آن‌ها زده می‌شود، ولی سر و عورتین ترک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مطلوب ما، یعنی اجرای حدّ بر مرد در حالت ایستاده و بر زن در حالت نشسته تمام بوده، و کسی هم مخالفت نکرده است</w:t>
      </w:r>
      <w:r>
        <w:rPr>
          <w:rFonts w:eastAsia="IRNazanin" w:cs="IRNazanin"/>
          <w:color w:val="111111"/>
          <w:sz w:val="28"/>
          <w:szCs w:val="28"/>
          <w:rtl w:val="true"/>
          <w:lang w:bidi="fa-IR"/>
        </w:rPr>
        <w:t>.</w:t>
      </w:r>
    </w:p>
    <w:p>
      <w:pPr>
        <w:pStyle w:val="Heading5"/>
        <w:numPr>
          <w:ilvl w:val="4"/>
          <w:numId w:val="1"/>
        </w:numPr>
        <w:rPr/>
      </w:pPr>
      <w:bookmarkStart w:id="925" w:name="__RefHeading___Toc79290_3244359995"/>
      <w:bookmarkStart w:id="926" w:name="_Toc353"/>
      <w:bookmarkEnd w:id="925"/>
      <w:r>
        <w:rPr>
          <w:rtl w:val="true"/>
        </w:rPr>
        <w:t>فرع دوم</w:t>
      </w:r>
      <w:r>
        <w:rPr>
          <w:rtl w:val="true"/>
        </w:rPr>
        <w:t xml:space="preserve">: </w:t>
      </w:r>
      <w:r>
        <w:rPr>
          <w:rtl w:val="true"/>
        </w:rPr>
        <w:t>پوشش بدن زانی هنگام اجرای حدّ</w:t>
      </w:r>
      <w:bookmarkEnd w:id="926"/>
    </w:p>
    <w:p>
      <w:pPr>
        <w:pStyle w:val="Heading6"/>
        <w:numPr>
          <w:ilvl w:val="5"/>
          <w:numId w:val="1"/>
        </w:numPr>
        <w:rPr/>
      </w:pPr>
      <w:bookmarkStart w:id="927" w:name="__RefHeading___Toc79292_3244359995"/>
      <w:bookmarkStart w:id="928" w:name="_Toc354"/>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آیا در زمان اقامه‌ی حدّ باید تمام بدن زانی به غیر از عورتین برهنه و عریان باشد به گونه‌ای که تازیانه به طور مستقیم با بدنش تماس پیدا کند؟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زانی حین ارتکاب زنا عریان و بدون لباس بوده، او را برهنه کرده و حدّ را بر بدنش می‌زنند؛ فقط عورتین او پوشیده می‌شود و نباید به آن‌ها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لباس پوشیده مرتکب زنا شده، باید حین اجرای حدّ همان لباس را بپوشد و حاکم شرع حقّ ندارد لباس‌هایش را بیرون آورد؛ فقط در صورتی که آن لباس پوستین و نمد و امثال آن باشد که مانع رسیدن درد تازیانه به بدن او می‌شود، باید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w:t>
      </w:r>
      <w:r>
        <w:rPr>
          <w:rStyle w:val="FootnoteAnchor"/>
          <w:rtl w:val="true"/>
        </w:rPr>
        <w:footnoteReference w:id="938"/>
      </w:r>
      <w:r>
        <w:rPr>
          <w:rFonts w:ascii="IRNazanin" w:hAnsi="IRNazanin" w:eastAsia="IRNazanin"/>
          <w:color w:val="111111"/>
          <w:sz w:val="28"/>
          <w:sz w:val="28"/>
          <w:szCs w:val="28"/>
          <w:rtl w:val="true"/>
          <w:lang w:bidi="fa-IR"/>
        </w:rPr>
        <w:t>در بعضی از کتاب‌هایش بر این قول ادّعای اجماع کرده است؛ مرحوم محقّق</w:t>
      </w:r>
      <w:r>
        <w:rPr>
          <w:rStyle w:val="FootnoteAnchor"/>
          <w:rtl w:val="true"/>
        </w:rPr>
        <w:footnoteReference w:id="939"/>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صاحب جواهر رحمه الله</w:t>
      </w:r>
      <w:r>
        <w:rPr>
          <w:rStyle w:val="FootnoteAnchor"/>
          <w:rtl w:val="true"/>
        </w:rPr>
        <w:footnoteReference w:id="940"/>
      </w:r>
      <w:r>
        <w:rPr>
          <w:rFonts w:ascii="IRNazanin" w:hAnsi="IRNazanin" w:eastAsia="IRNazanin"/>
          <w:color w:val="111111"/>
          <w:sz w:val="28"/>
          <w:sz w:val="28"/>
          <w:szCs w:val="28"/>
          <w:rtl w:val="true"/>
          <w:lang w:bidi="fa-IR"/>
        </w:rPr>
        <w:t>آن را قول مشهور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مرد زانی به جز عورتین حین اجرای حدّ باید برهنه باشد؛ خواه برهنه مرتکب زنا شده باشد و یا پوشیده؛ حالت زانی هنگام زنا دخلی در کیفیّت اجرای حدّ ندارد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را مرحوم محقّق در شرایع و مختصر النافع،</w:t>
      </w:r>
      <w:r>
        <w:rPr>
          <w:rStyle w:val="FootnoteAnchor"/>
          <w:rtl w:val="true"/>
        </w:rPr>
        <w:footnoteReference w:id="941"/>
      </w:r>
      <w:r>
        <w:rPr>
          <w:rFonts w:ascii="IRNazanin" w:hAnsi="IRNazanin" w:eastAsia="IRNazanin"/>
          <w:color w:val="111111"/>
          <w:sz w:val="28"/>
          <w:sz w:val="28"/>
          <w:szCs w:val="28"/>
          <w:rtl w:val="true"/>
          <w:lang w:bidi="fa-IR"/>
        </w:rPr>
        <w:t>علّامه رحمه الله در قواعد</w:t>
      </w:r>
      <w:r>
        <w:rPr>
          <w:rStyle w:val="FootnoteAnchor"/>
          <w:rtl w:val="true"/>
        </w:rPr>
        <w:footnoteReference w:id="942"/>
      </w:r>
      <w:r>
        <w:rPr>
          <w:rFonts w:ascii="IRNazanin" w:hAnsi="IRNazanin" w:eastAsia="IRNazanin"/>
          <w:color w:val="111111"/>
          <w:sz w:val="28"/>
          <w:sz w:val="28"/>
          <w:szCs w:val="28"/>
          <w:rtl w:val="true"/>
          <w:lang w:bidi="fa-IR"/>
        </w:rPr>
        <w:t>و غیر این دو بزرگوار، فقهای دیگری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غایة المرام</w:t>
      </w:r>
      <w:r>
        <w:rPr>
          <w:rStyle w:val="FootnoteAnchor"/>
          <w:rtl w:val="true"/>
        </w:rPr>
        <w:footnoteReference w:id="943"/>
      </w:r>
      <w:r>
        <w:rPr>
          <w:rFonts w:ascii="IRNazanin" w:hAnsi="IRNazanin" w:eastAsia="IRNazanin"/>
          <w:color w:val="111111"/>
          <w:sz w:val="28"/>
          <w:sz w:val="28"/>
          <w:szCs w:val="28"/>
          <w:rtl w:val="true"/>
          <w:lang w:bidi="fa-IR"/>
        </w:rPr>
        <w:t>آن را به مشهور نسبت می‌دهد؛ لیکن صاحب جواهر رحمه الله می‌فرماید شهرت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قول مشهوری هم</w:t>
      </w:r>
    </w:p>
    <w:p>
      <w:pPr>
        <w:pStyle w:val="BookText"/>
        <w:rPr/>
      </w:pPr>
      <w:r>
        <w:rPr>
          <w:rFonts w:ascii="IRNazanin" w:hAnsi="IRNazanin" w:eastAsia="IRNazanin"/>
          <w:color w:val="111111"/>
          <w:sz w:val="28"/>
          <w:sz w:val="28"/>
          <w:szCs w:val="28"/>
          <w:rtl w:val="true"/>
          <w:lang w:bidi="fa-IR"/>
        </w:rPr>
        <w:t>نباشد، قول شاذّ و نادر نیز نیست؛ و مختار امام راحل رحمه الله در تحریر الوسیله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بررسی دلیل این قول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محمّد بن عیسی بن عبید، عن یونس،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الزانی کیف یجلد؟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الجلد،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فوق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تخلع ثیابه،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بین الضربین جسده کلّه فوق ثیابه</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موثّقه، اسحاق بن عمّار از امام هفتم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زانی تازیانه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برهنه شود و لباس‌ها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تفصیلی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این باب نیز مانند همین روایت بوده و از یک راوی است؛ بنابراین، به حسب واقع یک روایت بیشتر نیست؛ هر چند صاحب وسائل رحمه الله آن‌ها را دو روایت قرار داده است؛ فقط روایت اوّل اضافه‌ای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قاذف و مفتری را چگونه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نه ضرب شدید و نه ضرب خفیف، از روی لباس‌هایش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علیّ الأشعری، عن محمّد بن عبدالجبّار،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الزانی کیف یجلد؟ قال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 الجلد،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الثیاب؟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علیه السلام درباره‌ی زانی پرسیده و 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حکم اختصاص به مردان دارد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رجولیّت دخالتی در آن ندارد و باید الغای خصوصیّت کرد؟ همان‌گونه که از ظاهر فتوای صدوق رحمه الله در کتاب مقنع استفاده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مردی در حال برهنگی</w:t>
      </w:r>
      <w:bookmarkStart w:id="929" w:name="pg16919_227482"/>
    </w:p>
    <w:p>
      <w:pPr>
        <w:pStyle w:val="BookText"/>
        <w:rPr/>
      </w:pPr>
      <w:bookmarkEnd w:id="929"/>
      <w:r>
        <w:rPr>
          <w:rFonts w:ascii="IRNazanin" w:hAnsi="IRNazanin" w:eastAsia="IRNazanin"/>
          <w:color w:val="111111"/>
          <w:sz w:val="28"/>
          <w:sz w:val="28"/>
          <w:szCs w:val="28"/>
          <w:rtl w:val="true"/>
          <w:lang w:bidi="fa-IR"/>
        </w:rPr>
        <w:t>مرتکب زنا شدند، تازیانه نیز در حال برهنگی بر آنان زده می‌شود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از روایت بعید است و نمی‌توان این کار را انجام داد؛ بلکه باید زانی را به همان معنای اصلی آن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خصوصیّتی برای مرد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مربوط به مرد است، و دلالت آن بر مطلوب امام راحل رحمه الله و کسانی که این نظر را انتخاب کرده‌اند، تمام است</w:t>
      </w:r>
      <w:r>
        <w:rPr>
          <w:rFonts w:eastAsia="IRNazanin" w:cs="IRNazanin"/>
          <w:color w:val="111111"/>
          <w:sz w:val="28"/>
          <w:szCs w:val="28"/>
          <w:rtl w:val="true"/>
          <w:lang w:bidi="fa-IR"/>
        </w:rPr>
        <w:t>.</w:t>
      </w:r>
    </w:p>
    <w:p>
      <w:pPr>
        <w:pStyle w:val="Heading6"/>
        <w:numPr>
          <w:ilvl w:val="5"/>
          <w:numId w:val="1"/>
        </w:numPr>
        <w:rPr/>
      </w:pPr>
      <w:bookmarkStart w:id="930" w:name="__RefHeading___Toc79294_3244359995"/>
      <w:bookmarkStart w:id="931" w:name="_Toc355"/>
      <w:bookmarkEnd w:id="930"/>
      <w:r>
        <w:rPr>
          <w:rtl w:val="true"/>
        </w:rPr>
        <w:t>دلیل قول اوّل</w:t>
      </w:r>
      <w:bookmarkEnd w:id="931"/>
    </w:p>
    <w:p>
      <w:pPr>
        <w:pStyle w:val="BookText"/>
        <w:rPr/>
      </w:pPr>
      <w:r>
        <w:rPr>
          <w:rFonts w:ascii="IRNazanin" w:hAnsi="IRNazanin" w:eastAsia="IRNazanin"/>
          <w:color w:val="111111"/>
          <w:sz w:val="28"/>
          <w:sz w:val="28"/>
          <w:szCs w:val="28"/>
          <w:rtl w:val="true"/>
          <w:lang w:bidi="fa-IR"/>
        </w:rPr>
        <w:t>وعنه، عن محمّد بن یحیی، عن طلحة بن زید، عن جعفر، 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یجرّد فی حدّ لا یشنح یعنی یمدّ،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الزانی علی الحال الّتی وجد علیها، إن وجد عریاناً ضرب عریاناً، وإن وجد وعلیه ثیابه ضرب وعلیه ثیابه</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روایت معتبره است و نیازی به استناد مشهور برای جبران ضعف سند آن نیست؛ هر چند از بیان صاحب جواهر رحمه الله</w:t>
      </w:r>
      <w:r>
        <w:rPr>
          <w:rStyle w:val="FootnoteAnchor"/>
          <w:rtl w:val="true"/>
        </w:rPr>
        <w:footnoteReference w:id="948"/>
      </w:r>
      <w:r>
        <w:rPr>
          <w:rFonts w:ascii="IRNazanin" w:hAnsi="IRNazanin" w:eastAsia="IRNazanin"/>
          <w:color w:val="111111"/>
          <w:sz w:val="28"/>
          <w:sz w:val="28"/>
          <w:szCs w:val="28"/>
          <w:rtl w:val="true"/>
          <w:lang w:bidi="fa-IR"/>
        </w:rPr>
        <w:t>استفاده می‌شود که این روایت ذاتاً حجّیت ندارد؛ بلکه از آن جهت که مشهور به آن استناد کرده‌اند،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اجرای حدّ کسی را برهنه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یشنح یعنی 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نیز نقل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تشنج و قبضی است که برای یک موجود پیدا می‌شود، مانند حالت تقلّص و قبضی که برای حیوان در ذبح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زانی در زمان اجرای حدّ نباید حالت قبض و گرفتگی و درهم فرو رفتن به خود بگیرد، بلکه باید سروپا کشیده و مستقیم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لا یشنح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غیر صحیح و</w:t>
      </w:r>
    </w:p>
    <w:p>
      <w:pPr>
        <w:pStyle w:val="BookText"/>
        <w:rPr/>
      </w:pPr>
      <w:r>
        <w:rPr>
          <w:rFonts w:ascii="IRNazanin" w:hAnsi="IRNazanin" w:eastAsia="IRNazanin"/>
          <w:color w:val="111111"/>
          <w:sz w:val="28"/>
          <w:sz w:val="28"/>
          <w:szCs w:val="28"/>
          <w:rtl w:val="true"/>
          <w:lang w:bidi="fa-IR"/>
        </w:rPr>
        <w:t>معیوب ذکر کرده، و در این‌جا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زانی را باید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در زمان اجرای حدّ نباید حالت قبض و گرفتگی و درهم فرو رفتن به خود بگیرد، بلکه باید سروپا کشیده و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غیر صحیح و معیوب ذکر کرده، و در این‌جا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را باید به همان حالی که می‌یابند تازیانه بزنند، اگر او را عریان یافتند، برهنه به او تازیانه می‌زنند؛ و اگر پوشیده و لباس بر تن داشت، حدّ را به همان حالت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مانند صاحب جواهر</w:t>
      </w:r>
      <w:r>
        <w:rPr>
          <w:rStyle w:val="FootnoteAnchor"/>
          <w:rtl w:val="true"/>
        </w:rPr>
        <w:footnoteReference w:id="949"/>
      </w:r>
      <w:r>
        <w:rPr>
          <w:rFonts w:ascii="IRNazanin" w:hAnsi="IRNazanin" w:eastAsia="IRNazanin"/>
          <w:color w:val="111111"/>
          <w:sz w:val="28"/>
          <w:sz w:val="28"/>
          <w:szCs w:val="28"/>
          <w:rtl w:val="true"/>
          <w:lang w:bidi="fa-IR"/>
        </w:rPr>
        <w:t>و صاحب کشف اللثام رحمهما الله</w:t>
      </w:r>
      <w:r>
        <w:rPr>
          <w:rStyle w:val="FootnoteAnchor"/>
          <w:rtl w:val="true"/>
        </w:rPr>
        <w:footnoteReference w:id="950"/>
      </w:r>
      <w:r>
        <w:rPr>
          <w:rFonts w:ascii="IRNazanin" w:hAnsi="IRNazanin" w:eastAsia="IRNazanin"/>
          <w:color w:val="111111"/>
          <w:sz w:val="28"/>
          <w:sz w:val="28"/>
          <w:szCs w:val="28"/>
          <w:rtl w:val="true"/>
          <w:lang w:bidi="fa-IR"/>
        </w:rPr>
        <w:t>در توضیح روایت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الزانی علی الحال الّتی یوجد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در وسائل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الحال الّتی وجد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شکل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امّا بنابر آن‌چه صاحب وسائل رحمه الله و گروهی از فقها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اشتباه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نقل قول وسائل که با دقّت تحقیق شده و وسائل بیست جلدی را با نسخه‌ها و منابع اصلی آن تطبیق داده‌اند، دو احتمال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حالتی است که زنا واقع گشته است؛ و دیگری، حالت دستگیری و جلب زانی توسط مأموران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احتمال به ذهن نزدیک‌تر است؟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به فهم عرف، نزدیک‌تر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الحال الّتی وجد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 حالت برهنگی و حالت پوشیدگی؛ وگرنه زمانی که مأمور برای دستگیری زانی می‌آید، معنا ندارد که زانی لخت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بودن اغلب در حال زنا تصوّر می‌شود، به خلاف زمان دستگیری، که در غالب موارد عریان بودن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حکم و موضوع نیز همین معنا را اقتضا می‌کند؛ یعنی کسی که جسارت دارد و در مقابل قانون الهی، جسورانه برهنه شده و عمل نامشروع را مثل یک عمل مشروع فرض کرده و با خیال راحت، مثل آن که می‌خواهد با زوجه‌اش مجامعت کند، لباس‌هایش را درمی‌آورد، باید در حال شلّاق خوردن نیز لخت و عریان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زانی مخفیانه و با لباس پوشیده عمل نامشروع را انجام داد، یعنی تا این اندازه مراعات کرده است، باید در حال اجرای حدّ نیز به همین مقدار، او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معلوم شد حالت زانی در حین دستگیری، تأثیر و تناسبی در کیفیّت حدّ ندارد؛ به خلاف حالت ارتکاب عمل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همان حالت ارتکاب جرم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عریاناً ضرب عریاناً وإن وجد وعلیه ثیابه ضرب وعلیه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دو طایفه از روایات</w:t>
      </w:r>
    </w:p>
    <w:p>
      <w:pPr>
        <w:pStyle w:val="BookText"/>
        <w:rPr/>
      </w:pPr>
      <w:r>
        <w:rPr>
          <w:rFonts w:ascii="IRNazanin" w:hAnsi="IRNazanin" w:eastAsia="IRNazanin"/>
          <w:color w:val="111111"/>
          <w:sz w:val="28"/>
          <w:sz w:val="28"/>
          <w:szCs w:val="28"/>
          <w:rtl w:val="true"/>
          <w:lang w:bidi="fa-IR"/>
        </w:rPr>
        <w:t>ما با دو دسته روایت مواجه هستیم، 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یخلع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عریاناً ضرب عریاناً وإن وجد وعلیه ثیابه ضرب وعلیه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آن‌ها چگونه جمع کنیم؟ سه راه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روایت متعارض هستند و در اثر تعارض، تساقط کرده و باید به ادلّه‌ی اولیه مانند اطلاقات ادلّه‌ی تازیانه،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فَاجْلِدُوا کُلَّ واحِدٍ مِنْهُما مِائَةَ جَلْدَةٍ رجوع کرد که مقتضای اطلاق آن نفی هر قید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احتمال دهیم که آیا برهنه بودن در زمان اجرای حدّ مدخلیّتی در حکم دارد یا نه؟ در صورتی که زانی در حین زنا پوشیده و با لباس بوده باشد، حکم به عدم دخالت آن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برهنه شود؛ بلکه می‌توان با همان لباس بر او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پس از گذشتن از دو مطلب، نوبت به این جمع می‌رسد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جمع دلالی بین دو روایت؛ زیرا، موضوع تعارض جایی است که جمع دلالی وجود نداشته باشد؛ ولی اگر عرف بین دو روایت جمع دلالی می‌کند، از باب تعارض خارج شده و موضوع اخبار علاجیّه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تعارض، تساقط در صورت نبود مرجّح است؛ وگرنه با وجود مرجّح در یک طرف، نوبت به تساقط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متعارضین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مرجّحاتی که در مقبوله‌ی عمر بن حنظله آمده،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در روایت، باید عمل کرد و شهرت فتوایی بر فرض تعارض، موافق با خبر طلحة بن زید است؛ بنابراین، باید این خبر را به استناد موافقت با مشهور، بر موثّقه‌ی سماعه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جمع دلالی و یا ترجیح یکی از دو دلیل بر دیگری، نوبت به این احتمال نمی‌رسد و نمی‌توان به اطلاقات ادلّه‌ی اوّلیه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روایت، مسأله‌ی تخییر پیاده می‌شود، و به هر یک از آن‌ها که بخواهیم، می‌توانیم عمل کنیم؛ وظیفه‌ی فقیه، تخییر در اخذ به یکی از دو روایت است</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این طریق نیز تمام نیست؛ زیرا، مقصود از این تخییر چیست؟ آیا با قطع نظر از مقبوله‌ی عمر بن حنظله و مانند آن، می‌گویید قاعده، اقتضای تخییر دارد؟ در جواب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قاعده‌ی اوّلیّه تخییر باشد؛ همان‌گونه که نوع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اماره تعارض کنند، قاعده اقتضای تساقط دارد و نه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تخییر به عنوان قاعده‌ی اوّلیه، مورد این قاعده، عدم امکان جمع دلالی و صورت تحقّقِ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به حسب فهم عرف، قابل جمع باشد، اصلاً موضوعی برای این قاعده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تخییر، تخییری است که از مقبوله‌ی عمر بن حنظله</w:t>
      </w:r>
      <w:r>
        <w:rPr>
          <w:rStyle w:val="FootnoteAnchor"/>
          <w:rtl w:val="true"/>
        </w:rPr>
        <w:footnoteReference w:id="952"/>
      </w:r>
      <w:r>
        <w:rPr>
          <w:rFonts w:ascii="IRNazanin" w:hAnsi="IRNazanin" w:eastAsia="IRNazanin"/>
          <w:color w:val="111111"/>
          <w:sz w:val="28"/>
          <w:sz w:val="28"/>
          <w:szCs w:val="28"/>
          <w:rtl w:val="true"/>
          <w:lang w:bidi="fa-IR"/>
        </w:rPr>
        <w:t>و مانند آن استفاده می‌شود، دو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روایات نیز دو خبر متعارض است؛ و بین این دو روایت، تعارضی نیست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تحقّق تعارض، مقبوله‌ی عمر بن حنظله و مانند آن، بر فرضِ نبودن</w:t>
      </w:r>
    </w:p>
    <w:p>
      <w:pPr>
        <w:pStyle w:val="BookText"/>
        <w:rPr/>
      </w:pPr>
      <w:r>
        <w:rPr>
          <w:rFonts w:ascii="IRNazanin" w:hAnsi="IRNazanin" w:eastAsia="IRNazanin"/>
          <w:color w:val="111111"/>
          <w:sz w:val="28"/>
          <w:sz w:val="28"/>
          <w:szCs w:val="28"/>
          <w:rtl w:val="true"/>
          <w:lang w:bidi="fa-IR"/>
        </w:rPr>
        <w:t>مرجّح، بر تخییر دلالت دارد؛ و با وجود مرجّح نوبت به تخییر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روایت، جمع دلالی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روایت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در حال اجرای حدّ باید مطلقاً برهنه باشد؛ خواه در حال زنا پوشیده بوده و یا برهنه؛ و روایت طلحة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برهنگی زمانی است که شخص در حال زنا برهنه بوده باشد و در صورتی که پوشیده بوده، از روایت اسحاق بن عمّار خارج و لازم نیست برای اجرای حدّ او را برهنه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راه به قول مشهور منتهی می‌شود که بر خلاف مختار امام راحل رحمه الله در تحریر الوسیله است؛ زیرا، امام رحمه الله به طور کلّی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لباس‌های مرد زانی را درآورد، مگر عورتین او را؛ و هیچ فرقی بین وقوع زنا در حال برهنگی و در حال پوشیده بودن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نیز به حدّی نزد ایشان ضعیف و سست بوده که حتّی اشاره‌ای به آن نکرده‌اند؛ در صورتی که محقّق رحمه الله</w:t>
      </w:r>
      <w:r>
        <w:rPr>
          <w:rStyle w:val="FootnoteAnchor"/>
          <w:rtl w:val="true"/>
        </w:rPr>
        <w:footnoteReference w:id="953"/>
      </w:r>
      <w:r>
        <w:rPr>
          <w:rFonts w:ascii="IRNazanin" w:hAnsi="IRNazanin" w:eastAsia="IRNazanin"/>
          <w:color w:val="111111"/>
          <w:sz w:val="28"/>
          <w:sz w:val="28"/>
          <w:szCs w:val="28"/>
          <w:rtl w:val="true"/>
          <w:lang w:bidi="fa-IR"/>
        </w:rPr>
        <w:t xml:space="preserve">پس از بیان فتوای خود، قول مشهور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توجیهی برای فتوای امام راحل رحمه الله هست که نه تنها قول مشهور را نپذیرفته، بلکه حتّی در مقام نقل نیز اشاره‌ای به آن نکرده‌اند؛ در حالی که طبق معیارها و ضوابطی که گذشت، باید به آن ملتزم شد؟</w:t>
      </w:r>
    </w:p>
    <w:p>
      <w:pPr>
        <w:pStyle w:val="BookText"/>
        <w:rPr/>
      </w:pPr>
      <w:r>
        <w:rPr>
          <w:rFonts w:ascii="IRNazanin" w:hAnsi="IRNazanin" w:eastAsia="IRNazanin"/>
          <w:color w:val="111111"/>
          <w:sz w:val="28"/>
          <w:sz w:val="28"/>
          <w:szCs w:val="28"/>
          <w:rtl w:val="true"/>
          <w:lang w:bidi="fa-IR"/>
        </w:rPr>
        <w:t>شاید امام علیه السلام روایت طلحة بن زید را حجّت نمی‌داند، نه فی نفسه و نه آن را مطابق با فتوای مشهور دانسته، یعنی به نظر ایشان در این قول شهرت مسلّمی وجود نداشته که بتوان ضعف روایت طلحة بن زید را جابر باشد و آن را از بین ببرد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باید توجّه داشت، این است که ما بین روایت طلحة بن زید و موثّقه‌ی اسحاق بن عمّار جمع دلالی کردیم؛ زیرا، روایت اسحاق، مطلق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طلحة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یجرّد إذا کان فی حال الزنا مجرّداً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به حسب ظاهر جمع خوبی است، امّا باید دقّت کرد، در موارد مطلق و مقیّد، یک‌بار مولا مطلق را آورده، و 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زمان دیگر برای آن مقیّدی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بحثی در تقیید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علیه السلام مطلق را در جواب سؤال سائل از مورد مقیّد فرموده باشد، این مطلق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اگر امام علیه السلام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یجرّد فی حال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قابل تقیید است؛ ولی در موثّقه اسحاق،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زانی را می‌زنند؟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با ضرب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برهنه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کنیم، جواب با سؤال مطابقت پیدا نمی‌کند؛ زیرا، اگر در پاره‌ای از موارد جایز باشد از روی لباس تازیانه بزنیم، چگونه به طور مطلق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یجرّد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به تفصیل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مجرداً و در بعضی از اوقات کاسیاً و لابساً به او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که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برهنه می‌کنند، استفاده می‌شود این حکم قابل تقیید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 اگر قابل تقیید باشد، جای این سؤال باقی می‌ماند که من پرسیدم آیا از روی لباس می‌توان تازیانه زد، چرا نفی کردید و تفصیل ندادید؟ نفی، با اطلاق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عامّ و خاصّ نیز این مطلب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بپرسد آیا موردی هست که عالم وجوب اکرام نداشته باشد؟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عام را نمی‌توان به دلیل دیگری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زد؛ وگرنه لازم می‌آید که بین سؤال و جواب مطابقت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عدم حمل خاص بر عام، این است که تخصیص و حمل خاص بر عام یک مسأله‌ی تعبّدی نیست؛ بلکه از باب تقدیم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مثال، دیگر جایی برای مسأله اظهر و ظاهر نیست؛ زیرا، عموم به واسطه‌ی این که در جواب چنین سؤالی واقع شده است، ظهوری قوی‌تر از خاص پیدا کرده و تخصیص آن جایز نیست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مورد بحث، ممکن است امام راحل رحمه الله روایت طلحة بن زید را فی نفسه ضعیف می‌داند و یا مشهوری که جابر ضعف سند باشد، در این مقام قائل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فرض صحّت سند و وقوع تعارض بین دو روایت، از آن‌جا که مطابق فرض شهرتی در</w:t>
      </w:r>
      <w:bookmarkStart w:id="932" w:name="pg16919_227495"/>
    </w:p>
    <w:p>
      <w:pPr>
        <w:pStyle w:val="BookText"/>
        <w:rPr/>
      </w:pPr>
      <w:bookmarkEnd w:id="932"/>
      <w:r>
        <w:rPr>
          <w:rFonts w:ascii="IRNazanin" w:hAnsi="IRNazanin" w:eastAsia="IRNazanin"/>
          <w:color w:val="111111"/>
          <w:sz w:val="28"/>
          <w:sz w:val="28"/>
          <w:szCs w:val="28"/>
          <w:rtl w:val="true"/>
          <w:lang w:bidi="fa-IR"/>
        </w:rPr>
        <w:t>مسأله نیست، لذا، وجهی برای ترجیح روایت طلحة بر موثّقه اسحاق بن عمّار نیست؛ و بلکه، موثّقه مقدّم است</w:t>
      </w:r>
      <w:r>
        <w:rPr>
          <w:rFonts w:eastAsia="IRNazanin" w:cs="IRNazanin"/>
          <w:color w:val="111111"/>
          <w:sz w:val="28"/>
          <w:szCs w:val="28"/>
          <w:rtl w:val="true"/>
          <w:lang w:bidi="fa-IR"/>
        </w:rPr>
        <w:t xml:space="preserve">.) - </w:t>
      </w:r>
      <w:r>
        <w:rPr>
          <w:rStyle w:val="FootnoteAnchor"/>
          <w:rtl w:val="true"/>
        </w:rPr>
        <w:footnoteReference w:id="954"/>
      </w: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چون مشهور به روایت طلحة بن زید عمل کرده‌اند، ما نمی‌توانیم از آن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تعارض نیز، روایت طلحة بن زید مقدّم می‌گردد</w:t>
      </w:r>
      <w:r>
        <w:rPr>
          <w:rFonts w:eastAsia="IRNazanin" w:cs="IRNazanin"/>
          <w:color w:val="111111"/>
          <w:sz w:val="28"/>
          <w:szCs w:val="28"/>
          <w:rtl w:val="true"/>
          <w:lang w:bidi="fa-IR"/>
        </w:rPr>
        <w:t>.</w:t>
      </w:r>
    </w:p>
    <w:p>
      <w:pPr>
        <w:pStyle w:val="Heading5"/>
        <w:numPr>
          <w:ilvl w:val="4"/>
          <w:numId w:val="1"/>
        </w:numPr>
        <w:rPr/>
      </w:pPr>
      <w:bookmarkStart w:id="933" w:name="__RefHeading___Toc79296_3244359995"/>
      <w:bookmarkStart w:id="934" w:name="_Toc356"/>
      <w:bookmarkEnd w:id="933"/>
      <w:r>
        <w:rPr>
          <w:rtl w:val="true"/>
        </w:rPr>
        <w:t>فرع سوم</w:t>
      </w:r>
      <w:r>
        <w:rPr>
          <w:rtl w:val="true"/>
        </w:rPr>
        <w:t xml:space="preserve">: </w:t>
      </w:r>
      <w:r>
        <w:rPr>
          <w:rtl w:val="true"/>
        </w:rPr>
        <w:t>کیفیّت ضرب تازیانه</w:t>
      </w:r>
      <w:bookmarkEnd w:id="934"/>
    </w:p>
    <w:p>
      <w:pPr>
        <w:pStyle w:val="Heading6"/>
        <w:numPr>
          <w:ilvl w:val="5"/>
          <w:numId w:val="1"/>
        </w:numPr>
        <w:rPr/>
      </w:pPr>
      <w:bookmarkStart w:id="935" w:name="__RefHeading___Toc79298_3244359995"/>
      <w:bookmarkStart w:id="936" w:name="_Toc357"/>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مرد و زن زناکار به ضرب شدید در حدّ زنا محکوم‌اند؛ یعنی نه به صورت ضعیف و نه به صورت متوسّط، بلکه تازیانه و شلّاق را محکم و به آخرین درجه‌ی شدّتی که امکان دارد، بر بدنشان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روایاتی است که در باب یازدهم ابواب حدّ زنا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موثّقه‌ی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الزانی کیف 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محمّد بن سنان، عن الرّضا علیه السلام فیما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ضرب الزانی علی جسده بأشدّ الضرب لمباشرته الزّنا واستلذاذ الجسد کلّه به، فجعل الضرب عقوبة له وعبرة لغیره وهو أعظم الجنایات</w:t>
      </w:r>
      <w:r>
        <w:rPr>
          <w:rFonts w:eastAsia="IRNazanin" w:cs="IRNazanin"/>
          <w:color w:val="111111"/>
          <w:sz w:val="28"/>
          <w:szCs w:val="28"/>
          <w:rtl w:val="true"/>
          <w:lang w:bidi="fa-IR"/>
        </w:rPr>
        <w:t>.</w:t>
      </w:r>
      <w:r>
        <w:rPr>
          <w:rStyle w:val="FootnoteAnchor"/>
          <w:rtl w:val="true"/>
        </w:rPr>
        <w:footnoteReference w:id="956"/>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محمّد بن سنان وجود دارد که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زانی باید به شدیدترین ضربه‌ی تازیانه مضروب گردد، این است که زنا خصوصیّتی دارد که به واسطه‌ی آن تمام جسد التذاذ پیدا کرده و لذّت می‌برد؛ پس، ضرب را عقوبتی برای او و عبرتی برای دیگران قرار داد؛ در حالی که زنا از بزرگترین گناه‌ها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الحسن، عن زرعة، عن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 کأشدّ ما یکون من الحدود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موثّقه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زانی مانند شدیدترین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در استدلال به این روایت بر مطلوب اشکال هست؛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است؛ چرا که در باب تازیانه، حدّی نداریم که از نظر تعداد و کمیّت از حدّ زنا بیشتر باشد؛ بنابراین، احتمال می‌دهیم روایت ناظر به کمیّت باشد؛ در حالی که بحث ما در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در روایت بعد نیز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بن محمّد، عن أبی البختری،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 أشدّ من حدّ القاذف وحدّ الشارب أشدّ من حدّ القاذف</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اشدّیت در این روایت نیز به معنای کمیّت است؛ نه به معنای این که نحوه‌ی ایقاع تازیانه به چه کیفیّت باشد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به هر حال، موثّقه اسحاق بن عمّار و روایت محمّد بن سنان بر مطلوب ما دلالت تمام و کافی دارد که ضرب باید شدید و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روایت معارض</w:t>
      </w:r>
    </w:p>
    <w:p>
      <w:pPr>
        <w:pStyle w:val="BookText"/>
        <w:rPr/>
      </w:pPr>
      <w:r>
        <w:rPr>
          <w:rFonts w:ascii="IRNazanin" w:hAnsi="IRNazanin" w:eastAsia="IRNazanin"/>
          <w:color w:val="111111"/>
          <w:sz w:val="28"/>
          <w:sz w:val="28"/>
          <w:szCs w:val="28"/>
          <w:rtl w:val="true"/>
          <w:lang w:bidi="fa-IR"/>
        </w:rPr>
        <w:t>وعنه، عن حمّاد، عن حریز، عمّن أخبره،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الحدّ علی الجسد کلّه، ویتّقی الفرج والوجه، ویضرب بین الضربین</w:t>
      </w:r>
      <w:r>
        <w:rPr>
          <w:rFonts w:eastAsia="IRNazanin" w:cs="IRNazanin"/>
          <w:color w:val="111111"/>
          <w:sz w:val="28"/>
          <w:szCs w:val="28"/>
          <w:rtl w:val="true"/>
          <w:lang w:bidi="fa-IR"/>
        </w:rPr>
        <w:t>.</w:t>
      </w:r>
      <w:r>
        <w:rPr>
          <w:rStyle w:val="FootnoteAnchor"/>
          <w:rtl w:val="true"/>
        </w:rPr>
        <w:footnoteReference w:id="960"/>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را بر تمام جسد</w:t>
      </w:r>
      <w:bookmarkStart w:id="937" w:name="pg16919_227499"/>
    </w:p>
    <w:p>
      <w:pPr>
        <w:pStyle w:val="BookText"/>
        <w:rPr/>
      </w:pPr>
      <w:bookmarkEnd w:id="937"/>
      <w:r>
        <w:rPr>
          <w:rFonts w:ascii="IRNazanin" w:hAnsi="IRNazanin" w:eastAsia="IRNazanin"/>
          <w:color w:val="111111"/>
          <w:sz w:val="28"/>
          <w:sz w:val="28"/>
          <w:szCs w:val="28"/>
          <w:rtl w:val="true"/>
          <w:lang w:bidi="fa-IR"/>
        </w:rPr>
        <w:t xml:space="preserve">پراکنده کنند و بر بدن تقسیم شود؛ امّا نسبت به صورت و عورتین پرهیز گردد، و بین دو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ضربی متوسط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درباره‌ی مطلق حدّ رسیده است؛ چرا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الحدّ علی الجسد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را بر روی طبیعت حدّ برده است؛ بنابراین، منافاتی ندارد که به قول امام راحل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بین الضربین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تقییدی وارد شود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بین ضربین نیست، بلکه باید به نحو شدیدتر باشد</w:t>
      </w:r>
      <w:r>
        <w:rPr>
          <w:rFonts w:eastAsia="IRNazanin" w:cs="IRNazanin"/>
          <w:color w:val="111111"/>
          <w:sz w:val="28"/>
          <w:szCs w:val="28"/>
          <w:rtl w:val="true"/>
          <w:lang w:bidi="fa-IR"/>
        </w:rPr>
        <w:t>.</w:t>
      </w:r>
    </w:p>
    <w:p>
      <w:pPr>
        <w:pStyle w:val="Heading6"/>
        <w:numPr>
          <w:ilvl w:val="5"/>
          <w:numId w:val="1"/>
        </w:numPr>
        <w:rPr/>
      </w:pPr>
      <w:bookmarkStart w:id="938" w:name="__RefHeading___Toc79300_3244359995"/>
      <w:bookmarkStart w:id="939" w:name="_Toc358"/>
      <w:bookmarkEnd w:id="938"/>
      <w:r>
        <w:rPr>
          <w:rtl w:val="true"/>
        </w:rPr>
        <w:t>تعمیم حکم ضرب شدید نسبت به مرد و زن</w:t>
      </w:r>
      <w:bookmarkEnd w:id="939"/>
    </w:p>
    <w:p>
      <w:pPr>
        <w:pStyle w:val="BookText"/>
        <w:rPr/>
      </w:pPr>
      <w:r>
        <w:rPr>
          <w:rFonts w:ascii="IRNazanin" w:hAnsi="IRNazanin" w:eastAsia="IRNazanin"/>
          <w:color w:val="111111"/>
          <w:sz w:val="28"/>
          <w:sz w:val="28"/>
          <w:szCs w:val="28"/>
          <w:rtl w:val="true"/>
          <w:lang w:bidi="fa-IR"/>
        </w:rPr>
        <w:t>آیا اشدّیت فقط در جانب مرد باید مراعات شود، یا فرقی بین مرد و زن در این حکم نیست؟</w:t>
      </w:r>
    </w:p>
    <w:p>
      <w:pPr>
        <w:pStyle w:val="BookText"/>
        <w:rPr/>
      </w:pPr>
      <w:r>
        <w:rPr>
          <w:rFonts w:ascii="IRNazanin" w:hAnsi="IRNazanin" w:eastAsia="IRNazanin"/>
          <w:color w:val="111111"/>
          <w:sz w:val="28"/>
          <w:sz w:val="28"/>
          <w:szCs w:val="28"/>
          <w:rtl w:val="true"/>
          <w:lang w:bidi="fa-IR"/>
        </w:rPr>
        <w:t>مهم‌ترین روایتی که دلالت بر اشدّ ضرب می‌کرد، موثّقه‌ی اسحاق بن عمّار</w:t>
      </w:r>
      <w:r>
        <w:rPr>
          <w:rStyle w:val="FootnoteAnchor"/>
          <w:rtl w:val="true"/>
        </w:rPr>
        <w:footnoteReference w:id="961"/>
      </w:r>
      <w:r>
        <w:rPr>
          <w:rFonts w:ascii="IRNazanin" w:hAnsi="IRNazanin" w:eastAsia="IRNazanin"/>
          <w:color w:val="111111"/>
          <w:sz w:val="28"/>
          <w:sz w:val="28"/>
          <w:szCs w:val="28"/>
          <w:rtl w:val="true"/>
          <w:lang w:bidi="fa-IR"/>
        </w:rPr>
        <w:t xml:space="preserve">بود که در آن سؤال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الزانی کیف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ذیل روایت مطرح نبود، ما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کرده،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رجولیّت خصوصیّتی ندارد؛ امّا به ملاحظه‌ی ذیل روایت که 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فوق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تخلع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 الغای خصوصیّت کرد؛ بلکه این ذیل را به مناسب حکم و موضوع و شَمّ الفقاهة به مرد اختصاص می‌دهیم؛ بنابراین، صدر روایت نیز نمی‌تواند بر زانیه دلالت کند تا به اشدّیت ضرب درباره‌ی او حکم کنیم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سماعه</w:t>
      </w:r>
      <w:r>
        <w:rPr>
          <w:rStyle w:val="FootnoteAnchor"/>
          <w:rtl w:val="true"/>
        </w:rPr>
        <w:footnoteReference w:id="962"/>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الزانی کأشدّ ما یکون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أبی البختری</w:t>
      </w:r>
      <w:r>
        <w:rPr>
          <w:rStyle w:val="FootnoteAnchor"/>
          <w:rtl w:val="true"/>
        </w:rPr>
        <w:footnoteReference w:id="963"/>
      </w:r>
      <w:r>
        <w:rPr>
          <w:rFonts w:ascii="IRNazanin" w:hAnsi="IRNazanin" w:eastAsia="IRNazanin"/>
          <w:color w:val="111111"/>
          <w:sz w:val="28"/>
          <w:sz w:val="28"/>
          <w:szCs w:val="28"/>
          <w:rtl w:val="true"/>
          <w:lang w:bidi="fa-IR"/>
        </w:rPr>
        <w:t>که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الزانی أشدّ من حدّ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الغای خصوصیّت کرد؛ برای این که هرچند در این‌ها عنوان زانی مطرح است، ولی در مقام مقایسه‌ی حدّ زنا با سایر حدود است؛ و اگر در مقایسه، شدّت مطرح شد، اختصاص به مرد ندارد؛ زیرا، حدّ زنا مشترک بین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دلالت این دو روایت را تمام بدانیم، می‌توانیم در</w:t>
      </w:r>
      <w:bookmarkStart w:id="940" w:name="pg16919_227502"/>
    </w:p>
    <w:p>
      <w:pPr>
        <w:pStyle w:val="BookText"/>
        <w:rPr/>
      </w:pPr>
      <w:bookmarkEnd w:id="940"/>
      <w:r>
        <w:rPr>
          <w:rFonts w:ascii="IRNazanin" w:hAnsi="IRNazanin" w:eastAsia="IRNazanin"/>
          <w:color w:val="111111"/>
          <w:sz w:val="28"/>
          <w:sz w:val="28"/>
          <w:szCs w:val="28"/>
          <w:rtl w:val="true"/>
          <w:lang w:bidi="fa-IR"/>
        </w:rPr>
        <w:t>مورد زن به اشدّیت ضرب فتوا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محمّد بن سنان</w:t>
      </w:r>
      <w:r>
        <w:rPr>
          <w:rStyle w:val="FootnoteAnchor"/>
          <w:rtl w:val="true"/>
        </w:rPr>
        <w:footnoteReference w:id="964"/>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ضرب الزانی علی جسده بأشدّ الضرب لمباشرته الزنا و استلذاذ الجسد کلّه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زانی مطرح است، لکن در مقام بیان علّت حکم است، و علّت نیز عمومیّت دارد و بین زن و مرد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علّت در مرد و زن، سبب اشتراک در اشدّیت ضرب است</w:t>
      </w:r>
      <w:r>
        <w:rPr>
          <w:rFonts w:eastAsia="IRNazanin" w:cs="IRNazanin"/>
          <w:color w:val="111111"/>
          <w:sz w:val="28"/>
          <w:szCs w:val="28"/>
          <w:rtl w:val="true"/>
          <w:lang w:bidi="fa-IR"/>
        </w:rPr>
        <w:t>.</w:t>
      </w:r>
    </w:p>
    <w:p>
      <w:pPr>
        <w:pStyle w:val="Heading5"/>
        <w:numPr>
          <w:ilvl w:val="4"/>
          <w:numId w:val="1"/>
        </w:numPr>
        <w:rPr/>
      </w:pPr>
      <w:bookmarkStart w:id="941" w:name="__RefHeading___Toc79302_3244359995"/>
      <w:bookmarkStart w:id="942" w:name="_Toc359"/>
      <w:bookmarkEnd w:id="941"/>
      <w:r>
        <w:rPr>
          <w:rtl w:val="true"/>
        </w:rPr>
        <w:t>فرع چهارم</w:t>
      </w:r>
      <w:r>
        <w:rPr>
          <w:rtl w:val="true"/>
        </w:rPr>
        <w:t xml:space="preserve">: </w:t>
      </w:r>
      <w:r>
        <w:rPr>
          <w:rtl w:val="true"/>
        </w:rPr>
        <w:t>تفریق ضرب بر بدن</w:t>
      </w:r>
      <w:bookmarkEnd w:id="942"/>
    </w:p>
    <w:p>
      <w:pPr>
        <w:pStyle w:val="BookText"/>
        <w:rPr/>
      </w:pP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باید بر تمام بدن تقسیم شود؛ یعنی صد تازیانه فقط به پشت یا پاهای او زده نشود، بلکه بر تمام اعضای بدن به جز سر و صورت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رجولیت و انوثیّت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 نیست به طور مساوی بر اعضا تقسیم شود به گونه‌ای که اگر به کمر او ده تازیانه زدند، بر قسمت پایین و یا بالای آن نیز ده تازیانه بزنند؛ بلکه مقصود این است که تمام بدن درد تازیانه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سنان</w:t>
      </w:r>
      <w:r>
        <w:rPr>
          <w:rStyle w:val="FootnoteAnchor"/>
          <w:rtl w:val="true"/>
        </w:rPr>
        <w:footnoteReference w:id="965"/>
      </w:r>
      <w:r>
        <w:rPr>
          <w:rFonts w:ascii="IRNazanin" w:hAnsi="IRNazanin" w:eastAsia="IRNazanin"/>
          <w:color w:val="111111"/>
          <w:sz w:val="28"/>
          <w:sz w:val="28"/>
          <w:szCs w:val="28"/>
          <w:rtl w:val="true"/>
          <w:lang w:bidi="fa-IR"/>
        </w:rPr>
        <w:t>که علّت ضرب را مطرح کرد،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بدن مقصّرند؛ زیرا، همه‌ی اعضای بدن از این عمل زشت لذّت برده‌اند؛ پس، باید درد تازیانه را نیز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باید در دو مطلب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مستثنی منه یعنی تقسیم تازیانه بر تمام بدن؛ و دیگری، در مستثنی، که آیا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است یا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صورت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تازیانه بر تمام بدن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مرسله‌ی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أخبره،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الحدّ علی جسده کلّه</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باید بر تمام بدن تفریق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ذیل روایت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بین الضربین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را خارج کردیم و به تقیید آن حکم دادیم، معنایش تقیید صدر روایت نیست؛ زیرا، چند حکم در روایت آمده است؛ نسبت به یکی از آن‌ها، زنا را خارج کردیم، امّا بر خروج زنا از بقیّه احکام دلیلی نداریم؛ بنابراین، همان‌گونه که در حدود دیگر باید حدّ بر تمام بدن تقسیم شود، در باب زنا نیز باید حدّ را بر همه‌ی بدن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محمّد بن سنان نیز در علّت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علّت اشدّیت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بدن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وعلّة ضرب الزانی علی جسده بأشدّ الضرب لمباشرته الزنا واستلذاذ الجسد کلّه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تمام اعضای بدن به سبب این زنا لذّت برده‌اند؛ بنابراین، ضرب به عنوان عقوبت برای تمام جسد و عبرتی برای دیگران جعل شده، در حالی که بزرگ‌ترین جنایات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از نظر سند خوب نیستند؛ و عمده مستند ما صحیحه‌ی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الرّجل الحدّ قائماً، والمرأة قاعدة ویضرب علی کلّ عضو و یترک الرأس والمذاکیر</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در این روایت،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باید بر تمامی اعضا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مهمّی که روایت به خوبی بر آن دلالت دارد، وقوع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علی کلّ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 مرد و زن است؛ یعنی این حکم باید درباره‌ی مرد و زن زانی پیاده گردد و حدّ بر تمام بدن هر دو تقسیم شود؛ بنابراین، دلالت روایت و سند آن هر دو تمام است و جای تردیدی در عقد مستثنی منه نیست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به ذهن خطور می‌کند و طرح آن را از دیگران ندیدیم، این است که آیا تفریق حدّ بر دو طرف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پنجاه تازیانه از پشت گردن تا پشت پا و پنجاه</w:t>
      </w:r>
    </w:p>
    <w:p>
      <w:pPr>
        <w:pStyle w:val="BookText"/>
        <w:rPr/>
      </w:pPr>
      <w:r>
        <w:rPr>
          <w:rFonts w:ascii="IRNazanin" w:hAnsi="IRNazanin" w:eastAsia="IRNazanin"/>
          <w:color w:val="111111"/>
          <w:sz w:val="28"/>
          <w:sz w:val="28"/>
          <w:szCs w:val="28"/>
          <w:rtl w:val="true"/>
          <w:lang w:bidi="fa-IR"/>
        </w:rPr>
        <w:t xml:space="preserve">تازیانه از بالای سینه تا روی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مقصود این است که صد تازیانه را اگر از گردن شروع کنند و تا پشت پا به پایان برسانند،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ضرب بر یک طرف کفایت نمی‌کند؛ زیرا، اگر همه‌ی تازیانه‌ها را بر پشت او بزنند، صدق نمی‌کند که به شکم و سینه‌ی او تازیانه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الضرب علی الجسد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صادق است که ضرب بر هر دو طرف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مستثّنی شده از بدن</w:t>
      </w:r>
    </w:p>
    <w:p>
      <w:pPr>
        <w:pStyle w:val="BookText"/>
        <w:rPr/>
      </w:pPr>
      <w:r>
        <w:rPr>
          <w:rFonts w:ascii="IRNazanin" w:hAnsi="IRNazanin" w:eastAsia="IRNazanin"/>
          <w:color w:val="111111"/>
          <w:sz w:val="28"/>
          <w:sz w:val="28"/>
          <w:szCs w:val="28"/>
          <w:rtl w:val="true"/>
          <w:lang w:bidi="fa-IR"/>
        </w:rPr>
        <w:t>فقه در استثنای صورت و فرج از کلّ بدن، اتّفاق دارند و در استثنای سر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رحمه الله در کتاب مبسوط فرموده است بعضی به استثنای سر معتقدند،</w:t>
      </w:r>
      <w:r>
        <w:rPr>
          <w:rStyle w:val="FootnoteAnchor"/>
          <w:rtl w:val="true"/>
        </w:rPr>
        <w:footnoteReference w:id="969"/>
      </w:r>
      <w:r>
        <w:rPr>
          <w:rFonts w:ascii="IRNazanin" w:hAnsi="IRNazanin" w:eastAsia="IRNazanin"/>
          <w:color w:val="111111"/>
          <w:sz w:val="28"/>
          <w:sz w:val="28"/>
          <w:szCs w:val="28"/>
          <w:rtl w:val="true"/>
          <w:lang w:bidi="fa-IR"/>
        </w:rPr>
        <w:t>و در کتاب خلاف مطلب را بالاتر 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سر را استثنا کرده است؛ لیکن اجماع امامیّه بر خلاف این مطلب است و فقط صورت و فرج استثنا می‌شود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مقدار دلالت روایات باب بایستی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علی کلّ عضو ویترک الرأس والمذاکیر</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نقل روایت به طریق کلینی رحمه الله مطابق با وسائل است؛ لیکن نقل شیخ صدوق رحمه الله که به سند صحیح از ابان از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ویترک الوجه والمذاکیر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مردّد می‌شود که آیا امام علیه السلام اراده‌ی استثنای صورت را داشته یا سر را؟</w:t>
      </w:r>
    </w:p>
    <w:p>
      <w:pPr>
        <w:pStyle w:val="BookText"/>
        <w:rPr/>
      </w:pPr>
      <w:r>
        <w:rPr>
          <w:rFonts w:ascii="IRNazanin" w:hAnsi="IRNazanin" w:eastAsia="IRNazanin"/>
          <w:color w:val="111111"/>
          <w:sz w:val="28"/>
          <w:sz w:val="28"/>
          <w:szCs w:val="28"/>
          <w:rtl w:val="true"/>
          <w:lang w:bidi="fa-IR"/>
        </w:rPr>
        <w:t>در مرسله‌ی حریز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الحدّ علی الجسد کلّه ویتّقی الفرج والوجه</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بنابراین، صورت و فرج را استثنا کرده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الصّفار، عن السندی بن الربیع، عن علیّ بن أحمد بن محمّد بن أبی نصر، عن أبیه، عن جمیل بن درّاج،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علیه الرجم یرجم من ورائه ولا یرجم من</w:t>
      </w:r>
    </w:p>
    <w:p>
      <w:pPr>
        <w:pStyle w:val="BookText"/>
        <w:rPr/>
      </w:pPr>
      <w:r>
        <w:rPr>
          <w:rFonts w:ascii="IRNazanin" w:hAnsi="IRNazanin" w:eastAsia="IRNazanin"/>
          <w:color w:val="111111"/>
          <w:sz w:val="28"/>
          <w:sz w:val="28"/>
          <w:szCs w:val="28"/>
          <w:rtl w:val="true"/>
          <w:lang w:bidi="fa-IR"/>
        </w:rPr>
        <w:t>وجهه، لأنّ الرجم والضرب لایصیبان الوجه، وإنّما یضربان علی الجسد علی الأعضاء کلّها</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از پشت سر است و بر صورت سنگ زده نمی‌شود؛ زیرا، رجم و ضرب نباید به صورت برسند و بر تمام اعضا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این روایت عامّ است، و در رجم و ضرب پیاده می‌شود؛ بنابراین، این روایت بر استثنای صورت، و روایت حریز و زراره بر استثنای فرج دلالت داشت؛ پس، در این دو عضو جای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استثنای سر است که روایت زرارة به نقل کلینی رحمه الله متضمّن آن بود، و روایت دیگری نیز بر استثنای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باید کرد؟ آیا اگر نقل روایت صحیحه‌ای مختلف شد، باید با آن به صورتِ دو روایت عمل کرد؛ یعنی سر را نیز از موارد استثنا بدانیم؟ زیرا، دو روایت با هم تنافی ندارد؛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الرأس والمذاکیر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الوجه والمذاکیر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 نقل مختلف، سبب تعدّد روایت نمی‌شود؛ بلکه نمی‌دانیم کدام یک از این دو روایت، از امام علیه السلام صادر شده است؛ آیا امام علیه السلام سر را استثنا کرده‌اند یا صورت را؟ اگر در وجه و صورت دلیل دیگر نمی‌داشتیم، در آن هم مردّد می‌ماندیم؛ امّا با وجود دلیل دیگر، نسبت به استثنای آن تردیدی نیست؛ ولی نسبت به سر، دلیل دیگری نیست؛ پس، چه باید گفت؟</w:t>
      </w:r>
    </w:p>
    <w:p>
      <w:pPr>
        <w:pStyle w:val="BookText"/>
        <w:rPr/>
      </w:pPr>
      <w:r>
        <w:rPr>
          <w:rFonts w:ascii="IRNazanin" w:hAnsi="IRNazanin" w:eastAsia="IRNazanin"/>
          <w:color w:val="111111"/>
          <w:sz w:val="28"/>
          <w:sz w:val="28"/>
          <w:szCs w:val="28"/>
          <w:rtl w:val="true"/>
          <w:lang w:bidi="fa-IR"/>
        </w:rPr>
        <w:t>ملاحظه‌ی این نکته که سر، جای حسّاس و مرکز مغز انسان است، آسیب‌هایی که به سر وارد می‌شود، در حیات و عقل انسان اثر دارد؛ بنابراین، بعید است بتوانیم سر را نیز در زمره‌ی اعضایی بشماریم که به آن‌ها می‌توان حدّ زد و تازیانه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نتواند فتوا بدهد، مقتضای احتیاط، به خصوص با توجّه به نقل کلینی رحمه الله، استثنا کردن سر است، همان‌گونه که امام راحل رحمه الله در تحریر الوسیله 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باب تازیانه متوجّه این نکته می‌شویم که شارع با جعل این حدّ نمی‌خواسته انسان از بین برود و یا عقلش را از دست بدهد و به صورت یک معلول</w:t>
      </w:r>
      <w:bookmarkStart w:id="943" w:name="pg16919_227510"/>
    </w:p>
    <w:p>
      <w:pPr>
        <w:pStyle w:val="BookText"/>
        <w:rPr/>
      </w:pPr>
      <w:bookmarkEnd w:id="943"/>
      <w:r>
        <w:rPr>
          <w:rFonts w:ascii="IRNazanin" w:hAnsi="IRNazanin" w:eastAsia="IRNazanin"/>
          <w:color w:val="111111"/>
          <w:sz w:val="28"/>
          <w:sz w:val="28"/>
          <w:szCs w:val="28"/>
          <w:rtl w:val="true"/>
          <w:lang w:bidi="fa-IR"/>
        </w:rPr>
        <w:t>مادام العمر سربار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مناسباتی است که انسان می‌تواند خودش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دو تازیانه محکم بر سر مجرم بزنند، حیات و عقل او در مخاطره می‌افتد</w:t>
      </w:r>
      <w:r>
        <w:rPr>
          <w:rFonts w:eastAsia="IRNazanin" w:cs="IRNazanin"/>
          <w:color w:val="111111"/>
          <w:sz w:val="28"/>
          <w:szCs w:val="28"/>
          <w:rtl w:val="true"/>
          <w:lang w:bidi="fa-IR"/>
        </w:rPr>
        <w:t>.</w:t>
      </w:r>
    </w:p>
    <w:p>
      <w:pPr>
        <w:pStyle w:val="Heading5"/>
        <w:numPr>
          <w:ilvl w:val="4"/>
          <w:numId w:val="1"/>
        </w:numPr>
        <w:rPr/>
      </w:pPr>
      <w:bookmarkStart w:id="944" w:name="__RefHeading___Toc79304_3244359995"/>
      <w:bookmarkStart w:id="945" w:name="_Toc360"/>
      <w:bookmarkEnd w:id="944"/>
      <w:r>
        <w:rPr>
          <w:rtl w:val="true"/>
        </w:rPr>
        <w:t>فرع پنجم</w:t>
      </w:r>
      <w:r>
        <w:rPr>
          <w:rtl w:val="true"/>
        </w:rPr>
        <w:t xml:space="preserve">: </w:t>
      </w:r>
      <w:r>
        <w:rPr>
          <w:rtl w:val="true"/>
        </w:rPr>
        <w:t>حکم مرگ بر اثر اجرای حدّ</w:t>
      </w:r>
      <w:bookmarkEnd w:id="94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یا زن زانی در اثر اجرای حدّ تازیانه بمیرند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خلاف وضع طبیعی تازیانه ایجاد قتل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ضمانی بر مجری حدّ نیست؛ زیرا، کسی که مشغول انجام یک واجب شرعی و وظیفه‌ی الهی است، در حقیقت از خودش اختیاری ندارد؛ بلکه الزام الهی گریبان‌گیر او شده و او را وادار به زدن تازیانه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دستور خداوند متعال کار را انجام می‌دهد؛ بنابراین، اگر این کار او سبب مرگ شخصی که حدّ می‌خورد شد، معنا ندارد حکم به ضمان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موجبات ضمان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ضمانی نیست</w:t>
      </w:r>
      <w:r>
        <w:rPr>
          <w:rFonts w:eastAsia="IRNazanin" w:cs="IRNazanin"/>
          <w:color w:val="111111"/>
          <w:sz w:val="28"/>
          <w:szCs w:val="28"/>
          <w:rtl w:val="true"/>
          <w:lang w:bidi="fa-IR"/>
        </w:rPr>
        <w:t>.</w:t>
      </w:r>
      <w:bookmarkStart w:id="946" w:name="pg16919_227512"/>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للحاکم إذا أراد إجراء الحدّ أن یعلم الناس لیجتمعوا علی حضوره، بل ینبغی أن یأمر بالخروج لحضور الحدّ، والأحوط حضور طائفة من المؤمنین ثلاثة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یکون الأحجار صغاراً بل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بما لا یصدق علیه الحجر کالحصی ولا بصخرة کبیرة تقتله بواحدة أو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أن لا یقیم علیه الحدّ من کان علی عنقه حدّ سیّما إذا کان ذنبه مثل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بینه وبین اللّه جاز إقامته، وإن کان الأقوی الکراهة مطلقاً، ولا فرق فی ذلک بین ثبوت الزنا بالإقرار أو البیّنة</w:t>
      </w:r>
      <w:r>
        <w:rPr>
          <w:rFonts w:eastAsia="IRNazanin" w:cs="IRNazanin"/>
          <w:color w:val="111111"/>
          <w:sz w:val="28"/>
          <w:szCs w:val="28"/>
          <w:rtl w:val="true"/>
          <w:lang w:bidi="fa-IR"/>
        </w:rPr>
        <w:t>.</w:t>
      </w:r>
    </w:p>
    <w:p>
      <w:pPr>
        <w:pStyle w:val="Heading4"/>
        <w:numPr>
          <w:ilvl w:val="3"/>
          <w:numId w:val="1"/>
        </w:numPr>
        <w:rPr/>
      </w:pPr>
      <w:bookmarkStart w:id="947" w:name="__RefHeading___Toc79306_3244359995"/>
      <w:bookmarkStart w:id="948" w:name="_Toc361"/>
      <w:bookmarkEnd w:id="947"/>
      <w:r>
        <w:rPr>
          <w:rtl w:val="true"/>
        </w:rPr>
        <w:t>آداب رجم</w:t>
      </w:r>
      <w:bookmarkEnd w:id="948"/>
    </w:p>
    <w:p>
      <w:pPr>
        <w:pStyle w:val="Heading5"/>
        <w:numPr>
          <w:ilvl w:val="4"/>
          <w:numId w:val="1"/>
        </w:numPr>
        <w:rPr/>
      </w:pPr>
      <w:bookmarkStart w:id="949" w:name="__RefHeading___Toc79308_3244359995"/>
      <w:bookmarkStart w:id="950" w:name="_Toc362"/>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در این مسأله چهار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حاکم شرع تصمیم بر اجرای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باشد یا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سزاوار است مردم را در جریان گذاشته و به آنان اعلام کند تا در مراسم اقامه‌ی حدّ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اعلام کردن سزاوار است، بلکه به مردم امر کند و از آنان بخواهد در مراسم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احتیاط، گروهی از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حضور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سنگ‌های کوچک استفاده شود؛ بلکه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سنگریزه و شن که سنگ نیستند رجم کنند؛ و یا به سنگ بزرگی که با زدن یک یا دو عدد از آن زانی کشته می‌شود، مجرم را سنگسار کنند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در عدم اقامه‌ی حدّ توسّط کسی است که حدّ به گردن دارد؛ به خصوص اگر گناهش مانند گناه مجرم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مجری حدّ بین خود و خدایش توبه کرده، می‌تواند حدّ را اجرا کند؛ هرچند قول قوی کراهت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توبه کرده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در این مطلب نیست که زنا با اقرار ثابت شده باشد یا به بیّنه</w:t>
      </w:r>
      <w:r>
        <w:rPr>
          <w:rFonts w:eastAsia="IRNazanin" w:cs="IRNazanin"/>
          <w:color w:val="111111"/>
          <w:sz w:val="28"/>
          <w:szCs w:val="28"/>
          <w:rtl w:val="true"/>
          <w:lang w:bidi="fa-IR"/>
        </w:rPr>
        <w:t>.</w:t>
      </w:r>
      <w:bookmarkStart w:id="951" w:name="pg16919_227514"/>
    </w:p>
    <w:p>
      <w:pPr>
        <w:pStyle w:val="Heading5"/>
        <w:numPr>
          <w:ilvl w:val="4"/>
          <w:numId w:val="1"/>
        </w:numPr>
        <w:rPr/>
      </w:pPr>
      <w:bookmarkStart w:id="952" w:name="__RefHeading___Toc79310_3244359995"/>
      <w:bookmarkStart w:id="953" w:name="_Toc363"/>
      <w:bookmarkEnd w:id="951"/>
      <w:bookmarkEnd w:id="952"/>
      <w:r>
        <w:rPr>
          <w:rtl w:val="true"/>
        </w:rPr>
        <w:t>فرع اوّل</w:t>
      </w:r>
      <w:r>
        <w:rPr>
          <w:rtl w:val="true"/>
        </w:rPr>
        <w:t xml:space="preserve">: </w:t>
      </w:r>
      <w:r>
        <w:rPr>
          <w:rtl w:val="true"/>
        </w:rPr>
        <w:t>استحباب اعلام مؤمنین و امر به حضور آنان</w:t>
      </w:r>
      <w:bookmarkEnd w:id="953"/>
    </w:p>
    <w:p>
      <w:pPr>
        <w:pStyle w:val="BookText"/>
        <w:rPr/>
      </w:pPr>
      <w:r>
        <w:rPr>
          <w:rFonts w:ascii="IRNazanin" w:hAnsi="IRNazanin" w:eastAsia="IRNazanin"/>
          <w:color w:val="111111"/>
          <w:sz w:val="28"/>
          <w:sz w:val="28"/>
          <w:szCs w:val="28"/>
          <w:rtl w:val="true"/>
          <w:lang w:bidi="fa-IR"/>
        </w:rPr>
        <w:t>در این فرع دو حکم مستحبّی مطرح است، یکی اعلام مؤمنین و دیگری امر به حضور یافتن در مراسم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دو حکم، فعل امیرمؤمنان علیه السلام است که به مردم فرمان می‌داد خارج شوند و در آن مراسم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فعل آن امام بزرگوار علیه السلام بیش از رجحان استفاده نمی‌شود؛ زیرا، فعل، لسان ندارد و در صورتی که همراه با قرینه نباشد، ظهور در وجوب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در این مورد رسیده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محبوب، عن علیّ بن أبی حمزة، عن أبی بصیر، عن عمران بن میثم، أو صالح بن میثم، عن أبیه، إنّ امرأة أقرّت عند أمیر المؤمنین علیه السلام بالزنا أربع مرّات فأمر قنبراً فنادی بالنّاس فاجتمعوا، وقام أمیر المؤمنین 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إمامکم خارج بهذه المرأة إلی هذا الظهر لیقیم علیها الحدّ إن شاء اللّه، فعزم علیکم أمیر المؤمنین لمّا خرجتم وأنتم متنکّرون ومعکم أحجارکم لا یتعرّف منکم أحد إلی أحمد فانصرفوا إلی منازلکم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فلمّا أصبح النّاس بکرة خرج بالمرأة وخرج النّاس معه متنکّرین متلثّمین بعمائهم وبأردیتهم، والحجارة فی أردیتهم وفی أکمامهم حتّی انتهی بها والنّاس معه إلی الظهر بالکوفة، فأمر أن یحفر لها حفیرة ثمّ دفنها فیها، ثمّ رکب بغلته وأثبت رجله فی غرز الرّکاب، ثمّ وضع إصبعیه السبابتین فی 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عهد إلی نبیّه صلی الله علیه و آله عهداً عهده محمّد صلی الله علیه و آله إلیّ بأنّه لا یقیم الحدّ من للّه‌علیه حدّ، فمن کان للّه‌علیه مثل ما له علیها فلا یقیم علیها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یومئذ کلّهم ما خلا أمیر المؤمنین والحسن والحسین علیهم السلام فأقام هؤلاء الثلاثة علیها الحدّ یومئذ وما معهم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وانصرف یومئذ فی من انصرف محمّد بن أمیر المؤمنین علیه السلام</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پدرش میثم تمّار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امیرمؤمنان علیه السلام چهار مرتبه به زنا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قنبر دستور داد مردم را به مسجد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اجتماع کردند، امام علیه السلام برخاست، حمد و ثنای الهی به جا آورده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امام شما برای اجرای حدّ بر این زن تصمیم دارد به خارج کوفه برود ان شاءاللّه، پس امامتان تصمیم دارد وقتی شما بیرون آمدید،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گونه‌ای بیایید که هیچ کس رفیق خودش را نشناسد، یعنی با حالت تنکّر و عدم شناسایی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سنگ‌های‌تان را به دنبال خود بیاورید، فردی از شما دیگری را نشناسد، به منازل خود بروید،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امام علیه السلام همراه با آن زن و مردمی که روی خود را به عمامه‌ها و عباهای‌شان پوشیده بودند و سنگ‌های‌شان را در آستین یا عبا آورده بودند، خارج شد تا به پشت کوفه رسید؛ دستور داد گودالی کندند و آن زن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مرکب خود سوار شد و پاهایش را در رکاب استوار کرده، انگشتان سبابه را در گوش خود گذاشته و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با پیامبرش عهدی بسته و پیامبرش نیز با من همان پیمان را بست که کسی که حدّی از خدا در گردن دارد به اقامه‌ی حدّ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فردی که حدّی همانند حدّ این زن به عهده دارد، در اجرای حدّ شرکت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سخنان، همه‌ی مردم برگشتند، مگر امیرمؤمنان و حسن و حسین علیهم السلام، این سه بزرگوار به اقامه‌ی حد پرداختند و کسی با آنان مشارکت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امر امیرمؤمنان علیه السلام ظهور دارد در این که قنبر مردم را دعوت کند؛ در حقیقت، مردم را برای شرکت در این مراسم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امیرمؤمنان علیه السلام مقداری که استفاده می‌شود، رجحان این معنا است؛ امّا این که به حدّ وجوب برسد یک امر الزامی در مقام اجرای حدّ باشد، این مطلب را دلالت 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إبراهیم، عن أحمد بن محمّد بن خالد، رفعه إلی</w:t>
      </w:r>
    </w:p>
    <w:p>
      <w:pPr>
        <w:pStyle w:val="BookText"/>
        <w:rPr/>
      </w:pPr>
      <w:r>
        <w:rPr>
          <w:rFonts w:ascii="IRNazanin" w:hAnsi="IRNazanin" w:eastAsia="IRNazanin"/>
          <w:color w:val="111111"/>
          <w:sz w:val="28"/>
          <w:sz w:val="28"/>
          <w:szCs w:val="28"/>
          <w:rtl w:val="true"/>
          <w:lang w:bidi="fa-IR"/>
        </w:rPr>
        <w:t>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بالکوفة فقال یا أمیر المؤمنین إنّی زنیت فطهّرنی، وذکر أنّه أقرّ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نادی فی النّاس یا معشر المسلمین اخرجوا لیقام علی هذا الرّجل الحدّ ولا یعرفنّ أحدکم صاحبه، فأخرجه إلی الجبان،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أنظرنی اصّلی رکعتین، ثمّ وضعه فی حفرته واستقبل النّاس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إنّ هذه حقوق اللّه فمن کان للّه‌فی عنقه حقّ فلینصرف ولایقیم حدود اللّه من فی عنقه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النّاس وبقی هو والحسن والحسین، فرماه کلّ واحد ثلاثة أحجار فمات الرجل، فأخرجه أمیر المؤمنین علیه السلام، فأمر فحفر له وصلّی علیه ودفنه، الحدیث</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مرفوعه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کوفه نزد امیرمؤمنان علیه السلام آمد و چهار مرتبه به زنا اقرار کرد و از امام علیه السلام خواست که او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مردم خواست تا برای اجرای حدّ بر آن مرد به صورت ناشناس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متضمّن اعلام و امر به خروج است؛ شاید علّت ناشناس آمدن همان مطلبی باشد که در آخر روایت آمده و در روایت دیگر نیز دارد که همه‌ی مردم برگشتند مگر امیرمؤمنان و امام حسن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برای این که افراد حاضر یکدیگر را نشناسند و به راز همدیگر پی نبرند این فرمان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مانند حدیث قبلی حاکی از فعل امام است، و بنابراین، بیش از رجحان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حاکی قول امام بود، امکان داشت اشکالاتی طرح شود؛ لیکن در روایت اوّل میثم تمّار واقعه را تعریف می‌کند و روایت دوم مرفوعه است و معلوم نیست چه کسی این واقعه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هیچ‌گونه شبهه‌ای نیست؛ زیرا، ما هستیم و حکایت فعل امیرالمؤمنین علیه السلام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حکایت نیز دلالتی بر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تنافی این فتوا با آیه‌ی زنا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ادلّه‌ی گذشته استحباب اعلام و امر مردم به حضور در مراسم اقامه‌ی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استحبابی با مفاد آیه‌ی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عَذابَهُما طائِفَةٌ مِنَ</w:t>
      </w:r>
    </w:p>
    <w:p>
      <w:pPr>
        <w:pStyle w:val="BookText"/>
        <w:rPr/>
      </w:pPr>
      <w:r>
        <w:rPr>
          <w:rFonts w:ascii="Amiri" w:hAnsi="Amiri" w:eastAsia="Amiri" w:cs="Amiri"/>
          <w:color w:val="111111"/>
          <w:sz w:val="28"/>
          <w:sz w:val="28"/>
          <w:szCs w:val="28"/>
          <w:rtl w:val="true"/>
          <w:lang w:bidi="ar-SA"/>
        </w:rPr>
        <w:t xml:space="preserve">اَلْمُؤْمِنِینَ </w:t>
      </w:r>
      <w:r>
        <w:rPr>
          <w:rStyle w:val="FootnoteAnchor"/>
          <w:rtl w:val="true"/>
        </w:rPr>
        <w:footnoteReference w:id="976"/>
      </w:r>
      <w:r>
        <w:rPr>
          <w:rFonts w:ascii="IRNazanin" w:hAnsi="IRNazanin" w:eastAsia="IRNazanin"/>
          <w:color w:val="111111"/>
          <w:sz w:val="28"/>
          <w:sz w:val="28"/>
          <w:szCs w:val="28"/>
          <w:rtl w:val="true"/>
          <w:lang w:bidi="fa-IR"/>
        </w:rPr>
        <w:t xml:space="preserve">تنافی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بر این‌که مفاد آیه وجوب حضور گروهی از مؤمنان در مکان اجرای 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استحباب اعلام و امر به خروج، جواز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عمل نشود، و حاکم شرع، اعلام نکرده و فرمان به خروج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چگونه وَ لْیَشْهَدْ عَذابَهُما طائِفَةٌ مِنَ الْمُؤْمِنِینَ </w:t>
      </w:r>
      <w:r>
        <w:rPr>
          <w:rStyle w:val="FootnoteAnchor"/>
          <w:rtl w:val="true"/>
        </w:rPr>
        <w:footnoteReference w:id="977"/>
      </w:r>
      <w:r>
        <w:rPr>
          <w:rFonts w:ascii="IRNazanin" w:hAnsi="IRNazanin" w:eastAsia="IRNazanin"/>
          <w:color w:val="111111"/>
          <w:sz w:val="28"/>
          <w:sz w:val="28"/>
          <w:szCs w:val="28"/>
          <w:rtl w:val="true"/>
          <w:lang w:bidi="fa-IR"/>
        </w:rPr>
        <w:t xml:space="preserve">امتثال می‌شود؟ شرط حضور گروهی از مؤمنین خبردار شدن آنان است؛ اگر چیزی به آنان اعلام نشود، از کجا مطلب را بفهمند؟ از این رو، نمی‌توان بین استحباب اعلام و وجوب حضور گروه مؤمنین جمع کرد؛ بلکه باید حکم به وجوب اعلام و خروج داد، نه این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حکم استحبابی به لحاظ توده‌ی مردم و جمعیّت زیاد است؛ یعنی در جریان گذاشتن همگان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آیه‌ی شریفه ناظر به وجوب حضور گروهی از مؤمنان است که به تعبیر بسیاری از فقها، مراد از طائفه و گروه بیش از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جواب، کلام محقّق حلّی رحمه الله در شرایع الاسلام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أن یُعلم النّاس لیتوفّروا علی حضوره</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 xml:space="preserve">ایشان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تحریر الوسیله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لیتوفّروا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جمعیّت زیادی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معلوم شد آن‌چه واجب است حضور گروهی از مؤمنین یک نفر و بیشتر است، و آن‌چه استحباب دارد، اعلام همگانی است؛ و بین این دو،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نیز حکمی است که در مسائل گذشته گفتیم؛ مبنی بر آن که اگر زنا با بیّنه ثابت شده، ابتدا بیّنه رجم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فرع اطّلاع و آگاهی آنان از زمان رجم است؛ پس از شهود، امام علیه السلام، و در آخر، نوبت به دیگر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عنوان دیگری هستند، لذا، اگر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به مردم زمان اجرای حدّ را اعلام کند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نیست که به یک یا دو نفر بگوید؛ بلکه امتثال این امر استحبابی به در جریان</w:t>
      </w:r>
      <w:bookmarkStart w:id="954" w:name="pg16919_227522"/>
    </w:p>
    <w:p>
      <w:pPr>
        <w:pStyle w:val="BookText"/>
        <w:rPr/>
      </w:pPr>
      <w:bookmarkEnd w:id="954"/>
      <w:r>
        <w:rPr>
          <w:rFonts w:ascii="IRNazanin" w:hAnsi="IRNazanin" w:eastAsia="IRNazanin"/>
          <w:color w:val="111111"/>
          <w:sz w:val="28"/>
          <w:sz w:val="28"/>
          <w:szCs w:val="28"/>
          <w:rtl w:val="true"/>
          <w:lang w:bidi="fa-IR"/>
        </w:rPr>
        <w:t>گذاشتن توده‌ی مردم از اهل مسجد و بازار و غیره است، تا هنگام اجرای حدّ اجتماع کنند، و مراسم اقامه‌ی حدّ را از نزدیک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دو حکم استحبابی، منافاتی با آیه‌ی شریفه ندارد</w:t>
      </w:r>
      <w:r>
        <w:rPr>
          <w:rFonts w:eastAsia="IRNazanin" w:cs="IRNazanin"/>
          <w:color w:val="111111"/>
          <w:sz w:val="28"/>
          <w:szCs w:val="28"/>
          <w:rtl w:val="true"/>
          <w:lang w:bidi="fa-IR"/>
        </w:rPr>
        <w:t>.</w:t>
      </w:r>
    </w:p>
    <w:p>
      <w:pPr>
        <w:pStyle w:val="Heading5"/>
        <w:numPr>
          <w:ilvl w:val="4"/>
          <w:numId w:val="1"/>
        </w:numPr>
        <w:rPr/>
      </w:pPr>
      <w:bookmarkStart w:id="955" w:name="__RefHeading___Toc79312_3244359995"/>
      <w:bookmarkStart w:id="956" w:name="_Toc364"/>
      <w:bookmarkEnd w:id="955"/>
      <w:r>
        <w:rPr>
          <w:rtl w:val="true"/>
        </w:rPr>
        <w:t>فرع دوم</w:t>
      </w:r>
      <w:r>
        <w:rPr>
          <w:rtl w:val="true"/>
        </w:rPr>
        <w:t xml:space="preserve">: </w:t>
      </w:r>
      <w:r>
        <w:rPr>
          <w:rtl w:val="true"/>
        </w:rPr>
        <w:t>حکم حضور گروه مؤمنین</w:t>
      </w:r>
      <w:bookmarkEnd w:id="956"/>
    </w:p>
    <w:p>
      <w:pPr>
        <w:pStyle w:val="BookText"/>
        <w:rPr/>
      </w:pPr>
      <w:r>
        <w:rPr>
          <w:rFonts w:ascii="IRNazanin" w:hAnsi="IRNazanin" w:eastAsia="IRNazanin"/>
          <w:color w:val="111111"/>
          <w:sz w:val="28"/>
          <w:sz w:val="28"/>
          <w:szCs w:val="28"/>
          <w:rtl w:val="true"/>
          <w:lang w:bidi="fa-IR"/>
        </w:rPr>
        <w:t>در این فرع دو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حضور گروه مؤمنین واجب است یا مستحب؟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افراد چقدر است؟</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یا استحباب حضور مؤمنان</w:t>
      </w:r>
    </w:p>
    <w:p>
      <w:pPr>
        <w:pStyle w:val="BookText"/>
        <w:rPr/>
      </w:pPr>
      <w:r>
        <w:rPr>
          <w:rFonts w:ascii="IRNazanin" w:hAnsi="IRNazanin" w:eastAsia="IRNazanin"/>
          <w:color w:val="111111"/>
          <w:sz w:val="28"/>
          <w:sz w:val="28"/>
          <w:szCs w:val="28"/>
          <w:rtl w:val="true"/>
          <w:lang w:bidi="fa-IR"/>
        </w:rPr>
        <w:t>ظاهر آیه‌ی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عَذابَهُما طائِفَةٌ مِنَ الْمُؤْمِنِینَ امر غایب است که ظهور در وجوب دارد؛ همان‌گونه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فَاجْلِدُوا کُلَّ واحِدٍ مِنْهُما مِائَةَ جَلْدَةٍ امر حاضر، وظهور در وجوب داشت؛ لیکن شیخ طوسی رحمه الله در کتاب خلاف بر استحباب حضور گروه مؤمنان ادّعای اجماع کرده است و با وجود این ادّعا، نمی‌توان به ظاهر آیه تمسّک کرده، به وجوب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از یک طرف دلالت آیه را دیده، و از سوی دیگر، اجماع شخصیّت عظیمی مانند شیخ طوسی رحمه الله را ملاحظه کرده‌اند؛ از این رو، راه احتیاط لزومی را طی کرده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باید در عبارت شیخ طوسی رحمه الله دقّتی کرد تا معلوم گردد آیا ادّعای اجماع دارد یا نه؟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یحضر عند إقامة الحدّ علی الزانی طائفة من المؤمنین بلا خلاف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عَذابَهُما طائِفَةٌ مِنَ الْمُؤْمِنِینَ وأقلّ ذلک عشرة وبه قال الحسن البصری</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هرچند ظاهر کلام ایشان استحباب است و بر آن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لیکن مطلب را به این‌جا ختم نمی‌کند؛ بله در ادامه به آیه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مرحوم شیخ به آن اعتماد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نمی‌گوید چون در این مسأله اجماع داریم، به</w:t>
      </w:r>
    </w:p>
    <w:p>
      <w:pPr>
        <w:pStyle w:val="BookText"/>
        <w:rPr/>
      </w:pPr>
      <w:r>
        <w:rPr>
          <w:rFonts w:ascii="IRNazanin" w:hAnsi="IRNazanin" w:eastAsia="IRNazanin"/>
          <w:color w:val="111111"/>
          <w:sz w:val="28"/>
          <w:sz w:val="28"/>
          <w:szCs w:val="28"/>
          <w:rtl w:val="true"/>
          <w:lang w:bidi="fa-IR"/>
        </w:rPr>
        <w:t>استحباب معتقد می‌شویم؛ بلکه شیخ طوسی رحمه الله به آیه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برای ما راهی باز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موقعیّت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یحضر عند إقامة الحدّ علی الزانی طائفة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چنین کاری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مرحوم شیخ این باشد، چگونه به آیه تمسّک کرده است، در حالی که هیچ قرینه‌ای بر استحباب نیست و آیه ظهور در وجوب دارد؟ از این رو، می‌فهمیم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مقابل وجوب نیست؛ بلکه به معنای رجحان است، در مقابل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گروه مؤمنان رجحانی ندارد؛ شیخ رحمه الله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وجوب نیز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نیز استدلال ایشان به آیه‌ای است که هیچ قرینه‌ای بر استحباب ندارد و در دلالتش بر وجوب، نقص و منعی مشاهده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مانند صاحب جواهر رحمه الله</w:t>
      </w:r>
      <w:r>
        <w:rPr>
          <w:rStyle w:val="FootnoteAnchor"/>
          <w:rtl w:val="true"/>
        </w:rPr>
        <w:footnoteReference w:id="980"/>
      </w:r>
      <w:r>
        <w:rPr>
          <w:rFonts w:ascii="IRNazanin" w:hAnsi="IRNazanin" w:eastAsia="IRNazanin"/>
          <w:color w:val="111111"/>
          <w:sz w:val="28"/>
          <w:sz w:val="28"/>
          <w:szCs w:val="28"/>
          <w:rtl w:val="true"/>
          <w:lang w:bidi="fa-IR"/>
        </w:rPr>
        <w:t>و غیر او که ظاهر کلام مرحوم شیخ را دیده‌اند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و لا خلاف بر استحباب دارد؛ مثل آن که به این نکته توجّه نکرده‌اند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چه چیزی به کار رفته است؛ اگر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بود، حرف اینان درست بود؛ امّا با استشهاد شیخ طوسی رحمه الله به آیه‌ی شریفه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کسانی باشد که به طور کلّ منکر رجحان هستند، در این صورت، نه تنها با وجوب، بلکه با استشهاد به آیه نیز منافات ندارد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وجوب استعمال 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طوسی رحمه الله با استشهادش به آیه‌ی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چگونه استدلال به آیه را کنار بگذاریم با آن که شیخ رحمه الله نیز به آن عمل کرده است؟ از عبارت اوّل او هیچ چیزی را نمی‌توانیم استفاده کنیم؛ آن‌چه اساس مطلب مرحوم شیخ را تشکیل می‌دهد، استدلال به آیه است؛ بنابراین، به نظر می‌رسد که ما حقّ رفع ید از ظاهر آیه‌ی شریفه را نداریم؛ آیه‌ی وَ لْیَشْهَدْ عَذابَهُما طائِفَةٌ مِنَ الْمُؤْمِنِینَ </w:t>
      </w:r>
      <w:r>
        <w:rPr>
          <w:rStyle w:val="FootnoteAnchor"/>
          <w:rtl w:val="true"/>
        </w:rPr>
        <w:footnoteReference w:id="981"/>
      </w:r>
      <w:r>
        <w:rPr>
          <w:rFonts w:ascii="IRNazanin" w:hAnsi="IRNazanin" w:eastAsia="IRNazanin"/>
          <w:color w:val="111111"/>
          <w:sz w:val="28"/>
          <w:sz w:val="28"/>
          <w:szCs w:val="28"/>
          <w:rtl w:val="true"/>
          <w:lang w:bidi="fa-IR"/>
        </w:rPr>
        <w:t>ظهور در وجوب</w:t>
      </w:r>
    </w:p>
    <w:p>
      <w:pPr>
        <w:pStyle w:val="BookText"/>
        <w:rPr/>
      </w:pPr>
      <w:r>
        <w:rPr>
          <w:rFonts w:ascii="IRNazanin" w:hAnsi="IRNazanin" w:eastAsia="IRNazanin"/>
          <w:color w:val="111111"/>
          <w:sz w:val="28"/>
          <w:sz w:val="28"/>
          <w:szCs w:val="28"/>
          <w:rtl w:val="true"/>
          <w:lang w:bidi="fa-IR"/>
        </w:rPr>
        <w:t>دارد و چیزی که مانع و صارف از این وجوب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به احتیاط لزومی قائل شد، بلکه بالاتر از آن، باید فتوا به وجوب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مؤمنان</w:t>
      </w:r>
    </w:p>
    <w:p>
      <w:pPr>
        <w:pStyle w:val="BookText"/>
        <w:rPr/>
      </w:pPr>
      <w:r>
        <w:rPr>
          <w:rFonts w:ascii="IRNazanin" w:hAnsi="IRNazanin" w:eastAsia="IRNazanin"/>
          <w:color w:val="111111"/>
          <w:sz w:val="28"/>
          <w:sz w:val="28"/>
          <w:szCs w:val="28"/>
          <w:rtl w:val="true"/>
          <w:lang w:bidi="fa-IR"/>
        </w:rPr>
        <w:t>در تعداد گروه مؤمنان اختلاف شدیدی است؛ اعداد یک، دو، سه، چهار، و ده به عنوان حدّاقل از طایفه در کلمات آمده است؛ برخی نیز آن را به عرف حواله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الوسیله، امام راحل رحمه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حضور طائفة من المؤمنین ثلاثة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راحل در اصل حضور طائفه احتیاط کرده، ولی در تعداد آنان، سه یا بیش‌تر به طور قطع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دو مطلبِ حضور طائفه و تعدادشان احتیاط کرده‌اند؛ در برابر کسانی که حدّاقل طایفه را دو یا یک نفر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احتمال اوّل را تقویت می‌کند؛ یعنی احوط مربوط به حضور طایفه در مقابل عدم حضور آنان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طایفه است؛ و از بین اقوالی که در تعداد طایفه وجود دارد، ایشان این اقوال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که اگر در هر دو مطلب احتیاط کرده بودند،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حدّاقل طائفه به یک نفر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زیادی از فقها مانند علّامه رحمه الله در قواعد</w:t>
      </w:r>
      <w:r>
        <w:rPr>
          <w:rStyle w:val="FootnoteAnchor"/>
          <w:rtl w:val="true"/>
        </w:rPr>
        <w:footnoteReference w:id="982"/>
      </w:r>
      <w:r>
        <w:rPr>
          <w:rFonts w:ascii="IRNazanin" w:hAnsi="IRNazanin" w:eastAsia="IRNazanin"/>
          <w:color w:val="111111"/>
          <w:sz w:val="28"/>
          <w:sz w:val="28"/>
          <w:szCs w:val="28"/>
          <w:rtl w:val="true"/>
          <w:lang w:bidi="fa-IR"/>
        </w:rPr>
        <w:t>محقّق رحمه الله در نافع</w:t>
      </w:r>
      <w:r>
        <w:rPr>
          <w:rStyle w:val="FootnoteAnchor"/>
          <w:rtl w:val="true"/>
        </w:rPr>
        <w:footnoteReference w:id="983"/>
      </w:r>
      <w:r>
        <w:rPr>
          <w:rFonts w:ascii="IRNazanin" w:hAnsi="IRNazanin" w:eastAsia="IRNazanin"/>
          <w:color w:val="111111"/>
          <w:sz w:val="28"/>
          <w:sz w:val="28"/>
          <w:szCs w:val="28"/>
          <w:rtl w:val="true"/>
          <w:lang w:bidi="fa-IR"/>
        </w:rPr>
        <w:t>، شیخ قدس سره در نهایه</w:t>
      </w:r>
      <w:r>
        <w:rPr>
          <w:rStyle w:val="FootnoteAnchor"/>
          <w:rtl w:val="true"/>
        </w:rPr>
        <w:footnoteReference w:id="984"/>
      </w:r>
      <w:r>
        <w:rPr>
          <w:rFonts w:ascii="IRNazanin" w:hAnsi="IRNazanin" w:eastAsia="IRNazanin"/>
          <w:color w:val="111111"/>
          <w:sz w:val="28"/>
          <w:sz w:val="28"/>
          <w:szCs w:val="28"/>
          <w:rtl w:val="true"/>
          <w:lang w:bidi="fa-IR"/>
        </w:rPr>
        <w:t>، ابن سعید حلّی رحمه الله در جامع</w:t>
      </w:r>
      <w:r>
        <w:rPr>
          <w:rStyle w:val="FootnoteAnchor"/>
          <w:rtl w:val="true"/>
        </w:rPr>
        <w:footnoteReference w:id="985"/>
      </w:r>
      <w:r>
        <w:rPr>
          <w:rFonts w:ascii="IRNazanin" w:hAnsi="IRNazanin" w:eastAsia="IRNazanin"/>
          <w:color w:val="111111"/>
          <w:sz w:val="28"/>
          <w:sz w:val="28"/>
          <w:szCs w:val="28"/>
          <w:rtl w:val="true"/>
          <w:lang w:bidi="fa-IR"/>
        </w:rPr>
        <w:t>، مرحوم طبرسی در مجمع البیان</w:t>
      </w:r>
      <w:r>
        <w:rPr>
          <w:rStyle w:val="FootnoteAnchor"/>
          <w:rtl w:val="true"/>
        </w:rPr>
        <w:footnoteReference w:id="986"/>
      </w:r>
      <w:r>
        <w:rPr>
          <w:rFonts w:ascii="IRNazanin" w:hAnsi="IRNazanin" w:eastAsia="IRNazanin"/>
          <w:color w:val="111111"/>
          <w:sz w:val="28"/>
          <w:sz w:val="28"/>
          <w:szCs w:val="28"/>
          <w:rtl w:val="true"/>
          <w:lang w:bidi="fa-IR"/>
        </w:rPr>
        <w:t>، طوسی رحمه الله</w:t>
      </w:r>
      <w:r>
        <w:rPr>
          <w:rStyle w:val="FootnoteAnchor"/>
          <w:rtl w:val="true"/>
        </w:rPr>
        <w:footnoteReference w:id="987"/>
      </w:r>
      <w:r>
        <w:rPr>
          <w:rFonts w:ascii="IRNazanin" w:hAnsi="IRNazanin" w:eastAsia="IRNazanin"/>
          <w:color w:val="111111"/>
          <w:sz w:val="28"/>
          <w:sz w:val="28"/>
          <w:szCs w:val="28"/>
          <w:rtl w:val="true"/>
          <w:lang w:bidi="fa-IR"/>
        </w:rPr>
        <w:t>در تبیان و ابن عباس رحمه الله در</w:t>
      </w:r>
    </w:p>
    <w:p>
      <w:pPr>
        <w:pStyle w:val="BookText"/>
        <w:rPr/>
      </w:pPr>
      <w:r>
        <w:rPr>
          <w:rFonts w:ascii="IRNazanin" w:hAnsi="IRNazanin" w:eastAsia="IRNazanin"/>
          <w:color w:val="111111"/>
          <w:sz w:val="28"/>
          <w:sz w:val="28"/>
          <w:szCs w:val="28"/>
          <w:rtl w:val="true"/>
          <w:lang w:bidi="fa-IR"/>
        </w:rPr>
        <w:t>تفسیر طائفه</w:t>
      </w:r>
      <w:r>
        <w:rPr>
          <w:rStyle w:val="FootnoteAnchor"/>
          <w:rtl w:val="true"/>
        </w:rPr>
        <w:footnoteReference w:id="988"/>
      </w:r>
      <w:r>
        <w:rPr>
          <w:rFonts w:ascii="IRNazanin" w:hAnsi="IRNazanin" w:eastAsia="IRNazanin"/>
          <w:color w:val="111111"/>
          <w:sz w:val="28"/>
          <w:sz w:val="28"/>
          <w:szCs w:val="28"/>
          <w:rtl w:val="true"/>
          <w:lang w:bidi="fa-IR"/>
        </w:rPr>
        <w:t>حدّاقل را یک نفر گفته‌اند؛ یعنی اگر یک نفر از مؤمنین شاهد و ناظر رجم و تازیانه باشد، به آیه‌ی شریفه عمل شده است؛ خواه به وجوب حضور طائفه یا به استحباب آن، معتقد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این قول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فرّاء</w:t>
      </w:r>
      <w:r>
        <w:rPr>
          <w:rStyle w:val="FootnoteAnchor"/>
          <w:rtl w:val="true"/>
        </w:rPr>
        <w:footnoteReference w:id="989"/>
      </w:r>
      <w:r>
        <w:rPr>
          <w:rFonts w:ascii="IRNazanin" w:hAnsi="IRNazanin" w:eastAsia="IRNazanin"/>
          <w:color w:val="111111"/>
          <w:sz w:val="28"/>
          <w:sz w:val="28"/>
          <w:szCs w:val="28"/>
          <w:rtl w:val="true"/>
          <w:lang w:bidi="fa-IR"/>
        </w:rPr>
        <w:t>از علمای لغت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طائفه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تکّه‌ای از پارچه‌ای بچینیم، به آن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قطعه از آنان که بر یک فرد از مؤمنین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آیه‌ی زیر استدلال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Style w:val="FootnoteAnchor"/>
          <w:rtl w:val="true"/>
        </w:rPr>
        <w:footnoteReference w:id="990"/>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طایفه از مؤمنین در مقام قتال و مقاتله‌ی با یکدیگر برآمدند، بین آنان صلح برقرار کنید، اگر یکی از آن‌ها اراده ظلم داشت و زیر بار صلح واقعی نرفت، دیگران موظّف‌اند با او بجنگند و او را از بین ببرند تا این‌که به امر خدا رجوع کند و سر تسلیم در برابر آن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امر خدا بازگشت، بین آنان صلحی عادلانه برقرار کنید و عدالت ورزید که خداوند</w:t>
      </w:r>
    </w:p>
    <w:p>
      <w:pPr>
        <w:pStyle w:val="BookText"/>
        <w:rPr/>
      </w:pPr>
      <w:r>
        <w:rPr>
          <w:rFonts w:ascii="IRNazanin" w:hAnsi="IRNazanin" w:eastAsia="IRNazanin"/>
          <w:color w:val="111111"/>
          <w:sz w:val="28"/>
          <w:sz w:val="28"/>
          <w:szCs w:val="28"/>
          <w:rtl w:val="true"/>
          <w:lang w:bidi="fa-IR"/>
        </w:rPr>
        <w:t>عدالت 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با یکدیگر برابرند؛ پس، بین برادران ایمانی صلح برقرار کنید و تقوای الهی پیشه کنید؛ باشد که مورد رحمت الهی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از آیه‌ی اوّل طائِفَتانِ مِنَ الْمُؤْمِنِینَ است که در آیه‌ی دوم که به دنبال همین آیه و در رابطه‌ی با صلح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فَأَصْلِحُوا بَیْنَ أَخَوَیْکُمْ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مفرد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دو آیه یکدیگر را تفسیر می‌کنند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فرد از مؤمنین است؛ منتهی دو فرد حدّ اقل است؛ اگر دو گروه نیز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از امیرمؤمنان علیه السلام که صاحب جواهر رحمه الله</w:t>
      </w:r>
      <w:r>
        <w:rPr>
          <w:rStyle w:val="FootnoteAnchor"/>
          <w:rtl w:val="true"/>
        </w:rPr>
        <w:footnoteReference w:id="991"/>
      </w:r>
      <w:r>
        <w:rPr>
          <w:rFonts w:ascii="IRNazanin" w:hAnsi="IRNazanin" w:eastAsia="IRNazanin"/>
          <w:color w:val="111111"/>
          <w:sz w:val="28"/>
          <w:sz w:val="28"/>
          <w:szCs w:val="28"/>
          <w:rtl w:val="true"/>
          <w:lang w:bidi="fa-IR"/>
        </w:rPr>
        <w:t>از آن به مرسل تعبیر کرده، در حالی که مسند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محمّد بن یحیی، عن غیاث بن إبراهیم، عن جعفر، عن أبیه، عن أمیر المؤمنین علیه السلام،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إقامة الحدود،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واحد،</w:t>
      </w:r>
      <w:r>
        <w:rPr>
          <w:rStyle w:val="FootnoteAnchor"/>
          <w:rtl w:val="true"/>
        </w:rPr>
        <w:footnoteReference w:id="99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جواهر رحمه الله از ارسال چیست؟ اگر مقصودش ملاقات نکردن امام باقر علیه السلام حضرت امیرمؤمنان علیه السلام است، به چنین مطلبی در اصطلاح حدیث ارسال گفته نمی‌شود؛ بلکه ارسال درباره‌ی غیر معصوم مطرح است؛ وگرنه اگر امامی از امام دیگر هر چند با فاصله‌ی زیاد نقل کند، به آن روایت، مرسل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کلینی رحمه الله با سه واسطه مطلب</w:t>
      </w:r>
      <w:r>
        <w:rPr>
          <w:rStyle w:val="FootnoteAnchor"/>
          <w:rtl w:val="true"/>
        </w:rPr>
        <w:footnoteReference w:id="993"/>
      </w:r>
      <w:r>
        <w:rPr>
          <w:rFonts w:ascii="IRNazanin" w:hAnsi="IRNazanin" w:eastAsia="IRNazanin"/>
          <w:color w:val="111111"/>
          <w:sz w:val="28"/>
          <w:sz w:val="28"/>
          <w:szCs w:val="28"/>
          <w:rtl w:val="true"/>
          <w:lang w:bidi="fa-IR"/>
        </w:rPr>
        <w:t>را از امام صادق علیه السلام نقل کرده است؛ و سند روایت، موثّقه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علیه السلام در آیه‌ی شریفه وَ لا تَأْخُذْکُمْ بِهِما رَأْفَةٌ فِی دِینِ اللّهِ نقل شده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اقامه‌ی حدود، و هم‌چنین طائفه را به یک نفر معنا می‌کند؛ یعنی حدّ اقلّش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تبیان</w:t>
      </w:r>
      <w:r>
        <w:rPr>
          <w:rStyle w:val="FootnoteAnchor"/>
          <w:rtl w:val="true"/>
        </w:rPr>
        <w:footnoteReference w:id="994"/>
      </w:r>
      <w:r>
        <w:rPr>
          <w:rFonts w:ascii="IRNazanin" w:hAnsi="IRNazanin" w:eastAsia="IRNazanin"/>
          <w:color w:val="111111"/>
          <w:sz w:val="28"/>
          <w:sz w:val="28"/>
          <w:szCs w:val="28"/>
          <w:rtl w:val="true"/>
          <w:lang w:bidi="fa-IR"/>
        </w:rPr>
        <w:t>و مجمع البیان</w:t>
      </w:r>
      <w:r>
        <w:rPr>
          <w:rStyle w:val="FootnoteAnchor"/>
          <w:rtl w:val="true"/>
        </w:rPr>
        <w:footnoteReference w:id="995"/>
      </w:r>
      <w:r>
        <w:rPr>
          <w:rFonts w:ascii="IRNazanin" w:hAnsi="IRNazanin" w:eastAsia="IRNazanin"/>
          <w:color w:val="111111"/>
          <w:sz w:val="28"/>
          <w:sz w:val="28"/>
          <w:szCs w:val="28"/>
          <w:rtl w:val="true"/>
          <w:lang w:bidi="fa-IR"/>
        </w:rPr>
        <w:t>همین روایت را به نحو ارسال از امام باقر علیه السلام نقل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ذلک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روایت در وسائل از امام صادق علیه السلام نقل شده است، امّا ایشان از پدرشان امام باقر علیه السلام، روایت را حکایت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روایتی است که حاجی نوری رحمه الله در کتاب مستدرک از کتاب جعفریات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الواحد یجزیء إذا شهد</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مؤمن در مراسم اجرای حدّ حاضر شود، برای امتثال این آیه‌ی شریفه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حدّاقل طایفه به یک نفر، طرفدار زیادی در مفسرّان و فقها دارد؛ و مرحوم محقّق در شرایع پس از نقل چند قول، به آن تمایل پیدا کرده و آن را حسن می‌داند</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تحدید حدّاقلّ طائفه به دو نفر</w:t>
      </w:r>
    </w:p>
    <w:p>
      <w:pPr>
        <w:pStyle w:val="BookText"/>
        <w:rPr/>
      </w:pPr>
      <w:r>
        <w:rPr>
          <w:rFonts w:ascii="IRNazanin" w:hAnsi="IRNazanin" w:eastAsia="IRNazanin"/>
          <w:color w:val="111111"/>
          <w:sz w:val="28"/>
          <w:sz w:val="28"/>
          <w:szCs w:val="28"/>
          <w:rtl w:val="true"/>
          <w:lang w:bidi="fa-IR"/>
        </w:rPr>
        <w:t>عکرمه از اهل سنّت به آن قائل شده است؛ و به آیه‌ی نفر در این مورد استدلال می‌کند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 .</w:t>
      </w:r>
      <w:r>
        <w:rPr>
          <w:rStyle w:val="FootnoteAnchor"/>
          <w:rtl w:val="true"/>
        </w:rPr>
        <w:footnoteReference w:id="998"/>
      </w:r>
      <w:r>
        <w:rPr>
          <w:rFonts w:ascii="IRNazanin" w:hAnsi="IRNazanin" w:eastAsia="IRNazanin"/>
          <w:color w:val="111111"/>
          <w:sz w:val="28"/>
          <w:sz w:val="28"/>
          <w:szCs w:val="28"/>
          <w:rtl w:val="true"/>
          <w:lang w:bidi="fa-IR"/>
        </w:rPr>
        <w:t>در این آیه، طائفه کمتر از فرقه قرار داده شده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فرقه‌ای یک طایفه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بودن طایفه از فرقه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طایفه یک نفر باشد؛ و احتمال دیگر آن‌که دو نفر مراد باشد؛ لیکن دو نفر با احتیاط موافق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تحدید حدّاقل طایفه به چهار نفر</w:t>
      </w:r>
    </w:p>
    <w:p>
      <w:pPr>
        <w:pStyle w:val="BookText"/>
        <w:rPr/>
      </w:pPr>
      <w:r>
        <w:rPr>
          <w:rFonts w:ascii="IRNazanin" w:hAnsi="IRNazanin" w:eastAsia="IRNazanin"/>
          <w:color w:val="111111"/>
          <w:sz w:val="28"/>
          <w:sz w:val="28"/>
          <w:szCs w:val="28"/>
          <w:rtl w:val="true"/>
          <w:lang w:bidi="fa-IR"/>
        </w:rPr>
        <w:t>شافعی حدّاقل از طایفه را چهار نفر گفته است؛ ولی نتوانسته دلیل محکمی بر آن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مناسبت این که حدّاقل شهود در باب زنا چهار نفر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نیز باید چهار نفر باشند</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این نیز استحسانی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حدّاقل طایفه به ده نفر</w:t>
      </w:r>
    </w:p>
    <w:p>
      <w:pPr>
        <w:pStyle w:val="BookText"/>
        <w:rPr/>
      </w:pPr>
      <w:r>
        <w:rPr>
          <w:rFonts w:ascii="IRNazanin" w:hAnsi="IRNazanin" w:eastAsia="IRNazanin"/>
          <w:color w:val="111111"/>
          <w:sz w:val="28"/>
          <w:sz w:val="28"/>
          <w:szCs w:val="28"/>
          <w:rtl w:val="true"/>
          <w:lang w:bidi="fa-IR"/>
        </w:rPr>
        <w:t>شیخ طوسی رحمه الله در عبارت کتاب خلاف طایفه را به ده نفر تفسیر کرده، و این معنا را به حسن بصری نسبت داده است؛</w:t>
      </w:r>
      <w:r>
        <w:rPr>
          <w:rStyle w:val="FootnoteAnchor"/>
          <w:rtl w:val="true"/>
        </w:rPr>
        <w:footnoteReference w:id="1001"/>
      </w:r>
      <w:r>
        <w:rPr>
          <w:rFonts w:ascii="IRNazanin" w:hAnsi="IRNazanin" w:eastAsia="IRNazanin"/>
          <w:color w:val="111111"/>
          <w:sz w:val="28"/>
          <w:sz w:val="28"/>
          <w:szCs w:val="28"/>
          <w:rtl w:val="true"/>
          <w:lang w:bidi="fa-IR"/>
        </w:rPr>
        <w:t>ولی بر آن استدلالی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حدّ اقل به سه نفر</w:t>
      </w:r>
    </w:p>
    <w:p>
      <w:pPr>
        <w:pStyle w:val="BookText"/>
        <w:rPr/>
      </w:pPr>
      <w:r>
        <w:rPr>
          <w:rFonts w:ascii="IRNazanin" w:hAnsi="IRNazanin" w:eastAsia="IRNazanin"/>
          <w:color w:val="111111"/>
          <w:sz w:val="28"/>
          <w:sz w:val="28"/>
          <w:szCs w:val="28"/>
          <w:rtl w:val="true"/>
          <w:lang w:bidi="fa-IR"/>
        </w:rPr>
        <w:t>ابن ادریس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طایفه سه نفر است</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از زهری و قتاده نیز این معنا حکایت شده است؛ جبایی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الطائفة أقلّ من ثلاثة فقط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خیال کند که طایفه کمتر از سه نفر و با یک یا دو نفر محقّق می‌شود، اشتباه کرده است</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ادلّه‌ی این قول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به عرف مراجعه می‌شود، می‌بینیم بین طائفه و جماعت فرقی قائل نیست؛ یعنی اگر در آیه به جای طائِفَةٌ مِنَ الْمُؤْمِنِینَ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می‌شد، عرف همان معنا را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عرف، جماعت بر کمتر از سه نفر تطبیق ندارد؛ بلکه معنای ظاهری عرفی آن، سه نفر و بیشتر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طائفه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مقاییس اللغة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به معنای دور زدن و احاطه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اطلاق طواف بر طواف خانه‌ی خدا، این است که طواف‌کننده، خانه‌ی خدا را احاطه می‌کند و آن را محاط به خودش قرار می‌دهد؛ به لحاظ این که تمامی جوانب کعبه را دور می‌زند و می‌چرخد، به چنین احاطه‌ای طواف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 طواف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 طواف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طایفه را به معنای جماعت می‌گیریم، آن مادّه و معنای اصلی محفوظ و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طائفه اطلاق شود، جنبه‌ی احاطه و در برگرفتن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طائفه دارد است، یعنی بستگان و فامیل‌هایی دارد که او را احاطه کرده‌اند؛ گویا پشتیبان او بوده و یک حالت مصونیّت برایش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اطلاق نیز جهت احتفاف و احاطه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فرّاء گفته مبنی بر آن که به قطعه‌ای از لباس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استعمالی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r>
        <w:rPr>
          <w:rStyle w:val="FootnoteAnchor"/>
          <w:rtl w:val="true"/>
        </w:rPr>
        <w:footnoteReference w:id="1004"/>
      </w:r>
      <w:r>
        <w:rPr>
          <w:rFonts w:ascii="IRNazanin" w:hAnsi="IRNazanin" w:eastAsia="IRNazanin"/>
          <w:color w:val="111111"/>
          <w:sz w:val="28"/>
          <w:sz w:val="28"/>
          <w:szCs w:val="28"/>
          <w:rtl w:val="true"/>
          <w:lang w:bidi="fa-IR"/>
        </w:rPr>
        <w:t>دوبار تصریح می‌کند که این کاربرد در ثوب، مجاز است؛ امّا به علت آن اشاره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خصوصیّتی که سبب مجازیّت می‌شود، این است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طائفه‌دار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را در مقابل جمعیّت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سنجش، دو حیثیّت است؛ در یکی، جنبه‌ی احتفاف و احاطه وجود دارد؛ و در دیگری، جنبه‌ی قشری از جمعیت و گروهی از مجموعه لحاظ شده است؛ وگرنه اگر مجموعه‌ای وجود نداشته باشد، اصلاً معنا ندارد که کلمه‌ی طائفه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کلّ مؤمنین مطرح نباشند،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طایفه به لحاظ مجموعه سنجیده شود، عنوان قطعه و بعض مجموعه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جهت در عنوان طائفه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احاطه و فراگیری، و جهت بعضیّت و جزئی از مجموعه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شد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لحاظ جهت دوم است؛ بنابراین، استعمالی مجازی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اصلی و اوّلی در معنای طائفه، احتفاف و احاطه است که لغت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احاطه و احتفاف و دوران و دربرگیری و امثال آن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خصوصیّت، نمی‌توان طایفه را کمتر از سه نفر دانست</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این بیان ابن فارس، صحیح و با لغت در مادّه‌ی اصلی کاملاً مطابقت دارد؛ لذا، اگر ما</w:t>
      </w:r>
      <w:bookmarkStart w:id="957" w:name="pg16919_227540"/>
    </w:p>
    <w:p>
      <w:pPr>
        <w:pStyle w:val="BookText"/>
        <w:rPr/>
      </w:pPr>
      <w:bookmarkEnd w:id="957"/>
      <w:r>
        <w:rPr>
          <w:rFonts w:ascii="IRNazanin" w:hAnsi="IRNazanin" w:eastAsia="IRNazanin"/>
          <w:color w:val="111111"/>
          <w:sz w:val="28"/>
          <w:sz w:val="28"/>
          <w:szCs w:val="28"/>
          <w:rtl w:val="true"/>
          <w:lang w:bidi="fa-IR"/>
        </w:rPr>
        <w:t>بودیم و لغت،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طایفه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مقابل این ادلّه و حرف‌ها، روایت موثّقه در تفسیر آیه، طایفه را فرد واحد معنا کرده است؛ و با وجود چنین حدیثی که در مقام تفسیر رسیده، آن هم آیه‌ای که مربوط به حکم شرعی است، نمی‌توان از این موثّقه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مربوط به حکم شرعی نبود، و مطلبی تاریخی و یا قصّه‌ای را بیان می‌کرد، ممکن بود در حجّیت خبر واحدِ در آن مناقشه کرد؛ ولی این آیه مربوط به حکم شرعی، و روایت واردِ در تفسیرِ آن موثّقه است، پس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اشعثیّات اگر فی نفسه حجیّت نداشته باشد، به عنوان مؤیّد می‌تواند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بیان، نپذیرفتن قول ابن ادریس رحمه الله</w:t>
      </w:r>
      <w:r>
        <w:rPr>
          <w:rStyle w:val="FootnoteAnchor"/>
          <w:rtl w:val="true"/>
        </w:rPr>
        <w:footnoteReference w:id="10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همین قول مختار امام راحل رحمه الله در تحریر الوسیله نیز هست؛ و از جنبه‌ی صناعتی، مجبوریم روایت را اخذ و حدّاقل طایفه را واحد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موثّقه نبود، به مختار امام و ابن ادریس رحمه الله فتوا می‌دادیم</w:t>
      </w:r>
      <w:r>
        <w:rPr>
          <w:rFonts w:eastAsia="IRNazanin" w:cs="IRNazanin"/>
          <w:color w:val="111111"/>
          <w:sz w:val="28"/>
          <w:szCs w:val="28"/>
          <w:rtl w:val="true"/>
          <w:lang w:bidi="fa-IR"/>
        </w:rPr>
        <w:t>.</w:t>
      </w:r>
    </w:p>
    <w:p>
      <w:pPr>
        <w:pStyle w:val="Heading5"/>
        <w:numPr>
          <w:ilvl w:val="4"/>
          <w:numId w:val="1"/>
        </w:numPr>
        <w:rPr/>
      </w:pPr>
      <w:bookmarkStart w:id="958" w:name="__RefHeading___Toc79314_3244359995"/>
      <w:bookmarkStart w:id="959" w:name="_Toc365"/>
      <w:bookmarkEnd w:id="958"/>
      <w:r>
        <w:rPr>
          <w:rtl w:val="true"/>
        </w:rPr>
        <w:t>فرع سوم</w:t>
      </w:r>
      <w:r>
        <w:rPr>
          <w:rtl w:val="true"/>
        </w:rPr>
        <w:t xml:space="preserve">: </w:t>
      </w:r>
      <w:r>
        <w:rPr>
          <w:rtl w:val="true"/>
        </w:rPr>
        <w:t>اندازه‌ی سنگ‌ها</w:t>
      </w:r>
      <w:bookmarkEnd w:id="959"/>
    </w:p>
    <w:p>
      <w:pPr>
        <w:pStyle w:val="BookText"/>
        <w:rPr/>
      </w:pPr>
      <w:r>
        <w:rPr>
          <w:rFonts w:ascii="IRNazanin" w:hAnsi="IRNazanin" w:eastAsia="IRNazanin"/>
          <w:color w:val="111111"/>
          <w:sz w:val="28"/>
          <w:sz w:val="28"/>
          <w:szCs w:val="28"/>
          <w:rtl w:val="true"/>
          <w:lang w:bidi="fa-IR"/>
        </w:rPr>
        <w:t>امام راحل رحمه الله در تحریر 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به طرف مرجوم و یا مرجومه پرتاب می‌شود، سزاوار است کوچک باشند؛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اقتضای این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بر آن عنوان سنگ صدق نمی‌کند مانند شن و سنگ‌ریزه، هم چنین از صخره و تخته‌ی سنگی مثلاً صد کیلویی که با پرتاب یک، یا دو عددِ آن، کار مجرم ساخته می‌شود و می‌میرد، نباید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ادلّه‌ی این مطلب را دید تا معلوم گردد آیا فتوا با دلیل مطابقت دارد یا نه؟</w:t>
      </w:r>
    </w:p>
    <w:p>
      <w:pPr>
        <w:pStyle w:val="BookText"/>
        <w:rPr/>
      </w:pPr>
      <w:r>
        <w:rPr>
          <w:rFonts w:ascii="IRNazanin" w:hAnsi="IRNazanin" w:eastAsia="IRNazanin"/>
          <w:color w:val="111111"/>
          <w:sz w:val="28"/>
          <w:sz w:val="28"/>
          <w:szCs w:val="28"/>
          <w:rtl w:val="true"/>
          <w:lang w:bidi="fa-IR"/>
        </w:rPr>
        <w:t>روایات را در گذشته مطرح کردیم، اکنون به آن‌ها اشاره می‌کنیم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إذا أرادوا أن یرجموها، ویرمی الإمام ثمّ یرمی النّاس بأحجار صغار</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در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الإمام، ثمّ یرمی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پرتاب</w:t>
      </w:r>
    </w:p>
    <w:p>
      <w:pPr>
        <w:pStyle w:val="BookText"/>
        <w:rPr/>
      </w:pPr>
      <w:r>
        <w:rPr>
          <w:rFonts w:ascii="IRNazanin" w:hAnsi="IRNazanin" w:eastAsia="IRNazanin"/>
          <w:color w:val="111111"/>
          <w:sz w:val="28"/>
          <w:sz w:val="28"/>
          <w:szCs w:val="28"/>
          <w:rtl w:val="true"/>
          <w:lang w:bidi="fa-IR"/>
        </w:rPr>
        <w:t>کردن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سهام و رمی حجر؛ لذا، رسیدن سنگ به مرجوم کافی نیست؛ مثلاً کسی بالای سرزانی رفته و یک سنگ یک تُنی را بر سرش بیندازد، در این صورت عنوان رمی صدق نمی‌کند؛ بلکه انداختن سنگ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دوّمی که در روایت آمده،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سه عنوان در این موثّقه، و موثّقه‌ی سماعه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سماعه،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المرأة إلی وسطها ثمّ یرمی الإمام ویرمی الناس بأحجار صغار</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بنابراین، باید هر سه عنوان موجود باشد تا رجم صادق آید؛ پس، اگر از چوب یا اشیای دیگر استفاده شود،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نیز باید کوچک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آن‌طور که صاحب جواهر رحمه الله فرموده،</w:t>
      </w:r>
      <w:r>
        <w:rPr>
          <w:rStyle w:val="FootnoteAnchor"/>
          <w:rtl w:val="true"/>
        </w:rPr>
        <w:footnoteReference w:id="1009"/>
      </w:r>
      <w:r>
        <w:rPr>
          <w:rFonts w:ascii="IRNazanin" w:hAnsi="IRNazanin" w:eastAsia="IRNazanin"/>
          <w:color w:val="111111"/>
          <w:sz w:val="28"/>
          <w:sz w:val="28"/>
          <w:szCs w:val="28"/>
          <w:rtl w:val="true"/>
          <w:lang w:bidi="fa-IR"/>
        </w:rPr>
        <w:t>احتمال دارد مقصود سنگ‌های معتدل و متوسط باشد؟ بنا بر این احتمال، شن را نه به جهت این که سنگ بر آن صدق نمی‌کند، بلکه از جهت عدم صدق سنگ متوسّط بر آن، خارج می‌کنیم؛ زیرا، شن، سنگ‌های بسیار ریز و کوچک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سنگ‌های بزرگی که با یک مرتبه انداختن به علّت زیادی وزن موجب قتل مرجوم و مرجومه می‌شود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امام راحل رحمه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أن یکون الأحجار صغاراً بل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محقّق در شرایع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تکون الحجارة صغاراً</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وجهی ندارد؛ زیرا، هر دو موثّقه ظهور در وجوب دارد؛ همان‌گونه که نسبت به جهات دیگر، دفن و ترتیب رمی امام علیه السلام و رمی ناس را لزومی می‌دانستید، باید کوچک بودن سنگ‌ها را نیز واجب بدانید؛ و به چه دلیل ذیل روایت از حکم لزومی خارج شود؟ روایت در مقام بیان مصداق احجار نیست؛ بلکه در مقام بیان کیفیّت رجم از جهات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مطرح شده، اندازه‌ی سنگ است</w:t>
      </w:r>
      <w:r>
        <w:rPr>
          <w:rFonts w:eastAsia="IRNazanin" w:cs="IRNazanin"/>
          <w:color w:val="111111"/>
          <w:sz w:val="28"/>
          <w:szCs w:val="28"/>
          <w:rtl w:val="true"/>
          <w:lang w:bidi="fa-IR"/>
        </w:rPr>
        <w:t>.</w:t>
      </w:r>
      <w:bookmarkStart w:id="960" w:name="pg16919_227544"/>
    </w:p>
    <w:p>
      <w:pPr>
        <w:pStyle w:val="BookText"/>
        <w:rPr/>
      </w:pPr>
      <w:bookmarkEnd w:id="960"/>
      <w:r>
        <w:rPr>
          <w:rFonts w:ascii="IRNazanin" w:hAnsi="IRNazanin" w:eastAsia="IRNazanin"/>
          <w:color w:val="111111"/>
          <w:sz w:val="28"/>
          <w:sz w:val="28"/>
          <w:szCs w:val="28"/>
          <w:rtl w:val="true"/>
          <w:lang w:bidi="fa-IR"/>
        </w:rPr>
        <w:t xml:space="preserve">بنابراین، با توجّه به این دو روایت معتبر که ظهور در حکم الزامی دارد،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مطرح کرد، حتّی جایی برای احتیاط هم نیست؛ مگر این‌که از جهت عدم تعرّض مشهور، کسی جرئت برفتوا نداشته باشد؛ وگرنه بنابر ضوابط و قواعد، باید حکم به لزوم و وجوب کنیم</w:t>
      </w:r>
      <w:r>
        <w:rPr>
          <w:rFonts w:eastAsia="IRNazanin" w:cs="IRNazanin"/>
          <w:color w:val="111111"/>
          <w:sz w:val="28"/>
          <w:szCs w:val="28"/>
          <w:rtl w:val="true"/>
          <w:lang w:bidi="fa-IR"/>
        </w:rPr>
        <w:t>.</w:t>
      </w:r>
    </w:p>
    <w:p>
      <w:pPr>
        <w:pStyle w:val="Heading5"/>
        <w:numPr>
          <w:ilvl w:val="4"/>
          <w:numId w:val="1"/>
        </w:numPr>
        <w:rPr/>
      </w:pPr>
      <w:bookmarkStart w:id="961" w:name="__RefHeading___Toc79316_3244359995"/>
      <w:bookmarkStart w:id="962" w:name="_Toc366"/>
      <w:bookmarkEnd w:id="961"/>
      <w:r>
        <w:rPr>
          <w:rtl w:val="true"/>
        </w:rPr>
        <w:t>فرع چهارم</w:t>
      </w:r>
      <w:r>
        <w:rPr>
          <w:rtl w:val="true"/>
        </w:rPr>
        <w:t xml:space="preserve">: </w:t>
      </w:r>
      <w:r>
        <w:rPr>
          <w:rtl w:val="true"/>
        </w:rPr>
        <w:t>حکم کسی که حدّ بر عهده دارد</w:t>
      </w:r>
      <w:bookmarkEnd w:id="962"/>
    </w:p>
    <w:p>
      <w:pPr>
        <w:pStyle w:val="Heading6"/>
        <w:numPr>
          <w:ilvl w:val="5"/>
          <w:numId w:val="1"/>
        </w:numPr>
        <w:rPr/>
      </w:pPr>
      <w:bookmarkStart w:id="963" w:name="__RefHeading___Toc79318_3244359995"/>
      <w:bookmarkStart w:id="964" w:name="_Toc367"/>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اگر کسی حدّ بر عهده‌ی او باشد، به خصوص اگر مشابه با همین حدّ باشد، آیا می‌تواند در رمی شرکت کند؟ آیا شرکت کنندگان در رجم باید افرادی باشند که هیچ‌گونه حدّی از حدود الهی در حقّ آن‌ها ثابت نباشد؟ شخصی که بدهکار است، حقّ طلبکاری از حقّ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کراهت رمی توسّط کسی که بر گردن حدّی دارد، قائل هستند؛ خواه حدّش مشابه با این حدّ باشد یا مشابه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نیز همین نظر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فتوا به حرمت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مجری حدّ کسی باشد که حدّی بر گردن دارد؛ این گروه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در حدّ مشابه، و گروه دیگری در مطلق حدود به تحریم رأی داده‌اند؛ یعنی مشابه با این حدّ باشد یا نه</w:t>
      </w:r>
      <w:r>
        <w:rPr>
          <w:rFonts w:eastAsia="IRNazanin" w:cs="IRNazanin"/>
          <w:color w:val="111111"/>
          <w:sz w:val="28"/>
          <w:szCs w:val="28"/>
          <w:rtl w:val="true"/>
          <w:lang w:bidi="fa-IR"/>
        </w:rPr>
        <w:t>.</w:t>
      </w:r>
    </w:p>
    <w:p>
      <w:pPr>
        <w:pStyle w:val="Heading6"/>
        <w:numPr>
          <w:ilvl w:val="5"/>
          <w:numId w:val="1"/>
        </w:numPr>
        <w:rPr/>
      </w:pPr>
      <w:bookmarkStart w:id="965" w:name="__RefHeading___Toc79320_3244359995"/>
      <w:bookmarkStart w:id="966" w:name="_Toc368"/>
      <w:bookmarkEnd w:id="965"/>
      <w:r>
        <w:rPr>
          <w:rtl w:val="true"/>
        </w:rPr>
        <w:t>بررسی مطلب در دو جهت ضروری است</w:t>
      </w:r>
      <w:r>
        <w:rPr>
          <w:rtl w:val="true"/>
        </w:rPr>
        <w:t>-</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مفاد ادلّه، حرمت است یا کراهت؟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حکم در حدود مشابه جاری است یا مطلق حدود؟</w:t>
      </w:r>
    </w:p>
    <w:p>
      <w:pPr>
        <w:pStyle w:val="BookText"/>
        <w:rPr/>
      </w:pPr>
      <w:r>
        <w:rPr>
          <w:rFonts w:ascii="IRNazanin" w:hAnsi="IRNazanin" w:eastAsia="IRNazanin"/>
          <w:color w:val="111111"/>
          <w:sz w:val="28"/>
          <w:sz w:val="28"/>
          <w:szCs w:val="28"/>
          <w:rtl w:val="true"/>
          <w:lang w:bidi="fa-IR"/>
        </w:rPr>
        <w:t>روایات را در گذشته بررسی کرده‌ایم، اکنون به آن‌ها اشاره می‌کنیم</w:t>
      </w:r>
      <w:r>
        <w:rPr>
          <w:rFonts w:eastAsia="IRNazanin" w:cs="IRNazanin"/>
          <w:color w:val="111111"/>
          <w:sz w:val="28"/>
          <w:szCs w:val="28"/>
          <w:rtl w:val="true"/>
          <w:lang w:bidi="fa-IR"/>
        </w:rPr>
        <w:t>:</w:t>
      </w:r>
    </w:p>
    <w:p>
      <w:pPr>
        <w:pStyle w:val="Heading6"/>
        <w:numPr>
          <w:ilvl w:val="5"/>
          <w:numId w:val="1"/>
        </w:numPr>
        <w:rPr/>
      </w:pPr>
      <w:bookmarkStart w:id="967" w:name="__RefHeading___Toc79322_3244359995"/>
      <w:bookmarkStart w:id="968" w:name="_Toc369"/>
      <w:bookmarkEnd w:id="967"/>
      <w:r>
        <w:rPr>
          <w:rtl w:val="true"/>
        </w:rPr>
        <w:t>جهت اوّل</w:t>
      </w:r>
      <w:r>
        <w:rPr>
          <w:rtl w:val="true"/>
        </w:rPr>
        <w:t xml:space="preserve">: </w:t>
      </w:r>
      <w:r>
        <w:rPr>
          <w:rtl w:val="true"/>
        </w:rPr>
        <w:t>مفاد ادلّه در حرمت و کراهت</w:t>
      </w:r>
      <w:bookmarkEnd w:id="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عهد إلی نبیّه صلی الله علیه و آله عهداً عهده محمّد صلی الله علیه و آله إلیّ بأنّه لایقیم الحدّ من للّه‌علیه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یومئذٍ کلّهم ما خلا أمیر المؤمنین والحسن والحسین علیهم السلام فأقام هؤلاء الثلاثة علیها الحدّ یومئذٍ وما معهم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وانصرف یومئذ فی من انصرف محمّد بن أمیر المؤمنین علیه السلام</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زنی است که چهار مرتبه اقرار کرد و امیرمؤمنان علیه السلام به قنبر دستور دادند تا مردم را در مسجد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بر این زن حدّ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روز اجرای حدّ انگشتان سبّابه در دو گوش مبارک گذاشت و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پیامبرش عهدی بسته و رسول خدا صلی الله علیه و آله آن عهد را به من سفارش کرده است؛ به این که هر فردی که خدا بر عهده‌ی او حدّی دارد، حقّ ندارد حدّ را اقامه کند و مجری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روایت، آمده است که همه‌ی مردم منصرف شده و برگشتند، مگر امیرمؤمنان و امام حسن و امام حسین علیهم السلام و این سه نفر حدّ را اقامه کردند، کسی همراه آنان نبود؛ و در میان جمعیّتی که برگشت محمّد بن امیرالمؤمنین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حدیث که از نظر سند معتبر است، در حرمت و عدم جواز، قابل انکار نیست؛ به خصوص با این سخت‌گیری و شدّت عملی که امام علیه السلام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یک مسأله‌ی کراهتی است، نباید به این‌گونه برخورد شود؛ زیرا، این بیان آبروریزی و هتک حیثیّت به دنبال داشت؛ و یک عمل کراهتی مجوّز چنین چیزی نیست که حتّی نام فرزند امیرمؤمنان علیه السلام در منصرفین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یک حکم کراهتی بود، امام علیه السلام در مسجد متذکّر می‌شد و به مردم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حضرت حکم را محکم پیاده کردند، و هیچ‌گونه مسامحه‌ای در رفتار امام علیه السلام ملاحظه نمی‌کنیم، معلوم می‌شود حکم آن حرمت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ابن أبی عمیر،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برجل قد أقرّ علی نفسه بالفجور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 لأصحابه اغدوا غداً علیّ متلثّمین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فعله فلا یرجمه ولینصرف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بعضهم وبقی بعضهم فرجمه من بقی منهم</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بین صحیحه و حسنه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به فجور اقرار کرده بود نزد امیرمؤمنان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حالی که سر و صورت خود را پوشیده‌اید،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آمدند،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عملی مشابه با عمل این مرد انجام داده، حق رجم ندارد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منصرف شده و تعدادی باقی ماندند و او را رجم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بر مطلوب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إنّ هذه حقوق اللّه فمن کان للّه‌فی عنقه حقّ فلینصرف ولا یقیم حدود اللّه من فی عنقه حدّ فانصرف النّاس وبقی هو والحسن والحسین علیهم السلام</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حدیث را کلینی رحمه الله از برقی به طور مرفوعه روایت می‌کند و از این رو، حجیّت ندارد؛ لیکن علیّ بن ابراهیم این روایت را در تفسیرش از پدرش ازابی نجران از عاصم بن حمید از ابی‌بصیر مرادی از امام صادق نقل می‌کند که سندش خوب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کوفه نزد امیرمؤمنان علیه السلام آمد و به زنا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برای رجم او دعوت کردند،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حدّی که می‌خواهید پیاده کنید حقّ خداست؛ بنابراین هر کسی در گردنش حقّی باشد، حقّ اقامه‌ی حدود را ندارد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سعد بن طریف، عن الأصبغ بن نباتة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النّاس کما أمرهم قبل إسفار الصّبح، فأقبل علیّ علیه السلام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 اللّه رجلاً منکم للّه‌علیه مثل هذا الحقّ أنْ یأخذ للّه‌به، فإنّه لا یأخذ للّه بحقّ من یطلبه اللّه بمثله</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مردی است که نزد امیرمؤمنان علیه السلام به زنا اقرار کرد و بنا شد فردا صبح او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تشریف فرمایی، اوّلین جمله‌ای که امام علیه السلام فرمود،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از شما را به خدا سوگند می‌دهم که اگر مثل این حقّ را به گردن دارد و خودش باید رجم گردد، او را رجم نکند؛ زیرا، کسی که بدهکار است، برای خدا مطالبه نمی‌کند حدّی را مانند آن‌چه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منحصر به یک یا دو روایت بود، باید کوشش کرد تا سند آن‌ها را درست کنیم؛ امّا اگر روایات متعدّد بود و بیشتر آن‌ها صحیحه و یا حسنه بود، روی یک روایت بنا بر نقلی دست گذاشتن و مناقشه‌ی سندی کردن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لااقلّ سه روایت معتبره و غیر قابل مناقشه وجود دارد که هر سه روایت در حرمت اقامه‌ی حدّ و رمی توسّط کسی که خودش حدّ بدهکار است، ظهور دارد؛ ما به چه سبب و دلیل و مجوّزی دست از این ظهور برداریم؟</w:t>
      </w:r>
    </w:p>
    <w:p>
      <w:pPr>
        <w:pStyle w:val="BookText"/>
        <w:rPr/>
      </w:pPr>
      <w:r>
        <w:rPr>
          <w:rFonts w:ascii="IRNazanin" w:hAnsi="IRNazanin" w:eastAsia="IRNazanin"/>
          <w:color w:val="111111"/>
          <w:sz w:val="28"/>
          <w:sz w:val="28"/>
          <w:szCs w:val="28"/>
          <w:rtl w:val="true"/>
          <w:lang w:bidi="fa-IR"/>
        </w:rPr>
        <w:t>آیا شهرت می‌تواند سبب شود تا از ظهور دست برداریم؟ اگر مشهور روایتی را حمل بر کراهت کردند، آیا این استفاده‌ی مشهور، می‌تواند برای ما معیار و ملاک باشد؟</w:t>
      </w:r>
    </w:p>
    <w:p>
      <w:pPr>
        <w:pStyle w:val="BookText"/>
        <w:rPr/>
      </w:pPr>
      <w:r>
        <w:rPr>
          <w:rFonts w:ascii="IRNazanin" w:hAnsi="IRNazanin" w:eastAsia="IRNazanin"/>
          <w:color w:val="111111"/>
          <w:sz w:val="28"/>
          <w:sz w:val="28"/>
          <w:szCs w:val="28"/>
          <w:rtl w:val="true"/>
          <w:lang w:bidi="fa-IR"/>
        </w:rPr>
        <w:t xml:space="preserve">مشهور این احادیث را معتبر دانسته‌اند؛ به همین دلیل ضعیف شمرده شدن توسّط سند این روایات وجهی ندارد؛ و سند بسیاری از این روایات خوب است؛ پس چرا دست از ظهور این روایات در حرمت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لایقیم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حمل بر کراهت کنیم؟</w:t>
      </w:r>
    </w:p>
    <w:p>
      <w:pPr>
        <w:pStyle w:val="BookText"/>
        <w:rPr/>
      </w:pPr>
      <w:r>
        <w:rPr>
          <w:rFonts w:ascii="IRNazanin" w:hAnsi="IRNazanin" w:eastAsia="IRNazanin"/>
          <w:color w:val="111111"/>
          <w:sz w:val="28"/>
          <w:sz w:val="28"/>
          <w:szCs w:val="28"/>
          <w:rtl w:val="true"/>
          <w:lang w:bidi="fa-IR"/>
        </w:rPr>
        <w:t>شبهه‌ی صاحب ریاض رحمه الله و دفع آن</w:t>
      </w:r>
    </w:p>
    <w:p>
      <w:pPr>
        <w:pStyle w:val="BookText"/>
        <w:rPr/>
      </w:pPr>
      <w:r>
        <w:rPr>
          <w:rFonts w:ascii="IRNazanin" w:hAnsi="IRNazanin" w:eastAsia="IRNazanin"/>
          <w:color w:val="111111"/>
          <w:sz w:val="28"/>
          <w:sz w:val="28"/>
          <w:szCs w:val="28"/>
          <w:rtl w:val="true"/>
          <w:lang w:bidi="fa-IR"/>
        </w:rPr>
        <w:t>مرحوم صاحب ریاض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یکی از واجبات الهی و از مصادیق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 عدّه‌ای را از این واجب خارج کرد؟</w:t>
      </w:r>
      <w:r>
        <w:rPr>
          <w:rStyle w:val="FootnoteAnchor"/>
          <w:rtl w:val="true"/>
        </w:rPr>
        <w:footnoteReference w:id="1015"/>
      </w:r>
      <w:r>
        <w:rPr>
          <w:rFonts w:ascii="IRNazanin" w:hAnsi="IRNazanin" w:eastAsia="IRNazanin"/>
          <w:color w:val="111111"/>
          <w:sz w:val="28"/>
          <w:sz w:val="28"/>
          <w:szCs w:val="28"/>
          <w:rtl w:val="true"/>
          <w:lang w:bidi="fa-IR"/>
        </w:rPr>
        <w:t>در دفع آن گفته‌اند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مصادیق امر به معروف و نهی از منکر است، چرا شما حکم به کراهت می‌کنید؟ امر به معروف واجب است نه مکروه؛ فرقی بین مکروه و حرام در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مصادیق امر به معروف باشد، حتماً واجب است و نمی‌تواند متّصف به حرمت و کراهت شود</w:t>
      </w:r>
      <w:r>
        <w:rPr>
          <w:rFonts w:eastAsia="IRNazanin" w:cs="IRNazanin"/>
          <w:color w:val="111111"/>
          <w:sz w:val="28"/>
          <w:szCs w:val="28"/>
          <w:rtl w:val="true"/>
          <w:lang w:bidi="fa-IR"/>
        </w:rPr>
        <w:t>.</w:t>
      </w:r>
      <w:bookmarkStart w:id="969" w:name="pg16919_227552"/>
    </w:p>
    <w:p>
      <w:pPr>
        <w:pStyle w:val="BookText"/>
        <w:rPr/>
      </w:pPr>
      <w:bookmarkEnd w:id="96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چیزی که از مصادیق امر به معروف و نهی از منکر شد، شرایط و حدود ندارد؟ این مقام هر چند از مصادیق امر به معروف و نهی از منکر است، شرطش شروع رمی توسط امام علیه السلام یا شهود بود، 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 ادلّه‌ی امر به معروف نمی‌سازد و فرقی بین امام علیه السلام و غیر او در اجرای حدّ نیست؟</w:t>
      </w:r>
    </w:p>
    <w:p>
      <w:pPr>
        <w:pStyle w:val="BookText"/>
        <w:rPr/>
      </w:pPr>
      <w:r>
        <w:rPr>
          <w:rFonts w:ascii="IRNazanin" w:hAnsi="IRNazanin" w:eastAsia="IRNazanin"/>
          <w:color w:val="111111"/>
          <w:sz w:val="28"/>
          <w:sz w:val="28"/>
          <w:szCs w:val="28"/>
          <w:rtl w:val="true"/>
          <w:lang w:bidi="fa-IR"/>
        </w:rPr>
        <w:t>از این رو، ممکن است یکی از شرایط اجرای حدّ در این مقام، جاری نشدنش توسّط کسی باشد که حدّی به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حدّ بر کسانی که مشغول ذمّه به حدّی نباشند، یک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استدلال‌های صاحب ریاض رحمه الله و غیر او مقبول نیست؛ و با توجّه به این روایات، هر چند مشهور به کراهت فتوا داده‌اند، نمی‌توانیم به کراهت قائل شویم؛ بلکه باید به حسب روایات صحیحه قائل به حرمت آن شد</w:t>
      </w:r>
      <w:r>
        <w:rPr>
          <w:rFonts w:eastAsia="IRNazanin" w:cs="IRNazanin"/>
          <w:color w:val="111111"/>
          <w:sz w:val="28"/>
          <w:szCs w:val="28"/>
          <w:rtl w:val="true"/>
          <w:lang w:bidi="fa-IR"/>
        </w:rPr>
        <w:t>.</w:t>
      </w:r>
    </w:p>
    <w:p>
      <w:pPr>
        <w:pStyle w:val="Heading6"/>
        <w:numPr>
          <w:ilvl w:val="5"/>
          <w:numId w:val="1"/>
        </w:numPr>
        <w:rPr/>
      </w:pPr>
      <w:bookmarkStart w:id="970" w:name="__RefHeading___Toc79324_3244359995"/>
      <w:bookmarkStart w:id="971" w:name="_Toc370"/>
      <w:bookmarkEnd w:id="970"/>
      <w:r>
        <w:rPr>
          <w:rtl w:val="true"/>
        </w:rPr>
        <w:t>جهت دوم</w:t>
      </w:r>
      <w:r>
        <w:rPr>
          <w:rtl w:val="true"/>
        </w:rPr>
        <w:t xml:space="preserve">: </w:t>
      </w:r>
      <w:r>
        <w:rPr>
          <w:rtl w:val="true"/>
        </w:rPr>
        <w:t>در تعمیم یا اختصاص حکم</w:t>
      </w:r>
      <w:bookmarkEnd w:id="971"/>
    </w:p>
    <w:p>
      <w:pPr>
        <w:pStyle w:val="BookText"/>
        <w:rPr/>
      </w:pPr>
      <w:r>
        <w:rPr>
          <w:rFonts w:ascii="IRNazanin" w:hAnsi="IRNazanin" w:eastAsia="IRNazanin"/>
          <w:color w:val="111111"/>
          <w:sz w:val="28"/>
          <w:sz w:val="28"/>
          <w:szCs w:val="28"/>
          <w:rtl w:val="true"/>
          <w:lang w:bidi="fa-IR"/>
        </w:rPr>
        <w:t>آیا حرمت و کراهت به جایی که حدّ مشابهی برگردن داشته باشند مثلاً کسانی که می‌خواهند رجم کنند، خودشان حدّ رجم بر عهده داشته باشند و یا اعمّ از حدّ مشابه و غیر آن است؛ پس، اگر حدّ شرب خمر یا قذف و مانند آن نیز بر عهده‌ی آنان ثابت بود، این حکم جاری است و نمی‌توانند متصدّی رجم شوند؟</w:t>
      </w:r>
    </w:p>
    <w:p>
      <w:pPr>
        <w:pStyle w:val="BookText"/>
        <w:rPr/>
      </w:pPr>
      <w:r>
        <w:rPr>
          <w:rFonts w:ascii="IRNazanin" w:hAnsi="IRNazanin" w:eastAsia="IRNazanin"/>
          <w:color w:val="111111"/>
          <w:sz w:val="28"/>
          <w:sz w:val="28"/>
          <w:szCs w:val="28"/>
          <w:rtl w:val="true"/>
          <w:lang w:bidi="fa-IR"/>
        </w:rPr>
        <w:t>لسان روایات مختلف است، بلکه در یک روایت، دو لسان وجود دارد؛ مثلاً در روایت میثم تمّار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عهد إلی نبیّه صلی الله علیه و آله عهداً عهده محمّد صلی الله علیه و آله إلیّ بأنّه لا یقیم الحدّ من للّه‌علیه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پیامبرش عهدی بست که اقامه‌ی حدّ نکند کسی که حدّ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للّه‌علیه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حدّ سابق باشد، بلکه از این جمله، حدّ مطلق استفاده می‌شود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دنبال روایت با فاء تفریع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للّه‌علیه مثل ما له علیها فلا یقیم علیها الحدّ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کسی که خداوند بر عهده‌ی او حدّی دارد همانند حدّی که بر این زن ثابت است، پس اقامه‌ی حدّ بر این زن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روایت، در حدّ مماثل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للّه‌فی عنقه حقّ فلینصرف ولا یقیم حدود اللّه من فی عنقه حدّ</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گردنش حقّی باشد،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و با تنوین آورد؛ یعنی اگر حدّی به عهده دارد؛ نمی‌تواند اقامه‌ی 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دلالت بر مطلق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ابن ابی عمیر از زراره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کافی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روایت مرسل است، لیکن از مرسلات ابن ابی عمیر است که بعضی آن را حجّت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مثل فعله فلا یرجمه ولینصرف</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این بیان ظهور در حدّ مشابه و مماثل دارد، نه حدّ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اصبغ بن نباته نیز آمده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 اللّه رجلاً منکم للّه‌علیه مثل هذا الحقّ أن یأخذ للّه‌به، فإنّه لا یأخذ للّه‌بحقّ من یطلبه اللّه بمثله</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حضرت مردم را قسم می‌دهد هر کسی مثل این حقّ را به عهده دارد، حقّ ندارد حقّ خدا را بگیرد؛ و در تعلیل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از او طلبکار است و خدا حقّی را از او می‌خواهد، معنا ندارد از دیگران همان حقّ را برای خدا استیفا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روایات، هم مطلق حدّ و هم حدّ مشابه مطرح است؛ در این حالت وظیفه چیست؟</w:t>
      </w:r>
    </w:p>
    <w:p>
      <w:pPr>
        <w:pStyle w:val="BookText"/>
        <w:rPr/>
      </w:pPr>
      <w:r>
        <w:rPr>
          <w:rFonts w:ascii="IRNazanin" w:hAnsi="IRNazanin" w:eastAsia="IRNazanin"/>
          <w:color w:val="111111"/>
          <w:sz w:val="28"/>
          <w:sz w:val="28"/>
          <w:szCs w:val="28"/>
          <w:rtl w:val="true"/>
          <w:lang w:bidi="fa-IR"/>
        </w:rPr>
        <w:t>کیفیّت جمع بین روایات</w:t>
      </w:r>
    </w:p>
    <w:p>
      <w:pPr>
        <w:pStyle w:val="BookText"/>
        <w:rPr/>
      </w:pPr>
      <w:r>
        <w:rPr>
          <w:rFonts w:ascii="IRNazanin" w:hAnsi="IRNazanin" w:eastAsia="IRNazanin"/>
          <w:color w:val="111111"/>
          <w:sz w:val="28"/>
          <w:sz w:val="28"/>
          <w:szCs w:val="28"/>
          <w:rtl w:val="true"/>
          <w:lang w:bidi="fa-IR"/>
        </w:rPr>
        <w:t>اگر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حدّ مشابه به گردن دارد، حقّ اقامه‌ی حدود را ندارد، مفهوم داشته باشد، با روایاتی که مطلق حدّ را می‌گوید، تنافی ابتدایی پیدا می‌کند و باید حمل مطلق بر مقیّد کرد؛ زیرا، تا تنافی محقّق نشود، نمی‌توانیم تقییدی داشته باشیم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که هر دو مثبت حکم هستند و هیچ منافاتی با یکدیگر ندارند،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قرار دهیم</w:t>
      </w:r>
      <w:r>
        <w:rPr>
          <w:rFonts w:eastAsia="IRNazanin" w:cs="IRNazanin"/>
          <w:color w:val="111111"/>
          <w:sz w:val="28"/>
          <w:szCs w:val="28"/>
          <w:rtl w:val="true"/>
          <w:lang w:bidi="fa-IR"/>
        </w:rPr>
        <w:t>.</w:t>
      </w:r>
      <w:bookmarkStart w:id="972" w:name="pg16919_227556"/>
    </w:p>
    <w:p>
      <w:pPr>
        <w:pStyle w:val="BookText"/>
        <w:rPr/>
      </w:pPr>
      <w:bookmarkEnd w:id="972"/>
      <w:r>
        <w:rPr>
          <w:rFonts w:ascii="IRNazanin" w:hAnsi="IRNazanin" w:eastAsia="IRNazanin"/>
          <w:color w:val="111111"/>
          <w:sz w:val="28"/>
          <w:sz w:val="28"/>
          <w:szCs w:val="28"/>
          <w:rtl w:val="true"/>
          <w:lang w:bidi="fa-IR"/>
        </w:rPr>
        <w:t>مقام ما از این قبیل است؛ به خصوص که در این‌جا مطلب روشن‌تر است؛ زیرا، در روایت میثم، صدر روایت مطلق بوده و ذیل آن مربوط به حدّ مشابه است که بر همان صدر تفریع شده است؛ اگر بین دو حکم تنافی بود، چگونه در یک عبارت هر دو نقل شده و یکی بر دیگری تفریع شده است؟</w:t>
      </w:r>
    </w:p>
    <w:p>
      <w:pPr>
        <w:pStyle w:val="BookText"/>
        <w:rPr/>
      </w:pPr>
      <w:r>
        <w:rPr>
          <w:rFonts w:ascii="IRNazanin" w:hAnsi="IRNazanin" w:eastAsia="IRNazanin"/>
          <w:color w:val="111111"/>
          <w:sz w:val="28"/>
          <w:sz w:val="28"/>
          <w:szCs w:val="28"/>
          <w:rtl w:val="true"/>
          <w:lang w:bidi="fa-IR"/>
        </w:rPr>
        <w:t>در صورتی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دلیل تنافی وجود ندارد،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چرا امام علیه السلام مطرح کرده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یک راه حلّ، حمل بر فضیلت و شدّت حکم در مقیّد است؛ لذا، در مورد حدّ مماثل قائل به کراهت شدید، یا حرمت مؤکّد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لغویّتی لازم نیامده و تقییدی نیز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بنا بر هر دو مسلک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و کراهت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اختصاص به حدّ مشابه ندارد؛ بلکه اعمّ از مشابه می‌باشد؛ هرچند در حدّ مشابه حکم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راحل رحمه الله ابتدا احتیاط کرده، منتهی احتیاط در حدّ مماثل را قوی‌تر دانسته؛ و سپس، فتوا به کراهت می‌دهند که لازمه‌اش اقوائیّت کراهت در حدّ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اعتباری نیز مناسب با همین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به خدا بدهکار است، معنا ندارد برای خدا طلب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طلب خدا وصول شود، باید خودش به ادای آن اقدام کند؛ فرقی ندارد این بدهکاری و بستانکاری از یک نوع باشند یا مختلف</w:t>
      </w:r>
      <w:r>
        <w:rPr>
          <w:rFonts w:eastAsia="IRNazanin" w:cs="IRNazanin"/>
          <w:color w:val="111111"/>
          <w:sz w:val="28"/>
          <w:szCs w:val="28"/>
          <w:rtl w:val="true"/>
          <w:lang w:bidi="fa-IR"/>
        </w:rPr>
        <w:t>.</w:t>
      </w:r>
    </w:p>
    <w:p>
      <w:pPr>
        <w:pStyle w:val="Heading5"/>
        <w:numPr>
          <w:ilvl w:val="4"/>
          <w:numId w:val="1"/>
        </w:numPr>
        <w:rPr/>
      </w:pPr>
      <w:bookmarkStart w:id="973" w:name="__RefHeading___Toc79326_3244359995"/>
      <w:bookmarkStart w:id="974" w:name="_Toc371"/>
      <w:bookmarkEnd w:id="973"/>
      <w:r>
        <w:rPr>
          <w:rtl w:val="true"/>
        </w:rPr>
        <w:t>مجوّز بودن توبه جهت اقامه‌ی حدّ</w:t>
      </w:r>
      <w:bookmarkEnd w:id="974"/>
    </w:p>
    <w:p>
      <w:pPr>
        <w:pStyle w:val="BookText"/>
        <w:rPr/>
      </w:pPr>
      <w:r>
        <w:rPr>
          <w:rFonts w:ascii="IRNazanin" w:hAnsi="IRNazanin" w:eastAsia="IRNazanin"/>
          <w:color w:val="111111"/>
          <w:sz w:val="28"/>
          <w:sz w:val="28"/>
          <w:szCs w:val="28"/>
          <w:rtl w:val="true"/>
          <w:lang w:bidi="fa-IR"/>
        </w:rPr>
        <w:t xml:space="preserve">اگر در بین کسانی که برای اقامه‌ی حدّ شرکت کرده‌اند، فرد یا افرادی باشند که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مثل حدّ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دارند، امّا بین خود و خدا توبه کرده‌اند، آیا چنین افرادی حقّ رمی دارند؛ و کراهت یا حرمتی در رمی آنان نیست؟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بنا بر ضوابط و قواعد تمام است؛ چرا که با توبه‌ی خاطی، حدّ از او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در اجرای حدّ بر دیگری شرکت کند؛ لیکن به ملاحظه‌ی بعضی از روایات اشکالی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میثم تمّار و غیر آن، پس از سخنان امام علیه السلام</w:t>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 النّاس وبقی هو والحسن والحسین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النّاس یومئذ کلّهم ما خلا أمیرالمؤمنین والحسن والحسین علیهم السلام</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ذهن می‌آید چرا همه‌ی مردم برگشتند؟ اگر حدّی بر عهده‌ی آنان بود، توبه می‌کردند و به مجرّد توبه، می‌توانستند متصدّی رجم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امیرمؤمنان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باید جمعیّت فراوانی حاضر باشد که این‌گونه خطاب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مردم جاهل به حکم بودند؛ می‌گوییم امام علیه السلام که جاهل نبود، باید مردم را متوجّه می‌کرد و به آنان تذکّر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بینه وبین اللّه یسقط الحدّ عنه ویجوز له التصدّی للرجم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بین خود و خدایش توبه کند، حدّ از او ساقط شده و می‌تواند در رجم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به ذهن آمد،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علیه السلام در مقام اثبات عصمت خود و حسنین بوده، و این راه خوبی برای اثبات این معنا است؛ به گونه‌ای که امتیاز امام حسن و امام حسین علیهما السلام را بر سائر فرزندانش ثابت کرد؛ زیرا، برخی از فرزندانش که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محمّد بن حنفیه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جریان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در مقام اثبات عصمت خود و حسنین علیهم السلام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مسأله‌ی رجم را در مسجد مطرح 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عهده‌ی او حدّی است، شرکت نکند؛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گفتن این مطلب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مردم را به صحنه بیاورند و به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 بسته و پوشیده به صحرا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گفتن یک جمله، همه را مجبور به مراجعت کند؟ این کار به خاطر مصلحتی همانند ابراز و اثبات عصمت خود و فرزندانش بوده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گفتار صاحب جواهر رحمه الله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 بوده‌اند؛ لذا، توبه نکرده‌اند،</w:t>
      </w:r>
      <w:r>
        <w:rPr>
          <w:rStyle w:val="FootnoteAnchor"/>
          <w:rtl w:val="true"/>
        </w:rPr>
        <w:footnoteReference w:id="1022"/>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امام علیه السلام که عالم است و می‌تواند آنان را توجیه کند،</w:t>
      </w:r>
      <w:bookmarkStart w:id="975" w:name="pg16919_227560"/>
    </w:p>
    <w:p>
      <w:pPr>
        <w:pStyle w:val="BookText"/>
        <w:rPr/>
      </w:pPr>
      <w:bookmarkEnd w:id="975"/>
      <w:r>
        <w:rPr>
          <w:rFonts w:ascii="IRNazanin" w:hAnsi="IRNazanin" w:eastAsia="IRNazanin"/>
          <w:color w:val="111111"/>
          <w:sz w:val="28"/>
          <w:sz w:val="28"/>
          <w:szCs w:val="28"/>
          <w:rtl w:val="true"/>
          <w:lang w:bidi="fa-IR"/>
        </w:rPr>
        <w:t>جایی برای این بیان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گفتن این حکم برای اثبات عصمت و امامت خود و دو فرزندش بوده است</w:t>
      </w:r>
      <w:r>
        <w:rPr>
          <w:rFonts w:eastAsia="IRNazanin" w:cs="IRNazanin"/>
          <w:color w:val="111111"/>
          <w:sz w:val="28"/>
          <w:szCs w:val="28"/>
          <w:rtl w:val="true"/>
          <w:lang w:bidi="fa-IR"/>
        </w:rPr>
        <w:t>.</w:t>
      </w:r>
    </w:p>
    <w:p>
      <w:pPr>
        <w:pStyle w:val="Heading5"/>
        <w:numPr>
          <w:ilvl w:val="4"/>
          <w:numId w:val="1"/>
        </w:numPr>
        <w:rPr/>
      </w:pPr>
      <w:bookmarkStart w:id="976" w:name="__RefHeading___Toc79328_3244359995"/>
      <w:bookmarkStart w:id="977" w:name="_Toc372"/>
      <w:bookmarkEnd w:id="976"/>
      <w:r>
        <w:rPr>
          <w:rtl w:val="true"/>
        </w:rPr>
        <w:t>عدم فرق بین ثبوت حدّ به اقرار یا بیّنه</w:t>
      </w:r>
      <w:bookmarkEnd w:id="977"/>
    </w:p>
    <w:p>
      <w:pPr>
        <w:pStyle w:val="BookText"/>
        <w:rPr/>
      </w:pPr>
      <w:r>
        <w:rPr>
          <w:rFonts w:ascii="IRNazanin" w:hAnsi="IRNazanin" w:eastAsia="IRNazanin"/>
          <w:color w:val="111111"/>
          <w:sz w:val="28"/>
          <w:sz w:val="28"/>
          <w:szCs w:val="28"/>
          <w:rtl w:val="true"/>
          <w:lang w:bidi="fa-IR"/>
        </w:rPr>
        <w:t xml:space="preserve">حکمی که تا به این‌جا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کراهت یا حرمت اجرای حدّ توسط کسی که حقّی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اثبات حدّ به اقرار یا بیّنه می‌شود و فرقی ندارد که محکومیّت مجرم از چه طریقی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رحمه الله با این بیان، اشاره کرده است به مخالفت برخی از فقها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صیمری</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که فرموده اصولاً حرمت یا کراهت مربوط به جایی است که محکومیّت مجرم به اقرار ثابت شده باشد؛ وگرنه اگر جرم با بیّنه ثابت شده باشد، جای این حرف‌ها نیست؛ و دو دلیل بر این مطلب اقامه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این باب رسیده، مربوط به جایی است که زنا با اقرار ثابت شده باشد؛ بعضی از آن‌ها درباره‌ی اقرار زن و برخی درباره‌ی اقرار مرد بود، و نمی‌توان از اقرار تعدّی کرده، حکم را به جایی که زنا با بیّنه ثابت شده باشد، سرایت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جرم با بیّنه اثبات شود، در سابق گفتیم که ابتدا شهود شروع به رجم می‌کنند، سپس امام علیه السلام و بعد از آنان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گردن شهود حدّی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حدّ رجم بین خود و خدایش به گردن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گرفتار می‌شوند؛ از طرفی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رجم را شروع کنند؛ و از طرف دیگر فتوا می‌دهید کسی که حدّی به عهده دارد حقّ ندارد متصدّی رجم شود؛ پس، چه عملی انجام دهد؟ بنابراین، برای نجات از این محذور، می‌گوییم این شرط در مورد زنایی که به بیّنه ثابت شده است، نمی‌باشد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کلام صیمری</w:t>
      </w:r>
    </w:p>
    <w:p>
      <w:pPr>
        <w:pStyle w:val="BookText"/>
        <w:rPr/>
      </w:pPr>
      <w:r>
        <w:rPr>
          <w:rFonts w:ascii="IRNazanin" w:hAnsi="IRNazanin" w:eastAsia="IRNazanin"/>
          <w:color w:val="111111"/>
          <w:sz w:val="28"/>
          <w:sz w:val="28"/>
          <w:szCs w:val="28"/>
          <w:rtl w:val="true"/>
          <w:lang w:bidi="fa-IR"/>
        </w:rPr>
        <w:t>بر فرض پذیرفتن دلیل دوم، مقدار دلالت آن، فقط عدم شرطیّت را در خصوص شهود ثابت می‌کند؛ امّا نسبت به بقیّه‌ی مردم، به چه دلیل شرط نباشد؟ لذا، دلیل اخصّ از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رحمه الله نیز دو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بیّنه عدالت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توبه کرده باشد؛ وگرنه مضرّ به عدالت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توبه یا اصرار بر عدم توبه، سبب فسق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بیّنه توبه کرده، حدّی بر عهده ندارد؛ و اگر توبه نکرده، عدالت ندارد و حدّی با قول او ثابت نمی‌شود؛ یعنی جمع بین عدالت و بقای حدّ بر گردن بیّنه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برای نجات از محذور، دست از شرطیّت برمی‌داریم؛ یعنی دلیل شروع رجم توسط شهود را بر دلیل شرطیّت عدم حدّ به عهده‌ی متصدّی رجم مقدّم کردید؛ به چه دلیل برای رفع محذور آن دلیل را مقدّم کردید؟ عکس آن را عمل کنید؛ زیرا، بین دو دسته روایت، نسبت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گذشته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ابتدا کنند، اعمّ از این‌که به عهده‌ی آنان حدّ باشد یا نه؛ و این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حدّی به عهده دارد، متصدّی اقامه‌ی حدّ نشود؛ خواه حدّ به بیّنه ثابت شده باشد یا به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مادّه‌ی اجتماع، که عبارت است از جایی که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به گردن دارند، تعارض است؛ به چه دلیل روایات شروع رجم را مقدّم می‌کنید؟ روایات شرطیّت را ترجیح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روایات شرطیّت درباره‌ی اقرار رسیده، امّا مورد، مخصّص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بیان 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مثل فعله فلا یرجمه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فی عنقه حدّ فلینصرف ولا یقیم حدود اللّه من فی عنقه</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این است که هر کسی حدّ به عهده دارد، حدّ را اجرا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عامّ است و ورود آن در موردی که زنا با اقرار ثابت شده، سبب نمی‌شود حکم عامّ را به مورد اقرار اختصاص دهیم</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از این رو، امام راحل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ذلک بین ثبوت الزنا بالإقرار أو البیّنة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برای دفع شبهه‌ی صیمری است</w:t>
      </w:r>
      <w:r>
        <w:rPr>
          <w:rFonts w:eastAsia="IRNazanin" w:cs="IRNazanin"/>
          <w:color w:val="111111"/>
          <w:sz w:val="28"/>
          <w:szCs w:val="28"/>
          <w:rtl w:val="true"/>
          <w:lang w:bidi="fa-IR"/>
        </w:rPr>
        <w:t>.</w:t>
      </w:r>
      <w:bookmarkStart w:id="978" w:name="pg16919_227564"/>
    </w:p>
    <w:p>
      <w:pPr>
        <w:pStyle w:val="BookText"/>
        <w:rPr/>
      </w:pPr>
      <w:bookmarkEnd w:id="9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المرجوم قبل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ارید رجمه یأمره الإمام علیه السلام أو الحاکم أن یغتسل غسل المیّت بماء السدر ثمّ ماء الکافور ثمّ القراح، ثمّ یکفّن کتکفین المیّت یلبس جمیع قطعه ویحنّط قبل قتله کحنوط المیّت، ثمّ یرجم فیصلّی علیه ویدفن بلا تغسیل فی قبور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غسل الدم من کفنه، ولو أحدث قبل القتل لا یلزم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نیّة الغسل من المأمور، والأحوط نیّة الآمر أیضاً</w:t>
      </w:r>
      <w:r>
        <w:rPr>
          <w:rFonts w:eastAsia="IRNazanin" w:cs="IRNazanin"/>
          <w:color w:val="111111"/>
          <w:sz w:val="28"/>
          <w:szCs w:val="28"/>
          <w:rtl w:val="true"/>
          <w:lang w:bidi="fa-IR"/>
        </w:rPr>
        <w:t>.</w:t>
      </w:r>
    </w:p>
    <w:p>
      <w:pPr>
        <w:pStyle w:val="Heading4"/>
        <w:numPr>
          <w:ilvl w:val="3"/>
          <w:numId w:val="1"/>
        </w:numPr>
        <w:rPr/>
      </w:pPr>
      <w:bookmarkStart w:id="979" w:name="__RefHeading___Toc79330_3244359995"/>
      <w:bookmarkStart w:id="980" w:name="_Toc373"/>
      <w:bookmarkEnd w:id="979"/>
      <w:r>
        <w:rPr>
          <w:rtl w:val="true"/>
        </w:rPr>
        <w:t>تجهیز زانی مرجوم قبل از رجم</w:t>
      </w:r>
      <w:bookmarkEnd w:id="980"/>
    </w:p>
    <w:p>
      <w:pPr>
        <w:pStyle w:val="BookText"/>
        <w:rPr/>
      </w:pPr>
      <w:r>
        <w:rPr>
          <w:rFonts w:ascii="IRNazanin" w:hAnsi="IRNazanin" w:eastAsia="IRNazanin"/>
          <w:color w:val="111111"/>
          <w:sz w:val="28"/>
          <w:sz w:val="28"/>
          <w:szCs w:val="28"/>
          <w:rtl w:val="true"/>
          <w:lang w:bidi="fa-IR"/>
        </w:rPr>
        <w:t>امام راحل رحمه الله به عنوان آخرین مسأله‌ی کیفیّت رجم،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اراده‌ی رجم زانی را کردند، امام معصوم علیه السلام یا حاکم شرع به محکوم دستور می‌دهد با آب سدر و کافور و آب خالص سه غسل میّت را انجام دهد؛ سپس، همان قطعه‌هایی که میّت را با آن کفن می‌کنند، بپوشد و قبل از کشته شدن مانند میّت حنوط کند و پس از تمام شدن رجم بر او نماز خوانده، او را در قبرستان مسلمانان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خیال نکند با رجم، از عنوان مسلمان بودن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رجم بدنش خونی شد و کفن را به خون آلوده کرد، لازم نیست آن را تطهیر کنند؛ بلکه با همان کفن خون آلود او را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کشته شدن، 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یا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زد، اعاده‌ی غسل لازم نیست؛ بلکه همان غسل قبلی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غسل را خود مجرم می‌کند، هر چند احتیاط این است که آمر و حاکم شرع نیز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معمولاً این مسأله را در کتاب طهارت مورد بحث و بررسی قرار می‌دهند و مقداری که در کتاب حدود متعرّض می‌شوند، نماز و دفن او در مقابر مسلمین است، تا کسی خیال نکند اکنون که او را رجم کرده‌اند، میّتی است که احترام ندارد و باید او را به حال خود رها کرد یا در غیر مقابر مسلمانان به خاک سپرد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اشاره‌ی اجمالی به ادلّه‌ی مطالب مذکوره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سهل بن زیاد، عن محمّد بن الحسن بن شمون، عن عبداللّه بن عبدالرّحمن، عن مسمع کردین،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المرجوم والمرجومة یغسّلان ویحنّطان ویلبسان الکفن قبل ذلک، ثمّ یرجمان ویصلّی علیهما، والمقتصّ منه بمنزلة ذلک یغسّل ویحنّط ویلبس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علیه</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از طریق کلینی رحمه الله جدّاً ضعیف است؛ طریق شیخ طوسی رحمه الله نیز مرسل بوده و شیخ صدوق رحمه الله نیز آن را به صورت مرسل از امیرمؤمنان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قرینه عبارات بعد، مقصود از مرجوم و مرجومه کسی است که می‌خواهند او را رجم کنند، نه این که مرجوم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آن که،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اتّحاد سیاق با آن موافق است؛ ولی در کتاب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بنابر عبارت تهذیب یعنی بر خودشان واجب است غسل کنند و به امر حاکم و امام علیه السلام نیاز ندارد؛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امر امام علیه السلام موضوعیّت دارد، و باید او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تهذیب، وقتی بر مرجوم و مرجومه غسل واجب بود، نیّت کردن نیز واجب است؛ مانند غسل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ظاهر جملات بعدی نیز مؤیّد آن است، مقصود این نیست که آنان را مرده حساب کرده و حاکم یا نایب او، وی را غسل 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بعید است؛ بلکه مقصود این است که باید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امام علیه السلام دستور غسل می‌دهد؛ ولی خودشان نیّت کنند؛ و احتمال 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درجه بالا رفته که امام علیه السلام باید نیّت کند تا اضافه‌ی غسل به حاکم بیشتر باشد و بتوان آن را به صیغه‌ی مجهول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راحل رحمه الله در تحریر الوسیله احتیاط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و آمر هر دو نیّت کنند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مرجوم و مرجومه غسل داده می‌شوند و حنوط به</w:t>
      </w:r>
    </w:p>
    <w:p>
      <w:pPr>
        <w:pStyle w:val="BookText"/>
        <w:rPr/>
      </w:pPr>
      <w:r>
        <w:rPr>
          <w:rFonts w:ascii="IRNazanin" w:hAnsi="IRNazanin" w:eastAsia="IRNazanin"/>
          <w:color w:val="111111"/>
          <w:sz w:val="28"/>
          <w:sz w:val="28"/>
          <w:szCs w:val="28"/>
          <w:rtl w:val="true"/>
          <w:lang w:bidi="fa-IR"/>
        </w:rPr>
        <w:t>اعضای بدن آنان مالیده می‌شود و همان پارچه‌های کفنی را قبل از رجم می‌پوشند؛ آن‌گاه رجم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رجم، بر آنان فقط نماز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هر چند از نظر سندی ضعیف است، ولی به تعبیر صاحب جواهر رحمه الله</w:t>
      </w:r>
      <w:r>
        <w:rPr>
          <w:rStyle w:val="FootnoteAnchor"/>
          <w:rtl w:val="true"/>
        </w:rPr>
        <w:footnoteReference w:id="1027"/>
      </w:r>
      <w:r>
        <w:rPr>
          <w:rFonts w:ascii="IRNazanin" w:hAnsi="IRNazanin" w:eastAsia="IRNazanin"/>
          <w:color w:val="111111"/>
          <w:sz w:val="28"/>
          <w:sz w:val="28"/>
          <w:szCs w:val="28"/>
          <w:rtl w:val="true"/>
          <w:lang w:bidi="fa-IR"/>
        </w:rPr>
        <w:t>تمام اصحاب بر طبق آن فتوا داده‌اند؛ بنابراین، ضعف سندش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قدری در این جهت استحکام دارد که مرحوم محقّق در کتاب معتبر</w:t>
      </w:r>
      <w:r>
        <w:rPr>
          <w:rStyle w:val="FootnoteAnchor"/>
          <w:rtl w:val="true"/>
        </w:rPr>
        <w:footnoteReference w:id="1028"/>
      </w:r>
      <w:r>
        <w:rPr>
          <w:rFonts w:ascii="IRNazanin" w:hAnsi="IRNazanin" w:eastAsia="IRNazanin"/>
          <w:color w:val="111111"/>
          <w:sz w:val="28"/>
          <w:sz w:val="28"/>
          <w:szCs w:val="28"/>
          <w:rtl w:val="true"/>
          <w:lang w:bidi="fa-IR"/>
        </w:rPr>
        <w:t>و شهید اوّل رحمه الله در کتاب ذکری</w:t>
      </w:r>
      <w:r>
        <w:rPr>
          <w:rStyle w:val="FootnoteAnchor"/>
          <w:rtl w:val="true"/>
        </w:rPr>
        <w:footnoteReference w:id="1029"/>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مضمون این روایت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یک شبهه و دفع آن</w:t>
      </w:r>
    </w:p>
    <w:p>
      <w:pPr>
        <w:pStyle w:val="BookText"/>
        <w:rPr/>
      </w:pPr>
      <w:r>
        <w:rPr>
          <w:rFonts w:ascii="IRNazanin" w:hAnsi="IRNazanin" w:eastAsia="IRNazanin"/>
          <w:color w:val="111111"/>
          <w:sz w:val="28"/>
          <w:sz w:val="28"/>
          <w:szCs w:val="28"/>
          <w:rtl w:val="true"/>
          <w:lang w:bidi="fa-IR"/>
        </w:rPr>
        <w:t>ممکن است در ذهن کسی بیاید که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از غسل، غسل میّت نباشد که به کیفیّت مخصوصی است و در آن باید سه غسل با آب سدر و کافور و آب خالص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غسل انجام دهند؛ امّا این که غسل آنان غسل میّت باشد به دلیل نیازمند است؛ به خصوص با توجّه به این که در جایی نیامده است بر افراد زنده، سه غسل به کیفیّت غسل میت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 شبهه، نیش غولی است؛ زیرا، ملاحظه‌ی روایت بیانگر این است که غسل و حنوط و کفنی که در مورد اموات بعد از مرگشان انجام می‌دهند، برای مرجوم و مرجومه که در آستانه‌ی مرگ هستند، قبل از مرگشان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قصاص نیز روایت همین مطلب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بعد از مرگ، قبل از آن و به همان کیفیّت انجام شود؛ نه با کیفیّت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متفاهم عرفی از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یغسّلان و یحنّطان و یلبسان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مراسم بعد از مرگ است که شارع بنا بر حکمت و مصلحتی، آن را قبل از مرگ واجب کرده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چشم بسته به اطلاق تمسّک کرده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یؤمران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بر بیش از یک غسل دلالت ندارد؛ و در این غسل هیچ کیفیّتی</w:t>
      </w:r>
    </w:p>
    <w:p>
      <w:pPr>
        <w:pStyle w:val="BookText"/>
        <w:rPr/>
      </w:pPr>
      <w:r>
        <w:rPr>
          <w:rFonts w:ascii="IRNazanin" w:hAnsi="IRNazanin" w:eastAsia="IRNazanin"/>
          <w:color w:val="111111"/>
          <w:sz w:val="28"/>
          <w:sz w:val="28"/>
          <w:szCs w:val="28"/>
          <w:rtl w:val="true"/>
          <w:lang w:bidi="fa-IR"/>
        </w:rPr>
        <w:t>مطرح نیست؛ بلکه فهم عرفی در معنای این روایت حجیّت دارد و عرف نیز تقدّم همان اعمالِ پس از مرگ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اطلاق روایت در این جهت می‌توان استفاده کرد که اگر قبل از رجم، غسل کرد، او را کافی است؛ خواه بعد از غسل محدث به حدث اکبر یا اصغر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این جهت تقییدی نیست و همین طور از جهت خون آلود شدن کفن و لباس‌های پوشیده شده، که طبیعی رجم، خون‌آلود شدن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یرجمان ویصلّی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 غسل و حنوط و کفن قبل از رجم و نماز بعد از رجم دلالت داشته، و همین طور دلالت آن در باب قصاص کامل است؛ امّا نسبت به دفن در مقابر مسلمانان متعرّض نیست؛ لیکن روایاتی از طریق شیعه و سنّی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بن محمّد بن خالد، رفعه إلی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أتاه رجل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الرجل فأخرجه أمیر المؤمنین علیه السلام فأمر فحفر له وصلّی علیه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تغسّله؟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اغتسل بما هو طاهر إلی یوم القیامة، لقد صبر علی أمر عظیم</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کوفه نزد امیرمؤمنان علیه السلام آمد و چهار مرتبه اقرار به زنا کرد؛ امیرمؤمنان علیه السلام او را به بیرون شهر برده و رجم کردند؛ هنگامی که مُرد، امام علیه السلام فرمان داد قبری برای او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خواند و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شد چرا غسلش ندادی؟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غسل کرد که تا قیامت پاک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اغتسل بما هو طاهر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رجم، غسل کرده که برای او ایجاد طهارتی نمود که با مرگ از بین نمی‌رود و تا قیامت باقی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اغتسال معنوی است؛ یعنی همین مقدار که به زنا اقرار کرد، تطهیر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نیز ورود روایاتی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زنیت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این است که نفس اقرار و آمادگی برای رجم خود مطهّر و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احتمال دوم، غسل او ربطی به بحث ما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دفن، می‌توان به آن استناد کرد؛ لیکن فعل امام علیه السلام را حکایت می‌کند و از آن استفاده‌ی وجوب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أمیر المؤمنین علیه السلام فقالت إنّی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ماتت فکیف نصنع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فادفعوها إلی أولیائها ومروهم أن یصنعوا بها کما یصنعون بموتاهم</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امیرمؤمنان علیه السلام آمده، به زنا اقرار کرد؛ در حالی که آبستن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وضع حمل، او را رجم کرد و پس از مراسم رجم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بستگانش تحویل دهید و به آنان فرمان دهید هر کار با مردگان خود انجام می‌دهند، با بدن این زن نیز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چند روایت آورده‌اند؛ یکی درباره‌ی زن جهنی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بها نبیّ اللّه وعلیها ثیابها ثمّ أمر بها ورجمت وصلّی علیها،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علیها یا نبیّ اللّه وقد زنت؟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تابت توبة لو قسمت بین سبعین من أهل المدینة لوسعتهم وهل وجدت توبة أفضل من أن جادت بنفسها</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پیامبر صلی الله علیه و آله پس از رجم بر آن زن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اعتراض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کرد که اگر بین هفتاد نفر از اهل مدینه تقسیم شود، همه را فرا می‌گیرد و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توبه‌ای بالاتر از این هست که جان خودش را برای خدا از دست داد و حاضر شد برای تطهیر خودش جان بدهد؟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درباره‌ی زن غامدی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تابت توبة لو تابها صاحب میسر لغفر اللّه له ثمّ أمر بها فصلّی علیها ودفنت</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 توبه‌ای کرد که اگر باجگیران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ظلم و</w:t>
      </w:r>
    </w:p>
    <w:p>
      <w:pPr>
        <w:pStyle w:val="BookText"/>
        <w:rPr/>
      </w:pPr>
      <w:r>
        <w:rPr>
          <w:rFonts w:ascii="IRNazanin" w:hAnsi="IRNazanin" w:eastAsia="IRNazanin"/>
          <w:color w:val="111111"/>
          <w:sz w:val="28"/>
          <w:sz w:val="28"/>
          <w:szCs w:val="28"/>
          <w:rtl w:val="true"/>
          <w:lang w:bidi="fa-IR"/>
        </w:rPr>
        <w:t xml:space="preserve">ستم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قماربازان چنین توبه‌ای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معنای مالیات‌چی و مسؤول مالیات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دادند بر او نماز خوانده شود و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روایات، مروبط به دفن در مقابر مسلمانان است و غیر آن وجهی ندارد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مطلب در کتاب طهارت بیان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الاشباه والنظائر،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 سنن ترمذی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محقّق داماد، قواعد فقه، بخش جزایی،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العلویة والأحکام النبویة،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فی أحکام الشریعة،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قول را مرحوم ابن ادریس در بحث امر به معروف و نهی از منکر در صفحۀ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کتاب سرائر پذیرفته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نظر را شیخ طوسی در بحث امر به معروف از کتاب نهایه پذیرفته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قول به بسیاری از فقها نسبت داده شده است؛ و علاوه بر مشروعیّت و ولایت در اقامۀ حدود، در برخی از کلمات فقها، مسأله لزوم مساعدت مردم هم مطرح گردیده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إقامة الحدود فی هذه الأعصار،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إقامة الحدود فی زمن الغیبة،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الرائع لمختصر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فی شرح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فی شرح المختصر النافع،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فی مسائل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فی فقه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فی مسائل الحلال والحرام،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نور، ذیل آیۀ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شفتی، مقالة فی تحقیق إقامة الحدود فی هذه الأعصار،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تحقیق در بحث خطابات قانونیه و عامه که از مهم‌ترین ابتکارات اصولی امام خمینی قدس سره است و در تمام مباحث فقه از ابتدا تا انتها مؤثر است، مراجعه شود به بحث‌های خارج فقه نویسنده، سال تحصیلی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پایگاه اطلاع‌رسانی نویسنده نیز موجود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رابطه با وثاقت و عدم وثاقت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عیسی بن عبید یقطینی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مفصلی از سوی نویسنده در جلسۀ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درس‌خارج فقه به تاریخ </w:t>
      </w:r>
      <w:r>
        <w:rPr>
          <w:rFonts w:eastAsia="IRNazanin" w:cs="IRNazanin"/>
          <w:b w:val="false"/>
          <w:bCs w:val="false"/>
          <w:i w:val="false"/>
          <w:iCs w:val="false"/>
          <w:color w:val="333333"/>
          <w:sz w:val="20"/>
          <w:szCs w:val="20"/>
        </w:rPr>
        <w:t>1389/12/11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گردیده است که علاقمندان می‌توانند به پایگاه اطلاع‌رسانی </w:t>
      </w:r>
      <w:r>
        <w:rPr>
          <w:rFonts w:eastAsia="IRNazanin" w:cs="IRNazanin"/>
          <w:b w:val="false"/>
          <w:bCs w:val="false"/>
          <w:i w:val="false"/>
          <w:iCs w:val="false"/>
          <w:color w:val="333333"/>
          <w:sz w:val="20"/>
          <w:szCs w:val="20"/>
        </w:rPr>
        <w:t>ri.in n lez</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کرده و مطالب فوق را دریافت دارند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المدنیة والشواهد المکیة،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المیرزا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کتاب الصوم،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العناوین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الفقاهة، کتاب النکاح،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الخمس، صص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الاجتهاد والتقلید،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کتاب الحدود،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شرایع الإسلام از متون فقهی بسیار محکم شیعه است، وشاید بتوان ادّعا کرد که در فقه شیعی، متنی محکم‌تر از این کتاب نداریم؛ به‌همین جهت، عدّه‌ای از علما و فقها، از جمله شهید ثانی رحمه الله کتاب مسالک الأفهام و صاحب جواهر رحمه الله، کتاب جواهر الکلام را به عنوان شرح بر آن نوشته‌اند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مفردات راغب،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شرح شرایع محقّق حلّی است و بر خلاف کتاب جواهر، کتاب سهل التناول و بسیار قابل استفاده است، به‌گونه‌ای که بعضی از بزرگان از فقهای متأخر، هر زمان به مسافرت می‌رفت، سعی می‌کرد این کتاب را همراه خود ببرد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والتعزیرات،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عبید و 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لواط،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قاعده‌ای اصطیادی از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إدرأوا الحدودبالشبهات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الحیض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الأحکام،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زمان مرحوم آیت‌اللّه بروجردی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سودمند بوده و شایداولین کتابی است که در آن پس از ذکر نام راوی و ویژگی‌های او، نام کسانی که از او روایت کرده یا راوی از آن‌ها روایت می‌کند را با تعداد روایاتشان در کتب اربعه بیان می‌کند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ما یحرم بالمصاهرة،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سائبه به شتری گویند که رها شده باشد، یا به علّت این‌که آن را نذر کرده‌اند و یا از جهت این‌که اولاد زیادی مثلاً تا دوازده‌بچه یا بیشتر به صاحبش تحویل داده باشد؛ چنین شتری بازنشسته شده، از او کار نمی‌کشند و او را سوار نمی‌شوند و در حمل و نقل، از آن استفاده نمی‌کنند؛ همین‌گونه است شتری که منذور 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کتاب الحدود،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مسائل اختلافی بین شیعه و سنّی نوشته شده و کتاب خوبی است؛ مرحوم آیت‌اللّه بروجردی نیز به آن عنایت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در این کتاب، نظر امامیّه و اهل‌سنّت را می‌آورد و پس از آن، در مقام استدلال و تثبیت عقیده‌ی شیعه بر می‌آید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لعان، یکی از اسباب افتراق بین زن و مرد بوده، به ترتیبی که در ابتدای سوره‌ی نور فرموده است؛ دو سبب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به‌زن نسبت زنا دادن با شرایط مقدّر در کتاب لعان؛ دوم، نفی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انجام مراسم لعان، زن بر مرد حرام ابدی می‌شود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قاعده‌ای اصطیادی از امثال این حدیث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تروک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الحسن الصفّار، عن محمّد بن الحسین، عن وهب بن حفص،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رسول‌اللّه صلی الله علیه و آله أن یقال للإماء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کذا وکذاه فإنّ لکلّ قوم نکاحاً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عبید واماء،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عبید و اماء،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ابواب میراث الاخوة والاجداد،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کتاب الحاء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حشر،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سوره‌ی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در مسأله‌ی بعد، در جریان استصحاب اشکال می‌کند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عبید و 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الفتوی،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الحدود،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معظّم له در کتاب تفصیل الشریعه فی شرح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اخیر را اختیار و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وإضافة الحدّ إلی الجلدلیست إضافة بیانیّة کما هو ظاهر بل المراد من الحدّ آخر ما یتحقّق به الجلد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روایت دو سند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حمید بن زیاد، عن إبن سماعة، عن غیر واحد، عن أبان، عن عبدالرحمن بن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این سند مبتلا به اشکال ارسال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 عن أحمد بن محمّد، عن علیّ بن الحکم عن أبان، عن عبدالرحمن بن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که این سند، صحیح می‌باشد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الحدود،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چهار کتاب اساسی شیعه در حدیث است که در رابطه با کیفیّت جمع بین اخبار مختلف تنظیم‌شده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الاخبار،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الأخبار،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فضلا و محقّقان ارزنده‌ی ساکن در تهران بود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خصال، باب التسعة،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ردّ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المبسوط 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أسهل المدارک،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کاشانی رحمه الله در کتاب وافی آن را محجّ ضبط کرده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زنی است که وضع حملش نزدیک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صورت مذکّر و مؤنث آن یک صیغه دارد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کتاب الحدود،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مختصر المزنی،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اسهل المدارک،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المدوّنة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مسأله‌ی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الفتوی،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الفتوی،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الفایدة والبرهان،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کتاب الحدود، مسأله‌ی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الطلاق وشرائطه،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تکبیرة الاحرام،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القرائة،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قاعده‌ای اصطیادی از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ادرؤوا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 یکی از کتاب‌های شیخ صدوق رحمه الله و از کتب فقهی قدما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کتاب جوامع الفقهیة و مستقل چاپ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مختلف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شهادات،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شهادات،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کتاب الشهادات أنّه یکفی فیها العلم و خصوصاً الیقین منه الّذی أحد طرق المشاهدة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دو سند دارد یکی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صحیحه و حسنه مردّد است؛ ولی سند دیگر آن بر طبق‌تمام مبانی صحیح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قاعده‌ای اصطیادی از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ادرؤوا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کتاب الحدود،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القواعد،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فاطر،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قاعده اصطیادی از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ادرؤوا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زنا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النهایة فی مجرّد الفقه و الفتوی،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الإنتصار،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شرایع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القتل فیجب علی من زنی بذات محرم کالاُمّ والبنت وشبهها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روایتی به این مضمون در کتب روایی پیدا نکردیم، مرحوم صاحب جواهر آن را در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وعلّامه‌ی طباطبایی ذیل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 بدون اشاره بن مأخذش نقل کرده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کتاب الحدود،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المسانید و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غافر،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تفسیر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دو سند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 بین صحیحه و حسنه است، ولی سند دیگر آن بر طبق‌تمام مبانی صحیح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مجرّدالفقه والفتوی،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 حدزنا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کتاب الحدود،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الاخبار،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438</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مجادله،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دیات النفس،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سوره‌ی فاطر،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به نقل از 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انعام،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سوره‌ی فاطر،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آیة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پس از اشاره به کلام صاحب جواهر رحمه الله و عدم جواز تأخیر رجم زن نفساء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حدّش تازیانه باشد، در صورتی که خوف بر آن زن از جهت نفاس و یا بر فرزندش باشد، تأخیر آن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در مقام اشکال بر عبارت تحریر الوسیله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بین این دو مطلب جمع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 به احتیاط لزومی در تأخیر حدّ نفساء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باشد و یا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فتوا به تأخیر رجم تا خروج از نفاس و به تأخیر جلد مشروط به خوف بر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الوسیله، کتاب الحدود،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مدّعی اجماع، ابن زهره در غنیة النزوع،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تقریر درس سهواً به شیخ نسبت داده‌اند، ولی در کتاب الحدودبه غنیة النزوع نسبت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بین دو پرانتز در تقریرات درس نبود؛ و ما برای تکمیل کلام ایشان از کتاب تفصیل الشریعة، کتاب الحدود،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کردیم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این که حدّ قذف با حدّ شرب خمر در مقدار مساوی است، باید اشدّیت در روایت را بر کیفیّت حمل کرد، نه بر کمیّت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الشرایع، 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شیخ طوسی روایت را در تهذیب با اسناد خودش از حسین بن سعید از محمّد بن یحیی نقل می‌کند و ربطی به‌کلینی رحمه الله ندارد و واسطه‌ها بیش از سه نفر هستند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غسل 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91927</Words>
  <Characters>350491</Characters>
  <CharactersWithSpaces>439934</CharactersWithSpaces>
  <Paragraphs>2484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2026-08-24T01:02:02Z</dcterms:created>
  <dc:creator>ghaemiyeh.com</dc:creator>
  <dc:description/>
  <dc:language>en-US</dc:language>
  <cp:lastModifiedBy/>
  <dcterms:modified xsi:type="dcterms:W3CDTF">2026-08-24T04:32:27Z</dcterms:modified>
  <cp:revision>1</cp:revision>
  <dc:subject/>
  <dc:title>آئین کیفری اسلام جلد 1</dc:title>
</cp:coreProperties>
</file>

<file path=docProps/custom.xml><?xml version="1.0" encoding="utf-8"?>
<Properties xmlns="http://schemas.openxmlformats.org/officeDocument/2006/custom-properties" xmlns:vt="http://schemas.openxmlformats.org/officeDocument/2006/docPropsVTypes"/>
</file>