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الطهاره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69848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69850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69852_3224264995">
            <w:r>
              <w:rPr>
                <w:webHidden/>
                <w:rStyle w:val="IndexLink"/>
                <w:rtl w:val="true"/>
              </w:rPr>
              <w:t>[</w:t>
            </w:r>
            <w:r>
              <w:rPr>
                <w:rStyle w:val="IndexLink"/>
                <w:rtl w:val="true"/>
              </w:rPr>
              <w:t>تتمة شرح کتاب الطهارة من الشرائع</w:t>
            </w:r>
            <w:r>
              <w:rPr>
                <w:rStyle w:val="IndexLink"/>
                <w:rtl w:val="true"/>
              </w:rPr>
              <w:t>]</w:t>
              <w:tab/>
            </w:r>
            <w:r>
              <w:rPr>
                <w:rStyle w:val="IndexLink"/>
              </w:rPr>
              <w:t>7</w:t>
            </w:r>
          </w:hyperlink>
        </w:p>
        <w:p>
          <w:pPr>
            <w:pStyle w:val="Contents3"/>
            <w:tabs>
              <w:tab w:val="clear" w:pos="8459"/>
              <w:tab w:val="right" w:pos="9026" w:leader="dot"/>
            </w:tabs>
            <w:rPr/>
          </w:pPr>
          <w:hyperlink w:anchor="__RefHeading___Toc6369854_3224264995">
            <w:r>
              <w:rPr>
                <w:webHidden/>
                <w:rStyle w:val="IndexLink"/>
                <w:rtl w:val="true"/>
              </w:rPr>
              <w:t>[</w:t>
            </w:r>
            <w:r>
              <w:rPr>
                <w:rStyle w:val="IndexLink"/>
                <w:rtl w:val="true"/>
              </w:rPr>
              <w:t>تتمة الرکن الثانی</w:t>
            </w:r>
            <w:r>
              <w:rPr>
                <w:rStyle w:val="IndexLink"/>
                <w:rtl w:val="true"/>
              </w:rPr>
              <w:t>]</w:t>
              <w:tab/>
            </w:r>
            <w:r>
              <w:rPr>
                <w:rStyle w:val="IndexLink"/>
              </w:rPr>
              <w:t>7</w:t>
            </w:r>
          </w:hyperlink>
        </w:p>
        <w:p>
          <w:pPr>
            <w:pStyle w:val="Contents4"/>
            <w:tabs>
              <w:tab w:val="clear" w:pos="8176"/>
              <w:tab w:val="right" w:pos="9026" w:leader="dot"/>
            </w:tabs>
            <w:rPr/>
          </w:pPr>
          <w:hyperlink w:anchor="__RefHeading___Toc6369856_3224264995">
            <w:r>
              <w:rPr>
                <w:webHidden/>
                <w:rStyle w:val="IndexLink"/>
                <w:rtl w:val="true"/>
              </w:rPr>
              <w:t>الفصل الثالث فی کیفیة الوضوء</w:t>
            </w:r>
            <w:r>
              <w:rPr>
                <w:rStyle w:val="IndexLink"/>
                <w:rtl w:val="true"/>
              </w:rPr>
              <w:tab/>
            </w:r>
            <w:r>
              <w:rPr>
                <w:rStyle w:val="IndexLink"/>
              </w:rPr>
              <w:t>7</w:t>
            </w:r>
          </w:hyperlink>
        </w:p>
        <w:p>
          <w:pPr>
            <w:pStyle w:val="Contents5"/>
            <w:tabs>
              <w:tab w:val="clear" w:pos="7892"/>
              <w:tab w:val="right" w:pos="9026" w:leader="dot"/>
            </w:tabs>
            <w:rPr/>
          </w:pPr>
          <w:hyperlink w:anchor="__RefHeading___Toc6369858_3224264995">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6369860_3224264995">
            <w:r>
              <w:rPr>
                <w:webHidden/>
                <w:rStyle w:val="IndexLink"/>
                <w:rtl w:val="true"/>
              </w:rPr>
              <w:t>فروض الوضوء و سننه</w:t>
            </w:r>
            <w:r>
              <w:rPr>
                <w:rStyle w:val="IndexLink"/>
                <w:rtl w:val="true"/>
              </w:rPr>
              <w:tab/>
            </w:r>
            <w:r>
              <w:rPr>
                <w:rStyle w:val="IndexLink"/>
              </w:rPr>
              <w:t>7</w:t>
            </w:r>
          </w:hyperlink>
        </w:p>
        <w:p>
          <w:pPr>
            <w:pStyle w:val="Contents6"/>
            <w:tabs>
              <w:tab w:val="clear" w:pos="7609"/>
              <w:tab w:val="right" w:pos="9026" w:leader="dot"/>
            </w:tabs>
            <w:rPr/>
          </w:pPr>
          <w:hyperlink w:anchor="__RefHeading___Toc6369862_3224264995">
            <w:r>
              <w:rPr>
                <w:webHidden/>
                <w:rStyle w:val="IndexLink"/>
                <w:rtl w:val="true"/>
              </w:rPr>
              <w:t>اشارة</w:t>
            </w:r>
            <w:r>
              <w:rPr>
                <w:rStyle w:val="IndexLink"/>
                <w:rtl w:val="true"/>
              </w:rPr>
              <w:tab/>
            </w:r>
            <w:r>
              <w:rPr>
                <w:rStyle w:val="IndexLink"/>
              </w:rPr>
              <w:t>7</w:t>
            </w:r>
          </w:hyperlink>
        </w:p>
        <w:p>
          <w:pPr>
            <w:pStyle w:val="Contents6"/>
            <w:tabs>
              <w:tab w:val="clear" w:pos="7609"/>
              <w:tab w:val="right" w:pos="9026" w:leader="dot"/>
            </w:tabs>
            <w:rPr/>
          </w:pPr>
          <w:hyperlink w:anchor="__RefHeading___Toc6369864_3224264995">
            <w:r>
              <w:rPr>
                <w:webHidden/>
                <w:rStyle w:val="IndexLink"/>
                <w:rtl w:val="true"/>
              </w:rPr>
              <w:t>[</w:t>
            </w:r>
            <w:r>
              <w:rPr>
                <w:rStyle w:val="IndexLink"/>
                <w:rtl w:val="true"/>
              </w:rPr>
              <w:t>فروض الوضوء</w:t>
            </w:r>
            <w:r>
              <w:rPr>
                <w:rStyle w:val="IndexLink"/>
                <w:rtl w:val="true"/>
              </w:rPr>
              <w:t>]</w:t>
              <w:tab/>
            </w:r>
            <w:r>
              <w:rPr>
                <w:rStyle w:val="IndexLink"/>
              </w:rPr>
              <w:t>8</w:t>
            </w:r>
          </w:hyperlink>
        </w:p>
        <w:p>
          <w:pPr>
            <w:pStyle w:val="Contents6"/>
            <w:tabs>
              <w:tab w:val="clear" w:pos="7609"/>
              <w:tab w:val="right" w:pos="9026" w:leader="dot"/>
            </w:tabs>
            <w:rPr/>
          </w:pPr>
          <w:hyperlink w:anchor="__RefHeading___Toc6369866_3224264995">
            <w:r>
              <w:rPr>
                <w:webHidden/>
                <w:rStyle w:val="IndexLink"/>
                <w:rtl w:val="true"/>
              </w:rPr>
              <w:t>اشارة</w:t>
            </w:r>
            <w:r>
              <w:rPr>
                <w:rStyle w:val="IndexLink"/>
                <w:rtl w:val="true"/>
              </w:rPr>
              <w:tab/>
            </w:r>
            <w:r>
              <w:rPr>
                <w:rStyle w:val="IndexLink"/>
              </w:rPr>
              <w:t>8</w:t>
            </w:r>
          </w:hyperlink>
        </w:p>
        <w:p>
          <w:pPr>
            <w:pStyle w:val="Contents6"/>
            <w:tabs>
              <w:tab w:val="clear" w:pos="7609"/>
              <w:tab w:val="right" w:pos="9026" w:leader="dot"/>
            </w:tabs>
            <w:rPr/>
          </w:pPr>
          <w:hyperlink w:anchor="__RefHeading___Toc6369868_3224264995">
            <w:r>
              <w:rPr>
                <w:webHidden/>
                <w:rStyle w:val="IndexLink"/>
                <w:rtl w:val="true"/>
              </w:rPr>
              <w:t>الفرض الأول النیة</w:t>
            </w:r>
            <w:r>
              <w:rPr>
                <w:rStyle w:val="IndexLink"/>
                <w:rtl w:val="true"/>
              </w:rPr>
              <w:tab/>
            </w:r>
            <w:r>
              <w:rPr>
                <w:rStyle w:val="IndexLink"/>
              </w:rPr>
              <w:t>10</w:t>
            </w:r>
          </w:hyperlink>
        </w:p>
        <w:p>
          <w:pPr>
            <w:pStyle w:val="Contents6"/>
            <w:tabs>
              <w:tab w:val="clear" w:pos="7609"/>
              <w:tab w:val="right" w:pos="9026" w:leader="dot"/>
            </w:tabs>
            <w:rPr/>
          </w:pPr>
          <w:hyperlink w:anchor="__RefHeading___Toc6369870_3224264995">
            <w:r>
              <w:rPr>
                <w:webHidden/>
                <w:rStyle w:val="IndexLink"/>
                <w:rtl w:val="true"/>
              </w:rPr>
              <w:t>اشارة</w:t>
            </w:r>
            <w:r>
              <w:rPr>
                <w:rStyle w:val="IndexLink"/>
                <w:rtl w:val="true"/>
              </w:rPr>
              <w:tab/>
            </w:r>
            <w:r>
              <w:rPr>
                <w:rStyle w:val="IndexLink"/>
              </w:rPr>
              <w:t>10</w:t>
            </w:r>
          </w:hyperlink>
        </w:p>
        <w:p>
          <w:pPr>
            <w:pStyle w:val="Contents6"/>
            <w:tabs>
              <w:tab w:val="clear" w:pos="7609"/>
              <w:tab w:val="right" w:pos="9026" w:leader="dot"/>
            </w:tabs>
            <w:rPr/>
          </w:pPr>
          <w:hyperlink w:anchor="__RefHeading___Toc6369872_3224264995">
            <w:r>
              <w:rPr>
                <w:webHidden/>
                <w:rStyle w:val="IndexLink"/>
                <w:rtl w:val="true"/>
              </w:rPr>
              <w:t>[</w:t>
            </w:r>
            <w:r>
              <w:rPr>
                <w:rStyle w:val="IndexLink"/>
                <w:rtl w:val="true"/>
              </w:rPr>
              <w:t>تعریف النیّة</w:t>
            </w:r>
            <w:r>
              <w:rPr>
                <w:rStyle w:val="IndexLink"/>
                <w:rtl w:val="true"/>
              </w:rPr>
              <w:t>]</w:t>
              <w:tab/>
            </w:r>
            <w:r>
              <w:rPr>
                <w:rStyle w:val="IndexLink"/>
              </w:rPr>
              <w:t>14</w:t>
            </w:r>
          </w:hyperlink>
        </w:p>
        <w:p>
          <w:pPr>
            <w:pStyle w:val="Contents6"/>
            <w:tabs>
              <w:tab w:val="clear" w:pos="7609"/>
              <w:tab w:val="right" w:pos="9026" w:leader="dot"/>
            </w:tabs>
            <w:rPr/>
          </w:pPr>
          <w:hyperlink w:anchor="__RefHeading___Toc6369874_3224264995">
            <w:r>
              <w:rPr>
                <w:webHidden/>
                <w:rStyle w:val="IndexLink"/>
                <w:rtl w:val="true"/>
              </w:rPr>
              <w:t>[</w:t>
            </w:r>
            <w:r>
              <w:rPr>
                <w:rStyle w:val="IndexLink"/>
                <w:rtl w:val="true"/>
              </w:rPr>
              <w:t>کیفیّة النیّة</w:t>
            </w:r>
            <w:r>
              <w:rPr>
                <w:rStyle w:val="IndexLink"/>
                <w:rtl w:val="true"/>
              </w:rPr>
              <w:t>]</w:t>
              <w:tab/>
            </w:r>
            <w:r>
              <w:rPr>
                <w:rStyle w:val="IndexLink"/>
              </w:rPr>
              <w:t>26</w:t>
            </w:r>
          </w:hyperlink>
        </w:p>
        <w:p>
          <w:pPr>
            <w:pStyle w:val="Contents6"/>
            <w:tabs>
              <w:tab w:val="clear" w:pos="7609"/>
              <w:tab w:val="right" w:pos="9026" w:leader="dot"/>
            </w:tabs>
            <w:rPr/>
          </w:pPr>
          <w:hyperlink w:anchor="__RefHeading___Toc6369876_3224264995">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6369878_3224264995">
            <w:r>
              <w:rPr>
                <w:webHidden/>
                <w:rStyle w:val="IndexLink"/>
                <w:rtl w:val="true"/>
              </w:rPr>
              <w:t>و الخلاف هنا فی مقامین</w:t>
            </w:r>
            <w:r>
              <w:rPr>
                <w:rStyle w:val="IndexLink"/>
                <w:rtl w:val="true"/>
              </w:rPr>
              <w:t>:</w:t>
              <w:tab/>
            </w:r>
            <w:r>
              <w:rPr>
                <w:rStyle w:val="IndexLink"/>
              </w:rPr>
              <w:t>26</w:t>
            </w:r>
          </w:hyperlink>
        </w:p>
        <w:p>
          <w:pPr>
            <w:pStyle w:val="Contents6"/>
            <w:tabs>
              <w:tab w:val="clear" w:pos="7609"/>
              <w:tab w:val="right" w:pos="9026" w:leader="dot"/>
            </w:tabs>
            <w:rPr/>
          </w:pPr>
          <w:hyperlink w:anchor="__RefHeading___Toc6369880_3224264995">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6369882_3224264995">
            <w:r>
              <w:rPr>
                <w:webHidden/>
                <w:rStyle w:val="IndexLink"/>
                <w:rtl w:val="true"/>
              </w:rPr>
              <w:t>المقام الأوّل،</w:t>
            </w:r>
            <w:r>
              <w:rPr>
                <w:rStyle w:val="IndexLink"/>
                <w:rtl w:val="true"/>
              </w:rPr>
              <w:tab/>
            </w:r>
            <w:r>
              <w:rPr>
                <w:rStyle w:val="IndexLink"/>
              </w:rPr>
              <w:t>26</w:t>
            </w:r>
          </w:hyperlink>
        </w:p>
        <w:p>
          <w:pPr>
            <w:pStyle w:val="Contents6"/>
            <w:tabs>
              <w:tab w:val="clear" w:pos="7609"/>
              <w:tab w:val="right" w:pos="9026" w:leader="dot"/>
            </w:tabs>
            <w:rPr/>
          </w:pPr>
          <w:hyperlink w:anchor="__RefHeading___Toc6369884_3224264995">
            <w:r>
              <w:rPr>
                <w:webHidden/>
                <w:rStyle w:val="IndexLink"/>
                <w:rtl w:val="true"/>
              </w:rPr>
              <w:t>المقام الثانی</w:t>
            </w:r>
            <w:r>
              <w:rPr>
                <w:rStyle w:val="IndexLink"/>
                <w:rtl w:val="true"/>
              </w:rPr>
              <w:t xml:space="preserve">: </w:t>
            </w:r>
            <w:r>
              <w:rPr>
                <w:rStyle w:val="IndexLink"/>
                <w:rtl w:val="true"/>
              </w:rPr>
              <w:t>فی اعتبار ملاحظة الوجوب و الندب غایة،</w:t>
            </w:r>
            <w:r>
              <w:rPr>
                <w:rStyle w:val="IndexLink"/>
                <w:rtl w:val="true"/>
              </w:rPr>
              <w:tab/>
            </w:r>
            <w:r>
              <w:rPr>
                <w:rStyle w:val="IndexLink"/>
              </w:rPr>
              <w:t>38</w:t>
            </w:r>
          </w:hyperlink>
        </w:p>
        <w:p>
          <w:pPr>
            <w:pStyle w:val="Contents6"/>
            <w:tabs>
              <w:tab w:val="clear" w:pos="7609"/>
              <w:tab w:val="right" w:pos="9026" w:leader="dot"/>
            </w:tabs>
            <w:rPr/>
          </w:pPr>
          <w:hyperlink w:anchor="__RefHeading___Toc6369886_3224264995">
            <w:r>
              <w:rPr>
                <w:webHidden/>
                <w:rStyle w:val="IndexLink"/>
                <w:rtl w:val="true"/>
              </w:rPr>
              <w:t>بقی فی نیّة الوضوء أمور لا بدّ من التنبیه علیها</w:t>
            </w:r>
            <w:r>
              <w:rPr>
                <w:rStyle w:val="IndexLink"/>
                <w:rtl w:val="true"/>
              </w:rPr>
              <w:t>:</w:t>
              <w:tab/>
            </w:r>
            <w:r>
              <w:rPr>
                <w:rStyle w:val="IndexLink"/>
              </w:rPr>
              <w:t>53</w:t>
            </w:r>
          </w:hyperlink>
        </w:p>
        <w:p>
          <w:pPr>
            <w:pStyle w:val="Contents6"/>
            <w:tabs>
              <w:tab w:val="clear" w:pos="7609"/>
              <w:tab w:val="right" w:pos="9026" w:leader="dot"/>
            </w:tabs>
            <w:rPr/>
          </w:pPr>
          <w:hyperlink w:anchor="__RefHeading___Toc6369888_3224264995">
            <w:r>
              <w:rPr>
                <w:webHidden/>
                <w:rStyle w:val="IndexLink"/>
                <w:rtl w:val="true"/>
              </w:rPr>
              <w:t>[</w:t>
            </w:r>
            <w:r>
              <w:rPr>
                <w:rStyle w:val="IndexLink"/>
                <w:rtl w:val="true"/>
              </w:rPr>
              <w:t>الأمر</w:t>
            </w:r>
            <w:r>
              <w:rPr>
                <w:rStyle w:val="IndexLink"/>
                <w:rtl w:val="true"/>
              </w:rPr>
              <w:t xml:space="preserve">] </w:t>
            </w:r>
            <w:r>
              <w:rPr>
                <w:rStyle w:val="IndexLink"/>
                <w:rtl w:val="true"/>
              </w:rPr>
              <w:t>الأوّل</w:t>
            </w:r>
            <w:r>
              <w:rPr>
                <w:rStyle w:val="IndexLink"/>
                <w:rtl w:val="true"/>
              </w:rPr>
              <w:tab/>
            </w:r>
            <w:r>
              <w:rPr>
                <w:rStyle w:val="IndexLink"/>
              </w:rPr>
              <w:t>53</w:t>
            </w:r>
          </w:hyperlink>
        </w:p>
        <w:p>
          <w:pPr>
            <w:pStyle w:val="Contents6"/>
            <w:tabs>
              <w:tab w:val="clear" w:pos="7609"/>
              <w:tab w:val="right" w:pos="9026" w:leader="dot"/>
            </w:tabs>
            <w:rPr/>
          </w:pPr>
          <w:hyperlink w:anchor="__RefHeading___Toc6369890_3224264995">
            <w:r>
              <w:rPr>
                <w:webHidden/>
                <w:rStyle w:val="IndexLink"/>
                <w:rtl w:val="true"/>
              </w:rPr>
              <w:t>[</w:t>
            </w:r>
            <w:r>
              <w:rPr>
                <w:rStyle w:val="IndexLink"/>
                <w:rtl w:val="true"/>
              </w:rPr>
              <w:t>الأمر</w:t>
            </w:r>
            <w:r>
              <w:rPr>
                <w:rStyle w:val="IndexLink"/>
                <w:rtl w:val="true"/>
              </w:rPr>
              <w:t xml:space="preserve">] </w:t>
            </w:r>
            <w:r>
              <w:rPr>
                <w:rStyle w:val="IndexLink"/>
                <w:rtl w:val="true"/>
              </w:rPr>
              <w:t>الثانی</w:t>
            </w:r>
            <w:r>
              <w:rPr>
                <w:rStyle w:val="IndexLink"/>
                <w:rtl w:val="true"/>
              </w:rPr>
              <w:tab/>
            </w:r>
            <w:r>
              <w:rPr>
                <w:rStyle w:val="IndexLink"/>
              </w:rPr>
              <w:t>55</w:t>
            </w:r>
          </w:hyperlink>
        </w:p>
        <w:p>
          <w:pPr>
            <w:pStyle w:val="Contents6"/>
            <w:tabs>
              <w:tab w:val="clear" w:pos="7609"/>
              <w:tab w:val="right" w:pos="9026" w:leader="dot"/>
            </w:tabs>
            <w:rPr/>
          </w:pPr>
          <w:hyperlink w:anchor="__RefHeading___Toc6369892_322426499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6369894_3224264995">
            <w:r>
              <w:rPr>
                <w:webHidden/>
                <w:rStyle w:val="IndexLink"/>
                <w:rtl w:val="true"/>
              </w:rPr>
              <w:t>الکلام هنا فی مقامات</w:t>
            </w:r>
            <w:r>
              <w:rPr>
                <w:rStyle w:val="IndexLink"/>
                <w:rtl w:val="true"/>
              </w:rPr>
              <w:t>:</w:t>
              <w:tab/>
            </w:r>
            <w:r>
              <w:rPr>
                <w:rStyle w:val="IndexLink"/>
              </w:rPr>
              <w:t>55</w:t>
            </w:r>
          </w:hyperlink>
        </w:p>
        <w:p>
          <w:pPr>
            <w:pStyle w:val="Contents6"/>
            <w:tabs>
              <w:tab w:val="clear" w:pos="7609"/>
              <w:tab w:val="right" w:pos="9026" w:leader="dot"/>
            </w:tabs>
            <w:rPr/>
          </w:pPr>
          <w:hyperlink w:anchor="__RefHeading___Toc6369896_322426499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6369898_3224264995">
            <w:r>
              <w:rPr>
                <w:webHidden/>
                <w:rStyle w:val="IndexLink"/>
                <w:rtl w:val="true"/>
              </w:rPr>
              <w:t>أمّا المقام الأوّل</w:t>
            </w:r>
            <w:r>
              <w:rPr>
                <w:rStyle w:val="IndexLink"/>
                <w:rtl w:val="true"/>
              </w:rPr>
              <w:t>:</w:t>
              <w:tab/>
            </w:r>
            <w:r>
              <w:rPr>
                <w:rStyle w:val="IndexLink"/>
              </w:rPr>
              <w:t>55</w:t>
            </w:r>
          </w:hyperlink>
        </w:p>
        <w:p>
          <w:pPr>
            <w:pStyle w:val="Contents6"/>
            <w:tabs>
              <w:tab w:val="clear" w:pos="7609"/>
              <w:tab w:val="right" w:pos="9026" w:leader="dot"/>
            </w:tabs>
            <w:rPr/>
          </w:pPr>
          <w:hyperlink w:anchor="__RefHeading___Toc6369900_3224264995">
            <w:r>
              <w:rPr>
                <w:webHidden/>
                <w:rStyle w:val="IndexLink"/>
                <w:rtl w:val="true"/>
              </w:rPr>
              <w:t>و أمّا المقام الثانی</w:t>
            </w:r>
            <w:r>
              <w:rPr>
                <w:rStyle w:val="IndexLink"/>
                <w:rtl w:val="true"/>
              </w:rPr>
              <w:t>:</w:t>
              <w:tab/>
            </w:r>
            <w:r>
              <w:rPr>
                <w:rStyle w:val="IndexLink"/>
              </w:rPr>
              <w:t>61</w:t>
            </w:r>
          </w:hyperlink>
        </w:p>
        <w:p>
          <w:pPr>
            <w:pStyle w:val="Contents6"/>
            <w:tabs>
              <w:tab w:val="clear" w:pos="7609"/>
              <w:tab w:val="right" w:pos="9026" w:leader="dot"/>
            </w:tabs>
            <w:rPr/>
          </w:pPr>
          <w:hyperlink w:anchor="__RefHeading___Toc6369902_3224264995">
            <w:r>
              <w:rPr>
                <w:webHidden/>
                <w:rStyle w:val="IndexLink"/>
                <w:rtl w:val="true"/>
              </w:rPr>
              <w:t>و أمّا المقام الثالث</w:t>
            </w:r>
            <w:r>
              <w:rPr>
                <w:rStyle w:val="IndexLink"/>
                <w:rtl w:val="true"/>
              </w:rPr>
              <w:t>:</w:t>
              <w:tab/>
            </w:r>
            <w:r>
              <w:rPr>
                <w:rStyle w:val="IndexLink"/>
              </w:rPr>
              <w:t>66</w:t>
            </w:r>
          </w:hyperlink>
        </w:p>
        <w:p>
          <w:pPr>
            <w:pStyle w:val="Contents6"/>
            <w:tabs>
              <w:tab w:val="clear" w:pos="7609"/>
              <w:tab w:val="right" w:pos="9026" w:leader="dot"/>
            </w:tabs>
            <w:rPr/>
          </w:pPr>
          <w:hyperlink w:anchor="__RefHeading___Toc6369904_3224264995">
            <w:r>
              <w:rPr>
                <w:webHidden/>
                <w:rStyle w:val="IndexLink"/>
                <w:rtl w:val="true"/>
              </w:rPr>
              <w:t>الأمر الثالث</w:t>
            </w:r>
            <w:r>
              <w:rPr>
                <w:rStyle w:val="IndexLink"/>
                <w:rtl w:val="true"/>
              </w:rPr>
              <w:tab/>
            </w:r>
            <w:r>
              <w:rPr>
                <w:rStyle w:val="IndexLink"/>
              </w:rPr>
              <w:t>68</w:t>
            </w:r>
          </w:hyperlink>
        </w:p>
        <w:p>
          <w:pPr>
            <w:pStyle w:val="Contents6"/>
            <w:tabs>
              <w:tab w:val="clear" w:pos="7609"/>
              <w:tab w:val="right" w:pos="9026" w:leader="dot"/>
            </w:tabs>
            <w:rPr/>
          </w:pPr>
          <w:hyperlink w:anchor="__RefHeading___Toc6369906_3224264995">
            <w:r>
              <w:rPr>
                <w:webHidden/>
                <w:rStyle w:val="IndexLink"/>
                <w:rtl w:val="true"/>
              </w:rPr>
              <w:t>[</w:t>
            </w:r>
            <w:r>
              <w:rPr>
                <w:rStyle w:val="IndexLink"/>
                <w:rtl w:val="true"/>
              </w:rPr>
              <w:t>ضمّ مقصد مباح إلی نیّة التقرّب</w:t>
            </w:r>
            <w:r>
              <w:rPr>
                <w:rStyle w:val="IndexLink"/>
                <w:rtl w:val="true"/>
              </w:rPr>
              <w:t>]</w:t>
              <w:tab/>
            </w:r>
            <w:r>
              <w:rPr>
                <w:rStyle w:val="IndexLink"/>
              </w:rPr>
              <w:t>92</w:t>
            </w:r>
          </w:hyperlink>
        </w:p>
        <w:p>
          <w:pPr>
            <w:pStyle w:val="Contents6"/>
            <w:tabs>
              <w:tab w:val="clear" w:pos="7609"/>
              <w:tab w:val="right" w:pos="9026" w:leader="dot"/>
            </w:tabs>
            <w:rPr/>
          </w:pPr>
          <w:hyperlink w:anchor="__RefHeading___Toc6369908_3224264995">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6369910_3224264995">
            <w:r>
              <w:rPr>
                <w:webHidden/>
                <w:rStyle w:val="IndexLink"/>
                <w:rtl w:val="true"/>
              </w:rPr>
              <w:t>فالکلام فی مقامات ثلاثة</w:t>
            </w:r>
            <w:r>
              <w:rPr>
                <w:rStyle w:val="IndexLink"/>
                <w:rtl w:val="true"/>
              </w:rPr>
              <w:t>:</w:t>
              <w:tab/>
            </w:r>
            <w:r>
              <w:rPr>
                <w:rStyle w:val="IndexLink"/>
              </w:rPr>
              <w:t>92</w:t>
            </w:r>
          </w:hyperlink>
        </w:p>
        <w:p>
          <w:pPr>
            <w:pStyle w:val="Contents6"/>
            <w:tabs>
              <w:tab w:val="clear" w:pos="7609"/>
              <w:tab w:val="right" w:pos="9026" w:leader="dot"/>
            </w:tabs>
            <w:rPr/>
          </w:pPr>
          <w:hyperlink w:anchor="__RefHeading___Toc6369912_3224264995">
            <w:r>
              <w:rPr>
                <w:webHidden/>
                <w:rStyle w:val="IndexLink"/>
                <w:rtl w:val="true"/>
              </w:rPr>
              <w:t>أمّا المقام الأوّل</w:t>
            </w:r>
            <w:r>
              <w:rPr>
                <w:rStyle w:val="IndexLink"/>
                <w:rtl w:val="true"/>
              </w:rPr>
              <w:t>:</w:t>
              <w:tab/>
            </w:r>
            <w:r>
              <w:rPr>
                <w:rStyle w:val="IndexLink"/>
              </w:rPr>
              <w:t>92</w:t>
            </w:r>
          </w:hyperlink>
        </w:p>
        <w:p>
          <w:pPr>
            <w:pStyle w:val="Contents6"/>
            <w:tabs>
              <w:tab w:val="clear" w:pos="7609"/>
              <w:tab w:val="right" w:pos="9026" w:leader="dot"/>
            </w:tabs>
            <w:rPr/>
          </w:pPr>
          <w:hyperlink w:anchor="__RefHeading___Toc6369914_3224264995">
            <w:r>
              <w:rPr>
                <w:webHidden/>
                <w:rStyle w:val="IndexLink"/>
                <w:rtl w:val="true"/>
              </w:rPr>
              <w:t>[</w:t>
            </w:r>
            <w:r>
              <w:rPr>
                <w:rStyle w:val="IndexLink"/>
                <w:rtl w:val="true"/>
              </w:rPr>
              <w:t>المقام الثانی بطلان العمل بضم الریاء</w:t>
            </w:r>
            <w:r>
              <w:rPr>
                <w:rStyle w:val="IndexLink"/>
                <w:rtl w:val="true"/>
              </w:rPr>
              <w:t>]</w:t>
              <w:tab/>
            </w:r>
            <w:r>
              <w:rPr>
                <w:rStyle w:val="IndexLink"/>
              </w:rPr>
              <w:t>97</w:t>
            </w:r>
          </w:hyperlink>
        </w:p>
        <w:p>
          <w:pPr>
            <w:pStyle w:val="Contents6"/>
            <w:tabs>
              <w:tab w:val="clear" w:pos="7609"/>
              <w:tab w:val="right" w:pos="9026" w:leader="dot"/>
            </w:tabs>
            <w:rPr/>
          </w:pPr>
          <w:hyperlink w:anchor="__RefHeading___Toc6369916_3224264995">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6369918_3224264995">
            <w:r>
              <w:rPr>
                <w:webHidden/>
                <w:rStyle w:val="IndexLink"/>
                <w:rtl w:val="true"/>
              </w:rPr>
              <w:t>و هنا أمور</w:t>
            </w:r>
            <w:r>
              <w:rPr>
                <w:rStyle w:val="IndexLink"/>
                <w:rtl w:val="true"/>
              </w:rPr>
              <w:t>:</w:t>
              <w:tab/>
            </w:r>
            <w:r>
              <w:rPr>
                <w:rStyle w:val="IndexLink"/>
              </w:rPr>
              <w:t>100</w:t>
            </w:r>
          </w:hyperlink>
        </w:p>
        <w:p>
          <w:pPr>
            <w:pStyle w:val="Contents6"/>
            <w:tabs>
              <w:tab w:val="clear" w:pos="7609"/>
              <w:tab w:val="right" w:pos="9026" w:leader="dot"/>
            </w:tabs>
            <w:rPr/>
          </w:pPr>
          <w:hyperlink w:anchor="__RefHeading___Toc6369920_3224264995">
            <w:r>
              <w:rPr>
                <w:webHidden/>
                <w:rStyle w:val="IndexLink"/>
                <w:rtl w:val="true"/>
              </w:rPr>
              <w:t xml:space="preserve">الأوّل </w:t>
            </w:r>
            <w:r>
              <w:rPr>
                <w:rStyle w:val="IndexLink"/>
                <w:rtl w:val="true"/>
              </w:rPr>
              <w:t>[</w:t>
            </w:r>
            <w:r>
              <w:rPr>
                <w:rStyle w:val="IndexLink"/>
                <w:rtl w:val="true"/>
              </w:rPr>
              <w:t>إذا کانت نیة الریاء تبعیة</w:t>
            </w:r>
            <w:r>
              <w:rPr>
                <w:rStyle w:val="IndexLink"/>
                <w:rtl w:val="true"/>
              </w:rPr>
              <w:t>]</w:t>
              <w:tab/>
            </w:r>
            <w:r>
              <w:rPr>
                <w:rStyle w:val="IndexLink"/>
              </w:rPr>
              <w:t>100</w:t>
            </w:r>
          </w:hyperlink>
        </w:p>
        <w:p>
          <w:pPr>
            <w:pStyle w:val="Contents6"/>
            <w:tabs>
              <w:tab w:val="clear" w:pos="7609"/>
              <w:tab w:val="right" w:pos="9026" w:leader="dot"/>
            </w:tabs>
            <w:rPr/>
          </w:pPr>
          <w:hyperlink w:anchor="__RefHeading___Toc6369922_3224264995">
            <w:r>
              <w:rPr>
                <w:webHidden/>
                <w:rStyle w:val="IndexLink"/>
                <w:rtl w:val="true"/>
              </w:rPr>
              <w:t>[</w:t>
            </w:r>
            <w:r>
              <w:rPr>
                <w:rStyle w:val="IndexLink"/>
                <w:rtl w:val="true"/>
              </w:rPr>
              <w:t>الأمر</w:t>
            </w:r>
            <w:r>
              <w:rPr>
                <w:rStyle w:val="IndexLink"/>
                <w:rtl w:val="true"/>
              </w:rPr>
              <w:t xml:space="preserve">] </w:t>
            </w:r>
            <w:r>
              <w:rPr>
                <w:rStyle w:val="IndexLink"/>
                <w:rtl w:val="true"/>
              </w:rPr>
              <w:t xml:space="preserve">الثانی </w:t>
            </w:r>
            <w:r>
              <w:rPr>
                <w:rStyle w:val="IndexLink"/>
                <w:rtl w:val="true"/>
              </w:rPr>
              <w:t>[</w:t>
            </w:r>
            <w:r>
              <w:rPr>
                <w:rStyle w:val="IndexLink"/>
                <w:rtl w:val="true"/>
              </w:rPr>
              <w:t>هل یسری بطلان الجزء المراءی فیه إلی بطلان الکل</w:t>
            </w:r>
            <w:r>
              <w:rPr>
                <w:rStyle w:val="IndexLink"/>
                <w:rtl w:val="true"/>
              </w:rPr>
              <w:t>]</w:t>
              <w:tab/>
            </w:r>
            <w:r>
              <w:rPr>
                <w:rStyle w:val="IndexLink"/>
              </w:rPr>
              <w:t>101</w:t>
            </w:r>
          </w:hyperlink>
        </w:p>
        <w:p>
          <w:pPr>
            <w:pStyle w:val="Contents6"/>
            <w:tabs>
              <w:tab w:val="clear" w:pos="7609"/>
              <w:tab w:val="right" w:pos="9026" w:leader="dot"/>
            </w:tabs>
            <w:rPr/>
          </w:pPr>
          <w:hyperlink w:anchor="__RefHeading___Toc6369924_3224264995">
            <w:r>
              <w:rPr>
                <w:webHidden/>
                <w:rStyle w:val="IndexLink"/>
                <w:rtl w:val="true"/>
              </w:rPr>
              <w:t>[</w:t>
            </w:r>
            <w:r>
              <w:rPr>
                <w:rStyle w:val="IndexLink"/>
                <w:rtl w:val="true"/>
              </w:rPr>
              <w:t>الأمر</w:t>
            </w:r>
            <w:r>
              <w:rPr>
                <w:rStyle w:val="IndexLink"/>
                <w:rtl w:val="true"/>
              </w:rPr>
              <w:t xml:space="preserve">] </w:t>
            </w:r>
            <w:r>
              <w:rPr>
                <w:rStyle w:val="IndexLink"/>
                <w:rtl w:val="true"/>
              </w:rPr>
              <w:t xml:space="preserve">الثالث </w:t>
            </w:r>
            <w:r>
              <w:rPr>
                <w:rStyle w:val="IndexLink"/>
                <w:rtl w:val="true"/>
              </w:rPr>
              <w:t>[</w:t>
            </w:r>
            <w:r>
              <w:rPr>
                <w:rStyle w:val="IndexLink"/>
                <w:rtl w:val="true"/>
              </w:rPr>
              <w:t>الریاء فی ترجیح بعض أفراد العمل علی بعض</w:t>
            </w:r>
            <w:r>
              <w:rPr>
                <w:rStyle w:val="IndexLink"/>
                <w:rtl w:val="true"/>
              </w:rPr>
              <w:t>]</w:t>
              <w:tab/>
            </w:r>
            <w:r>
              <w:rPr>
                <w:rStyle w:val="IndexLink"/>
              </w:rPr>
              <w:t>103</w:t>
            </w:r>
          </w:hyperlink>
        </w:p>
        <w:p>
          <w:pPr>
            <w:pStyle w:val="Contents6"/>
            <w:tabs>
              <w:tab w:val="clear" w:pos="7609"/>
              <w:tab w:val="right" w:pos="9026" w:leader="dot"/>
            </w:tabs>
            <w:rPr/>
          </w:pPr>
          <w:hyperlink w:anchor="__RefHeading___Toc6369926_3224264995">
            <w:r>
              <w:rPr>
                <w:webHidden/>
                <w:rStyle w:val="IndexLink"/>
                <w:rtl w:val="true"/>
              </w:rPr>
              <w:t>[</w:t>
            </w:r>
            <w:r>
              <w:rPr>
                <w:rStyle w:val="IndexLink"/>
                <w:rtl w:val="true"/>
              </w:rPr>
              <w:t>الأمر</w:t>
            </w:r>
            <w:r>
              <w:rPr>
                <w:rStyle w:val="IndexLink"/>
                <w:rtl w:val="true"/>
              </w:rPr>
              <w:t xml:space="preserve">] </w:t>
            </w:r>
            <w:r>
              <w:rPr>
                <w:rStyle w:val="IndexLink"/>
                <w:rtl w:val="true"/>
              </w:rPr>
              <w:t xml:space="preserve">الرابع </w:t>
            </w:r>
            <w:r>
              <w:rPr>
                <w:rStyle w:val="IndexLink"/>
                <w:rtl w:val="true"/>
              </w:rPr>
              <w:t>[</w:t>
            </w:r>
            <w:r>
              <w:rPr>
                <w:rStyle w:val="IndexLink"/>
                <w:rtl w:val="true"/>
              </w:rPr>
              <w:t>تعریف الریاء</w:t>
            </w:r>
            <w:r>
              <w:rPr>
                <w:rStyle w:val="IndexLink"/>
                <w:rtl w:val="true"/>
              </w:rPr>
              <w:t>]</w:t>
              <w:tab/>
            </w:r>
            <w:r>
              <w:rPr>
                <w:rStyle w:val="IndexLink"/>
              </w:rPr>
              <w:t>104</w:t>
            </w:r>
          </w:hyperlink>
        </w:p>
        <w:p>
          <w:pPr>
            <w:pStyle w:val="Contents6"/>
            <w:tabs>
              <w:tab w:val="clear" w:pos="7609"/>
              <w:tab w:val="right" w:pos="9026" w:leader="dot"/>
            </w:tabs>
            <w:rPr/>
          </w:pPr>
          <w:hyperlink w:anchor="__RefHeading___Toc6369928_3224264995">
            <w:r>
              <w:rPr>
                <w:webHidden/>
                <w:rStyle w:val="IndexLink"/>
                <w:rtl w:val="true"/>
              </w:rPr>
              <w:t>المقام الثالث</w:t>
            </w:r>
            <w:r>
              <w:rPr>
                <w:rStyle w:val="IndexLink"/>
                <w:rtl w:val="true"/>
              </w:rPr>
              <w:t xml:space="preserve">: </w:t>
            </w:r>
            <w:r>
              <w:rPr>
                <w:rStyle w:val="IndexLink"/>
                <w:rtl w:val="true"/>
              </w:rPr>
              <w:t>فی الضمیمة الراجحة،</w:t>
            </w:r>
            <w:r>
              <w:rPr>
                <w:rStyle w:val="IndexLink"/>
                <w:rtl w:val="true"/>
              </w:rPr>
              <w:tab/>
            </w:r>
            <w:r>
              <w:rPr>
                <w:rStyle w:val="IndexLink"/>
              </w:rPr>
              <w:t>106</w:t>
            </w:r>
          </w:hyperlink>
        </w:p>
        <w:p>
          <w:pPr>
            <w:pStyle w:val="Contents6"/>
            <w:tabs>
              <w:tab w:val="clear" w:pos="7609"/>
              <w:tab w:val="right" w:pos="9026" w:leader="dot"/>
            </w:tabs>
            <w:rPr/>
          </w:pPr>
          <w:hyperlink w:anchor="__RefHeading___Toc6369930_3224264995">
            <w:r>
              <w:rPr>
                <w:webHidden/>
                <w:rStyle w:val="IndexLink"/>
                <w:rtl w:val="true"/>
              </w:rPr>
              <w:t>[</w:t>
            </w:r>
            <w:r>
              <w:rPr>
                <w:rStyle w:val="IndexLink"/>
                <w:rtl w:val="true"/>
              </w:rPr>
              <w:t>وقت النیّة</w:t>
            </w:r>
            <w:r>
              <w:rPr>
                <w:rStyle w:val="IndexLink"/>
                <w:rtl w:val="true"/>
              </w:rPr>
              <w:t>]</w:t>
              <w:tab/>
            </w:r>
            <w:r>
              <w:rPr>
                <w:rStyle w:val="IndexLink"/>
              </w:rPr>
              <w:t>108</w:t>
            </w:r>
          </w:hyperlink>
        </w:p>
        <w:p>
          <w:pPr>
            <w:pStyle w:val="Contents6"/>
            <w:tabs>
              <w:tab w:val="clear" w:pos="7609"/>
              <w:tab w:val="right" w:pos="9026" w:leader="dot"/>
            </w:tabs>
            <w:rPr/>
          </w:pPr>
          <w:hyperlink w:anchor="__RefHeading___Toc6369932_3224264995">
            <w:r>
              <w:rPr>
                <w:webHidden/>
                <w:rStyle w:val="IndexLink"/>
                <w:rtl w:val="true"/>
              </w:rPr>
              <w:t>[</w:t>
            </w:r>
            <w:r>
              <w:rPr>
                <w:rStyle w:val="IndexLink"/>
                <w:rtl w:val="true"/>
              </w:rPr>
              <w:t>تداخل الأسباب و المسببات</w:t>
            </w:r>
            <w:r>
              <w:rPr>
                <w:rStyle w:val="IndexLink"/>
                <w:rtl w:val="true"/>
              </w:rPr>
              <w:t>]</w:t>
              <w:tab/>
            </w:r>
            <w:r>
              <w:rPr>
                <w:rStyle w:val="IndexLink"/>
              </w:rPr>
              <w:t>122</w:t>
            </w:r>
          </w:hyperlink>
        </w:p>
        <w:p>
          <w:pPr>
            <w:pStyle w:val="Contents6"/>
            <w:tabs>
              <w:tab w:val="clear" w:pos="7609"/>
              <w:tab w:val="right" w:pos="9026" w:leader="dot"/>
            </w:tabs>
            <w:rPr/>
          </w:pPr>
          <w:hyperlink w:anchor="__RefHeading___Toc6369934_3224264995">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369936_3224264995">
            <w:r>
              <w:rPr>
                <w:webHidden/>
                <w:rStyle w:val="IndexLink"/>
                <w:rtl w:val="true"/>
              </w:rPr>
              <w:t>إنّ الأغسال المجتمعة إمّا واجبة أو مندوبة أو مختلفة فهنا مسائل</w:t>
            </w:r>
            <w:r>
              <w:rPr>
                <w:rStyle w:val="IndexLink"/>
                <w:rtl w:val="true"/>
              </w:rPr>
              <w:t>:</w:t>
              <w:tab/>
            </w:r>
            <w:r>
              <w:rPr>
                <w:rStyle w:val="IndexLink"/>
              </w:rPr>
              <w:t>127</w:t>
            </w:r>
          </w:hyperlink>
        </w:p>
        <w:p>
          <w:pPr>
            <w:pStyle w:val="Contents6"/>
            <w:tabs>
              <w:tab w:val="clear" w:pos="7609"/>
              <w:tab w:val="right" w:pos="9026" w:leader="dot"/>
            </w:tabs>
            <w:rPr/>
          </w:pPr>
          <w:hyperlink w:anchor="__RefHeading___Toc6369938_3224264995">
            <w:r>
              <w:rPr>
                <w:webHidden/>
                <w:rStyle w:val="IndexLink"/>
                <w:rtl w:val="true"/>
              </w:rPr>
              <w:t>[</w:t>
            </w:r>
            <w:r>
              <w:rPr>
                <w:rStyle w:val="IndexLink"/>
                <w:rtl w:val="true"/>
              </w:rPr>
              <w:t>المسألة</w:t>
            </w:r>
            <w:r>
              <w:rPr>
                <w:rStyle w:val="IndexLink"/>
                <w:rtl w:val="true"/>
              </w:rPr>
              <w:t xml:space="preserve">] </w:t>
            </w:r>
            <w:r>
              <w:rPr>
                <w:rStyle w:val="IndexLink"/>
                <w:rtl w:val="true"/>
              </w:rPr>
              <w:t>الأولی أن یجتمع أسباب وجوب الغسل، و له صور</w:t>
            </w:r>
            <w:r>
              <w:rPr>
                <w:rStyle w:val="IndexLink"/>
                <w:rtl w:val="true"/>
              </w:rPr>
              <w:t>:</w:t>
              <w:tab/>
            </w:r>
            <w:r>
              <w:rPr>
                <w:rStyle w:val="IndexLink"/>
              </w:rPr>
              <w:t>127</w:t>
            </w:r>
          </w:hyperlink>
        </w:p>
        <w:p>
          <w:pPr>
            <w:pStyle w:val="Contents6"/>
            <w:tabs>
              <w:tab w:val="clear" w:pos="7609"/>
              <w:tab w:val="right" w:pos="9026" w:leader="dot"/>
            </w:tabs>
            <w:rPr/>
          </w:pPr>
          <w:hyperlink w:anchor="__RefHeading___Toc6369940_3224264995">
            <w:r>
              <w:rPr>
                <w:webHidden/>
                <w:rStyle w:val="IndexLink"/>
                <w:rtl w:val="true"/>
              </w:rPr>
              <w:t>[</w:t>
            </w:r>
            <w:r>
              <w:rPr>
                <w:rStyle w:val="IndexLink"/>
                <w:rtl w:val="true"/>
              </w:rPr>
              <w:t>الصورة</w:t>
            </w:r>
            <w:r>
              <w:rPr>
                <w:rStyle w:val="IndexLink"/>
                <w:rtl w:val="true"/>
              </w:rPr>
              <w:t xml:space="preserve">] </w:t>
            </w:r>
            <w:r>
              <w:rPr>
                <w:rStyle w:val="IndexLink"/>
                <w:rtl w:val="true"/>
              </w:rPr>
              <w:t>الأولی</w:t>
            </w:r>
            <w:r>
              <w:rPr>
                <w:rStyle w:val="IndexLink"/>
                <w:rtl w:val="true"/>
              </w:rPr>
              <w:t xml:space="preserve">: </w:t>
            </w:r>
            <w:r>
              <w:rPr>
                <w:rStyle w:val="IndexLink"/>
                <w:rtl w:val="true"/>
              </w:rPr>
              <w:t>أن ینوی الجمیع،</w:t>
            </w:r>
            <w:r>
              <w:rPr>
                <w:rStyle w:val="IndexLink"/>
                <w:rtl w:val="true"/>
              </w:rPr>
              <w:tab/>
            </w:r>
            <w:r>
              <w:rPr>
                <w:rStyle w:val="IndexLink"/>
              </w:rPr>
              <w:t>127</w:t>
            </w:r>
          </w:hyperlink>
        </w:p>
        <w:p>
          <w:pPr>
            <w:pStyle w:val="Contents6"/>
            <w:tabs>
              <w:tab w:val="clear" w:pos="7609"/>
              <w:tab w:val="right" w:pos="9026" w:leader="dot"/>
            </w:tabs>
            <w:rPr/>
          </w:pPr>
          <w:hyperlink w:anchor="__RefHeading___Toc6369942_3224264995">
            <w:r>
              <w:rPr>
                <w:webHidden/>
                <w:rStyle w:val="IndexLink"/>
                <w:rtl w:val="true"/>
              </w:rPr>
              <w:t>الصورة الثانیة</w:t>
            </w:r>
            <w:r>
              <w:rPr>
                <w:rStyle w:val="IndexLink"/>
                <w:rtl w:val="true"/>
              </w:rPr>
              <w:t xml:space="preserve">: </w:t>
            </w:r>
            <w:r>
              <w:rPr>
                <w:rStyle w:val="IndexLink"/>
                <w:rtl w:val="true"/>
              </w:rPr>
              <w:t>أن ینوی رفع الحدث</w:t>
            </w:r>
            <w:r>
              <w:rPr>
                <w:rStyle w:val="IndexLink"/>
                <w:rtl w:val="true"/>
              </w:rPr>
              <w:tab/>
            </w:r>
            <w:r>
              <w:rPr>
                <w:rStyle w:val="IndexLink"/>
              </w:rPr>
              <w:t>128</w:t>
            </w:r>
          </w:hyperlink>
        </w:p>
        <w:p>
          <w:pPr>
            <w:pStyle w:val="Contents6"/>
            <w:tabs>
              <w:tab w:val="clear" w:pos="7609"/>
              <w:tab w:val="right" w:pos="9026" w:leader="dot"/>
            </w:tabs>
            <w:rPr/>
          </w:pPr>
          <w:hyperlink w:anchor="__RefHeading___Toc6369944_3224264995">
            <w:r>
              <w:rPr>
                <w:webHidden/>
                <w:rStyle w:val="IndexLink"/>
                <w:rtl w:val="true"/>
              </w:rPr>
              <w:t>الصورة الثالثة</w:t>
            </w:r>
            <w:r>
              <w:rPr>
                <w:rStyle w:val="IndexLink"/>
                <w:rtl w:val="true"/>
              </w:rPr>
              <w:t xml:space="preserve">: </w:t>
            </w:r>
            <w:r>
              <w:rPr>
                <w:rStyle w:val="IndexLink"/>
                <w:rtl w:val="true"/>
              </w:rPr>
              <w:t>أن ینوی خصوص غسل الجنابة،</w:t>
            </w:r>
            <w:r>
              <w:rPr>
                <w:rStyle w:val="IndexLink"/>
                <w:rtl w:val="true"/>
              </w:rPr>
              <w:tab/>
            </w:r>
            <w:r>
              <w:rPr>
                <w:rStyle w:val="IndexLink"/>
              </w:rPr>
              <w:t>128</w:t>
            </w:r>
          </w:hyperlink>
        </w:p>
        <w:p>
          <w:pPr>
            <w:pStyle w:val="Contents6"/>
            <w:tabs>
              <w:tab w:val="clear" w:pos="7609"/>
              <w:tab w:val="right" w:pos="9026" w:leader="dot"/>
            </w:tabs>
            <w:rPr/>
          </w:pPr>
          <w:hyperlink w:anchor="__RefHeading___Toc6369946_3224264995">
            <w:r>
              <w:rPr>
                <w:webHidden/>
                <w:rStyle w:val="IndexLink"/>
                <w:rtl w:val="true"/>
              </w:rPr>
              <w:t>الصورة الرابعة</w:t>
            </w:r>
            <w:r>
              <w:rPr>
                <w:rStyle w:val="IndexLink"/>
                <w:rtl w:val="true"/>
              </w:rPr>
              <w:t xml:space="preserve">: </w:t>
            </w:r>
            <w:r>
              <w:rPr>
                <w:rStyle w:val="IndexLink"/>
                <w:rtl w:val="true"/>
              </w:rPr>
              <w:t>أن یقصد ما عدا غسل الجنابة</w:t>
            </w:r>
            <w:r>
              <w:rPr>
                <w:rStyle w:val="IndexLink"/>
                <w:rtl w:val="true"/>
              </w:rPr>
              <w:tab/>
            </w:r>
            <w:r>
              <w:rPr>
                <w:rStyle w:val="IndexLink"/>
              </w:rPr>
              <w:t>134</w:t>
            </w:r>
          </w:hyperlink>
        </w:p>
        <w:p>
          <w:pPr>
            <w:pStyle w:val="Contents6"/>
            <w:tabs>
              <w:tab w:val="clear" w:pos="7609"/>
              <w:tab w:val="right" w:pos="9026" w:leader="dot"/>
            </w:tabs>
            <w:rPr/>
          </w:pPr>
          <w:hyperlink w:anchor="__RefHeading___Toc6369948_3224264995">
            <w:r>
              <w:rPr>
                <w:webHidden/>
                <w:rStyle w:val="IndexLink"/>
                <w:rtl w:val="true"/>
              </w:rPr>
              <w:t>الصورة الخامسة</w:t>
            </w:r>
            <w:r>
              <w:rPr>
                <w:rStyle w:val="IndexLink"/>
                <w:rtl w:val="true"/>
              </w:rPr>
              <w:t xml:space="preserve">: </w:t>
            </w:r>
            <w:r>
              <w:rPr>
                <w:rStyle w:val="IndexLink"/>
                <w:rtl w:val="true"/>
              </w:rPr>
              <w:t>أن یقصد غسلا مطلقا</w:t>
            </w:r>
            <w:r>
              <w:rPr>
                <w:rStyle w:val="IndexLink"/>
                <w:rtl w:val="true"/>
              </w:rPr>
              <w:tab/>
            </w:r>
            <w:r>
              <w:rPr>
                <w:rStyle w:val="IndexLink"/>
              </w:rPr>
              <w:t>141</w:t>
            </w:r>
          </w:hyperlink>
        </w:p>
        <w:p>
          <w:pPr>
            <w:pStyle w:val="Contents6"/>
            <w:tabs>
              <w:tab w:val="clear" w:pos="7609"/>
              <w:tab w:val="right" w:pos="9026" w:leader="dot"/>
            </w:tabs>
            <w:rPr/>
          </w:pPr>
          <w:hyperlink w:anchor="__RefHeading___Toc6369950_3224264995">
            <w:r>
              <w:rPr>
                <w:webHidden/>
                <w:rStyle w:val="IndexLink"/>
                <w:rtl w:val="true"/>
              </w:rPr>
              <w:t>بقی هنا أمران</w:t>
            </w:r>
            <w:r>
              <w:rPr>
                <w:rStyle w:val="IndexLink"/>
                <w:rtl w:val="true"/>
              </w:rPr>
              <w:t>:</w:t>
              <w:tab/>
            </w:r>
            <w:r>
              <w:rPr>
                <w:rStyle w:val="IndexLink"/>
              </w:rPr>
              <w:t>142</w:t>
            </w:r>
          </w:hyperlink>
        </w:p>
        <w:p>
          <w:pPr>
            <w:pStyle w:val="Contents6"/>
            <w:tabs>
              <w:tab w:val="clear" w:pos="7609"/>
              <w:tab w:val="right" w:pos="9026" w:leader="dot"/>
            </w:tabs>
            <w:rPr/>
          </w:pPr>
          <w:hyperlink w:anchor="__RefHeading___Toc6369952_3224264995">
            <w:r>
              <w:rPr>
                <w:webHidden/>
                <w:rStyle w:val="IndexLink"/>
                <w:rtl w:val="true"/>
              </w:rPr>
              <w:t>الأوّل</w:t>
            </w:r>
            <w:r>
              <w:rPr>
                <w:rStyle w:val="IndexLink"/>
                <w:rtl w:val="true"/>
              </w:rPr>
              <w:t>:</w:t>
              <w:tab/>
            </w:r>
            <w:r>
              <w:rPr>
                <w:rStyle w:val="IndexLink"/>
              </w:rPr>
              <w:t>142</w:t>
            </w:r>
          </w:hyperlink>
        </w:p>
        <w:p>
          <w:pPr>
            <w:pStyle w:val="Contents6"/>
            <w:tabs>
              <w:tab w:val="clear" w:pos="7609"/>
              <w:tab w:val="right" w:pos="9026" w:leader="dot"/>
            </w:tabs>
            <w:rPr/>
          </w:pPr>
          <w:hyperlink w:anchor="__RefHeading___Toc6369954_3224264995">
            <w:r>
              <w:rPr>
                <w:webHidden/>
                <w:rStyle w:val="IndexLink"/>
                <w:rtl w:val="true"/>
              </w:rPr>
              <w:t>الثانی</w:t>
            </w:r>
            <w:r>
              <w:rPr>
                <w:rStyle w:val="IndexLink"/>
                <w:rtl w:val="true"/>
              </w:rPr>
              <w:t>:</w:t>
              <w:tab/>
            </w:r>
            <w:r>
              <w:rPr>
                <w:rStyle w:val="IndexLink"/>
              </w:rPr>
              <w:t>144</w:t>
            </w:r>
          </w:hyperlink>
        </w:p>
        <w:p>
          <w:pPr>
            <w:pStyle w:val="Contents6"/>
            <w:tabs>
              <w:tab w:val="clear" w:pos="7609"/>
              <w:tab w:val="right" w:pos="9026" w:leader="dot"/>
            </w:tabs>
            <w:rPr/>
          </w:pPr>
          <w:hyperlink w:anchor="__RefHeading___Toc6369956_3224264995">
            <w:r>
              <w:rPr>
                <w:webHidden/>
                <w:rStyle w:val="IndexLink"/>
                <w:rtl w:val="true"/>
              </w:rPr>
              <w:t xml:space="preserve">المسألة الثانیة </w:t>
            </w:r>
            <w:r>
              <w:rPr>
                <w:rStyle w:val="IndexLink"/>
                <w:rtl w:val="true"/>
              </w:rPr>
              <w:t>[</w:t>
            </w:r>
            <w:r>
              <w:rPr>
                <w:rStyle w:val="IndexLink"/>
                <w:rtl w:val="true"/>
              </w:rPr>
              <w:t>اجتماع أغسال المستحبة مع نیة الجمیع</w:t>
            </w:r>
            <w:r>
              <w:rPr>
                <w:rStyle w:val="IndexLink"/>
                <w:rtl w:val="true"/>
              </w:rPr>
              <w:t>]</w:t>
              <w:tab/>
            </w:r>
            <w:r>
              <w:rPr>
                <w:rStyle w:val="IndexLink"/>
              </w:rPr>
              <w:t>146</w:t>
            </w:r>
          </w:hyperlink>
        </w:p>
        <w:p>
          <w:pPr>
            <w:pStyle w:val="Contents6"/>
            <w:tabs>
              <w:tab w:val="clear" w:pos="7609"/>
              <w:tab w:val="right" w:pos="9026" w:leader="dot"/>
            </w:tabs>
            <w:rPr/>
          </w:pPr>
          <w:hyperlink w:anchor="__RefHeading___Toc6369958_3224264995">
            <w:r>
              <w:rPr>
                <w:webHidden/>
                <w:rStyle w:val="IndexLink"/>
                <w:rtl w:val="true"/>
              </w:rPr>
              <w:t xml:space="preserve">المسألة الثالثة </w:t>
            </w:r>
            <w:r>
              <w:rPr>
                <w:rStyle w:val="IndexLink"/>
                <w:rtl w:val="true"/>
              </w:rPr>
              <w:t>[</w:t>
            </w:r>
            <w:r>
              <w:rPr>
                <w:rStyle w:val="IndexLink"/>
                <w:rtl w:val="true"/>
              </w:rPr>
              <w:t>إذا اجتمعت أغسال واجبة و مستحبة</w:t>
            </w:r>
            <w:r>
              <w:rPr>
                <w:rStyle w:val="IndexLink"/>
                <w:rtl w:val="true"/>
              </w:rPr>
              <w:t>]</w:t>
              <w:tab/>
            </w:r>
            <w:r>
              <w:rPr>
                <w:rStyle w:val="IndexLink"/>
              </w:rPr>
              <w:t>148</w:t>
            </w:r>
          </w:hyperlink>
        </w:p>
        <w:p>
          <w:pPr>
            <w:pStyle w:val="Contents6"/>
            <w:tabs>
              <w:tab w:val="clear" w:pos="7609"/>
              <w:tab w:val="right" w:pos="9026" w:leader="dot"/>
            </w:tabs>
            <w:rPr/>
          </w:pPr>
          <w:hyperlink w:anchor="__RefHeading___Toc6369960_3224264995">
            <w:r>
              <w:rPr>
                <w:webHidden/>
                <w:rStyle w:val="IndexLink"/>
                <w:rtl w:val="true"/>
              </w:rPr>
              <w:t>[</w:t>
            </w:r>
            <w:r>
              <w:rPr>
                <w:rStyle w:val="IndexLink"/>
                <w:rtl w:val="true"/>
              </w:rPr>
              <w:t>الفرض الثانی</w:t>
            </w:r>
            <w:r>
              <w:rPr>
                <w:rStyle w:val="IndexLink"/>
                <w:rtl w:val="true"/>
              </w:rPr>
              <w:t xml:space="preserve">: </w:t>
            </w:r>
            <w:r>
              <w:rPr>
                <w:rStyle w:val="IndexLink"/>
                <w:rtl w:val="true"/>
              </w:rPr>
              <w:t>غسل الوجه</w:t>
            </w:r>
            <w:r>
              <w:rPr>
                <w:rStyle w:val="IndexLink"/>
                <w:rtl w:val="true"/>
              </w:rPr>
              <w:t>]</w:t>
              <w:tab/>
            </w:r>
            <w:r>
              <w:rPr>
                <w:rStyle w:val="IndexLink"/>
              </w:rPr>
              <w:t>160</w:t>
            </w:r>
          </w:hyperlink>
        </w:p>
        <w:p>
          <w:pPr>
            <w:pStyle w:val="Contents6"/>
            <w:tabs>
              <w:tab w:val="clear" w:pos="7609"/>
              <w:tab w:val="right" w:pos="9026" w:leader="dot"/>
            </w:tabs>
            <w:rPr/>
          </w:pPr>
          <w:hyperlink w:anchor="__RefHeading___Toc6369962_3224264995">
            <w:r>
              <w:rPr>
                <w:webHidden/>
                <w:rStyle w:val="IndexLink"/>
                <w:rtl w:val="true"/>
              </w:rPr>
              <w:t>[</w:t>
            </w:r>
            <w:r>
              <w:rPr>
                <w:rStyle w:val="IndexLink"/>
                <w:rtl w:val="true"/>
              </w:rPr>
              <w:t>الفرض الثالث غسل الیدین</w:t>
            </w:r>
            <w:r>
              <w:rPr>
                <w:rStyle w:val="IndexLink"/>
                <w:rtl w:val="true"/>
              </w:rPr>
              <w:t>]</w:t>
              <w:tab/>
            </w:r>
            <w:r>
              <w:rPr>
                <w:rStyle w:val="IndexLink"/>
              </w:rPr>
              <w:t>188</w:t>
            </w:r>
          </w:hyperlink>
        </w:p>
        <w:p>
          <w:pPr>
            <w:pStyle w:val="Contents6"/>
            <w:tabs>
              <w:tab w:val="clear" w:pos="7609"/>
              <w:tab w:val="right" w:pos="9026" w:leader="dot"/>
            </w:tabs>
            <w:rPr/>
          </w:pPr>
          <w:hyperlink w:anchor="__RefHeading___Toc6369964_3224264995">
            <w:r>
              <w:rPr>
                <w:webHidden/>
                <w:rStyle w:val="IndexLink"/>
                <w:rtl w:val="true"/>
              </w:rPr>
              <w:t>[</w:t>
            </w:r>
            <w:r>
              <w:rPr>
                <w:rStyle w:val="IndexLink"/>
                <w:rtl w:val="true"/>
              </w:rPr>
              <w:t>الفرض الرابع مسح بعض الرأس</w:t>
            </w:r>
            <w:r>
              <w:rPr>
                <w:rStyle w:val="IndexLink"/>
                <w:rtl w:val="true"/>
              </w:rPr>
              <w:t>]</w:t>
              <w:tab/>
            </w:r>
            <w:r>
              <w:rPr>
                <w:rStyle w:val="IndexLink"/>
              </w:rPr>
              <w:t>206</w:t>
            </w:r>
          </w:hyperlink>
        </w:p>
        <w:p>
          <w:pPr>
            <w:pStyle w:val="Contents6"/>
            <w:tabs>
              <w:tab w:val="clear" w:pos="7609"/>
              <w:tab w:val="right" w:pos="9026" w:leader="dot"/>
            </w:tabs>
            <w:rPr/>
          </w:pPr>
          <w:hyperlink w:anchor="__RefHeading___Toc6369966_3224264995">
            <w:r>
              <w:rPr>
                <w:webHidden/>
                <w:rStyle w:val="IndexLink"/>
                <w:rtl w:val="true"/>
              </w:rPr>
              <w:t>[</w:t>
            </w:r>
            <w:r>
              <w:rPr>
                <w:rStyle w:val="IndexLink"/>
                <w:rtl w:val="true"/>
              </w:rPr>
              <w:t>الفرض الخامس المسح علی ظاهر القدمین</w:t>
            </w:r>
            <w:r>
              <w:rPr>
                <w:rStyle w:val="IndexLink"/>
                <w:rtl w:val="true"/>
              </w:rPr>
              <w:t>]</w:t>
              <w:tab/>
            </w:r>
            <w:r>
              <w:rPr>
                <w:rStyle w:val="IndexLink"/>
              </w:rPr>
              <w:t>254</w:t>
            </w:r>
          </w:hyperlink>
        </w:p>
        <w:p>
          <w:pPr>
            <w:pStyle w:val="Contents6"/>
            <w:tabs>
              <w:tab w:val="clear" w:pos="7609"/>
              <w:tab w:val="right" w:pos="9026" w:leader="dot"/>
            </w:tabs>
            <w:rPr/>
          </w:pPr>
          <w:hyperlink w:anchor="__RefHeading___Toc6369968_3224264995">
            <w:r>
              <w:rPr>
                <w:webHidden/>
                <w:rStyle w:val="IndexLink"/>
                <w:rtl w:val="true"/>
              </w:rPr>
              <w:t>[</w:t>
            </w:r>
            <w:r>
              <w:rPr>
                <w:rStyle w:val="IndexLink"/>
                <w:rtl w:val="true"/>
              </w:rPr>
              <w:t>مسائل ثمان</w:t>
            </w:r>
            <w:r>
              <w:rPr>
                <w:rStyle w:val="IndexLink"/>
                <w:rtl w:val="true"/>
              </w:rPr>
              <w:t>]</w:t>
              <w:tab/>
            </w:r>
            <w:r>
              <w:rPr>
                <w:rStyle w:val="IndexLink"/>
              </w:rPr>
              <w:t>302</w:t>
            </w:r>
          </w:hyperlink>
        </w:p>
        <w:p>
          <w:pPr>
            <w:pStyle w:val="Contents6"/>
            <w:tabs>
              <w:tab w:val="clear" w:pos="7609"/>
              <w:tab w:val="right" w:pos="9026" w:leader="dot"/>
            </w:tabs>
            <w:rPr/>
          </w:pPr>
          <w:hyperlink w:anchor="__RefHeading___Toc6369970_3224264995">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6369972_3224264995">
            <w:r>
              <w:rPr>
                <w:webHidden/>
                <w:rStyle w:val="IndexLink"/>
                <w:rtl w:val="true"/>
              </w:rPr>
              <w:t>[</w:t>
            </w:r>
            <w:r>
              <w:rPr>
                <w:rStyle w:val="IndexLink"/>
                <w:rtl w:val="true"/>
              </w:rPr>
              <w:t>الاولی وجوب الترتیب بین الأعضاء فی الوضوء</w:t>
            </w:r>
            <w:r>
              <w:rPr>
                <w:rStyle w:val="IndexLink"/>
                <w:rtl w:val="true"/>
              </w:rPr>
              <w:t>]</w:t>
              <w:tab/>
            </w:r>
            <w:r>
              <w:rPr>
                <w:rStyle w:val="IndexLink"/>
              </w:rPr>
              <w:t>302</w:t>
            </w:r>
          </w:hyperlink>
        </w:p>
        <w:p>
          <w:pPr>
            <w:pStyle w:val="Contents6"/>
            <w:tabs>
              <w:tab w:val="clear" w:pos="7609"/>
              <w:tab w:val="right" w:pos="9026" w:leader="dot"/>
            </w:tabs>
            <w:rPr/>
          </w:pPr>
          <w:hyperlink w:anchor="__RefHeading___Toc6369974_3224264995">
            <w:r>
              <w:rPr>
                <w:webHidden/>
                <w:rStyle w:val="IndexLink"/>
                <w:rtl w:val="true"/>
              </w:rPr>
              <w:t>[</w:t>
            </w:r>
            <w:r>
              <w:rPr>
                <w:rStyle w:val="IndexLink"/>
                <w:rtl w:val="true"/>
              </w:rPr>
              <w:t>المسألة الثانیة فی وجوب الموالاة</w:t>
            </w:r>
            <w:r>
              <w:rPr>
                <w:rStyle w:val="IndexLink"/>
                <w:rtl w:val="true"/>
              </w:rPr>
              <w:t>]</w:t>
              <w:tab/>
            </w:r>
            <w:r>
              <w:rPr>
                <w:rStyle w:val="IndexLink"/>
              </w:rPr>
              <w:t>308</w:t>
            </w:r>
          </w:hyperlink>
        </w:p>
        <w:p>
          <w:pPr>
            <w:pStyle w:val="Contents6"/>
            <w:tabs>
              <w:tab w:val="clear" w:pos="7609"/>
              <w:tab w:val="right" w:pos="9026" w:leader="dot"/>
            </w:tabs>
            <w:rPr/>
          </w:pPr>
          <w:hyperlink w:anchor="__RefHeading___Toc6369976_3224264995">
            <w:r>
              <w:rPr>
                <w:webHidden/>
                <w:rStyle w:val="IndexLink"/>
                <w:rtl w:val="true"/>
              </w:rPr>
              <w:t>[</w:t>
            </w:r>
            <w:r>
              <w:rPr>
                <w:rStyle w:val="IndexLink"/>
                <w:rtl w:val="true"/>
              </w:rPr>
              <w:t>المسألة الثالثة الفرض و السنة فی الغسلات</w:t>
            </w:r>
            <w:r>
              <w:rPr>
                <w:rStyle w:val="IndexLink"/>
                <w:rtl w:val="true"/>
              </w:rPr>
              <w:t>]</w:t>
              <w:tab/>
            </w:r>
            <w:r>
              <w:rPr>
                <w:rStyle w:val="IndexLink"/>
              </w:rPr>
              <w:t>332</w:t>
            </w:r>
          </w:hyperlink>
        </w:p>
        <w:p>
          <w:pPr>
            <w:pStyle w:val="Contents6"/>
            <w:tabs>
              <w:tab w:val="clear" w:pos="7609"/>
              <w:tab w:val="right" w:pos="9026" w:leader="dot"/>
            </w:tabs>
            <w:rPr/>
          </w:pPr>
          <w:hyperlink w:anchor="__RefHeading___Toc6369978_3224264995">
            <w:r>
              <w:rPr>
                <w:webHidden/>
                <w:rStyle w:val="IndexLink"/>
                <w:rtl w:val="true"/>
              </w:rPr>
              <w:t>[</w:t>
            </w:r>
            <w:r>
              <w:rPr>
                <w:rStyle w:val="IndexLink"/>
                <w:rtl w:val="true"/>
              </w:rPr>
              <w:t>المسألة الرابعة کفایة مسمی الغسل</w:t>
            </w:r>
            <w:r>
              <w:rPr>
                <w:rStyle w:val="IndexLink"/>
                <w:rtl w:val="true"/>
              </w:rPr>
              <w:t>]</w:t>
              <w:tab/>
            </w:r>
            <w:r>
              <w:rPr>
                <w:rStyle w:val="IndexLink"/>
              </w:rPr>
              <w:t>346</w:t>
            </w:r>
          </w:hyperlink>
        </w:p>
        <w:p>
          <w:pPr>
            <w:pStyle w:val="Contents6"/>
            <w:tabs>
              <w:tab w:val="clear" w:pos="7609"/>
              <w:tab w:val="right" w:pos="9026" w:leader="dot"/>
            </w:tabs>
            <w:rPr/>
          </w:pPr>
          <w:hyperlink w:anchor="__RefHeading___Toc6369980_3224264995">
            <w:r>
              <w:rPr>
                <w:webHidden/>
                <w:rStyle w:val="IndexLink"/>
                <w:rtl w:val="true"/>
              </w:rPr>
              <w:t>[</w:t>
            </w:r>
            <w:r>
              <w:rPr>
                <w:rStyle w:val="IndexLink"/>
                <w:rtl w:val="true"/>
              </w:rPr>
              <w:t>المسألة الخامسة فی الجبیرة و کیفیة الوضوء معها</w:t>
            </w:r>
            <w:r>
              <w:rPr>
                <w:rStyle w:val="IndexLink"/>
                <w:rtl w:val="true"/>
              </w:rPr>
              <w:t>]</w:t>
              <w:tab/>
            </w:r>
            <w:r>
              <w:rPr>
                <w:rStyle w:val="IndexLink"/>
              </w:rPr>
              <w:t>358</w:t>
            </w:r>
          </w:hyperlink>
        </w:p>
        <w:p>
          <w:pPr>
            <w:pStyle w:val="Contents6"/>
            <w:tabs>
              <w:tab w:val="clear" w:pos="7609"/>
              <w:tab w:val="right" w:pos="9026" w:leader="dot"/>
            </w:tabs>
            <w:rPr/>
          </w:pPr>
          <w:hyperlink w:anchor="__RefHeading___Toc6369982_3224264995">
            <w:r>
              <w:rPr>
                <w:webHidden/>
                <w:rStyle w:val="IndexLink"/>
                <w:rtl w:val="true"/>
              </w:rPr>
              <w:t>[</w:t>
            </w:r>
            <w:r>
              <w:rPr>
                <w:rStyle w:val="IndexLink"/>
                <w:rtl w:val="true"/>
              </w:rPr>
              <w:t>المسألة السادسة فی وجوب المباشرة فی الوضوء مع الاختیار</w:t>
            </w:r>
            <w:r>
              <w:rPr>
                <w:rStyle w:val="IndexLink"/>
                <w:rtl w:val="true"/>
              </w:rPr>
              <w:t>]</w:t>
              <w:tab/>
            </w:r>
            <w:r>
              <w:rPr>
                <w:rStyle w:val="IndexLink"/>
              </w:rPr>
              <w:t>396</w:t>
            </w:r>
          </w:hyperlink>
        </w:p>
        <w:p>
          <w:pPr>
            <w:pStyle w:val="Contents6"/>
            <w:tabs>
              <w:tab w:val="clear" w:pos="7609"/>
              <w:tab w:val="right" w:pos="9026" w:leader="dot"/>
            </w:tabs>
            <w:rPr/>
          </w:pPr>
          <w:hyperlink w:anchor="__RefHeading___Toc6369984_3224264995">
            <w:r>
              <w:rPr>
                <w:webHidden/>
                <w:rStyle w:val="IndexLink"/>
                <w:rtl w:val="true"/>
              </w:rPr>
              <w:t>[</w:t>
            </w:r>
            <w:r>
              <w:rPr>
                <w:rStyle w:val="IndexLink"/>
                <w:rtl w:val="true"/>
              </w:rPr>
              <w:t>المسألة السابعة فی حرمة مس المحدث کتابة القرآن</w:t>
            </w:r>
            <w:r>
              <w:rPr>
                <w:rStyle w:val="IndexLink"/>
                <w:rtl w:val="true"/>
              </w:rPr>
              <w:t>]</w:t>
              <w:tab/>
            </w:r>
            <w:r>
              <w:rPr>
                <w:rStyle w:val="IndexLink"/>
              </w:rPr>
              <w:t>406</w:t>
            </w:r>
          </w:hyperlink>
        </w:p>
        <w:p>
          <w:pPr>
            <w:pStyle w:val="Contents6"/>
            <w:tabs>
              <w:tab w:val="clear" w:pos="7609"/>
              <w:tab w:val="right" w:pos="9026" w:leader="dot"/>
            </w:tabs>
            <w:rPr/>
          </w:pPr>
          <w:hyperlink w:anchor="__RefHeading___Toc6369986_3224264995">
            <w:r>
              <w:rPr>
                <w:webHidden/>
                <w:rStyle w:val="IndexLink"/>
                <w:rtl w:val="true"/>
              </w:rPr>
              <w:t>[</w:t>
            </w:r>
            <w:r>
              <w:rPr>
                <w:rStyle w:val="IndexLink"/>
                <w:rtl w:val="true"/>
              </w:rPr>
              <w:t>المسألة الثامنة حکم المسلوس</w:t>
            </w:r>
            <w:r>
              <w:rPr>
                <w:rStyle w:val="IndexLink"/>
                <w:rtl w:val="true"/>
              </w:rPr>
              <w:t>]</w:t>
              <w:tab/>
            </w:r>
            <w:r>
              <w:rPr>
                <w:rStyle w:val="IndexLink"/>
              </w:rPr>
              <w:t>412</w:t>
            </w:r>
          </w:hyperlink>
        </w:p>
        <w:p>
          <w:pPr>
            <w:pStyle w:val="Contents6"/>
            <w:tabs>
              <w:tab w:val="clear" w:pos="7609"/>
              <w:tab w:val="right" w:pos="9026" w:leader="dot"/>
            </w:tabs>
            <w:rPr/>
          </w:pPr>
          <w:hyperlink w:anchor="__RefHeading___Toc6369988_3224264995">
            <w:r>
              <w:rPr>
                <w:webHidden/>
                <w:rStyle w:val="IndexLink"/>
                <w:rtl w:val="true"/>
              </w:rPr>
              <w:t>[</w:t>
            </w:r>
            <w:r>
              <w:rPr>
                <w:rStyle w:val="IndexLink"/>
                <w:rtl w:val="true"/>
              </w:rPr>
              <w:t>سنن الوضوء</w:t>
            </w:r>
            <w:r>
              <w:rPr>
                <w:rStyle w:val="IndexLink"/>
                <w:rtl w:val="true"/>
              </w:rPr>
              <w:t>]</w:t>
              <w:tab/>
            </w:r>
            <w:r>
              <w:rPr>
                <w:rStyle w:val="IndexLink"/>
              </w:rPr>
              <w:t>423</w:t>
            </w:r>
          </w:hyperlink>
        </w:p>
        <w:p>
          <w:pPr>
            <w:pStyle w:val="Contents6"/>
            <w:tabs>
              <w:tab w:val="clear" w:pos="7609"/>
              <w:tab w:val="right" w:pos="9026" w:leader="dot"/>
            </w:tabs>
            <w:rPr/>
          </w:pPr>
          <w:hyperlink w:anchor="__RefHeading___Toc6369990_3224264995">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6369992_3224264995">
            <w:r>
              <w:rPr>
                <w:webHidden/>
                <w:rStyle w:val="IndexLink"/>
                <w:rtl w:val="true"/>
              </w:rPr>
              <w:t>[</w:t>
            </w:r>
            <w:r>
              <w:rPr>
                <w:rStyle w:val="IndexLink"/>
                <w:rtl w:val="true"/>
              </w:rPr>
              <w:t>استحباب التیامن فی وضع الإناء</w:t>
            </w:r>
            <w:r>
              <w:rPr>
                <w:rStyle w:val="IndexLink"/>
                <w:rtl w:val="true"/>
              </w:rPr>
              <w:t>]</w:t>
              <w:tab/>
            </w:r>
            <w:r>
              <w:rPr>
                <w:rStyle w:val="IndexLink"/>
              </w:rPr>
              <w:t>423</w:t>
            </w:r>
          </w:hyperlink>
        </w:p>
        <w:p>
          <w:pPr>
            <w:pStyle w:val="Contents6"/>
            <w:tabs>
              <w:tab w:val="clear" w:pos="7609"/>
              <w:tab w:val="right" w:pos="9026" w:leader="dot"/>
            </w:tabs>
            <w:rPr/>
          </w:pPr>
          <w:hyperlink w:anchor="__RefHeading___Toc6369994_3224264995">
            <w:r>
              <w:rPr>
                <w:webHidden/>
                <w:rStyle w:val="IndexLink"/>
                <w:rtl w:val="true"/>
              </w:rPr>
              <w:t>[</w:t>
            </w:r>
            <w:r>
              <w:rPr>
                <w:rStyle w:val="IndexLink"/>
                <w:rtl w:val="true"/>
              </w:rPr>
              <w:t>استحباب الاغتراف بالیمنی</w:t>
            </w:r>
            <w:r>
              <w:rPr>
                <w:rStyle w:val="IndexLink"/>
                <w:rtl w:val="true"/>
              </w:rPr>
              <w:t>]</w:t>
              <w:tab/>
            </w:r>
            <w:r>
              <w:rPr>
                <w:rStyle w:val="IndexLink"/>
              </w:rPr>
              <w:t>424</w:t>
            </w:r>
          </w:hyperlink>
        </w:p>
        <w:p>
          <w:pPr>
            <w:pStyle w:val="Contents6"/>
            <w:tabs>
              <w:tab w:val="clear" w:pos="7609"/>
              <w:tab w:val="right" w:pos="9026" w:leader="dot"/>
            </w:tabs>
            <w:rPr/>
          </w:pPr>
          <w:hyperlink w:anchor="__RefHeading___Toc6369996_3224264995">
            <w:r>
              <w:rPr>
                <w:webHidden/>
                <w:rStyle w:val="IndexLink"/>
                <w:rtl w:val="true"/>
              </w:rPr>
              <w:t>[</w:t>
            </w:r>
            <w:r>
              <w:rPr>
                <w:rStyle w:val="IndexLink"/>
                <w:rtl w:val="true"/>
              </w:rPr>
              <w:t>استحباب التسمیة</w:t>
            </w:r>
            <w:r>
              <w:rPr>
                <w:rStyle w:val="IndexLink"/>
                <w:rtl w:val="true"/>
              </w:rPr>
              <w:t>]</w:t>
              <w:tab/>
            </w:r>
            <w:r>
              <w:rPr>
                <w:rStyle w:val="IndexLink"/>
              </w:rPr>
              <w:t>425</w:t>
            </w:r>
          </w:hyperlink>
        </w:p>
        <w:p>
          <w:pPr>
            <w:pStyle w:val="Contents6"/>
            <w:tabs>
              <w:tab w:val="clear" w:pos="7609"/>
              <w:tab w:val="right" w:pos="9026" w:leader="dot"/>
            </w:tabs>
            <w:rPr/>
          </w:pPr>
          <w:hyperlink w:anchor="__RefHeading___Toc6369998_3224264995">
            <w:r>
              <w:rPr>
                <w:webHidden/>
                <w:rStyle w:val="IndexLink"/>
                <w:rtl w:val="true"/>
              </w:rPr>
              <w:t>[</w:t>
            </w:r>
            <w:r>
              <w:rPr>
                <w:rStyle w:val="IndexLink"/>
                <w:rtl w:val="true"/>
              </w:rPr>
              <w:t>استحباب الدعاء بعد التسمیة</w:t>
            </w:r>
            <w:r>
              <w:rPr>
                <w:rStyle w:val="IndexLink"/>
                <w:rtl w:val="true"/>
              </w:rPr>
              <w:t>]</w:t>
              <w:tab/>
            </w:r>
            <w:r>
              <w:rPr>
                <w:rStyle w:val="IndexLink"/>
              </w:rPr>
              <w:t>426</w:t>
            </w:r>
          </w:hyperlink>
        </w:p>
        <w:p>
          <w:pPr>
            <w:pStyle w:val="Contents6"/>
            <w:tabs>
              <w:tab w:val="clear" w:pos="7609"/>
              <w:tab w:val="right" w:pos="9026" w:leader="dot"/>
            </w:tabs>
            <w:rPr/>
          </w:pPr>
          <w:hyperlink w:anchor="__RefHeading___Toc6370000_3224264995">
            <w:r>
              <w:rPr>
                <w:webHidden/>
                <w:rStyle w:val="IndexLink"/>
                <w:rtl w:val="true"/>
              </w:rPr>
              <w:t>[</w:t>
            </w:r>
            <w:r>
              <w:rPr>
                <w:rStyle w:val="IndexLink"/>
                <w:rtl w:val="true"/>
              </w:rPr>
              <w:t>استحباب غسل الیدین قبل الوضوء</w:t>
            </w:r>
            <w:r>
              <w:rPr>
                <w:rStyle w:val="IndexLink"/>
                <w:rtl w:val="true"/>
              </w:rPr>
              <w:t>]</w:t>
              <w:tab/>
            </w:r>
            <w:r>
              <w:rPr>
                <w:rStyle w:val="IndexLink"/>
              </w:rPr>
              <w:t>426</w:t>
            </w:r>
          </w:hyperlink>
        </w:p>
        <w:p>
          <w:pPr>
            <w:pStyle w:val="Contents6"/>
            <w:tabs>
              <w:tab w:val="clear" w:pos="7609"/>
              <w:tab w:val="right" w:pos="9026" w:leader="dot"/>
            </w:tabs>
            <w:rPr/>
          </w:pPr>
          <w:hyperlink w:anchor="__RefHeading___Toc6370002_3224264995">
            <w:r>
              <w:rPr>
                <w:webHidden/>
                <w:rStyle w:val="IndexLink"/>
                <w:rtl w:val="true"/>
              </w:rPr>
              <w:t>[</w:t>
            </w:r>
            <w:r>
              <w:rPr>
                <w:rStyle w:val="IndexLink"/>
                <w:rtl w:val="true"/>
              </w:rPr>
              <w:t>استحباب المضمضة و الاستنشاق</w:t>
            </w:r>
            <w:r>
              <w:rPr>
                <w:rStyle w:val="IndexLink"/>
                <w:rtl w:val="true"/>
              </w:rPr>
              <w:t>]</w:t>
              <w:tab/>
            </w:r>
            <w:r>
              <w:rPr>
                <w:rStyle w:val="IndexLink"/>
              </w:rPr>
              <w:t>430</w:t>
            </w:r>
          </w:hyperlink>
        </w:p>
        <w:p>
          <w:pPr>
            <w:pStyle w:val="Contents6"/>
            <w:tabs>
              <w:tab w:val="clear" w:pos="7609"/>
              <w:tab w:val="right" w:pos="9026" w:leader="dot"/>
            </w:tabs>
            <w:rPr/>
          </w:pPr>
          <w:hyperlink w:anchor="__RefHeading___Toc6370004_3224264995">
            <w:r>
              <w:rPr>
                <w:webHidden/>
                <w:rStyle w:val="IndexLink"/>
                <w:rtl w:val="true"/>
              </w:rPr>
              <w:t>[</w:t>
            </w:r>
            <w:r>
              <w:rPr>
                <w:rStyle w:val="IndexLink"/>
                <w:rtl w:val="true"/>
              </w:rPr>
              <w:t>استحباب الدعاء عند أفعال الوضوء</w:t>
            </w:r>
            <w:r>
              <w:rPr>
                <w:rStyle w:val="IndexLink"/>
                <w:rtl w:val="true"/>
              </w:rPr>
              <w:t>]</w:t>
              <w:tab/>
            </w:r>
            <w:r>
              <w:rPr>
                <w:rStyle w:val="IndexLink"/>
              </w:rPr>
              <w:t>432</w:t>
            </w:r>
          </w:hyperlink>
        </w:p>
        <w:p>
          <w:pPr>
            <w:pStyle w:val="Contents6"/>
            <w:tabs>
              <w:tab w:val="clear" w:pos="7609"/>
              <w:tab w:val="right" w:pos="9026" w:leader="dot"/>
            </w:tabs>
            <w:rPr/>
          </w:pPr>
          <w:hyperlink w:anchor="__RefHeading___Toc6370006_3224264995">
            <w:r>
              <w:rPr>
                <w:webHidden/>
                <w:rStyle w:val="IndexLink"/>
                <w:rtl w:val="true"/>
              </w:rPr>
              <w:t>[</w:t>
            </w:r>
            <w:r>
              <w:rPr>
                <w:rStyle w:val="IndexLink"/>
                <w:rtl w:val="true"/>
              </w:rPr>
              <w:t>ما یستحب فی کیفیة غسل الیدین</w:t>
            </w:r>
            <w:r>
              <w:rPr>
                <w:rStyle w:val="IndexLink"/>
                <w:rtl w:val="true"/>
              </w:rPr>
              <w:t>]</w:t>
              <w:tab/>
            </w:r>
            <w:r>
              <w:rPr>
                <w:rStyle w:val="IndexLink"/>
              </w:rPr>
              <w:t>434</w:t>
            </w:r>
          </w:hyperlink>
        </w:p>
        <w:p>
          <w:pPr>
            <w:pStyle w:val="Contents6"/>
            <w:tabs>
              <w:tab w:val="clear" w:pos="7609"/>
              <w:tab w:val="right" w:pos="9026" w:leader="dot"/>
            </w:tabs>
            <w:rPr/>
          </w:pPr>
          <w:hyperlink w:anchor="__RefHeading___Toc6370008_3224264995">
            <w:r>
              <w:rPr>
                <w:webHidden/>
                <w:rStyle w:val="IndexLink"/>
                <w:rtl w:val="true"/>
              </w:rPr>
              <w:t>استحباب الوضوء بمد</w:t>
            </w:r>
            <w:r>
              <w:rPr>
                <w:rStyle w:val="IndexLink"/>
                <w:rtl w:val="true"/>
              </w:rPr>
              <w:tab/>
            </w:r>
            <w:r>
              <w:rPr>
                <w:rStyle w:val="IndexLink"/>
              </w:rPr>
              <w:t>436</w:t>
            </w:r>
          </w:hyperlink>
        </w:p>
        <w:p>
          <w:pPr>
            <w:pStyle w:val="Contents6"/>
            <w:tabs>
              <w:tab w:val="clear" w:pos="7609"/>
              <w:tab w:val="right" w:pos="9026" w:leader="dot"/>
            </w:tabs>
            <w:rPr/>
          </w:pPr>
          <w:hyperlink w:anchor="__RefHeading___Toc6370010_3224264995">
            <w:r>
              <w:rPr>
                <w:webHidden/>
                <w:rStyle w:val="IndexLink"/>
                <w:rtl w:val="true"/>
              </w:rPr>
              <w:t>و هنا مستحبّات لم یذکرها المصنّف قدّس سرّه</w:t>
            </w:r>
            <w:r>
              <w:rPr>
                <w:rStyle w:val="IndexLink"/>
                <w:rtl w:val="true"/>
              </w:rPr>
              <w:t>.</w:t>
              <w:tab/>
            </w:r>
            <w:r>
              <w:rPr>
                <w:rStyle w:val="IndexLink"/>
              </w:rPr>
              <w:t>438</w:t>
            </w:r>
          </w:hyperlink>
        </w:p>
        <w:p>
          <w:pPr>
            <w:pStyle w:val="Contents6"/>
            <w:tabs>
              <w:tab w:val="clear" w:pos="7609"/>
              <w:tab w:val="right" w:pos="9026" w:leader="dot"/>
            </w:tabs>
            <w:rPr/>
          </w:pPr>
          <w:hyperlink w:anchor="__RefHeading___Toc6370012_3224264995">
            <w:r>
              <w:rPr>
                <w:webHidden/>
                <w:rStyle w:val="IndexLink"/>
                <w:rtl w:val="true"/>
              </w:rPr>
              <w:t>[</w:t>
            </w:r>
            <w:r>
              <w:rPr>
                <w:rStyle w:val="IndexLink"/>
                <w:rtl w:val="true"/>
              </w:rPr>
              <w:t>استحباب السواک</w:t>
            </w:r>
            <w:r>
              <w:rPr>
                <w:rStyle w:val="IndexLink"/>
                <w:rtl w:val="true"/>
              </w:rPr>
              <w:t>]</w:t>
              <w:tab/>
            </w:r>
            <w:r>
              <w:rPr>
                <w:rStyle w:val="IndexLink"/>
              </w:rPr>
              <w:t>438</w:t>
            </w:r>
          </w:hyperlink>
        </w:p>
        <w:p>
          <w:pPr>
            <w:pStyle w:val="Contents6"/>
            <w:tabs>
              <w:tab w:val="clear" w:pos="7609"/>
              <w:tab w:val="right" w:pos="9026" w:leader="dot"/>
            </w:tabs>
            <w:rPr/>
          </w:pPr>
          <w:hyperlink w:anchor="__RefHeading___Toc6370014_3224264995">
            <w:r>
              <w:rPr>
                <w:webHidden/>
                <w:rStyle w:val="IndexLink"/>
                <w:rtl w:val="true"/>
              </w:rPr>
              <w:t>[</w:t>
            </w:r>
            <w:r>
              <w:rPr>
                <w:rStyle w:val="IndexLink"/>
                <w:rtl w:val="true"/>
              </w:rPr>
              <w:t>استحباب صفق الوجه بالماء</w:t>
            </w:r>
            <w:r>
              <w:rPr>
                <w:rStyle w:val="IndexLink"/>
                <w:rtl w:val="true"/>
              </w:rPr>
              <w:t>]</w:t>
              <w:tab/>
            </w:r>
            <w:r>
              <w:rPr>
                <w:rStyle w:val="IndexLink"/>
              </w:rPr>
              <w:t>439</w:t>
            </w:r>
          </w:hyperlink>
        </w:p>
        <w:p>
          <w:pPr>
            <w:pStyle w:val="Contents6"/>
            <w:tabs>
              <w:tab w:val="clear" w:pos="7609"/>
              <w:tab w:val="right" w:pos="9026" w:leader="dot"/>
            </w:tabs>
            <w:rPr/>
          </w:pPr>
          <w:hyperlink w:anchor="__RefHeading___Toc6370016_3224264995">
            <w:r>
              <w:rPr>
                <w:webHidden/>
                <w:rStyle w:val="IndexLink"/>
                <w:rtl w:val="true"/>
              </w:rPr>
              <w:t>[</w:t>
            </w:r>
            <w:r>
              <w:rPr>
                <w:rStyle w:val="IndexLink"/>
                <w:rtl w:val="true"/>
              </w:rPr>
              <w:t>استحباب فتح العینین عند غسل الوجه</w:t>
            </w:r>
            <w:r>
              <w:rPr>
                <w:rStyle w:val="IndexLink"/>
                <w:rtl w:val="true"/>
              </w:rPr>
              <w:t>]</w:t>
              <w:tab/>
            </w:r>
            <w:r>
              <w:rPr>
                <w:rStyle w:val="IndexLink"/>
              </w:rPr>
              <w:t>440</w:t>
            </w:r>
          </w:hyperlink>
        </w:p>
        <w:p>
          <w:pPr>
            <w:pStyle w:val="Contents5"/>
            <w:tabs>
              <w:tab w:val="clear" w:pos="7892"/>
              <w:tab w:val="right" w:pos="9026" w:leader="dot"/>
            </w:tabs>
            <w:rPr/>
          </w:pPr>
          <w:hyperlink w:anchor="__RefHeading___Toc6370018_3224264995">
            <w:r>
              <w:rPr>
                <w:webHidden/>
                <w:rStyle w:val="IndexLink"/>
                <w:rtl w:val="true"/>
              </w:rPr>
              <w:t>[</w:t>
            </w:r>
            <w:r>
              <w:rPr>
                <w:rStyle w:val="IndexLink"/>
                <w:rtl w:val="true"/>
              </w:rPr>
              <w:t>مکروهات الوضوء</w:t>
            </w:r>
            <w:r>
              <w:rPr>
                <w:rStyle w:val="IndexLink"/>
                <w:rtl w:val="true"/>
              </w:rPr>
              <w:t>]</w:t>
              <w:tab/>
            </w:r>
            <w:r>
              <w:rPr>
                <w:rStyle w:val="IndexLink"/>
              </w:rPr>
              <w:t>441</w:t>
            </w:r>
          </w:hyperlink>
        </w:p>
        <w:p>
          <w:pPr>
            <w:pStyle w:val="Contents6"/>
            <w:tabs>
              <w:tab w:val="clear" w:pos="7609"/>
              <w:tab w:val="right" w:pos="9026" w:leader="dot"/>
            </w:tabs>
            <w:rPr/>
          </w:pPr>
          <w:hyperlink w:anchor="__RefHeading___Toc6370020_3224264995">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6370022_3224264995">
            <w:r>
              <w:rPr>
                <w:webHidden/>
                <w:rStyle w:val="IndexLink"/>
                <w:rtl w:val="true"/>
              </w:rPr>
              <w:t>[</w:t>
            </w:r>
            <w:r>
              <w:rPr>
                <w:rStyle w:val="IndexLink"/>
                <w:rtl w:val="true"/>
              </w:rPr>
              <w:t>کراهة إیقاعه فی المسجد</w:t>
            </w:r>
            <w:r>
              <w:rPr>
                <w:rStyle w:val="IndexLink"/>
                <w:rtl w:val="true"/>
              </w:rPr>
              <w:t>]</w:t>
              <w:tab/>
            </w:r>
            <w:r>
              <w:rPr>
                <w:rStyle w:val="IndexLink"/>
              </w:rPr>
              <w:t>441</w:t>
            </w:r>
          </w:hyperlink>
        </w:p>
        <w:p>
          <w:pPr>
            <w:pStyle w:val="Contents6"/>
            <w:tabs>
              <w:tab w:val="clear" w:pos="7609"/>
              <w:tab w:val="right" w:pos="9026" w:leader="dot"/>
            </w:tabs>
            <w:rPr/>
          </w:pPr>
          <w:hyperlink w:anchor="__RefHeading___Toc6370024_3224264995">
            <w:r>
              <w:rPr>
                <w:webHidden/>
                <w:rStyle w:val="IndexLink"/>
                <w:rtl w:val="true"/>
              </w:rPr>
              <w:t>[</w:t>
            </w:r>
            <w:r>
              <w:rPr>
                <w:rStyle w:val="IndexLink"/>
                <w:rtl w:val="true"/>
              </w:rPr>
              <w:t>کراهة لطم الوجه بالماء</w:t>
            </w:r>
            <w:r>
              <w:rPr>
                <w:rStyle w:val="IndexLink"/>
                <w:rtl w:val="true"/>
              </w:rPr>
              <w:t>]</w:t>
              <w:tab/>
            </w:r>
            <w:r>
              <w:rPr>
                <w:rStyle w:val="IndexLink"/>
              </w:rPr>
              <w:t>441</w:t>
            </w:r>
          </w:hyperlink>
        </w:p>
        <w:p>
          <w:pPr>
            <w:pStyle w:val="Contents6"/>
            <w:tabs>
              <w:tab w:val="clear" w:pos="7609"/>
              <w:tab w:val="right" w:pos="9026" w:leader="dot"/>
            </w:tabs>
            <w:rPr/>
          </w:pPr>
          <w:hyperlink w:anchor="__RefHeading___Toc6370026_3224264995">
            <w:r>
              <w:rPr>
                <w:webHidden/>
                <w:rStyle w:val="IndexLink"/>
                <w:rtl w:val="true"/>
              </w:rPr>
              <w:t>[</w:t>
            </w:r>
            <w:r>
              <w:rPr>
                <w:rStyle w:val="IndexLink"/>
                <w:rtl w:val="true"/>
              </w:rPr>
              <w:t>کراهة الاستعانة فی الوضوء</w:t>
            </w:r>
            <w:r>
              <w:rPr>
                <w:rStyle w:val="IndexLink"/>
                <w:rtl w:val="true"/>
              </w:rPr>
              <w:t>]</w:t>
              <w:tab/>
            </w:r>
            <w:r>
              <w:rPr>
                <w:rStyle w:val="IndexLink"/>
              </w:rPr>
              <w:t>441</w:t>
            </w:r>
          </w:hyperlink>
        </w:p>
        <w:p>
          <w:pPr>
            <w:pStyle w:val="Contents6"/>
            <w:tabs>
              <w:tab w:val="clear" w:pos="7609"/>
              <w:tab w:val="right" w:pos="9026" w:leader="dot"/>
            </w:tabs>
            <w:rPr/>
          </w:pPr>
          <w:hyperlink w:anchor="__RefHeading___Toc6370028_3224264995">
            <w:r>
              <w:rPr>
                <w:webHidden/>
                <w:rStyle w:val="IndexLink"/>
                <w:rtl w:val="true"/>
              </w:rPr>
              <w:t>[</w:t>
            </w:r>
            <w:r>
              <w:rPr>
                <w:rStyle w:val="IndexLink"/>
                <w:rtl w:val="true"/>
              </w:rPr>
              <w:t>کراهة مسح بلل الوضوء</w:t>
            </w:r>
            <w:r>
              <w:rPr>
                <w:rStyle w:val="IndexLink"/>
                <w:rtl w:val="true"/>
              </w:rPr>
              <w:t>]</w:t>
              <w:tab/>
            </w:r>
            <w:r>
              <w:rPr>
                <w:rStyle w:val="IndexLink"/>
              </w:rPr>
              <w:t>443</w:t>
            </w:r>
          </w:hyperlink>
        </w:p>
        <w:p>
          <w:pPr>
            <w:pStyle w:val="Contents4"/>
            <w:tabs>
              <w:tab w:val="clear" w:pos="8176"/>
              <w:tab w:val="right" w:pos="9026" w:leader="dot"/>
            </w:tabs>
            <w:rPr/>
          </w:pPr>
          <w:hyperlink w:anchor="__RefHeading___Toc6370030_3224264995">
            <w:r>
              <w:rPr>
                <w:webHidden/>
                <w:rStyle w:val="IndexLink"/>
                <w:rtl w:val="true"/>
              </w:rPr>
              <w:t>[</w:t>
            </w:r>
            <w:r>
              <w:rPr>
                <w:rStyle w:val="IndexLink"/>
                <w:rtl w:val="true"/>
              </w:rPr>
              <w:t>الفصل الرابع فی أحکام الوضوء</w:t>
            </w:r>
            <w:r>
              <w:rPr>
                <w:rStyle w:val="IndexLink"/>
                <w:rtl w:val="true"/>
              </w:rPr>
              <w:t>]</w:t>
              <w:tab/>
            </w:r>
            <w:r>
              <w:rPr>
                <w:rStyle w:val="IndexLink"/>
              </w:rPr>
              <w:t>445</w:t>
            </w:r>
          </w:hyperlink>
        </w:p>
        <w:p>
          <w:pPr>
            <w:pStyle w:val="Contents5"/>
            <w:tabs>
              <w:tab w:val="clear" w:pos="7892"/>
              <w:tab w:val="right" w:pos="9026" w:leader="dot"/>
            </w:tabs>
            <w:rPr/>
          </w:pPr>
          <w:hyperlink w:anchor="__RefHeading___Toc6370032_3224264995">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6370034_3224264995">
            <w:r>
              <w:rPr>
                <w:webHidden/>
                <w:rStyle w:val="IndexLink"/>
                <w:rtl w:val="true"/>
              </w:rPr>
              <w:t>مسائل</w:t>
            </w:r>
            <w:r>
              <w:rPr>
                <w:rStyle w:val="IndexLink"/>
                <w:rtl w:val="true"/>
              </w:rPr>
              <w:t>:</w:t>
              <w:tab/>
            </w:r>
            <w:r>
              <w:rPr>
                <w:rStyle w:val="IndexLink"/>
              </w:rPr>
              <w:t>445</w:t>
            </w:r>
          </w:hyperlink>
        </w:p>
        <w:p>
          <w:pPr>
            <w:pStyle w:val="Contents6"/>
            <w:tabs>
              <w:tab w:val="clear" w:pos="7609"/>
              <w:tab w:val="right" w:pos="9026" w:leader="dot"/>
            </w:tabs>
            <w:rPr/>
          </w:pPr>
          <w:hyperlink w:anchor="__RefHeading___Toc6370036_3224264995">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6370038_3224264995">
            <w:r>
              <w:rPr>
                <w:webHidden/>
                <w:rStyle w:val="IndexLink"/>
                <w:rtl w:val="true"/>
              </w:rPr>
              <w:t>[</w:t>
            </w:r>
            <w:r>
              <w:rPr>
                <w:rStyle w:val="IndexLink"/>
                <w:rtl w:val="true"/>
              </w:rPr>
              <w:t>المسألة</w:t>
            </w:r>
            <w:r>
              <w:rPr>
                <w:rStyle w:val="IndexLink"/>
                <w:rtl w:val="true"/>
              </w:rPr>
              <w:t xml:space="preserve">] </w:t>
            </w:r>
            <w:r>
              <w:rPr>
                <w:rStyle w:val="IndexLink"/>
                <w:rtl w:val="true"/>
              </w:rPr>
              <w:t>الأولی</w:t>
            </w:r>
            <w:r>
              <w:rPr>
                <w:rStyle w:val="IndexLink"/>
                <w:rtl w:val="true"/>
              </w:rPr>
              <w:t>[</w:t>
            </w:r>
            <w:r>
              <w:rPr>
                <w:rStyle w:val="IndexLink"/>
                <w:rtl w:val="true"/>
              </w:rPr>
              <w:t>لو تیقّن الحدث و شکّ فی الطهارة</w:t>
            </w:r>
            <w:r>
              <w:rPr>
                <w:rStyle w:val="IndexLink"/>
                <w:rtl w:val="true"/>
              </w:rPr>
              <w:t>]</w:t>
              <w:tab/>
            </w:r>
            <w:r>
              <w:rPr>
                <w:rStyle w:val="IndexLink"/>
              </w:rPr>
              <w:t>446</w:t>
            </w:r>
          </w:hyperlink>
        </w:p>
        <w:p>
          <w:pPr>
            <w:pStyle w:val="Contents6"/>
            <w:tabs>
              <w:tab w:val="clear" w:pos="7609"/>
              <w:tab w:val="right" w:pos="9026" w:leader="dot"/>
            </w:tabs>
            <w:rPr/>
          </w:pPr>
          <w:hyperlink w:anchor="__RefHeading___Toc6370040_3224264995">
            <w:r>
              <w:rPr>
                <w:webHidden/>
                <w:rStyle w:val="IndexLink"/>
                <w:rtl w:val="true"/>
              </w:rPr>
              <w:t>[</w:t>
            </w:r>
            <w:r>
              <w:rPr>
                <w:rStyle w:val="IndexLink"/>
                <w:rtl w:val="true"/>
              </w:rPr>
              <w:t>المسألة الثانیة</w:t>
            </w:r>
            <w:r>
              <w:rPr>
                <w:rStyle w:val="IndexLink"/>
                <w:rtl w:val="true"/>
              </w:rPr>
              <w:t>] [</w:t>
            </w:r>
            <w:r>
              <w:rPr>
                <w:rStyle w:val="IndexLink"/>
                <w:rtl w:val="true"/>
              </w:rPr>
              <w:t>لو تیقّن ترک عضو</w:t>
            </w:r>
            <w:r>
              <w:rPr>
                <w:rStyle w:val="IndexLink"/>
                <w:rtl w:val="true"/>
              </w:rPr>
              <w:t>]</w:t>
              <w:tab/>
            </w:r>
            <w:r>
              <w:rPr>
                <w:rStyle w:val="IndexLink"/>
              </w:rPr>
              <w:t>462</w:t>
            </w:r>
          </w:hyperlink>
        </w:p>
        <w:p>
          <w:pPr>
            <w:pStyle w:val="Contents6"/>
            <w:tabs>
              <w:tab w:val="clear" w:pos="7609"/>
              <w:tab w:val="right" w:pos="9026" w:leader="dot"/>
            </w:tabs>
            <w:rPr/>
          </w:pPr>
          <w:hyperlink w:anchor="__RefHeading___Toc6370042_3224264995">
            <w:r>
              <w:rPr>
                <w:webHidden/>
                <w:rStyle w:val="IndexLink"/>
                <w:rtl w:val="true"/>
              </w:rPr>
              <w:t>[</w:t>
            </w:r>
            <w:r>
              <w:rPr>
                <w:rStyle w:val="IndexLink"/>
                <w:rtl w:val="true"/>
              </w:rPr>
              <w:t>المسألة الثالثة</w:t>
            </w:r>
            <w:r>
              <w:rPr>
                <w:rStyle w:val="IndexLink"/>
                <w:rtl w:val="true"/>
              </w:rPr>
              <w:t>] [</w:t>
            </w:r>
            <w:r>
              <w:rPr>
                <w:rStyle w:val="IndexLink"/>
                <w:rtl w:val="true"/>
              </w:rPr>
              <w:t>لو شک فی أثناء الوضوء و الغسل</w:t>
            </w:r>
            <w:r>
              <w:rPr>
                <w:rStyle w:val="IndexLink"/>
                <w:rtl w:val="true"/>
              </w:rPr>
              <w:t>]</w:t>
              <w:tab/>
            </w:r>
            <w:r>
              <w:rPr>
                <w:rStyle w:val="IndexLink"/>
              </w:rPr>
              <w:t>464</w:t>
            </w:r>
          </w:hyperlink>
        </w:p>
        <w:p>
          <w:pPr>
            <w:pStyle w:val="Contents6"/>
            <w:tabs>
              <w:tab w:val="clear" w:pos="7609"/>
              <w:tab w:val="right" w:pos="9026" w:leader="dot"/>
            </w:tabs>
            <w:rPr/>
          </w:pPr>
          <w:hyperlink w:anchor="__RefHeading___Toc6370044_3224264995">
            <w:r>
              <w:rPr>
                <w:webHidden/>
                <w:rStyle w:val="IndexLink"/>
                <w:rtl w:val="true"/>
              </w:rPr>
              <w:t>[</w:t>
            </w:r>
            <w:r>
              <w:rPr>
                <w:rStyle w:val="IndexLink"/>
                <w:rtl w:val="true"/>
              </w:rPr>
              <w:t>المسألة الرابعة</w:t>
            </w:r>
            <w:r>
              <w:rPr>
                <w:rStyle w:val="IndexLink"/>
                <w:rtl w:val="true"/>
              </w:rPr>
              <w:t>] [</w:t>
            </w:r>
            <w:r>
              <w:rPr>
                <w:rStyle w:val="IndexLink"/>
                <w:rtl w:val="true"/>
              </w:rPr>
              <w:t>لو تیقّن الطهارة و شکّ فی الحدث</w:t>
            </w:r>
            <w:r>
              <w:rPr>
                <w:rStyle w:val="IndexLink"/>
                <w:rtl w:val="true"/>
              </w:rPr>
              <w:t>]</w:t>
              <w:tab/>
            </w:r>
            <w:r>
              <w:rPr>
                <w:rStyle w:val="IndexLink"/>
              </w:rPr>
              <w:t>474</w:t>
            </w:r>
          </w:hyperlink>
        </w:p>
        <w:p>
          <w:pPr>
            <w:pStyle w:val="Contents6"/>
            <w:tabs>
              <w:tab w:val="clear" w:pos="7609"/>
              <w:tab w:val="right" w:pos="9026" w:leader="dot"/>
            </w:tabs>
            <w:rPr/>
          </w:pPr>
          <w:hyperlink w:anchor="__RefHeading___Toc6370046_3224264995">
            <w:r>
              <w:rPr>
                <w:webHidden/>
                <w:rStyle w:val="IndexLink"/>
                <w:rtl w:val="true"/>
              </w:rPr>
              <w:t>[</w:t>
            </w:r>
            <w:r>
              <w:rPr>
                <w:rStyle w:val="IndexLink"/>
                <w:rtl w:val="true"/>
              </w:rPr>
              <w:t>المسألة الخامسة</w:t>
            </w:r>
            <w:r>
              <w:rPr>
                <w:rStyle w:val="IndexLink"/>
                <w:rtl w:val="true"/>
              </w:rPr>
              <w:t>] [</w:t>
            </w:r>
            <w:r>
              <w:rPr>
                <w:rStyle w:val="IndexLink"/>
                <w:rtl w:val="true"/>
              </w:rPr>
              <w:t>الشک فی أفعال الوضوء بعد الفراغ</w:t>
            </w:r>
            <w:r>
              <w:rPr>
                <w:rStyle w:val="IndexLink"/>
                <w:rtl w:val="true"/>
              </w:rPr>
              <w:t>]</w:t>
              <w:tab/>
            </w:r>
            <w:r>
              <w:rPr>
                <w:rStyle w:val="IndexLink"/>
              </w:rPr>
              <w:t>478</w:t>
            </w:r>
          </w:hyperlink>
        </w:p>
        <w:p>
          <w:pPr>
            <w:pStyle w:val="Contents6"/>
            <w:tabs>
              <w:tab w:val="clear" w:pos="7609"/>
              <w:tab w:val="right" w:pos="9026" w:leader="dot"/>
            </w:tabs>
            <w:rPr/>
          </w:pPr>
          <w:hyperlink w:anchor="__RefHeading___Toc6370048_3224264995">
            <w:r>
              <w:rPr>
                <w:webHidden/>
                <w:rStyle w:val="IndexLink"/>
                <w:rtl w:val="true"/>
              </w:rPr>
              <w:t>[</w:t>
            </w:r>
            <w:r>
              <w:rPr>
                <w:rStyle w:val="IndexLink"/>
                <w:rtl w:val="true"/>
              </w:rPr>
              <w:t>المسألة السادسة</w:t>
            </w:r>
            <w:r>
              <w:rPr>
                <w:rStyle w:val="IndexLink"/>
                <w:rtl w:val="true"/>
              </w:rPr>
              <w:t>] [</w:t>
            </w:r>
            <w:r>
              <w:rPr>
                <w:rStyle w:val="IndexLink"/>
                <w:rtl w:val="true"/>
              </w:rPr>
              <w:t>لو ترک غسل أحد المخرجین و صلی</w:t>
            </w:r>
            <w:r>
              <w:rPr>
                <w:rStyle w:val="IndexLink"/>
                <w:rtl w:val="true"/>
              </w:rPr>
              <w:t>]</w:t>
              <w:tab/>
            </w:r>
            <w:r>
              <w:rPr>
                <w:rStyle w:val="IndexLink"/>
              </w:rPr>
              <w:t>491</w:t>
            </w:r>
          </w:hyperlink>
        </w:p>
        <w:p>
          <w:pPr>
            <w:pStyle w:val="Contents5"/>
            <w:tabs>
              <w:tab w:val="clear" w:pos="7892"/>
              <w:tab w:val="right" w:pos="9026" w:leader="dot"/>
            </w:tabs>
            <w:rPr/>
          </w:pPr>
          <w:hyperlink w:anchor="__RefHeading___Toc6370050_3224264995">
            <w:r>
              <w:rPr>
                <w:webHidden/>
                <w:rStyle w:val="IndexLink"/>
                <w:rtl w:val="true"/>
              </w:rPr>
              <w:t>[</w:t>
            </w:r>
            <w:r>
              <w:rPr>
                <w:rStyle w:val="IndexLink"/>
                <w:rtl w:val="true"/>
              </w:rPr>
              <w:t>بعض أحکام الخلل المتردّد بین الوضوءین</w:t>
            </w:r>
            <w:r>
              <w:rPr>
                <w:rStyle w:val="IndexLink"/>
                <w:rtl w:val="true"/>
              </w:rPr>
              <w:t>]</w:t>
              <w:tab/>
            </w:r>
            <w:r>
              <w:rPr>
                <w:rStyle w:val="IndexLink"/>
              </w:rPr>
              <w:t>498</w:t>
            </w:r>
          </w:hyperlink>
        </w:p>
        <w:p>
          <w:pPr>
            <w:pStyle w:val="Contents6"/>
            <w:tabs>
              <w:tab w:val="clear" w:pos="7609"/>
              <w:tab w:val="right" w:pos="9026" w:leader="dot"/>
            </w:tabs>
            <w:rPr/>
          </w:pPr>
          <w:hyperlink w:anchor="__RefHeading___Toc6370052_3224264995">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6370054_3224264995">
            <w:r>
              <w:rPr>
                <w:webHidden/>
                <w:rStyle w:val="IndexLink"/>
                <w:rtl w:val="true"/>
              </w:rPr>
              <w:t>مسائل</w:t>
            </w:r>
            <w:r>
              <w:rPr>
                <w:rStyle w:val="IndexLink"/>
                <w:rtl w:val="true"/>
              </w:rPr>
              <w:t>:</w:t>
              <w:tab/>
            </w:r>
            <w:r>
              <w:rPr>
                <w:rStyle w:val="IndexLink"/>
              </w:rPr>
              <w:t>498</w:t>
            </w:r>
          </w:hyperlink>
        </w:p>
        <w:p>
          <w:pPr>
            <w:pStyle w:val="Contents6"/>
            <w:tabs>
              <w:tab w:val="clear" w:pos="7609"/>
              <w:tab w:val="right" w:pos="9026" w:leader="dot"/>
            </w:tabs>
            <w:rPr/>
          </w:pPr>
          <w:hyperlink w:anchor="__RefHeading___Toc6370056_3224264995">
            <w:r>
              <w:rPr>
                <w:webHidden/>
                <w:rStyle w:val="IndexLink"/>
                <w:rtl w:val="true"/>
              </w:rPr>
              <w:t>[</w:t>
            </w:r>
            <w:r>
              <w:rPr>
                <w:rStyle w:val="IndexLink"/>
                <w:rtl w:val="true"/>
              </w:rPr>
              <w:t>المسألة</w:t>
            </w:r>
            <w:r>
              <w:rPr>
                <w:rStyle w:val="IndexLink"/>
                <w:rtl w:val="true"/>
              </w:rPr>
              <w:t xml:space="preserve">] </w:t>
            </w:r>
            <w:r>
              <w:rPr>
                <w:rStyle w:val="IndexLink"/>
                <w:rtl w:val="true"/>
              </w:rPr>
              <w:t xml:space="preserve">الأولی </w:t>
            </w:r>
            <w:r>
              <w:rPr>
                <w:rStyle w:val="IndexLink"/>
                <w:rtl w:val="true"/>
              </w:rPr>
              <w:t>[</w:t>
            </w:r>
            <w:r>
              <w:rPr>
                <w:rStyle w:val="IndexLink"/>
                <w:rtl w:val="true"/>
              </w:rPr>
              <w:t>العلم الإجمالی بالإخلال فی أحد الموضعین</w:t>
            </w:r>
            <w:r>
              <w:rPr>
                <w:rStyle w:val="IndexLink"/>
                <w:rtl w:val="true"/>
              </w:rPr>
              <w:t>]</w:t>
              <w:tab/>
            </w:r>
            <w:r>
              <w:rPr>
                <w:rStyle w:val="IndexLink"/>
              </w:rPr>
              <w:t>498</w:t>
            </w:r>
          </w:hyperlink>
        </w:p>
        <w:p>
          <w:pPr>
            <w:pStyle w:val="Contents6"/>
            <w:tabs>
              <w:tab w:val="clear" w:pos="7609"/>
              <w:tab w:val="right" w:pos="9026" w:leader="dot"/>
            </w:tabs>
            <w:rPr/>
          </w:pPr>
          <w:hyperlink w:anchor="__RefHeading___Toc6370058_3224264995">
            <w:r>
              <w:rPr>
                <w:webHidden/>
                <w:rStyle w:val="IndexLink"/>
                <w:rtl w:val="true"/>
              </w:rPr>
              <w:t>[</w:t>
            </w:r>
            <w:r>
              <w:rPr>
                <w:rStyle w:val="IndexLink"/>
                <w:rtl w:val="true"/>
              </w:rPr>
              <w:t>المسألة الثانیة</w:t>
            </w:r>
            <w:r>
              <w:rPr>
                <w:rStyle w:val="IndexLink"/>
                <w:rtl w:val="true"/>
              </w:rPr>
              <w:t>] [</w:t>
            </w:r>
            <w:r>
              <w:rPr>
                <w:rStyle w:val="IndexLink"/>
                <w:rtl w:val="true"/>
              </w:rPr>
              <w:t>لو صلّی بکلّ من الطهارتین أعاد</w:t>
            </w:r>
            <w:r>
              <w:rPr>
                <w:rStyle w:val="IndexLink"/>
                <w:rtl w:val="true"/>
              </w:rPr>
              <w:t>]</w:t>
              <w:tab/>
            </w:r>
            <w:r>
              <w:rPr>
                <w:rStyle w:val="IndexLink"/>
              </w:rPr>
              <w:t>502</w:t>
            </w:r>
          </w:hyperlink>
        </w:p>
        <w:p>
          <w:pPr>
            <w:pStyle w:val="Contents6"/>
            <w:tabs>
              <w:tab w:val="clear" w:pos="7609"/>
              <w:tab w:val="right" w:pos="9026" w:leader="dot"/>
            </w:tabs>
            <w:rPr/>
          </w:pPr>
          <w:hyperlink w:anchor="__RefHeading___Toc6370060_3224264995">
            <w:r>
              <w:rPr>
                <w:webHidden/>
                <w:rStyle w:val="IndexLink"/>
                <w:rtl w:val="true"/>
              </w:rPr>
              <w:t>[</w:t>
            </w:r>
            <w:r>
              <w:rPr>
                <w:rStyle w:val="IndexLink"/>
                <w:rtl w:val="true"/>
              </w:rPr>
              <w:t>المسألة الثالثة</w:t>
            </w:r>
            <w:r>
              <w:rPr>
                <w:rStyle w:val="IndexLink"/>
                <w:rtl w:val="true"/>
              </w:rPr>
              <w:t>] [</w:t>
            </w:r>
            <w:r>
              <w:rPr>
                <w:rStyle w:val="IndexLink"/>
                <w:rtl w:val="true"/>
              </w:rPr>
              <w:t>لو صلّی صلاتین بطهارتین و تیقّن أنّه أحدث عقیب إحداهما</w:t>
            </w:r>
            <w:r>
              <w:rPr>
                <w:rStyle w:val="IndexLink"/>
                <w:rtl w:val="true"/>
              </w:rPr>
              <w:t>]</w:t>
              <w:tab/>
            </w:r>
            <w:r>
              <w:rPr>
                <w:rStyle w:val="IndexLink"/>
              </w:rPr>
              <w:t>504</w:t>
            </w:r>
          </w:hyperlink>
        </w:p>
        <w:p>
          <w:pPr>
            <w:pStyle w:val="Contents4"/>
            <w:tabs>
              <w:tab w:val="clear" w:pos="8176"/>
              <w:tab w:val="right" w:pos="9026" w:leader="dot"/>
            </w:tabs>
            <w:rPr/>
          </w:pPr>
          <w:hyperlink w:anchor="__RefHeading___Toc6370062_3224264995">
            <w:r>
              <w:rPr>
                <w:webHidden/>
                <w:rStyle w:val="IndexLink"/>
                <w:rtl w:val="true"/>
              </w:rPr>
              <w:t>[</w:t>
            </w:r>
            <w:r>
              <w:rPr>
                <w:rStyle w:val="IndexLink"/>
                <w:rtl w:val="true"/>
              </w:rPr>
              <w:t>و أما الغسل</w:t>
            </w:r>
            <w:r>
              <w:rPr>
                <w:rStyle w:val="IndexLink"/>
                <w:rtl w:val="true"/>
              </w:rPr>
              <w:t>]</w:t>
              <w:tab/>
            </w:r>
            <w:r>
              <w:rPr>
                <w:rStyle w:val="IndexLink"/>
              </w:rPr>
              <w:t>510</w:t>
            </w:r>
          </w:hyperlink>
        </w:p>
        <w:p>
          <w:pPr>
            <w:pStyle w:val="Contents5"/>
            <w:tabs>
              <w:tab w:val="clear" w:pos="7892"/>
              <w:tab w:val="right" w:pos="9026" w:leader="dot"/>
            </w:tabs>
            <w:rPr/>
          </w:pPr>
          <w:hyperlink w:anchor="__RefHeading___Toc6370064_3224264995">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6370066_3224264995">
            <w:r>
              <w:rPr>
                <w:webHidden/>
                <w:rStyle w:val="IndexLink"/>
                <w:rtl w:val="true"/>
              </w:rPr>
              <w:t>[</w:t>
            </w:r>
            <w:r>
              <w:rPr>
                <w:rStyle w:val="IndexLink"/>
                <w:rtl w:val="true"/>
              </w:rPr>
              <w:t>الأغسال الواجبة</w:t>
            </w:r>
            <w:r>
              <w:rPr>
                <w:rStyle w:val="IndexLink"/>
                <w:rtl w:val="true"/>
              </w:rPr>
              <w:t>]</w:t>
              <w:tab/>
            </w:r>
            <w:r>
              <w:rPr>
                <w:rStyle w:val="IndexLink"/>
              </w:rPr>
              <w:t>511</w:t>
            </w:r>
          </w:hyperlink>
        </w:p>
        <w:p>
          <w:pPr>
            <w:pStyle w:val="Contents6"/>
            <w:tabs>
              <w:tab w:val="clear" w:pos="7609"/>
              <w:tab w:val="right" w:pos="9026" w:leader="dot"/>
            </w:tabs>
            <w:rPr/>
          </w:pPr>
          <w:hyperlink w:anchor="__RefHeading___Toc6370068_3224264995">
            <w:r>
              <w:rPr>
                <w:webHidden/>
                <w:rStyle w:val="IndexLink"/>
                <w:rtl w:val="true"/>
              </w:rPr>
              <w:t>اشارة</w:t>
            </w:r>
            <w:r>
              <w:rPr>
                <w:rStyle w:val="IndexLink"/>
                <w:rtl w:val="true"/>
              </w:rPr>
              <w:tab/>
            </w:r>
            <w:r>
              <w:rPr>
                <w:rStyle w:val="IndexLink"/>
              </w:rPr>
              <w:t>511</w:t>
            </w:r>
          </w:hyperlink>
        </w:p>
        <w:p>
          <w:pPr>
            <w:pStyle w:val="Contents6"/>
            <w:tabs>
              <w:tab w:val="clear" w:pos="7609"/>
              <w:tab w:val="right" w:pos="9026" w:leader="dot"/>
            </w:tabs>
            <w:rPr/>
          </w:pPr>
          <w:hyperlink w:anchor="__RefHeading___Toc6370070_3224264995">
            <w:r>
              <w:rPr>
                <w:webHidden/>
                <w:rStyle w:val="IndexLink"/>
                <w:rtl w:val="true"/>
              </w:rPr>
              <w:t>[</w:t>
            </w:r>
            <w:r>
              <w:rPr>
                <w:rStyle w:val="IndexLink"/>
                <w:rtl w:val="true"/>
              </w:rPr>
              <w:t>الفصل الأوّل فی الجنابة</w:t>
            </w:r>
            <w:r>
              <w:rPr>
                <w:rStyle w:val="IndexLink"/>
                <w:rtl w:val="true"/>
              </w:rPr>
              <w:t>]</w:t>
              <w:tab/>
            </w:r>
            <w:r>
              <w:rPr>
                <w:rStyle w:val="IndexLink"/>
              </w:rPr>
              <w:t>512</w:t>
            </w:r>
          </w:hyperlink>
        </w:p>
        <w:p>
          <w:pPr>
            <w:pStyle w:val="Contents6"/>
            <w:tabs>
              <w:tab w:val="clear" w:pos="7609"/>
              <w:tab w:val="right" w:pos="9026" w:leader="dot"/>
            </w:tabs>
            <w:rPr/>
          </w:pPr>
          <w:hyperlink w:anchor="__RefHeading___Toc6370072_3224264995">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6370074_3224264995">
            <w:r>
              <w:rPr>
                <w:webHidden/>
                <w:rStyle w:val="IndexLink"/>
                <w:rtl w:val="true"/>
              </w:rPr>
              <w:t>[</w:t>
            </w:r>
            <w:r>
              <w:rPr>
                <w:rStyle w:val="IndexLink"/>
                <w:rtl w:val="true"/>
              </w:rPr>
              <w:t>سبب الجنابة</w:t>
            </w:r>
            <w:r>
              <w:rPr>
                <w:rStyle w:val="IndexLink"/>
                <w:rtl w:val="true"/>
              </w:rPr>
              <w:t>] [</w:t>
            </w:r>
            <w:r>
              <w:rPr>
                <w:rStyle w:val="IndexLink"/>
                <w:rtl w:val="true"/>
              </w:rPr>
              <w:t>أمران</w:t>
            </w:r>
            <w:r>
              <w:rPr>
                <w:rStyle w:val="IndexLink"/>
                <w:rtl w:val="true"/>
              </w:rPr>
              <w:t>]</w:t>
              <w:tab/>
            </w:r>
            <w:r>
              <w:rPr>
                <w:rStyle w:val="IndexLink"/>
              </w:rPr>
              <w:t>514</w:t>
            </w:r>
          </w:hyperlink>
        </w:p>
        <w:p>
          <w:pPr>
            <w:pStyle w:val="Contents6"/>
            <w:tabs>
              <w:tab w:val="clear" w:pos="7609"/>
              <w:tab w:val="right" w:pos="9026" w:leader="dot"/>
            </w:tabs>
            <w:rPr/>
          </w:pPr>
          <w:hyperlink w:anchor="__RefHeading___Toc6370076_3224264995">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6370078_3224264995">
            <w:r>
              <w:rPr>
                <w:webHidden/>
                <w:rStyle w:val="IndexLink"/>
                <w:rtl w:val="true"/>
              </w:rPr>
              <w:t>[</w:t>
            </w:r>
            <w:r>
              <w:rPr>
                <w:rStyle w:val="IndexLink"/>
                <w:rtl w:val="true"/>
              </w:rPr>
              <w:t>الإنزال</w:t>
            </w:r>
            <w:r>
              <w:rPr>
                <w:rStyle w:val="IndexLink"/>
                <w:rtl w:val="true"/>
              </w:rPr>
              <w:t>]</w:t>
              <w:tab/>
            </w:r>
            <w:r>
              <w:rPr>
                <w:rStyle w:val="IndexLink"/>
              </w:rPr>
              <w:t>514</w:t>
            </w:r>
          </w:hyperlink>
        </w:p>
        <w:p>
          <w:pPr>
            <w:pStyle w:val="Contents6"/>
            <w:tabs>
              <w:tab w:val="clear" w:pos="7609"/>
              <w:tab w:val="right" w:pos="9026" w:leader="dot"/>
            </w:tabs>
            <w:rPr/>
          </w:pPr>
          <w:hyperlink w:anchor="__RefHeading___Toc6370080_3224264995">
            <w:r>
              <w:rPr>
                <w:webHidden/>
                <w:rStyle w:val="IndexLink"/>
                <w:rtl w:val="true"/>
              </w:rPr>
              <w:t>[</w:t>
            </w:r>
            <w:r>
              <w:rPr>
                <w:rStyle w:val="IndexLink"/>
                <w:rtl w:val="true"/>
              </w:rPr>
              <w:t>الجماع</w:t>
            </w:r>
            <w:r>
              <w:rPr>
                <w:rStyle w:val="IndexLink"/>
                <w:rtl w:val="true"/>
              </w:rPr>
              <w:t>] [</w:t>
            </w:r>
            <w:r>
              <w:rPr>
                <w:rStyle w:val="IndexLink"/>
                <w:rtl w:val="true"/>
              </w:rPr>
              <w:t>سبب الجنابة</w:t>
            </w:r>
            <w:r>
              <w:rPr>
                <w:rStyle w:val="IndexLink"/>
                <w:rtl w:val="true"/>
              </w:rPr>
              <w:t>]</w:t>
              <w:tab/>
            </w:r>
            <w:r>
              <w:rPr>
                <w:rStyle w:val="IndexLink"/>
              </w:rPr>
              <w:t>542</w:t>
            </w:r>
          </w:hyperlink>
        </w:p>
        <w:p>
          <w:pPr>
            <w:pStyle w:val="Contents6"/>
            <w:tabs>
              <w:tab w:val="clear" w:pos="7609"/>
              <w:tab w:val="right" w:pos="9026" w:leader="dot"/>
            </w:tabs>
            <w:rPr/>
          </w:pPr>
          <w:hyperlink w:anchor="__RefHeading___Toc6370082_3224264995">
            <w:r>
              <w:rPr>
                <w:webHidden/>
                <w:rStyle w:val="IndexLink"/>
                <w:rtl w:val="true"/>
              </w:rPr>
              <w:t>وجوب الغسل علی الکافر</w:t>
            </w:r>
            <w:r>
              <w:rPr>
                <w:rStyle w:val="IndexLink"/>
                <w:rtl w:val="true"/>
              </w:rPr>
              <w:tab/>
            </w:r>
            <w:r>
              <w:rPr>
                <w:rStyle w:val="IndexLink"/>
              </w:rPr>
              <w:t>562</w:t>
            </w:r>
          </w:hyperlink>
        </w:p>
        <w:p>
          <w:pPr>
            <w:pStyle w:val="Contents6"/>
            <w:tabs>
              <w:tab w:val="clear" w:pos="7609"/>
              <w:tab w:val="right" w:pos="9026" w:leader="dot"/>
            </w:tabs>
            <w:rPr/>
          </w:pPr>
          <w:hyperlink w:anchor="__RefHeading___Toc6370084_3224264995">
            <w:r>
              <w:rPr>
                <w:webHidden/>
                <w:rStyle w:val="IndexLink"/>
                <w:rtl w:val="true"/>
              </w:rPr>
              <w:t>[</w:t>
            </w:r>
            <w:r>
              <w:rPr>
                <w:rStyle w:val="IndexLink"/>
                <w:rtl w:val="true"/>
              </w:rPr>
              <w:t>ما یحرم علی الجنب</w:t>
            </w:r>
            <w:r>
              <w:rPr>
                <w:rStyle w:val="IndexLink"/>
                <w:rtl w:val="true"/>
              </w:rPr>
              <w:t>]</w:t>
              <w:tab/>
            </w:r>
            <w:r>
              <w:rPr>
                <w:rStyle w:val="IndexLink"/>
              </w:rPr>
              <w:t>576</w:t>
            </w:r>
          </w:hyperlink>
        </w:p>
        <w:p>
          <w:pPr>
            <w:pStyle w:val="Contents6"/>
            <w:tabs>
              <w:tab w:val="clear" w:pos="7609"/>
              <w:tab w:val="right" w:pos="9026" w:leader="dot"/>
            </w:tabs>
            <w:rPr/>
          </w:pPr>
          <w:hyperlink w:anchor="__RefHeading___Toc6370086_3224264995">
            <w:r>
              <w:rPr>
                <w:webHidden/>
                <w:rStyle w:val="IndexLink"/>
                <w:rtl w:val="true"/>
              </w:rPr>
              <w:t>[</w:t>
            </w:r>
            <w:r>
              <w:rPr>
                <w:rStyle w:val="IndexLink"/>
                <w:rtl w:val="true"/>
              </w:rPr>
              <w:t>مکروهات الجنابة</w:t>
            </w:r>
            <w:r>
              <w:rPr>
                <w:rStyle w:val="IndexLink"/>
                <w:rtl w:val="true"/>
              </w:rPr>
              <w:t>]</w:t>
              <w:tab/>
            </w:r>
            <w:r>
              <w:rPr>
                <w:rStyle w:val="IndexLink"/>
              </w:rPr>
              <w:t>586</w:t>
            </w:r>
          </w:hyperlink>
        </w:p>
        <w:p>
          <w:pPr>
            <w:pStyle w:val="Contents6"/>
            <w:tabs>
              <w:tab w:val="clear" w:pos="7609"/>
              <w:tab w:val="right" w:pos="9026" w:leader="dot"/>
            </w:tabs>
            <w:rPr/>
          </w:pPr>
          <w:hyperlink w:anchor="__RefHeading___Toc6370088_3224264995">
            <w:r>
              <w:rPr>
                <w:webHidden/>
                <w:rStyle w:val="IndexLink"/>
                <w:rtl w:val="true"/>
              </w:rPr>
              <w:t>[</w:t>
            </w:r>
            <w:r>
              <w:rPr>
                <w:rStyle w:val="IndexLink"/>
                <w:rtl w:val="true"/>
              </w:rPr>
              <w:t>واجبات الغسل</w:t>
            </w:r>
            <w:r>
              <w:rPr>
                <w:rStyle w:val="IndexLink"/>
                <w:rtl w:val="true"/>
              </w:rPr>
              <w:t>]</w:t>
              <w:tab/>
            </w:r>
            <w:r>
              <w:rPr>
                <w:rStyle w:val="IndexLink"/>
              </w:rPr>
              <w:t>586</w:t>
            </w:r>
          </w:hyperlink>
        </w:p>
        <w:p>
          <w:pPr>
            <w:pStyle w:val="Contents6"/>
            <w:tabs>
              <w:tab w:val="clear" w:pos="7609"/>
              <w:tab w:val="right" w:pos="9026" w:leader="dot"/>
            </w:tabs>
            <w:rPr/>
          </w:pPr>
          <w:hyperlink w:anchor="__RefHeading___Toc6370090_3224264995">
            <w:r>
              <w:rPr>
                <w:webHidden/>
                <w:rStyle w:val="IndexLink"/>
                <w:rtl w:val="true"/>
              </w:rPr>
              <w:t>[</w:t>
            </w:r>
            <w:r>
              <w:rPr>
                <w:rStyle w:val="IndexLink"/>
                <w:rtl w:val="true"/>
              </w:rPr>
              <w:t>سنن الغسل</w:t>
            </w:r>
            <w:r>
              <w:rPr>
                <w:rStyle w:val="IndexLink"/>
                <w:rtl w:val="true"/>
              </w:rPr>
              <w:t>]</w:t>
              <w:tab/>
            </w:r>
            <w:r>
              <w:rPr>
                <w:rStyle w:val="IndexLink"/>
              </w:rPr>
              <w:t>587</w:t>
            </w:r>
          </w:hyperlink>
        </w:p>
        <w:p>
          <w:pPr>
            <w:pStyle w:val="Contents6"/>
            <w:tabs>
              <w:tab w:val="clear" w:pos="7609"/>
              <w:tab w:val="right" w:pos="9026" w:leader="dot"/>
            </w:tabs>
            <w:rPr/>
          </w:pPr>
          <w:hyperlink w:anchor="__RefHeading___Toc6370092_3224264995">
            <w:r>
              <w:rPr>
                <w:webHidden/>
                <w:rStyle w:val="IndexLink"/>
                <w:rtl w:val="true"/>
              </w:rPr>
              <w:t>مسائل ثلاث</w:t>
            </w:r>
            <w:r>
              <w:rPr>
                <w:rStyle w:val="IndexLink"/>
                <w:rtl w:val="true"/>
              </w:rPr>
              <w:t>:</w:t>
              <w:tab/>
            </w:r>
            <w:r>
              <w:rPr>
                <w:rStyle w:val="IndexLink"/>
              </w:rPr>
              <w:t>587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35_131499"/>
      <w:bookmarkStart w:id="1" w:name="pg13035_131499"/>
      <w:bookmarkEnd w:id="1"/>
    </w:p>
    <w:p>
      <w:pPr>
        <w:pStyle w:val="Heading2"/>
        <w:numPr>
          <w:ilvl w:val="1"/>
          <w:numId w:val="1"/>
        </w:numPr>
        <w:rPr/>
      </w:pPr>
      <w:bookmarkStart w:id="2" w:name="pg13035_131499"/>
      <w:bookmarkStart w:id="3" w:name="__RefHeading___Toc636984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دزفولی، مرتضی بن محمد امین انصاری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بزرگداشت شیخ اعظم انصاری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در کنگره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الشیخ الأعظم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69850_3224264995"/>
      <w:bookmarkStart w:id="6" w:name="_Toc2"/>
      <w:bookmarkEnd w:id="5"/>
      <w:r>
        <w:rPr>
          <w:rtl w:val="true"/>
        </w:rPr>
        <w:t>اشارة</w:t>
      </w:r>
      <w:bookmarkStart w:id="7" w:name="pg13035_131505"/>
      <w:bookmarkEnd w:id="6"/>
    </w:p>
    <w:p>
      <w:pPr>
        <w:pStyle w:val="Heading2"/>
        <w:numPr>
          <w:ilvl w:val="1"/>
          <w:numId w:val="1"/>
        </w:numPr>
        <w:rPr/>
      </w:pPr>
      <w:bookmarkStart w:id="8" w:name="__RefHeading___Toc6369852_3224264995"/>
      <w:bookmarkStart w:id="9" w:name="_Toc3"/>
      <w:bookmarkEnd w:id="7"/>
      <w:bookmarkEnd w:id="8"/>
      <w:r>
        <w:rPr>
          <w:rtl w:val="true"/>
        </w:rPr>
        <w:t>[</w:t>
      </w:r>
      <w:r>
        <w:rPr>
          <w:rtl w:val="true"/>
        </w:rPr>
        <w:t>تتمة شرح کتاب الطهارة من الشرائع</w:t>
      </w:r>
      <w:r>
        <w:rPr>
          <w:rtl w:val="true"/>
        </w:rPr>
        <w:t>]</w:t>
      </w:r>
      <w:bookmarkEnd w:id="9"/>
    </w:p>
    <w:p>
      <w:pPr>
        <w:pStyle w:val="Heading3"/>
        <w:numPr>
          <w:ilvl w:val="2"/>
          <w:numId w:val="1"/>
        </w:numPr>
        <w:rPr/>
      </w:pPr>
      <w:bookmarkStart w:id="10" w:name="__RefHeading___Toc6369854_3224264995"/>
      <w:bookmarkStart w:id="11" w:name="_Toc4"/>
      <w:bookmarkEnd w:id="10"/>
      <w:r>
        <w:rPr>
          <w:rtl w:val="true"/>
        </w:rPr>
        <w:t>[</w:t>
      </w:r>
      <w:r>
        <w:rPr>
          <w:rtl w:val="true"/>
        </w:rPr>
        <w:t>تتمة الرکن الثانی</w:t>
      </w:r>
      <w:r>
        <w:rPr>
          <w:rtl w:val="true"/>
        </w:rPr>
        <w:t>]</w:t>
      </w:r>
      <w:bookmarkEnd w:id="11"/>
    </w:p>
    <w:p>
      <w:pPr>
        <w:pStyle w:val="Heading4"/>
        <w:numPr>
          <w:ilvl w:val="3"/>
          <w:numId w:val="1"/>
        </w:numPr>
        <w:rPr/>
      </w:pPr>
      <w:bookmarkStart w:id="12" w:name="__RefHeading___Toc6369856_3224264995"/>
      <w:bookmarkStart w:id="13" w:name="_Toc5"/>
      <w:bookmarkEnd w:id="12"/>
      <w:r>
        <w:rPr>
          <w:rtl w:val="true"/>
        </w:rPr>
        <w:t>الفصل الثالث فی کیفیة الوضوء</w:t>
      </w:r>
      <w:bookmarkEnd w:id="13"/>
    </w:p>
    <w:p>
      <w:pPr>
        <w:pStyle w:val="Heading5"/>
        <w:numPr>
          <w:ilvl w:val="4"/>
          <w:numId w:val="1"/>
        </w:numPr>
        <w:rPr/>
      </w:pPr>
      <w:bookmarkStart w:id="14" w:name="__RefHeading___Toc6369858_3224264995"/>
      <w:bookmarkStart w:id="15" w:name="_Toc6"/>
      <w:bookmarkEnd w:id="14"/>
      <w:r>
        <w:rPr>
          <w:rtl w:val="true"/>
        </w:rPr>
        <w:t>اشارة</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الثالث </w:t>
      </w:r>
      <w:r>
        <w:rPr>
          <w:rStyle w:val="FootnoteAnchor"/>
          <w:rtl w:val="true"/>
        </w:rPr>
        <w:footnoteReference w:id="2"/>
      </w:r>
      <w:r>
        <w:rPr>
          <w:rFonts w:ascii="IRNazanin" w:hAnsi="IRNazanin" w:eastAsia="IRNazanin"/>
          <w:color w:val="111111"/>
          <w:sz w:val="28"/>
          <w:sz w:val="28"/>
          <w:szCs w:val="28"/>
          <w:rtl w:val="true"/>
          <w:lang w:bidi="fa-IR"/>
        </w:rPr>
        <w:t>فی کیفیة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أفعاله الواقعة فی جواب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یتوضّأ؟</w:t>
      </w:r>
    </w:p>
    <w:p>
      <w:pPr>
        <w:pStyle w:val="BookText"/>
        <w:rPr/>
      </w:pPr>
      <w:r>
        <w:rPr>
          <w:rFonts w:ascii="Amiri" w:hAnsi="Amiri" w:eastAsia="Amiri" w:cs="Amiri"/>
          <w:color w:val="111111"/>
          <w:sz w:val="28"/>
          <w:sz w:val="28"/>
          <w:szCs w:val="28"/>
          <w:rtl w:val="true"/>
          <w:lang w:bidi="ar-SA"/>
        </w:rPr>
        <w:t>لا ما هو أحد الأعراض التسعة</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6369860_3224264995"/>
      <w:bookmarkStart w:id="17" w:name="_Toc7"/>
      <w:bookmarkEnd w:id="16"/>
      <w:r>
        <w:rPr>
          <w:rtl w:val="true"/>
        </w:rPr>
        <w:t>فروض الوضوء و سننه</w:t>
      </w:r>
      <w:bookmarkEnd w:id="17"/>
    </w:p>
    <w:p>
      <w:pPr>
        <w:pStyle w:val="Heading6"/>
        <w:numPr>
          <w:ilvl w:val="5"/>
          <w:numId w:val="1"/>
        </w:numPr>
        <w:rPr/>
      </w:pPr>
      <w:bookmarkStart w:id="18" w:name="__RefHeading___Toc6369862_3224264995"/>
      <w:bookmarkStart w:id="19" w:name="_Toc8"/>
      <w:bookmarkEnd w:id="18"/>
      <w:r>
        <w:rPr>
          <w:rtl w:val="true"/>
        </w:rPr>
        <w:t>اشارة</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فروض و سنن</w:t>
      </w:r>
      <w:r>
        <w:rPr>
          <w:rFonts w:eastAsia="IRNazanin" w:cs="IRNazanin"/>
          <w:color w:val="111111"/>
          <w:sz w:val="28"/>
          <w:szCs w:val="28"/>
          <w:rtl w:val="true"/>
          <w:lang w:bidi="fa-IR"/>
        </w:rPr>
        <w:t>:</w:t>
      </w:r>
      <w:bookmarkStart w:id="20" w:name="pg13035_131507"/>
    </w:p>
    <w:p>
      <w:pPr>
        <w:pStyle w:val="Heading6"/>
        <w:numPr>
          <w:ilvl w:val="5"/>
          <w:numId w:val="1"/>
        </w:numPr>
        <w:rPr/>
      </w:pPr>
      <w:bookmarkStart w:id="21" w:name="__RefHeading___Toc6369864_3224264995"/>
      <w:bookmarkStart w:id="22" w:name="_Toc9"/>
      <w:bookmarkEnd w:id="20"/>
      <w:bookmarkEnd w:id="21"/>
      <w:r>
        <w:rPr>
          <w:rtl w:val="true"/>
        </w:rPr>
        <w:t>[</w:t>
      </w:r>
      <w:r>
        <w:rPr>
          <w:rtl w:val="true"/>
        </w:rPr>
        <w:t>فروض الوضوء</w:t>
      </w:r>
      <w:r>
        <w:rPr>
          <w:rtl w:val="true"/>
        </w:rPr>
        <w:t>]</w:t>
      </w:r>
      <w:bookmarkEnd w:id="22"/>
    </w:p>
    <w:p>
      <w:pPr>
        <w:pStyle w:val="Heading6"/>
        <w:numPr>
          <w:ilvl w:val="5"/>
          <w:numId w:val="1"/>
        </w:numPr>
        <w:rPr/>
      </w:pPr>
      <w:bookmarkStart w:id="23" w:name="__RefHeading___Toc6369866_3224264995"/>
      <w:bookmarkStart w:id="24" w:name="_Toc10"/>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بها مطلق الواجبات، أو المستفاد وجوبها من الکتاب و لو عموما کآیة الإخلاص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یعدّ منها المباشرة و الترتیب و الموالاة، لأنّها قیود مأخوذة فی تلک الأفعال لیس لها وجود مستقل ممتاز عنها، و لیست معتبرة فی المرکّب من حیث هو، و لذا لم یذکروا هذه الأمور فی واجبات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لأنّها شروط و هو بصدد الأجزاء، لکنّه ینتقض بالنیّة، فإنّها عند المصنّف قدّس سرّه أشبه بالشرط بل شرط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لأنّ وجوب ما عداها غیر مستفاد من الکتاب، و ینتقض بالمباشرة، فالوجه هو الأوّل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أنّ تخمیسها أولی من الزیادة بإدخال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النافع </w:t>
      </w:r>
      <w:r>
        <w:rPr>
          <w:rStyle w:val="FootnoteAnchor"/>
          <w:rtl w:val="true"/>
        </w:rPr>
        <w:footnoteReference w:id="5"/>
      </w:r>
      <w:r>
        <w:rPr>
          <w:rFonts w:ascii="IRNazanin" w:hAnsi="IRNazanin" w:eastAsia="IRNazanin"/>
          <w:color w:val="111111"/>
          <w:sz w:val="28"/>
          <w:sz w:val="28"/>
          <w:szCs w:val="28"/>
          <w:rtl w:val="true"/>
          <w:lang w:bidi="fa-IR"/>
        </w:rPr>
        <w:t xml:space="preserve">و القواعد </w:t>
      </w:r>
      <w:r>
        <w:rPr>
          <w:rStyle w:val="FootnoteAnchor"/>
          <w:rtl w:val="true"/>
        </w:rPr>
        <w:footnoteReference w:id="6"/>
      </w:r>
      <w:r>
        <w:rPr>
          <w:rFonts w:ascii="IRNazanin" w:hAnsi="IRNazanin" w:eastAsia="IRNazanin"/>
          <w:color w:val="111111"/>
          <w:sz w:val="28"/>
          <w:sz w:val="28"/>
          <w:szCs w:val="28"/>
          <w:rtl w:val="true"/>
          <w:lang w:bidi="fa-IR"/>
        </w:rPr>
        <w:t xml:space="preserve">، أو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p>
    <w:p>
      <w:pPr>
        <w:pStyle w:val="BookText"/>
        <w:rPr/>
      </w:pPr>
      <w:r>
        <w:rPr>
          <w:rFonts w:ascii="IRNazanin" w:hAnsi="IRNazanin" w:eastAsia="IRNazanin"/>
          <w:color w:val="111111"/>
          <w:sz w:val="28"/>
          <w:sz w:val="28"/>
          <w:szCs w:val="28"/>
          <w:rtl w:val="true"/>
          <w:lang w:bidi="fa-IR"/>
        </w:rPr>
        <w:t>الذکری،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واجباته المستفادة من نصّ الکتاب ثمانیة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تکلّف فی استفادة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بما لا یخفی علی من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الشیخ الاستدلال علی الموالاة بإفادة الأمر للفور و ارتضاه فی الجملة فی آخر کلامه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فالأوجه ما فعله المصنّف قدّس سرّه، و الأمر سهل</w:t>
      </w:r>
      <w:r>
        <w:rPr>
          <w:rFonts w:eastAsia="IRNazanin" w:cs="IRNazanin"/>
          <w:color w:val="111111"/>
          <w:sz w:val="28"/>
          <w:szCs w:val="28"/>
          <w:rtl w:val="true"/>
          <w:lang w:bidi="fa-IR"/>
        </w:rPr>
        <w:t>.</w:t>
      </w:r>
      <w:bookmarkStart w:id="25" w:name="pg13035_131509"/>
    </w:p>
    <w:p>
      <w:pPr>
        <w:pStyle w:val="Heading6"/>
        <w:numPr>
          <w:ilvl w:val="5"/>
          <w:numId w:val="1"/>
        </w:numPr>
        <w:rPr/>
      </w:pPr>
      <w:bookmarkStart w:id="26" w:name="__RefHeading___Toc6369868_3224264995"/>
      <w:bookmarkStart w:id="27" w:name="_Toc11"/>
      <w:bookmarkEnd w:id="25"/>
      <w:bookmarkEnd w:id="26"/>
      <w:r>
        <w:rPr>
          <w:rtl w:val="true"/>
        </w:rPr>
        <w:t>الفرض الأول النیة</w:t>
      </w:r>
      <w:bookmarkEnd w:id="27"/>
    </w:p>
    <w:p>
      <w:pPr>
        <w:pStyle w:val="Heading6"/>
        <w:numPr>
          <w:ilvl w:val="5"/>
          <w:numId w:val="1"/>
        </w:numPr>
        <w:rPr/>
      </w:pPr>
      <w:bookmarkStart w:id="28" w:name="__RefHeading___Toc6369870_3224264995"/>
      <w:bookmarkStart w:id="29" w:name="_Toc12"/>
      <w:bookmarkEnd w:id="28"/>
      <w:r>
        <w:rPr>
          <w:rtl w:val="true"/>
        </w:rPr>
        <w:t>اشارة</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فی الوضوء إجماعا محقّقا و 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المحکیّ عن الإسکافی من الاستحباب </w:t>
      </w:r>
      <w:r>
        <w:rPr>
          <w:rStyle w:val="FootnoteAnchor"/>
          <w:rtl w:val="true"/>
        </w:rPr>
        <w:footnoteReference w:id="9"/>
      </w:r>
      <w:r>
        <w:rPr>
          <w:rFonts w:ascii="IRNazanin" w:hAnsi="IRNazanin" w:eastAsia="IRNazanin"/>
          <w:color w:val="111111"/>
          <w:sz w:val="28"/>
          <w:sz w:val="28"/>
          <w:szCs w:val="28"/>
          <w:rtl w:val="true"/>
          <w:lang w:bidi="fa-IR"/>
        </w:rPr>
        <w:t>محمول علی الصورة المخطرة أو شاذّ مطروح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اشتهر الاستدلال علی ذلک قبل الإجماع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و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بالنیّات و إنّما لکلّ امرئ ما نوی</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ظاهرة فی التوحید و نفی الشرک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تخصیص العموم بأکثر من الباقی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إقامة الصلاة و إیتاء الزکاة علی العبادة الخالصة عن الشرک، و هو التوحید، فالحصر إضافی بالنسبة إلی العبادة الغیر الخالصة عن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بما ذکرنا فسّره جماعة، فعن 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یخلطون بعبادته عبادة من سواه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یشرکون به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بالتوحید </w:t>
      </w:r>
      <w:r>
        <w:rPr>
          <w:rStyle w:val="FootnoteAnchor"/>
          <w:rtl w:val="true"/>
        </w:rPr>
        <w:footnoteReference w:id="15"/>
      </w:r>
      <w:r>
        <w:rPr>
          <w:rFonts w:ascii="IRNazanin" w:hAnsi="IRNazanin" w:eastAsia="IRNazanin"/>
          <w:color w:val="111111"/>
          <w:sz w:val="28"/>
          <w:sz w:val="28"/>
          <w:szCs w:val="28"/>
          <w:rtl w:val="true"/>
          <w:lang w:bidi="fa-IR"/>
        </w:rPr>
        <w:t xml:space="preserve">، و جزم بذلک شیخنا البهائی فی الأربعین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فلا إشکال فی أنّ الآیة لا تدلّ علی انحصار المأمور به فی العبادة لیستفاد منه أنّ الأصل فی کلّ واجب أن یکون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بعض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لینفع فیما نحن فیه، و إنّما یمکن أن یدّعی دلالتها علی أن العبادة لم یؤمر بها إلّا علی جهة الإخلاص، و لهذا استدلّ الفاضلان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المعتبر </w:t>
      </w:r>
      <w:r>
        <w:rPr>
          <w:rStyle w:val="FootnoteAnchor"/>
          <w:rtl w:val="true"/>
        </w:rPr>
        <w:footnoteReference w:id="18"/>
      </w:r>
      <w:r>
        <w:rPr>
          <w:rFonts w:ascii="IRNazanin" w:hAnsi="IRNazanin" w:eastAsia="IRNazanin"/>
          <w:color w:val="111111"/>
          <w:sz w:val="28"/>
          <w:sz w:val="28"/>
          <w:szCs w:val="28"/>
          <w:rtl w:val="true"/>
          <w:lang w:bidi="fa-IR"/>
        </w:rPr>
        <w:t xml:space="preserve">و صریح المنتهی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علی وجوب الإخلاص فی الواجب المفروغ کونها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أیضا مبنیّ علی کون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أو الأعمّ منها و من العبادة، لیدلّ علی وجوب إخلاص عبادة اللّٰه عن عبادة الأوثان، و طاعته تعالی عن الریاء و نحوه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بقرینة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الإخلاص</w:t>
      </w:r>
    </w:p>
    <w:p>
      <w:pPr>
        <w:pStyle w:val="BookText"/>
        <w:rPr/>
      </w:pPr>
      <w:r>
        <w:rPr>
          <w:rFonts w:ascii="Amiri" w:hAnsi="Amiri" w:eastAsia="Amiri" w:cs="Amiri"/>
          <w:color w:val="111111"/>
          <w:sz w:val="28"/>
          <w:sz w:val="28"/>
          <w:szCs w:val="28"/>
          <w:rtl w:val="true"/>
          <w:lang w:bidi="ar-SA"/>
        </w:rPr>
        <w:t>فی العبادة و هو التوحید، فقد حکی اللّٰه سبحانه فی الآیة الشریفة من تکالیف أهل الکتاب أهمّ أصول الدین و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نظائر الآیة ممّا ذکر فیه العبادة علی وجه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الدِّینَ أَلٰا لِلّٰهِ الدِّینُ الْخٰالِصُ وَ الَّذِینَ اتَّخَذُوا مِنْ دُونِهِ أَوْلِیٰاءَ مٰا نَعْبُدُهُمْ إِلّٰا لِیُقَرِّبُونٰا إِلَی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له ما استظهرناه من إرادة التوحید فی مقابل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فحملها علی ظاهرها ممتنع، و علی نفی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للتخصیص الملحق للکلام بالهزل، إلّا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قصد الفعل، فیراد من الروایات أنّ الفعل الغیر المقصود لا یعدّ من أعمال الفاعل، لأنّه صادر بغیر قصده و إرادته، فإنّ من أکرم رجلا لا بقصد أنّه زید لم یکن إکرام زید بهذا العنوان من أفعاله الاختیاریة، فالعمل عمل من حیث العنوان المقصود دون غیره من العناوین الغیر المقصودة، لکن هذا المقدار لا ینفع فیما نحن فیه، لأنّا نطالب بدلیل وجوب کون الوضوء بعنوانه الخاصّ عملا اختیاریا للمکلّف ثمّ لا یکتفی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کغسل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بحصوله من المکلّف و لو من دون قصد لعنوانه، بأن یقصد الفعل بعنوان آخر فیتبعه حصول هذا العنوان من دون قصد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بقاء هذه الأخبار علی ظواهرها من إرادة الحقیقة و التمسّک بها لما نحن فیه، خطأ فاحش، مع أنّ إرادة ظاهرها یشبه الإخبار</w:t>
      </w:r>
    </w:p>
    <w:p>
      <w:pPr>
        <w:pStyle w:val="BookText"/>
        <w:rPr/>
      </w:pPr>
      <w:r>
        <w:rPr>
          <w:rFonts w:ascii="IRNazanin" w:hAnsi="IRNazanin" w:eastAsia="IRNazanin"/>
          <w:color w:val="111111"/>
          <w:sz w:val="28"/>
          <w:sz w:val="28"/>
          <w:szCs w:val="28"/>
          <w:rtl w:val="true"/>
          <w:lang w:bidi="fa-IR"/>
        </w:rPr>
        <w:t>عن الواضحات، مع أنّ فی بعض تلک الروایات ما یمنع عن ذلک،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قول إلّا بعمل، و لا عمل إلّا بنیّة، و لا نیّة إلّا بإصابة السنّة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قول و لا عمل و لا نیّة إلّا بإصابة السنّة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فالأظهر فی هذه الأخبار حمل النبویّین </w:t>
      </w:r>
      <w:r>
        <w:rPr>
          <w:rStyle w:val="FootnoteAnchor"/>
          <w:rtl w:val="true"/>
        </w:rPr>
        <w:footnoteReference w:id="24"/>
      </w:r>
      <w:r>
        <w:rPr>
          <w:rFonts w:ascii="IRNazanin" w:hAnsi="IRNazanin" w:eastAsia="IRNazanin"/>
          <w:color w:val="111111"/>
          <w:sz w:val="28"/>
          <w:sz w:val="28"/>
          <w:szCs w:val="28"/>
          <w:rtl w:val="true"/>
          <w:lang w:bidi="fa-IR"/>
        </w:rPr>
        <w:t>منها علی إرادة نفی الجزاء علی الأعمال إلّا بحسب النیّة، فالعمل لا یکون عملا للعبد یکتب له أو علیه إلّا بحسب نیّته، فإذا لم یکن له نیّة فیه لم یکتب أصلا، و إذا نوی کتب علی حسب ما نواه حسنا أو سیّئا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منه إرادة العمل الصالح، و هی العبادة المنبعثة عن اعتقاد النفع فیه</w:t>
      </w:r>
      <w:r>
        <w:rPr>
          <w:rFonts w:eastAsia="IRNazanin" w:cs="IRNazanin"/>
          <w:color w:val="111111"/>
          <w:sz w:val="28"/>
          <w:szCs w:val="28"/>
          <w:rtl w:val="true"/>
          <w:lang w:bidi="fa-IR"/>
        </w:rPr>
        <w:t>.</w:t>
      </w:r>
      <w:bookmarkStart w:id="30" w:name="pg13035_131513"/>
    </w:p>
    <w:p>
      <w:pPr>
        <w:pStyle w:val="Heading6"/>
        <w:numPr>
          <w:ilvl w:val="5"/>
          <w:numId w:val="1"/>
        </w:numPr>
        <w:rPr/>
      </w:pPr>
      <w:bookmarkStart w:id="31" w:name="__RefHeading___Toc6369872_3224264995"/>
      <w:bookmarkStart w:id="32" w:name="_Toc13"/>
      <w:bookmarkEnd w:id="30"/>
      <w:bookmarkEnd w:id="31"/>
      <w:r>
        <w:rPr>
          <w:rtl w:val="true"/>
        </w:rPr>
        <w:t>[</w:t>
      </w:r>
      <w:r>
        <w:rPr>
          <w:rtl w:val="true"/>
        </w:rPr>
        <w:t>تعریف النیّة</w:t>
      </w:r>
      <w:r>
        <w:rPr>
          <w:rtl w:val="true"/>
        </w:rPr>
        <w:t>]</w:t>
      </w:r>
      <w:bookmarkEnd w:id="32"/>
    </w:p>
    <w:p>
      <w:pPr>
        <w:pStyle w:val="BookText"/>
        <w:rPr/>
      </w:pPr>
      <w:r>
        <w:rPr>
          <w:rFonts w:ascii="IRNazanin" w:hAnsi="IRNazanin" w:eastAsia="IRNazanin"/>
          <w:color w:val="111111"/>
          <w:sz w:val="28"/>
          <w:sz w:val="28"/>
          <w:szCs w:val="28"/>
          <w:rtl w:val="true"/>
          <w:lang w:bidi="fa-IR"/>
        </w:rPr>
        <w:t xml:space="preserve">ثمّ النیّة لغة و عرفا و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و العزم علیه و القصد إلیه، ففی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نویت کذا إذا عزمت علیه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 الفعل المراد،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أرادنی فلان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أراد السوء بی، و منه ما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نواک اللّٰه بخیر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قصدک </w:t>
      </w:r>
      <w:r>
        <w:rPr>
          <w:rStyle w:val="FootnoteAnchor"/>
          <w:rtl w:val="true"/>
        </w:rPr>
        <w:footnoteReference w:id="26"/>
      </w:r>
      <w:r>
        <w:rPr>
          <w:rFonts w:ascii="IRNazanin" w:hAnsi="IRNazanin" w:eastAsia="IRNazanin"/>
          <w:color w:val="111111"/>
          <w:sz w:val="28"/>
          <w:sz w:val="28"/>
          <w:szCs w:val="28"/>
          <w:rtl w:val="true"/>
          <w:lang w:bidi="fa-IR"/>
        </w:rPr>
        <w:t>، و هی مقارنة للمراد تارة، و منفصلة عنه أخری، بأن یکون مقیّدا بأمر مترقّب، کما إذا أراد السفر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یدّعی صیرورة النیّة حقیقة فی إرادة الفعل الغیر المقیّد بقید مترقّب فیلزمه المقارنة للدخول فیه فیکون النیّة أخصّ من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الدعوی لم تثبت و إن ادّعاها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النیّة عند أوّل جزء من الصلاة، و أمّا ما یتقدّمها فلا اعتبار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تکون عزما </w:t>
      </w:r>
      <w:r>
        <w:rPr>
          <w:rStyle w:val="FootnoteAnchor"/>
          <w:rtl w:val="true"/>
        </w:rPr>
        <w:footnoteReference w:id="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آخر العبارة مغایرة النیّة للعزم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فخر الدین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بأنّ النیّة حقیقة فی الإرادة المقارنة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المتقدّمة عزم لا نیّة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فخر الدین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عرّفها المتکلّمون بأنّها إرادة من الفاعل للفعل مقارنة له، و الفرق بینها و بین العزم أنّه مسبوق بالتردّد دونها، و لا یصدق علی إرادة اللّٰه أنّها نیّة،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اللّٰه، و عرّفها الفقهاء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إیجاد الفعل المطلوب شرعا علی وجهه </w:t>
      </w:r>
      <w:r>
        <w:rPr>
          <w:rStyle w:val="FootnoteAnchor"/>
          <w:rtl w:val="true"/>
        </w:rPr>
        <w:footnoteReference w:id="3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 عموم تعریف الفقهاء للمقارن و غیره، إلّا أن یرید بیان المغایرة من حیث المتعلّق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فیمکن أن یحمل علی تحدید النیّة الصحیحة، کما نراهم یأخذون شرائط الصحّة فی تحدید غیرها من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یبنی علی وضع هذه اللفظة عند الشارع أو المتشرّعة للصحیحة کغیرها من ألفاظ العبادات، بل المعاملات عند جماعة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وصف الإرادة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إذ لا محلّ لها غیره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تعریضا علی من استحبّ التلفّظ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أوجبه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یحترز عن إرادة اللّٰه سبحانه، فإنّها لا تسمّی نیّة، و قد تقدّم عن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نواک اللّٰه بخیر</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فراجع و تأمّل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إشارة إلی أنّ النیّة هی الإرادة التفصیلیة التی تعدّ فعلا للقلب، و هی التی تجب فی أوّل کلّ عمل، کما هو صریح المشهور، دون الأمر المرکوز فی الذهن الموجود فی الذهن فی أثناء العمل، و هی </w:t>
      </w:r>
      <w:r>
        <w:rPr>
          <w:rStyle w:val="FootnoteAnchor"/>
          <w:rtl w:val="true"/>
        </w:rPr>
        <w:footnoteReference w:id="34"/>
      </w:r>
      <w:r>
        <w:rPr>
          <w:rFonts w:ascii="IRNazanin" w:hAnsi="IRNazanin" w:eastAsia="IRNazanin"/>
          <w:color w:val="111111"/>
          <w:sz w:val="28"/>
          <w:sz w:val="28"/>
          <w:szCs w:val="28"/>
          <w:rtl w:val="true"/>
          <w:lang w:bidi="fa-IR"/>
        </w:rPr>
        <w:t xml:space="preserve">التی یعبّر عنها المتأخرون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یجعلونها النیّة، کما حکی ذلک عن المحقّق الأردبیلی </w:t>
      </w:r>
      <w:r>
        <w:rPr>
          <w:rStyle w:val="FootnoteAnchor"/>
          <w:rtl w:val="true"/>
        </w:rPr>
        <w:footnoteReference w:id="35"/>
      </w:r>
      <w:r>
        <w:rPr>
          <w:rFonts w:ascii="IRNazanin" w:hAnsi="IRNazanin" w:eastAsia="IRNazanin"/>
          <w:color w:val="111111"/>
          <w:sz w:val="28"/>
          <w:sz w:val="28"/>
          <w:szCs w:val="28"/>
          <w:rtl w:val="true"/>
          <w:lang w:bidi="fa-IR"/>
        </w:rPr>
        <w:t xml:space="preserve">و شیخنا البهائی </w:t>
      </w:r>
      <w:r>
        <w:rPr>
          <w:rStyle w:val="FootnoteAnchor"/>
          <w:rtl w:val="true"/>
        </w:rPr>
        <w:footnoteReference w:id="36"/>
      </w:r>
      <w:r>
        <w:rPr>
          <w:rFonts w:ascii="IRNazanin" w:hAnsi="IRNazanin" w:eastAsia="IRNazanin"/>
          <w:color w:val="111111"/>
          <w:sz w:val="28"/>
          <w:sz w:val="28"/>
          <w:szCs w:val="28"/>
          <w:rtl w:val="true"/>
          <w:lang w:bidi="fa-IR"/>
        </w:rPr>
        <w:t xml:space="preserve">و المحقّق صدر الدین الشیرازی </w:t>
      </w:r>
      <w:r>
        <w:rPr>
          <w:rStyle w:val="FootnoteAnchor"/>
          <w:rtl w:val="true"/>
        </w:rPr>
        <w:footnoteReference w:id="37"/>
      </w:r>
      <w:r>
        <w:rPr>
          <w:rFonts w:ascii="IRNazanin" w:hAnsi="IRNazanin" w:eastAsia="IRNazanin"/>
          <w:color w:val="111111"/>
          <w:sz w:val="28"/>
          <w:sz w:val="28"/>
          <w:szCs w:val="28"/>
          <w:rtl w:val="true"/>
          <w:lang w:bidi="fa-IR"/>
        </w:rPr>
        <w:t xml:space="preserve">و المحقّق الخوانساری </w:t>
      </w:r>
      <w:r>
        <w:rPr>
          <w:rStyle w:val="FootnoteAnchor"/>
          <w:rtl w:val="true"/>
        </w:rPr>
        <w:footnoteReference w:id="38"/>
      </w:r>
      <w:r>
        <w:rPr>
          <w:rFonts w:ascii="Amiri" w:hAnsi="Amiri" w:eastAsia="Amiri" w:cs="Amiri"/>
          <w:color w:val="111111"/>
          <w:sz w:val="28"/>
          <w:sz w:val="28"/>
          <w:szCs w:val="28"/>
          <w:rtl w:val="true"/>
          <w:lang w:bidi="ar-SA"/>
        </w:rPr>
        <w:t xml:space="preserve">و جماعة ممّن تأخّر عنهم </w:t>
      </w:r>
      <w:r>
        <w:rPr>
          <w:rStyle w:val="FootnoteAnchor"/>
          <w:rtl w:val="true"/>
        </w:rPr>
        <w:footnoteReference w:id="39"/>
      </w:r>
      <w:r>
        <w:rPr>
          <w:rFonts w:ascii="IRNazanin" w:hAnsi="IRNazanin" w:eastAsia="IRNazanin"/>
          <w:color w:val="111111"/>
          <w:sz w:val="28"/>
          <w:sz w:val="28"/>
          <w:szCs w:val="28"/>
          <w:rtl w:val="true"/>
          <w:lang w:bidi="fa-IR"/>
        </w:rPr>
        <w:t>، بل استقرّ علیه المذهب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محلّ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بین العقلاء فی أنّ الفعل الاختیاری لا بد و أن یسبقه متّصلة به إرادة باعثة علیه منبعثة عن تصوّره مشتملا علی منفعة أو دفع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بین الجزء الأوّل من الفعل و ما عداه من الأجزاء فی کون کلّ منها حرکة اختیاریة و فعلا اختیاریا کالکلّ، إلّا أنّه یکفی فی اتّصاف ما عداه بکونه أمرا اختیاریا بما یبقی مرکوزا فی الذهن من التصور و القصد المنفصلین المذکورین المتعلّقین بمجموع الفعل أوّلا، و إن شئت فسمّه إرادة متّصلة تستمر الحرکة باستمرارها، و لذا قال المحقّق الطوسی قدّس سرّه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الحرکة إلی مکان تتبع إرادة بحسبها، و جزئیات تلک الحرکة تتبع تخیّلات و إرادات جزئیة یکون السابق من هذه علّة للسابق المعدّة لحصول حرکة أخری فتتّصل الإرادات فی النفس و الحرکات فی المسافة إلی آخرها </w:t>
      </w:r>
      <w:r>
        <w:rPr>
          <w:rStyle w:val="FootnoteAnchor"/>
          <w:rtl w:val="true"/>
        </w:rPr>
        <w:footnoteReference w:id="4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المراد بأجزاء الفعل ما کان مربوطا به بجامع بحکم العادة النوعیة أو الشخصیة، مثلا إذا تصوّر المختار المشی إلی السوق لأجل شراء اللحم فقام للبس ثیابه و نعله، کفی القصد المقتضی فی أوّل قیامه، و أمّا لبس ثیابه و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أوّل جزء من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فیها الأمر المرکوز فی الذهن و إن ذهل عن هذه الأفعال تفصیلا، لکنّها أفعال اختیاریة صادرة عن قصد و اختیار یترتب علیها ما یترتّب علی الفعل الاختیاری لو فرض صدوره من أوّله إلی آخره بالقصد و التصوّر التفصیلیین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تکن الحرکة اللاحقة مرتبطة بالسابق لم یکتف بقصد المجموع فی أوّل الأمر بعد تصوّره، فمن أراد شراء اللحم ثمّ زیارة مؤمن لم یکتف فی صدور زیارة المؤمن التصوّر و القصد المتعلّقان </w:t>
      </w:r>
      <w:r>
        <w:rPr>
          <w:rStyle w:val="FootnoteAnchor"/>
          <w:rtl w:val="true"/>
        </w:rPr>
        <w:footnoteReference w:id="41"/>
      </w:r>
      <w:r>
        <w:rPr>
          <w:rFonts w:ascii="IRNazanin" w:hAnsi="IRNazanin" w:eastAsia="IRNazanin"/>
          <w:color w:val="111111"/>
          <w:sz w:val="28"/>
          <w:sz w:val="28"/>
          <w:szCs w:val="28"/>
          <w:rtl w:val="true"/>
          <w:lang w:bidi="fa-IR"/>
        </w:rPr>
        <w:t>فی أوّل الشروع بالشراء و الزیارة، بل لا بدّ عند الاشتغال بالمشی للزیارة من تصوّر و قصد متجدّدین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تصوّر الصلاة مع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 و الإقامة مشتملة علی غایة هی إطاعة أمر اللّٰه سبحانه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اشتغل بالأذان و الإقامة، فأذّن و أقام و کبّر و قرأ و رکع و سجد و فعل ذلک فی الرکعة الأخری، فلا فرق بین مجموع العمل المصاحب بعضه للتصوّر و القصد المنفصلین و بین الجزء الأوّل منه المأتیّ به معهما و بین باقی الأجزاء التی لم یوجد فیها قصد و تصوّر تفصیلی أصلا، فی کون کلّ من الثلاثة أمورا اختیاریة صادرة عن إرادة و اختیار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فالخلاف حینئذ فی أنّ النیّة هی الإرادة التفصیلیة المنبعثة عن تصوّر الفعل و غایته المقارنة لأوّل الجزء المفقودة فعلا فی ما عداه و إن کان حکما مستداما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یأتی من تفسیر الاستدامة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أعمّ منها و من ذلک الأمر المرکوز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فی لسان المتأخّرین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إلی الفعل و الباعث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أیضا من قبیل الإرادة، کما عرفت من المحقّق الطوسی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یشعر به الفاعل، فیکون کلّ جزء من العمل واقعا عن إرادة مقارنة، أمّا تفصیلیة کما فی الجزء الأوّل،</w:t>
      </w:r>
    </w:p>
    <w:p>
      <w:pPr>
        <w:pStyle w:val="BookText"/>
        <w:rPr/>
      </w:pPr>
      <w:r>
        <w:rPr>
          <w:rFonts w:ascii="IRNazanin" w:hAnsi="IRNazanin" w:eastAsia="IRNazanin"/>
          <w:color w:val="111111"/>
          <w:sz w:val="28"/>
          <w:sz w:val="28"/>
          <w:szCs w:val="28"/>
          <w:rtl w:val="true"/>
          <w:lang w:bidi="fa-IR"/>
        </w:rPr>
        <w:t>و إمّا إجمالیة کما فیما عداه؟</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الإرادة عند غسل الیدین فی الوضوء و لا یقدح عزوبها عند غسل الوجه و یکون العمل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الوضوء الذی أوّله 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مع النّیة، فلا بأس بتقدیم النیّة عند إحضار الماء للوضوء أو أخذ الإبریق للصبّ، و لا یقدح عزوبها عند غسل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یجعل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اتّفاقهم علی کون النیّة هی الإرادة التفصیلیة المتوقّفة علی الإخطار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المعتبر مقارنة تلک الإرادة لنفس المأمور به، أو یکفی مقارنتها لما یتعلّق به بما یعدّ معه فعلا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فی کلماتهم جعل محل الخلاف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علمت أن ما نسب إلی المشهور من أنّ النیّة هی الصورة المخطرة بالبال، و أنّها عندهم حدیث نفسیّ ممتدّ، و أنّها عندهم مرکّبة لا بسیطة </w:t>
      </w:r>
      <w:r>
        <w:rPr>
          <w:rStyle w:val="FootnoteAnchor"/>
          <w:rtl w:val="true"/>
        </w:rPr>
        <w:footnoteReference w:id="43"/>
      </w:r>
      <w:r>
        <w:rPr>
          <w:rFonts w:ascii="IRNazanin" w:hAnsi="IRNazanin" w:eastAsia="IRNazanin"/>
          <w:color w:val="111111"/>
          <w:sz w:val="28"/>
          <w:sz w:val="28"/>
          <w:szCs w:val="28"/>
          <w:rtl w:val="true"/>
          <w:lang w:bidi="fa-IR"/>
        </w:rPr>
        <w:t>، لا یخلو عن شی‌ء، لأنّ النیّة عند هؤلاء هی الإرادة المنبعثة عن تصوّر الفعل و تصوّر غایته، فالصورة المخطرة مقدّمة للنّیة لا نفسها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یظهر من بعض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النیّة أمر ممتدّ زمانیّ، کما لا یخفی علی من راجع ما فی الذکری </w:t>
      </w:r>
      <w:r>
        <w:rPr>
          <w:rStyle w:val="FootnoteAnchor"/>
          <w:rtl w:val="true"/>
        </w:rPr>
        <w:footnoteReference w:id="44"/>
      </w:r>
      <w:r>
        <w:rPr>
          <w:rFonts w:ascii="IRNazanin" w:hAnsi="IRNazanin" w:eastAsia="IRNazanin"/>
          <w:color w:val="111111"/>
          <w:sz w:val="28"/>
          <w:sz w:val="28"/>
          <w:szCs w:val="28"/>
          <w:rtl w:val="true"/>
          <w:lang w:bidi="fa-IR"/>
        </w:rPr>
        <w:t xml:space="preserve">و غیرها </w:t>
      </w:r>
      <w:r>
        <w:rPr>
          <w:rStyle w:val="FootnoteAnchor"/>
          <w:rtl w:val="true"/>
        </w:rPr>
        <w:footnoteReference w:id="45"/>
      </w:r>
      <w:r>
        <w:rPr>
          <w:rFonts w:ascii="IRNazanin" w:hAnsi="IRNazanin" w:eastAsia="IRNazanin"/>
          <w:color w:val="111111"/>
          <w:sz w:val="28"/>
          <w:sz w:val="28"/>
          <w:szCs w:val="28"/>
          <w:rtl w:val="true"/>
          <w:lang w:bidi="fa-IR"/>
        </w:rPr>
        <w:t>من الثمرات المذکورة لجزئیة النیّة و شرطیّتها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ما ظنّ استناد المشهور و رکونهم إلیه فی ما اختاروه، قال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الباعث لهم علی ما ذکروه حصر القوی الباطنة فی الحواسّ الخمسة المشهورة، فلمّا حصروا القوی الباطنة المؤثّرة فی حدوث الأشیاء و العلّة الغائیة الموجدة لها فی المخطر بالبال، إذ لو لم تکن حاضرة فی البال لم یصدر منها شی‌ء، لعدم حضورها فی الذهن، و المعدوم لا یؤثّر، و کذا إذا کانت موجودة فی الذهن إلّا أنّها فی الحافظة لا فی البال، لأنّ الساهی و الناسی لتلک الصورة و الغافل عن تلک العلّة الغائیة کیف یصدر عنه معلولها المتوقّف علیها؟ فلا بدّ أن تکون ملحوظة حتّی تؤثّر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الأمر کما ذکروه، لأنّه کثیرا ما لا تکون العلّة الغائیّة و الداعی حاضرا فی بال </w:t>
      </w:r>
      <w:r>
        <w:rPr>
          <w:rStyle w:val="FootnoteAnchor"/>
          <w:rtl w:val="true"/>
        </w:rPr>
        <w:footnoteReference w:id="46"/>
      </w:r>
      <w:r>
        <w:rPr>
          <w:rFonts w:ascii="IRNazanin" w:hAnsi="IRNazanin" w:eastAsia="IRNazanin"/>
          <w:color w:val="111111"/>
          <w:sz w:val="28"/>
          <w:sz w:val="28"/>
          <w:szCs w:val="28"/>
          <w:rtl w:val="true"/>
          <w:lang w:bidi="fa-IR"/>
        </w:rPr>
        <w:t xml:space="preserve">، بل یکون فی أوائل الحافظة أو الخیال، و مع ذلک توجد أثرا بیّنا ظاهرا شدیدا </w:t>
      </w:r>
      <w:r>
        <w:rPr>
          <w:rStyle w:val="FootnoteAnchor"/>
          <w:rtl w:val="true"/>
        </w:rPr>
        <w:footnoteReference w:id="47"/>
      </w:r>
      <w:r>
        <w:rPr>
          <w:rFonts w:ascii="IRNazanin" w:hAnsi="IRNazanin" w:eastAsia="IRNazanin"/>
          <w:color w:val="111111"/>
          <w:sz w:val="28"/>
          <w:sz w:val="28"/>
          <w:szCs w:val="28"/>
          <w:rtl w:val="true"/>
          <w:lang w:bidi="fa-IR"/>
        </w:rPr>
        <w:t xml:space="preserve">مثل الصادر عن المخطر بالبال من غیر تفاوت أصلا، و نحن نشاهد بالعیان أنّ الفعل الکثیر الأجزاء لا یصدر عن المخطر إلّا الجزء الأوّل منه، و الباقی یحدث من الموجود فی أوائل الحافظة، بل کثیرا ما یقع مجموع الفعل عنه </w:t>
      </w:r>
      <w:r>
        <w:rPr>
          <w:rStyle w:val="FootnoteAnchor"/>
          <w:rtl w:val="true"/>
        </w:rPr>
        <w:footnoteReference w:id="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المتأمّل ما فیه، فضلا عمّا فی ارتباطه بمذهب المشهور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أضعف من الکلّ ما قیل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حاصل الفرق بین القول بالداعی</w:t>
      </w:r>
    </w:p>
    <w:p>
      <w:pPr>
        <w:pStyle w:val="BookText"/>
        <w:rPr/>
      </w:pPr>
      <w:r>
        <w:rPr>
          <w:rFonts w:ascii="IRNazanin" w:hAnsi="IRNazanin" w:eastAsia="IRNazanin"/>
          <w:color w:val="111111"/>
          <w:sz w:val="28"/>
          <w:sz w:val="28"/>
          <w:szCs w:val="28"/>
          <w:rtl w:val="true"/>
          <w:lang w:bidi="fa-IR"/>
        </w:rPr>
        <w:t>و القول بالإخطار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مرجع الثانی </w:t>
      </w:r>
      <w:r>
        <w:rPr>
          <w:rStyle w:val="FootnoteAnchor"/>
          <w:rtl w:val="true"/>
        </w:rPr>
        <w:footnoteReference w:id="50"/>
      </w:r>
      <w:r>
        <w:rPr>
          <w:rFonts w:ascii="IRNazanin" w:hAnsi="IRNazanin" w:eastAsia="IRNazanin"/>
          <w:color w:val="111111"/>
          <w:sz w:val="28"/>
          <w:sz w:val="28"/>
          <w:szCs w:val="28"/>
          <w:rtl w:val="true"/>
          <w:lang w:bidi="fa-IR"/>
        </w:rPr>
        <w:t>إلی إیجاب العلم بالحضور وقت الفعل، بخلاف الأوّل، فإنّه یکتفی بالحضور من دون علم و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عساه یظهر من بعضهم من أنّه بناء علی الداعی یکتفی بوجوده و إن غاب عن ذهنک </w:t>
      </w:r>
      <w:r>
        <w:rPr>
          <w:rStyle w:val="FootnoteAnchor"/>
          <w:rtl w:val="true"/>
        </w:rPr>
        <w:footnoteReference w:id="51"/>
      </w:r>
      <w:r>
        <w:rPr>
          <w:rFonts w:ascii="IRNazanin" w:hAnsi="IRNazanin" w:eastAsia="IRNazanin"/>
          <w:color w:val="111111"/>
          <w:sz w:val="28"/>
          <w:sz w:val="28"/>
          <w:szCs w:val="28"/>
          <w:rtl w:val="true"/>
          <w:lang w:bidi="fa-IR"/>
        </w:rPr>
        <w:t>حال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 یفرّقوا بین الابتداء و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ینبغی الالتفات إلیه و یقطع بفساده، و کیف یعدّ مثل هذا الفعل فی العرف بمجرّد هذا العزم السابق منویّا و مقصودا؟</w:t>
      </w:r>
    </w:p>
    <w:p>
      <w:pPr>
        <w:pStyle w:val="BookText"/>
        <w:rPr/>
      </w:pPr>
      <w:r>
        <w:rPr>
          <w:rFonts w:ascii="IRNazanin" w:hAnsi="IRNazanin" w:eastAsia="IRNazanin"/>
          <w:color w:val="111111"/>
          <w:sz w:val="28"/>
          <w:sz w:val="28"/>
          <w:szCs w:val="28"/>
          <w:rtl w:val="true"/>
          <w:lang w:bidi="fa-IR"/>
        </w:rPr>
        <w:t xml:space="preserve">و إمّا بأن یفرق بینهما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بالداعی إنّما هو العلّة الغائیة الباعثة للمکلّف علی إیجاد الفعل فی الخارج، و هو لیس من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بناء علی تفسیرها بالقصد و الإرادة، فإطلاق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Style w:val="FootnoteAnchor"/>
          <w:rtl w:val="true"/>
        </w:rPr>
        <w:footnoteReference w:id="54"/>
      </w:r>
      <w:r>
        <w:rPr>
          <w:rFonts w:ascii="IRNazanin" w:hAnsi="IRNazanin" w:eastAsia="IRNazanin"/>
          <w:color w:val="111111"/>
          <w:sz w:val="28"/>
          <w:sz w:val="28"/>
          <w:szCs w:val="28"/>
          <w:rtl w:val="true"/>
          <w:lang w:bidi="fa-IR"/>
        </w:rPr>
        <w:t>فی لسان بعضهم إنّما هو بحسب الاصطلاح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یکتفی بقیام الداعی فی المکلّف، لکن لا بدّ من حصول الإرادة حین الفعل </w:t>
      </w:r>
      <w:r>
        <w:rPr>
          <w:rStyle w:val="FootnoteAnchor"/>
          <w:rtl w:val="true"/>
        </w:rPr>
        <w:footnoteReference w:id="55"/>
      </w:r>
      <w:r>
        <w:rPr>
          <w:rFonts w:ascii="IRNazanin" w:hAnsi="IRNazanin" w:eastAsia="IRNazanin"/>
          <w:color w:val="111111"/>
          <w:sz w:val="28"/>
          <w:sz w:val="28"/>
          <w:szCs w:val="28"/>
          <w:rtl w:val="true"/>
          <w:lang w:bidi="fa-IR"/>
        </w:rPr>
        <w:t>و إن غفل عن الداعی فی ذلک الوقت لکن بحیث لو سئل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هذا لذلک الداعی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تظهر الثمرة بینه و بین القول بالإخطار، و لعلّ الأولی أن یجعل </w:t>
      </w:r>
      <w:r>
        <w:rPr>
          <w:rStyle w:val="FootnoteAnchor"/>
          <w:rtl w:val="true"/>
        </w:rPr>
        <w:footnoteReference w:id="56"/>
      </w:r>
      <w:r>
        <w:rPr>
          <w:rFonts w:ascii="IRNazanin" w:hAnsi="IRNazanin" w:eastAsia="IRNazanin"/>
          <w:color w:val="111111"/>
          <w:sz w:val="28"/>
          <w:sz w:val="28"/>
          <w:szCs w:val="28"/>
          <w:rtl w:val="true"/>
          <w:lang w:bidi="fa-IR"/>
        </w:rPr>
        <w:t>المدار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لا یعدّ فی العرف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فعل ساه خال عن القصد لیکتفی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أجد لما ذکره من الفرقین بین القولین محصّلا، و 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اعتبر القائل بالإخطار العلم بالخطور؟ أو اعتبر القائل بالداعی الخطور؟ و متی فرّق القائل بالداعی بین غیبة الداعی عن الفعل و غیبة نفس الفعل؟</w:t>
      </w:r>
    </w:p>
    <w:p>
      <w:pPr>
        <w:pStyle w:val="BookText"/>
        <w:rPr/>
      </w:pPr>
      <w:r>
        <w:rPr>
          <w:rFonts w:ascii="IRNazanin" w:hAnsi="IRNazanin" w:eastAsia="IRNazanin"/>
          <w:color w:val="111111"/>
          <w:sz w:val="28"/>
          <w:sz w:val="28"/>
          <w:szCs w:val="28"/>
          <w:rtl w:val="true"/>
          <w:lang w:bidi="fa-IR"/>
        </w:rPr>
        <w:t xml:space="preserve">ثمّ لم أجد فرقا بین ما ارتضاه أخیرا و جعله الأولی، و بین ما ذکره و قطع بفساده آخر </w:t>
      </w:r>
      <w:r>
        <w:rPr>
          <w:rStyle w:val="FootnoteAnchor"/>
          <w:rtl w:val="true"/>
        </w:rPr>
        <w:footnoteReference w:id="57"/>
      </w:r>
      <w:r>
        <w:rPr>
          <w:rFonts w:ascii="IRNazanin" w:hAnsi="IRNazanin" w:eastAsia="IRNazanin"/>
          <w:color w:val="111111"/>
          <w:sz w:val="28"/>
          <w:sz w:val="28"/>
          <w:szCs w:val="28"/>
          <w:rtl w:val="true"/>
          <w:lang w:bidi="fa-IR"/>
        </w:rPr>
        <w:t>، مع أنّه الحقّ الذی لا محیص عنه، و لم یعرف من القائلین بالداعی غیره، و إن قطع هذا القائل بفساده أیضا فیما سیجی‌ء فی مسألة الاستمرار الحکمی،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ما اختاره المتأخرون،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لا تتوقّف شرعا علی أزید ممّا تتوقّف علیه عقلا، إلا أنّ الغایة فیها هی الإطاعة و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مذهب کلّ من أهمل ذکر النیّة من القدماء، اتّکالا فی اعتبار أصلها علی حکم العقل باعتبارها فی کل فعل اختیاری، و فی اعتبار غایة التقرّب إلی ما هو اللازم من فرض کونه من العبادات المأخوذ فیها قصد التعبّد و الإطاعة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أصالة عدم اعتبار أمر زائد علی ما یصدق</w:t>
      </w:r>
    </w:p>
    <w:p>
      <w:pPr>
        <w:pStyle w:val="BookText"/>
        <w:rPr/>
      </w:pPr>
      <w:r>
        <w:rPr>
          <w:rFonts w:ascii="IRNazanin" w:hAnsi="IRNazanin" w:eastAsia="IRNazanin"/>
          <w:color w:val="111111"/>
          <w:sz w:val="28"/>
          <w:sz w:val="28"/>
          <w:szCs w:val="28"/>
          <w:rtl w:val="true"/>
          <w:lang w:bidi="fa-IR"/>
        </w:rPr>
        <w:t>معه الإطاعة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دلّ علی اعتبار النیّة فی العمل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فإنّ ظاهر الکلّ اعتبار النیّة فی کلّ جزء من العمل، خصوصا مع عدّه عملا، کما فی مجموع الأجزاء الواجبة من الوضوء، فإنّه عمل قطعا، فیعتبر تلبّسه بالنیّة، و لا یکون متلبّسا بها فعلا إذا قدّمت عند غسل الیدین، إلّا إذا جعلنا النیّة أعمّ من الأمر المرکوز الذی لا ینافیه الغفلة و الذهول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اعترفوا بأنّ مقتضی الدلیل اعتبار استمرار النیّة فعلا إلی آخر العمل، لعدم اختصاص اعتبار النیّة بالجزء الأوّل، إلّا أنّ تعذّر ذلک أوجب الاکتفاء بالاستمرار الحکمی الآتی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قدّس سرّه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الأصل استحضار النیّة فعلا فی کلّ جزء من أجزاء العبادة، لقیام دلیل الکلّ فی الأجزاء، لأنّها عبادة </w:t>
      </w:r>
      <w:r>
        <w:rPr>
          <w:rStyle w:val="FootnoteAnchor"/>
          <w:rtl w:val="true"/>
        </w:rPr>
        <w:footnoteReference w:id="61"/>
      </w:r>
      <w:r>
        <w:rPr>
          <w:rFonts w:ascii="IRNazanin" w:hAnsi="IRNazanin" w:eastAsia="IRNazanin"/>
          <w:color w:val="111111"/>
          <w:sz w:val="28"/>
          <w:sz w:val="28"/>
          <w:szCs w:val="28"/>
          <w:rtl w:val="true"/>
          <w:lang w:bidi="fa-IR"/>
        </w:rPr>
        <w:t xml:space="preserve">و لکن لمّا تعذر ذلک فی العبادة البعیدة المسافة و تعسّر فی القریبة اکتفی بالاستمرار الحکمی </w:t>
      </w:r>
      <w:r>
        <w:rPr>
          <w:rStyle w:val="FootnoteAnchor"/>
          <w:rtl w:val="true"/>
        </w:rPr>
        <w:footnoteReference w:id="6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اعترافهم بذلک أمکن أن یوجّه اکتفاؤهم بالاستمرار الحکمی</w:t>
      </w:r>
    </w:p>
    <w:p>
      <w:pPr>
        <w:pStyle w:val="BookText"/>
        <w:rPr/>
      </w:pPr>
      <w:r>
        <w:rPr>
          <w:rFonts w:ascii="IRNazanin" w:hAnsi="IRNazanin" w:eastAsia="IRNazanin"/>
          <w:color w:val="111111"/>
          <w:sz w:val="28"/>
          <w:sz w:val="28"/>
          <w:szCs w:val="28"/>
          <w:rtl w:val="true"/>
          <w:lang w:bidi="fa-IR"/>
        </w:rPr>
        <w:t xml:space="preserve">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الأدلّة المذکورة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القصد التفصیلی، إلّا أنّ مقتضاها تلبّس الفعل بالنیّة، و یکفی فی ذلک کون العمل عن نیّة، و لا یعتبر وجودها فی کلّ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لا ینفعهم فیما ذکرنا علیهم، إذ اللازم حینئذ الاکتفاء بتقدّم النیّة عند مقدّمات العمل الخارجة عنه کإحضار الماء و أخذ الإبریق للصبّ، إذ یصدق معه أیضا کون الوضوء عن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اختلفوا فی جزئیّة النیة و شرطیّتها و ذکروا لکلّ منهما وجوها لا أظنّها تامّة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 فلحکمه بتوقّف الفعل علیها لا ترکّبه منها و من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النقل، فلأنّهم عرّفوا 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سابقا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المقارنة للعمل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فی خروج النیّة عن حقیقة المنویّ، و إنّما الخلاف فی العمل الشرعی المعدود من العبادات هل هو الفعل مع نیّته؟ أو بشرط کونه منویا؟ لکن المتعیّن مع ذلک کونها شرطا،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تحریمها التکبیر</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افتتاحها التکبیر</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نحوه، فیحتمل کونه من قبیل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الثمرة تظهر فی اشتراطها بشروط الصلاة، مثل الطهارة و الستر و الاستقبال و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ردّه الشهید بأنّ المقارنة المعتبرة فیها للتکبیر تنفی هذه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المقارنة لا توجب إلّا اعتبار هذه الأمور فی الجزء الأخیر منها دون مجموعها،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النیّة هی القصد البسیط المتأخّر فی الوجود عن تصوّر المقصود، فهی غیر قابلة لأن یختلف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أول التکبیر فی القیام و الاستقبال، فضلا عن الطهارة و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مذهب المشهور، و أمّا علی ما اختاره المتأخّرون فلا إشکال فی کونها شرطا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حقیقة النیّة البسیطة فی نفسها</w:t>
      </w:r>
      <w:r>
        <w:rPr>
          <w:rFonts w:eastAsia="IRNazanin" w:cs="IRNazanin"/>
          <w:color w:val="111111"/>
          <w:sz w:val="28"/>
          <w:szCs w:val="28"/>
          <w:rtl w:val="true"/>
          <w:lang w:bidi="fa-IR"/>
        </w:rPr>
        <w:t>.</w:t>
      </w:r>
      <w:bookmarkStart w:id="33" w:name="pg13035_131525"/>
    </w:p>
    <w:p>
      <w:pPr>
        <w:pStyle w:val="Heading6"/>
        <w:numPr>
          <w:ilvl w:val="5"/>
          <w:numId w:val="1"/>
        </w:numPr>
        <w:rPr/>
      </w:pPr>
      <w:bookmarkStart w:id="34" w:name="__RefHeading___Toc6369874_3224264995"/>
      <w:bookmarkStart w:id="35" w:name="_Toc14"/>
      <w:bookmarkEnd w:id="33"/>
      <w:bookmarkEnd w:id="34"/>
      <w:r>
        <w:rPr>
          <w:rtl w:val="true"/>
        </w:rPr>
        <w:t>[</w:t>
      </w:r>
      <w:r>
        <w:rPr>
          <w:rtl w:val="true"/>
        </w:rPr>
        <w:t>کیفیّة النیّة</w:t>
      </w:r>
      <w:r>
        <w:rPr>
          <w:rtl w:val="true"/>
        </w:rPr>
        <w:t>]</w:t>
      </w:r>
      <w:bookmarkEnd w:id="35"/>
    </w:p>
    <w:p>
      <w:pPr>
        <w:pStyle w:val="Heading6"/>
        <w:numPr>
          <w:ilvl w:val="5"/>
          <w:numId w:val="1"/>
        </w:numPr>
        <w:rPr/>
      </w:pPr>
      <w:bookmarkStart w:id="36" w:name="__RefHeading___Toc6369876_3224264995"/>
      <w:bookmarkStart w:id="37" w:name="_Toc15"/>
      <w:bookmarkEnd w:id="36"/>
      <w:r>
        <w:rPr>
          <w:rtl w:val="true"/>
        </w:rPr>
        <w:t>اشارة</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المنویّ،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 الفعل المتصوّر له و لو إجمالا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بجمیع قیوده المشخصة له التی لها دخل فی تعلّق الأمر به لأجل الغایة التی بها تکون العبادة عبادة </w:t>
      </w:r>
      <w:r>
        <w:rPr>
          <w:rStyle w:val="FootnoteAnchor"/>
          <w:rtl w:val="true"/>
        </w:rPr>
        <w:footnoteReference w:id="71"/>
      </w:r>
      <w:r>
        <w:rPr>
          <w:rFonts w:ascii="IRNazanin" w:hAnsi="IRNazanin" w:eastAsia="IRNazanin"/>
          <w:color w:val="111111"/>
          <w:sz w:val="28"/>
          <w:sz w:val="28"/>
          <w:szCs w:val="28"/>
          <w:rtl w:val="true"/>
          <w:lang w:bidi="fa-IR"/>
        </w:rPr>
        <w:t>مأمورا بها، و الحاجة إلی تصور الفعل</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بجمیع القیود المذکورة لتصحیح کون تلک الغایة داعیة إلی الإیقاع، إذ لو لم یتصوره بجمیع تلک القیود لم یتصوّر کونه مأمورا به، لأنّ المتصوّر حینئذ غیر المأمور به، فلا یتصوّر کون الداعی إلیه تلک الغایة، لأنها لا تدعو إلی غیر ما یترتّب علیه</w:t>
      </w:r>
      <w:r>
        <w:rPr>
          <w:rFonts w:eastAsia="IRNazanin" w:cs="IRNazanin"/>
          <w:color w:val="111111"/>
          <w:sz w:val="28"/>
          <w:szCs w:val="28"/>
          <w:rtl w:val="true"/>
          <w:lang w:bidi="fa-IR"/>
        </w:rPr>
        <w:t>.</w:t>
      </w:r>
    </w:p>
    <w:p>
      <w:pPr>
        <w:pStyle w:val="Heading6"/>
        <w:numPr>
          <w:ilvl w:val="5"/>
          <w:numId w:val="1"/>
        </w:numPr>
        <w:rPr/>
      </w:pPr>
      <w:bookmarkStart w:id="38" w:name="__RefHeading___Toc6369878_3224264995"/>
      <w:bookmarkStart w:id="39" w:name="_Toc16"/>
      <w:bookmarkEnd w:id="38"/>
      <w:r>
        <w:rPr>
          <w:rtl w:val="true"/>
        </w:rPr>
        <w:t>و الخلاف هنا فی مقامین</w:t>
      </w:r>
      <w:r>
        <w:rPr>
          <w:rtl w:val="true"/>
        </w:rPr>
        <w:t>:</w:t>
      </w:r>
      <w:bookmarkEnd w:id="39"/>
    </w:p>
    <w:p>
      <w:pPr>
        <w:pStyle w:val="Heading6"/>
        <w:numPr>
          <w:ilvl w:val="5"/>
          <w:numId w:val="1"/>
        </w:numPr>
        <w:rPr/>
      </w:pPr>
      <w:bookmarkStart w:id="40" w:name="__RefHeading___Toc6369880_3224264995"/>
      <w:bookmarkStart w:id="41" w:name="_Toc17"/>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ملاحظة بعض القیود المشخّصة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أو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وجههما فی الغایة، بأن یوقع الفعل لأجل وجوبه أو ندبه قربة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p>
    <w:p>
      <w:pPr>
        <w:pStyle w:val="Heading6"/>
        <w:numPr>
          <w:ilvl w:val="5"/>
          <w:numId w:val="1"/>
        </w:numPr>
        <w:rPr/>
      </w:pPr>
      <w:bookmarkStart w:id="42" w:name="__RefHeading___Toc6369882_3224264995"/>
      <w:bookmarkStart w:id="43" w:name="_Toc18"/>
      <w:bookmarkEnd w:id="42"/>
      <w:r>
        <w:rPr>
          <w:rtl w:val="true"/>
        </w:rPr>
        <w:t>المقام الأوّل،</w:t>
      </w:r>
      <w:bookmarkEnd w:id="43"/>
    </w:p>
    <w:p>
      <w:pPr>
        <w:pStyle w:val="BookText"/>
        <w:rPr/>
      </w:pPr>
      <w:r>
        <w:rPr>
          <w:rFonts w:ascii="IRNazanin" w:hAnsi="IRNazanin" w:eastAsia="IRNazanin"/>
          <w:color w:val="111111"/>
          <w:sz w:val="28"/>
          <w:sz w:val="28"/>
          <w:szCs w:val="28"/>
          <w:rtl w:val="true"/>
          <w:lang w:bidi="fa-IR"/>
        </w:rPr>
        <w:t>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المأخوذة فی متعلّق الأمر علی أقسام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محقّقا لنفس العنوان المأمور به، کما لو کلّف بقضاء صلاة نیابة عن زید، فإنّ قصد کون الصلاة عنه مقوّم لنفس الموضوع، لأنّ الموضوع حقیقة هی النیابة عن زید فی تدارک ما فات، و الفعل بدون قصد</w:t>
      </w:r>
    </w:p>
    <w:p>
      <w:pPr>
        <w:pStyle w:val="BookText"/>
        <w:rPr/>
      </w:pPr>
      <w:r>
        <w:rPr>
          <w:rFonts w:ascii="IRNazanin" w:hAnsi="IRNazanin" w:eastAsia="IRNazanin"/>
          <w:color w:val="111111"/>
          <w:sz w:val="28"/>
          <w:sz w:val="28"/>
          <w:szCs w:val="28"/>
          <w:rtl w:val="true"/>
          <w:lang w:bidi="fa-IR"/>
        </w:rPr>
        <w:t xml:space="preserve">النیابة لا یکون نیابة، و نحوه الأمر بضرب الیتیم تأدیبا، فإنّ الموضوع حقیقة هنا </w:t>
      </w:r>
      <w:r>
        <w:rPr>
          <w:rStyle w:val="FootnoteAnchor"/>
          <w:rtl w:val="true"/>
        </w:rPr>
        <w:footnoteReference w:id="73"/>
      </w:r>
      <w:r>
        <w:rPr>
          <w:rFonts w:ascii="IRNazanin" w:hAnsi="IRNazanin" w:eastAsia="IRNazanin"/>
          <w:color w:val="111111"/>
          <w:sz w:val="28"/>
          <w:sz w:val="28"/>
          <w:szCs w:val="28"/>
          <w:rtl w:val="true"/>
          <w:lang w:bidi="fa-IR"/>
        </w:rPr>
        <w:t>التأدیب، فلو قصد التشفّی أو مجرّد الإیلام کان ظلما، و لا کلام فی وجوب قصد مثل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ممیّزا له عن فرد آخر من العنوان، کتقیید الظهریة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ذلک الممیّز إمّا مأخوذ قیدا للعنوان فی الأدلّة الشرعیة،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نافلة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کغسلی الجنابة و الجمعة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یکون کذلک، کما إذا أمر وجوبا بصوم یوم، فإنّ صوم یوم یعلم أنّه فی نفسه غیر متّصف بالوجوب و إلّا لوجب صوم کلّ یوم، بل لخصوصیة ملحوظة فیه مفقودة فی الزائد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الفرد الآخر مأمورا به بالفعل، کما إذا کان علیه صلاة مندوبة أو منذورة متّحدة مع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الفرد الآخر غیر مأمور به بالنسبة إلی المخاطب، کما إذا لم یکن علیه إلّا صلاة الظهر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من القسم الأوّل، فالظاهر الاتّفاق علی وجوب تعیینه بالقید المأخوذ فیه، إذ بدون ملاحظة القید لا یقع امتثالا لشی‌ء من الأمرین لأنّ الموضوع فی کلّ منهما عنوان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سیجی‌ء فی القسم الثانی، و هو ما إذا لم یکن الفرد الآخر مأمورا به بالفعل، کما إذا لم یکن علیه إلّا صلاة الظهر، فإنّ الظاهر فیه أیضا عدم کفایة القصد إلی مطلق الصلاة کما هو المعروف، و لم ینقل فیه خلاف حتّی من العامّة، لأنّ مطلق الصلاة لیس موضوعا للوجوب، لأنّها قد تقع مندوبة و لو بالنسبة إلی غیر هذا المکلّف أو بالنسبة إلیه فی غیر هذا الوقت، فالوجوب حقیقة معلق بالصلاة المقیّدة التی هی المشتملة علی المصلحة الوجوبیة دون غیرها، فهی المأمور بها و هی التی تدعو الغایة الحاصلة من فعل المأمور به إلی فعلها دون فعل مطلق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یندفع توهّم أنّ المحوج إلی قصد القید هو اشتراک العنوان بین فردین مأمور بهما فعلا لیتمیّز امتثال أحد الأمرین عن الآخر کما فی القسم الأوّل، أمّا إذا لم یکن علیه إلّا صلاة واحدة فلا حاجة إلی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المحوج إلی الممیّز هو لزوم تصوّر الفعل علی الوجه الذی صار متعلّقا للأمر، إذ تصوّره و قصده علی غیر ذلک الوجه لا یصحّ معه کون الداعی إلی فعله هو القرب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لا یخفی علیک أنّ ما استند إلیه فی اعتبار التعیین فی هذا القسم و سابقه إنّما یثبت لزوم إحضار القید المأخوذ فی العنوان إذا لم یعیّن موضوع الأمر بوجه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تمیّز بوجه آخر</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کما لو کان الاشتراک فی القسم الأوّل بین واجب و مستحبّ فقصد إلی الصلاة الواجبة، أو قصد فی القسم الثانی ما وجب علیه بالفعل، مع عدم الالتفات فی القسمین إلی کونه</w:t>
      </w:r>
    </w:p>
    <w:p>
      <w:pPr>
        <w:pStyle w:val="BookText"/>
        <w:rPr/>
      </w:pPr>
      <w:r>
        <w:rPr>
          <w:rFonts w:ascii="IRNazanin" w:hAnsi="IRNazanin" w:eastAsia="IRNazanin"/>
          <w:color w:val="111111"/>
          <w:sz w:val="28"/>
          <w:sz w:val="28"/>
          <w:szCs w:val="28"/>
          <w:rtl w:val="true"/>
          <w:lang w:bidi="fa-IR"/>
        </w:rPr>
        <w:t>ظهرا أو مع الجهل به و التردّد بینه و بین غیره، أغنی ذلک عن استحضار قید الظهریة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فریضة الوقت أجزأ عن نیّة الظهر أو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لحصول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إذ لا مشارک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فی الوقت المختص أما فی المشترک فیحتمل المنع، لاشتراک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الفرضین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وجه الإجزاء أنّ قضیة الترتیب تجعل هذا الوقت </w:t>
      </w:r>
      <w:r>
        <w:rPr>
          <w:rStyle w:val="FootnoteAnchor"/>
          <w:rtl w:val="true"/>
        </w:rPr>
        <w:footnoteReference w:id="78"/>
      </w:r>
      <w:r>
        <w:rPr>
          <w:rFonts w:ascii="IRNazanin" w:hAnsi="IRNazanin" w:eastAsia="IRNazanin"/>
          <w:color w:val="111111"/>
          <w:sz w:val="28"/>
          <w:sz w:val="28"/>
          <w:szCs w:val="28"/>
          <w:rtl w:val="true"/>
          <w:lang w:bidi="fa-IR"/>
        </w:rPr>
        <w:t xml:space="preserve">مختصا بالأوّل و لو صلّی الظهر ثمّ نوی بعدها </w:t>
      </w:r>
      <w:r>
        <w:rPr>
          <w:rStyle w:val="FootnoteAnchor"/>
          <w:rtl w:val="true"/>
        </w:rPr>
        <w:footnoteReference w:id="79"/>
      </w:r>
      <w:r>
        <w:rPr>
          <w:rFonts w:ascii="IRNazanin" w:hAnsi="IRNazanin" w:eastAsia="IRNazanin"/>
          <w:color w:val="111111"/>
          <w:sz w:val="28"/>
          <w:sz w:val="28"/>
          <w:szCs w:val="28"/>
          <w:rtl w:val="true"/>
          <w:lang w:bidi="fa-IR"/>
        </w:rPr>
        <w:t xml:space="preserve">فریضة الوقت أجزأ و إن کان فی المشترک </w:t>
      </w:r>
      <w:r>
        <w:rPr>
          <w:rStyle w:val="FootnoteAnchor"/>
          <w:rtl w:val="true"/>
        </w:rPr>
        <w:footnoteReference w:id="8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لم یکن القید المأخوذ واقعا فی موضوع الأمر مذکورا مع عنوان المأمور به، کما إذا أمر وجوبا بصلاة رکعتین، فیجب أن یعلم أوّلا أنّه لا یتصور فیه إلّا القسم الثانی من القسمین المتصوّرین فی القسم الأوّل، لأنّ اشتغال الذمّة فی زمان واحد بفعلین مختلفین فی نظر الآمر متّحدین فی جمیع الخصوصیّات المذکورة فی الخطاب المتوجّه بکلّ منهما غیر صحیح،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إن کانا علی وجه الوجوب رجعا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اختلاف فی</w:t>
      </w:r>
    </w:p>
    <w:p>
      <w:pPr>
        <w:pStyle w:val="BookText"/>
        <w:rPr/>
      </w:pPr>
      <w:r>
        <w:rPr>
          <w:rFonts w:ascii="IRNazanin" w:hAnsi="IRNazanin" w:eastAsia="IRNazanin"/>
          <w:color w:val="111111"/>
          <w:sz w:val="28"/>
          <w:sz w:val="28"/>
          <w:szCs w:val="28"/>
          <w:rtl w:val="true"/>
          <w:lang w:bidi="fa-IR"/>
        </w:rPr>
        <w:t>موضوعهما حتی یحتاج کلّ منهما إلی قصد ممیّزه، و إن کان أحدهما علی وجه الوجوب و الآخر علی وجه الاستحباب، فإن کانا ممّا لا یوجدان إلّا تدریجا کان الموجود أوّلا واجبا و الآخر مندوبا، ففی کلّ زمان لا یوجد إلّا تکلیف واحد فلا اشتراک للصوم فعلا بین الواجب و المندوب، لأنّ طبیعة صوم الیوم إذا فرضت مطلوبة علی وجه لا یرضی بترکه فالمنطبق علیها لیس إلّا الفرد الواقع أوّلا، أمّا الواقع ثانیا فهو مرضیّ الترک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الفعلان المختلفان بالوجوب و الاستحباب ممّا یمکن إیجادهما دفعة، کإعطاء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إعطاء درهم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آخر، رجع الأمر إلی کون </w:t>
      </w:r>
      <w:r>
        <w:rPr>
          <w:rStyle w:val="FootnoteAnchor"/>
          <w:rtl w:val="true"/>
        </w:rPr>
        <w:footnoteReference w:id="82"/>
      </w:r>
      <w:r>
        <w:rPr>
          <w:rFonts w:ascii="IRNazanin" w:hAnsi="IRNazanin" w:eastAsia="IRNazanin"/>
          <w:color w:val="111111"/>
          <w:sz w:val="28"/>
          <w:sz w:val="28"/>
          <w:szCs w:val="28"/>
          <w:rtl w:val="true"/>
          <w:lang w:bidi="fa-IR"/>
        </w:rPr>
        <w:t>إعطاء الواحد لا بشرط الزیادة واجبا و إعطاء الواحد بشرط الزیادة أفضل أفراده، فیصیر کصورة التدریج فی اختصاص الزمان الأوّل بالوجوب و الثانی بالاستحباب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اشتراک الفعل فی هذا القسم بین الفردین المختلفین اشتراک بالقوّة دون الفعل، و منه یظهر أنّ وصفی الوجوب و الندب لا یقع الحاجة إلیهما فی صورة </w:t>
      </w:r>
      <w:r>
        <w:rPr>
          <w:rStyle w:val="FootnoteAnchor"/>
          <w:rtl w:val="true"/>
        </w:rPr>
        <w:footnoteReference w:id="83"/>
      </w:r>
      <w:r>
        <w:rPr>
          <w:rFonts w:ascii="IRNazanin" w:hAnsi="IRNazanin" w:eastAsia="IRNazanin"/>
          <w:color w:val="111111"/>
          <w:sz w:val="28"/>
          <w:sz w:val="28"/>
          <w:szCs w:val="28"/>
          <w:rtl w:val="true"/>
          <w:lang w:bidi="fa-IR"/>
        </w:rPr>
        <w:t>اشتراک ما فی ذمّة المکلّف فعلا بین الواجب و المندوب، لما عرفت أنّ الاشتراک الفعلیّ إنّما یکون مع تقیّد عنوان کلّ منهما أو أحدهما فی الأدلّة الشرعیة بقید، و معه یکفی ملاحظة القید فی التمیّز عن ملاحظة الوجوب و الندب، کما یکفی ملاحظتهما عن ملاحظة القید کما عرفت فیما تقدّم، فالحاجة إلیهما إنّما هی مع اشتراک العبادة بحسب قابلیتها فی نفسها</w:t>
      </w:r>
    </w:p>
    <w:p>
      <w:pPr>
        <w:pStyle w:val="BookText"/>
        <w:rPr/>
      </w:pPr>
      <w:r>
        <w:rPr>
          <w:rFonts w:ascii="IRNazanin" w:hAnsi="IRNazanin" w:eastAsia="IRNazanin"/>
          <w:color w:val="111111"/>
          <w:sz w:val="28"/>
          <w:sz w:val="28"/>
          <w:szCs w:val="28"/>
          <w:rtl w:val="true"/>
          <w:lang w:bidi="fa-IR"/>
        </w:rPr>
        <w:t>و لو مع قطع النظر عن هذا المکلّف أو هذا الوقت بین 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اعتبارهما، بل ظاهر الفاضلین فی المعتبر و التذکرة عدم الخلاف فیه إلّا من بعض العامّة، حیث حکی فی المعتبر عن ابن أبی هریرة </w:t>
      </w:r>
      <w:r>
        <w:rPr>
          <w:rStyle w:val="FootnoteAnchor"/>
          <w:rtl w:val="true"/>
        </w:rPr>
        <w:footnoteReference w:id="84"/>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نیّة الظهر تکفی عن نیة الفرضیة </w:t>
      </w:r>
      <w:r>
        <w:rPr>
          <w:rStyle w:val="FootnoteAnchor"/>
          <w:rtl w:val="true"/>
        </w:rPr>
        <w:footnoteReference w:id="85"/>
      </w:r>
      <w:r>
        <w:rPr>
          <w:rFonts w:ascii="IRNazanin" w:hAnsi="IRNazanin" w:eastAsia="IRNazanin"/>
          <w:color w:val="111111"/>
          <w:sz w:val="28"/>
          <w:sz w:val="28"/>
          <w:szCs w:val="28"/>
          <w:rtl w:val="true"/>
          <w:lang w:bidi="fa-IR"/>
        </w:rPr>
        <w:t xml:space="preserve">مستندا إلی أنّ الظهر لا یکون إلا فرضا، ثمّ ردّه بأنّ جنس الفعل لا یستلزم وجوهه إلّا بالنیّة و کلّ ما أمکن أن یقع علی أکثر من وجه واحد افتقر اختصاصه بأحد الوجوه إلی النیّة، فینوی الظهر لیتمیز عن بقیّة الصلوات، و الفرضیة </w:t>
      </w:r>
      <w:r>
        <w:rPr>
          <w:rStyle w:val="FootnoteAnchor"/>
          <w:rtl w:val="true"/>
        </w:rPr>
        <w:footnoteReference w:id="86"/>
      </w:r>
      <w:r>
        <w:rPr>
          <w:rFonts w:ascii="IRNazanin" w:hAnsi="IRNazanin" w:eastAsia="IRNazanin"/>
          <w:color w:val="111111"/>
          <w:sz w:val="28"/>
          <w:sz w:val="28"/>
          <w:szCs w:val="28"/>
          <w:rtl w:val="true"/>
          <w:lang w:bidi="fa-IR"/>
        </w:rPr>
        <w:t xml:space="preserve">لیتمیّز عن إیقاعه ندبا کمن صلّی منفردا ثمّ أدرک الجماعة، و کونها أداء لیتمیّز عن القضاء </w:t>
      </w:r>
      <w:r>
        <w:rPr>
          <w:rStyle w:val="FootnoteAnchor"/>
          <w:rtl w:val="true"/>
        </w:rPr>
        <w:footnoteReference w:id="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سبقه إلی اعتبار الفرضیة فی صلاة الظهر للتمیّز عن المعادة ندبا مع الجماعة فی المبسوط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الفرضیة و الندبیة فلا بدّ من التعرّض لهما عندنا، لأنّ الظهر تقع علی وجهی الفرض و الندب کصلاة الصبی و من أعادها للجماعة فلا یتخصص لأحدهما إلّا بالقصد، ثمّ حکی عن أبی حنیفة و ابن أبی هریرة أنّه یکفی صلاة الظهر عن الفرض لأنّ الظهر لا تکون إلّا واجبة قال و تقدّم بطلانه </w:t>
      </w:r>
      <w:r>
        <w:rPr>
          <w:rStyle w:val="FootnoteAnchor"/>
          <w:rtl w:val="true"/>
        </w:rPr>
        <w:footnoteReference w:id="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هؤلاء الأساطین اکتفوا فی المبسوط </w:t>
      </w:r>
      <w:r>
        <w:rPr>
          <w:rStyle w:val="FootnoteAnchor"/>
          <w:rtl w:val="true"/>
        </w:rPr>
        <w:footnoteReference w:id="90"/>
      </w:r>
      <w:r>
        <w:rPr>
          <w:rFonts w:ascii="IRNazanin" w:hAnsi="IRNazanin" w:eastAsia="IRNazanin"/>
          <w:color w:val="111111"/>
          <w:sz w:val="28"/>
          <w:sz w:val="28"/>
          <w:szCs w:val="28"/>
          <w:rtl w:val="true"/>
          <w:lang w:bidi="fa-IR"/>
        </w:rPr>
        <w:t xml:space="preserve">و الشرائع </w:t>
      </w:r>
      <w:r>
        <w:rPr>
          <w:rStyle w:val="FootnoteAnchor"/>
          <w:rtl w:val="true"/>
        </w:rPr>
        <w:footnoteReference w:id="91"/>
      </w:r>
      <w:r>
        <w:rPr>
          <w:rFonts w:ascii="IRNazanin" w:hAnsi="IRNazanin" w:eastAsia="IRNazanin"/>
          <w:color w:val="111111"/>
          <w:sz w:val="28"/>
          <w:sz w:val="28"/>
          <w:szCs w:val="28"/>
          <w:rtl w:val="true"/>
          <w:lang w:bidi="fa-IR"/>
        </w:rPr>
        <w:t xml:space="preserve">و التحریر </w:t>
      </w:r>
      <w:r>
        <w:rPr>
          <w:rStyle w:val="FootnoteAnchor"/>
          <w:rtl w:val="true"/>
        </w:rPr>
        <w:footnoteReference w:id="92"/>
      </w:r>
      <w:r>
        <w:rPr>
          <w:rFonts w:ascii="IRNazanin" w:hAnsi="IRNazanin" w:eastAsia="IRNazanin"/>
          <w:color w:val="111111"/>
          <w:sz w:val="28"/>
          <w:sz w:val="28"/>
          <w:szCs w:val="28"/>
          <w:rtl w:val="true"/>
          <w:lang w:bidi="fa-IR"/>
        </w:rPr>
        <w:t>بکفایة القربة فی صوم رمضان، و غایة توجیه ما ذکروه من لزوم التمیّز عن الفرد المغایر له فی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ذلک فی ذمّة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فی أوّل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أن یتصوّر المکلّف متعلّق الأمر حتّی یکون الداعی له هو القرب الحاصل من فعل المأمور به، و من المعلوم أن تصوّر صلاة الظهر من حیث هی لیس تصوّرا للمأمور به، بل هی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هو واجب فی نظر الشارع کما بالنسبة إلی المکلّف الذی لم یصلّ و ما هو مندوب کالصبی الممیّز و من صلّی منفردا فأدرک الجماعة، و من المعلوم أنّ اختلاف الأفراد فی الوجوب و الندب لا یکون إلّا لخصوصیة موجودة فی إحداهما مفقودة فی الأخری، فالموضوع للوجوب هی صلاة الظهر مع تلک الخصوصیة، و لمّا لم تکن معلومة بالتفصیل للمکلّف و کان وصف الوجوب معرّفا لها کاشفا عنها وجب القصد إلی الفعل المتّصف بوصف الوجوب، نعم لو لم یلتفت المکلّف إلی اشتراک الفعل بحسب القابلیّة بین الواجب و غیره أو اعتقد عدمه أو شکّ فیه، و استکشف من ظاهر الأمر الموجّه إلیه أنّ الواجب هو عنوان المأمور به کفی قصد العنوان، لأنّه الموضوع فی زعم المکلّف</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ما فی کلام شارح الروضة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منع أنّ الوجوب و الندب من وجوه الفعل و إنّما هما من وجوه الأمر </w:t>
      </w:r>
      <w:r>
        <w:rPr>
          <w:rStyle w:val="FootnoteAnchor"/>
          <w:rtl w:val="true"/>
        </w:rPr>
        <w:footnoteReference w:id="93"/>
      </w:r>
      <w:r>
        <w:rPr>
          <w:rFonts w:ascii="Amiri" w:hAnsi="Amiri" w:eastAsia="Amiri" w:cs="Amiri"/>
          <w:color w:val="111111"/>
          <w:sz w:val="28"/>
          <w:sz w:val="28"/>
          <w:szCs w:val="28"/>
          <w:rtl w:val="true"/>
          <w:lang w:bidi="ar-SA"/>
        </w:rPr>
        <w:t>فی ردّ</w:t>
      </w:r>
    </w:p>
    <w:p>
      <w:pPr>
        <w:pStyle w:val="BookText"/>
        <w:rPr/>
      </w:pPr>
      <w:r>
        <w:rPr>
          <w:rFonts w:ascii="IRNazanin" w:hAnsi="IRNazanin" w:eastAsia="IRNazanin"/>
          <w:color w:val="111111"/>
          <w:sz w:val="28"/>
          <w:sz w:val="28"/>
          <w:szCs w:val="28"/>
          <w:rtl w:val="true"/>
          <w:lang w:bidi="fa-IR"/>
        </w:rPr>
        <w:t>الاستدلال علی وجوب قصد الوجه، بوجوب إیقاع الفعل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أرید وجوب إیقاع الفعل علی وجوهه و صفاته و خواصّه التی تعلّق الأمر بالفعل مقیّدا بها فهو مسلّم لکن الوجوب و الندب لیسا من ذلک، و إن أرید إیقاعه علی وجوه الأمر فغیر مسلّم بل لا محصّل 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ما فی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و الندب معرّفان لتلک </w:t>
      </w:r>
      <w:r>
        <w:rPr>
          <w:rStyle w:val="FootnoteAnchor"/>
          <w:rtl w:val="true"/>
        </w:rPr>
        <w:footnoteReference w:id="95"/>
      </w:r>
      <w:r>
        <w:rPr>
          <w:rFonts w:ascii="IRNazanin" w:hAnsi="IRNazanin" w:eastAsia="IRNazanin"/>
          <w:color w:val="111111"/>
          <w:sz w:val="28"/>
          <w:sz w:val="28"/>
          <w:szCs w:val="28"/>
          <w:rtl w:val="true"/>
          <w:lang w:bidi="fa-IR"/>
        </w:rPr>
        <w:t>الخصوصیات کما أوضحنا، لا من نفس تلک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یتصوّره المکلّف من مطلق صلاة الظهر مختصّة بالواجبة بملاحظة هذا الفاعل الخاصّ و الزمان الخاصّ، فالخصوصیات المشخّصة لمتعلّق الأمر الممیّزة له عن متعلق الندب موجودة فیه، فهی ممتازة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المکلّف الفعل من حیث صدوره عن خصوص الفاعل و فی خصوص ذلک الزمان تصوّر له بعنوان وصف الوجوب، لأنّ ملاحظة خصوص صنف الفال ککونه بالغا غیر مؤدّ للفرض إنّما هو من أدلّة وجوب الفعل علی البالغ و ندبه علی غیره فهو مسبوق بملاحظة وجوب الفعل أو ندبه، و لو لم یتصوّره من حیث صدوره عن خصوص الفاعل لم یتصوّر الموضوع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لکنّک خبیر بأنّ غایة ما ثبت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انتفاضة بصوم الیوم الذی هو من رمضان الذی عرفت اکتفاءهم فیه بمجرّد القربة، مع أنّه یقع أیضا مستحبّا من الصبی و الشاکّ فی الهلال، و حراما من الحائض و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القصد إلی العنوان المذکور فی الخطاب بوصف</w:t>
      </w:r>
    </w:p>
    <w:p>
      <w:pPr>
        <w:pStyle w:val="BookText"/>
        <w:rPr/>
      </w:pPr>
      <w:r>
        <w:rPr>
          <w:rFonts w:ascii="IRNazanin" w:hAnsi="IRNazanin" w:eastAsia="IRNazanin"/>
          <w:color w:val="111111"/>
          <w:sz w:val="28"/>
          <w:sz w:val="28"/>
          <w:szCs w:val="28"/>
          <w:rtl w:val="true"/>
          <w:lang w:bidi="fa-IR"/>
        </w:rPr>
        <w:t xml:space="preserve">أنّه مطلوب بهذا الطلب الشخصی، لیکون قصد هذا الوصف المعرّف للخصوصیات المأخوذة فی وجوبه </w:t>
      </w:r>
      <w:r>
        <w:rPr>
          <w:rStyle w:val="FootnoteAnchor"/>
          <w:rtl w:val="true"/>
        </w:rPr>
        <w:footnoteReference w:id="96"/>
      </w:r>
      <w:r>
        <w:rPr>
          <w:rFonts w:ascii="IRNazanin" w:hAnsi="IRNazanin" w:eastAsia="IRNazanin"/>
          <w:color w:val="111111"/>
          <w:sz w:val="28"/>
          <w:sz w:val="28"/>
          <w:szCs w:val="28"/>
          <w:rtl w:val="true"/>
          <w:lang w:bidi="fa-IR"/>
        </w:rPr>
        <w:t>الممیّزة له عن الفرد المستحبّ بمنزلة قصدها، أمّا توصیفه بخصوص الوجوب أو الندب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قصد خصوص أحدهما بحضور جنس الطلب لکون المکلّف عالما بالوجه التفصیلی ذاکرا له فهو، و إلّا کفی فی إحراز موضوع المأمور به توصیفه بالطلب الشخصی الموجود واقعا، و هذا المقدار لا یفی بما ادّعوه فی هذا المقام من وجوب استحضار وصف الوجوب أو الندب و لو لم یحضر إلّا بإعمال رویّة و وجوب استعلامه بالاجتهاد أو التقلید کما صرّح به العلّامة قدّس سرّه فی غیر واحد من کتبه </w:t>
      </w:r>
      <w:r>
        <w:rPr>
          <w:rStyle w:val="FootnoteAnchor"/>
          <w:rtl w:val="true"/>
        </w:rPr>
        <w:footnoteReference w:id="97"/>
      </w:r>
      <w:r>
        <w:rPr>
          <w:rFonts w:ascii="IRNazanin" w:hAnsi="IRNazanin" w:eastAsia="IRNazanin"/>
          <w:color w:val="111111"/>
          <w:sz w:val="28"/>
          <w:sz w:val="28"/>
          <w:szCs w:val="28"/>
          <w:rtl w:val="true"/>
          <w:lang w:bidi="fa-IR"/>
        </w:rPr>
        <w:t>، و هو ظاهر غیره ممّن أطلق وجوب قصد الوجه الظاهر فی وجوبه المطلق المستلزم لوجوب معرفته من باب المقدّمة، بل صرّحوا بوجوب الجزم فی جمیع مشخّصات النیّة فلا یجزی التردد بین الواجب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لو نوی الوجوب فی المندوب جهلا و بالعکس صحّ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الأصلی إتیان الفعل من حیث إنّه مطلوب للمولی بالطلب الثابت له واقعا إلا أنّه اعتقد ذلک الطلب علی خلاف ما هو علیه فهو کمن قصد الاقتداء بالشخص الحاضر من حیث هو حاضر إلّا أنّه اعتقده زیدا فبان عمروا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أولی بالصحة ما لو نوی الندب مع الشکّ فی دخول الوقت و الوجوب مع الشکّ فی خروجه لأجل الاستصحاب فبان الخلاف، لوجود</w:t>
      </w:r>
    </w:p>
    <w:p>
      <w:pPr>
        <w:pStyle w:val="BookText"/>
        <w:rPr/>
      </w:pPr>
      <w:r>
        <w:rPr>
          <w:rFonts w:ascii="IRNazanin" w:hAnsi="IRNazanin" w:eastAsia="IRNazanin"/>
          <w:color w:val="111111"/>
          <w:sz w:val="28"/>
          <w:sz w:val="28"/>
          <w:szCs w:val="28"/>
          <w:rtl w:val="true"/>
          <w:lang w:bidi="fa-IR"/>
        </w:rPr>
        <w:t>الأمر الشرعی فی الظاهر، بخلاف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فی التذکرة بوجوب الإعادة مع التمکّن من تحصیل الظن، و کذا لو نوی الوجوب أو الندب فی الثانی عملا بالظن و ظهر الخطأ، فصرّح بالإعادة مع التمکّن </w:t>
      </w:r>
      <w:r>
        <w:rPr>
          <w:rStyle w:val="FootnoteAnchor"/>
          <w:rtl w:val="true"/>
        </w:rPr>
        <w:footnoteReference w:id="98"/>
      </w:r>
      <w:r>
        <w:rPr>
          <w:rFonts w:ascii="IRNazanin" w:hAnsi="IRNazanin" w:eastAsia="IRNazanin"/>
          <w:color w:val="111111"/>
          <w:sz w:val="28"/>
          <w:sz w:val="28"/>
          <w:szCs w:val="28"/>
          <w:rtl w:val="true"/>
          <w:lang w:bidi="fa-IR"/>
        </w:rPr>
        <w:t xml:space="preserve">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لعلّهما مبنیّان علی عدم جواز الاعتماد علی الاستصحاب مع التمکّن من الظن، و عدم جواز العمل بالظنّ مع التمکّن من العلم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الأخیر حسن، و الأوّل محل تأمّل، و غایة ما یوجّه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العمل بالاستصحاب لا ینافی الإعادة لتقصیره فی الفحص، کما فی الصائم المستصحب اللیل،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الجهل بالحکم، أمّا لو تعمّد </w:t>
      </w:r>
      <w:r>
        <w:rPr>
          <w:rStyle w:val="FootnoteAnchor"/>
          <w:rtl w:val="true"/>
        </w:rPr>
        <w:footnoteReference w:id="100"/>
      </w:r>
      <w:r>
        <w:rPr>
          <w:rFonts w:ascii="IRNazanin" w:hAnsi="IRNazanin" w:eastAsia="IRNazanin"/>
          <w:color w:val="111111"/>
          <w:sz w:val="28"/>
          <w:sz w:val="28"/>
          <w:szCs w:val="28"/>
          <w:rtl w:val="true"/>
          <w:lang w:bidi="fa-IR"/>
        </w:rPr>
        <w:t>نیّة الخلاف فالأولی البطلان لکونه تشریعا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المحقّق قدّس سرّه من أنّ الإخلال بنیّة الوجوب لیس مؤثّرا فی بطلان الوضوء و لا إضافتها مضرّة، و ما یقوله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الإرادة تؤثّر فی حسن الفعل و قبحه، فإذا نوی الوجوب و الوضوء مندوب فقد قصد إیقاع الفعل علی غیر وجهه، کلام شعریّ، و لو کان له حقیقة لکان الناوی مخطئا فی نیته و لم یکن النیّة مخرجة للوضوء عن التقرّب </w:t>
      </w:r>
      <w:r>
        <w:rPr>
          <w:rStyle w:val="FootnoteAnchor"/>
          <w:rtl w:val="true"/>
        </w:rPr>
        <w:footnoteReference w:id="101"/>
      </w:r>
      <w:r>
        <w:rPr>
          <w:rFonts w:ascii="IRNazanin" w:hAnsi="IRNazanin" w:eastAsia="IRNazanin"/>
          <w:color w:val="111111"/>
          <w:sz w:val="28"/>
          <w:sz w:val="28"/>
          <w:szCs w:val="28"/>
          <w:rtl w:val="true"/>
          <w:lang w:bidi="fa-IR"/>
        </w:rPr>
        <w:t>، انتهی، فکأنّه محمول علی غیر صورة التعمّد، و توجیهه علی ما ذکرنا من أنّ حقیقة القصد</w:t>
      </w:r>
    </w:p>
    <w:p>
      <w:pPr>
        <w:pStyle w:val="BookText"/>
        <w:rPr/>
      </w:pPr>
      <w:r>
        <w:rPr>
          <w:rFonts w:ascii="IRNazanin" w:hAnsi="IRNazanin" w:eastAsia="IRNazanin"/>
          <w:color w:val="111111"/>
          <w:sz w:val="28"/>
          <w:sz w:val="28"/>
          <w:szCs w:val="28"/>
          <w:rtl w:val="true"/>
          <w:lang w:bidi="fa-IR"/>
        </w:rPr>
        <w:t>تعلّق بموافقة الطلب الشخصی المتعلّق بالفعل، قال شارح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هذا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فی غایة السقوط، إذ من أوضح الأشیاء أن نیّة الوجوب فیما ندب اللّٰه إلیه و عکسها مناقضة و معارضة له تعالی فکیف لا تنافی القربة،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مراده ما وقع سهوا أو غفلة أو خطأ فی الاجتهاد، ولی فی غیر الأخیر تأمل </w:t>
      </w:r>
      <w:r>
        <w:rPr>
          <w:rStyle w:val="FootnoteAnchor"/>
          <w:rtl w:val="true"/>
        </w:rPr>
        <w:footnoteReference w:id="1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فی الأخیر واضح، لأنّ المجتهد مأمور بالوجه الظاهری بل هو الوجه فی حقّه، و توجیهه فیما عداه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صرّح فی الذکری بأنّ قصد الخلاف عمدا صحیح علی عدم اعتبار قصد الوجه </w:t>
      </w:r>
      <w:r>
        <w:rPr>
          <w:rStyle w:val="FootnoteAnchor"/>
          <w:rtl w:val="true"/>
        </w:rPr>
        <w:footnoteReference w:id="103"/>
      </w:r>
      <w:r>
        <w:rPr>
          <w:rFonts w:ascii="IRNazanin" w:hAnsi="IRNazanin" w:eastAsia="IRNazanin"/>
          <w:color w:val="111111"/>
          <w:sz w:val="28"/>
          <w:sz w:val="28"/>
          <w:szCs w:val="28"/>
          <w:rtl w:val="true"/>
          <w:lang w:bidi="fa-IR"/>
        </w:rPr>
        <w:t>، فلو عدل شارح الروضة عن المحقّق إلیه فی الاعتراض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بوجوب الوضوء مع اشتغال ذمّته بواجب، و ندبه بدونه، إلّا أنّه اعتقد عدم الاشتغال أو نسیه فنوی الاستحباب النفسی للوضوء أو الغیریّ لأجل مندوب، فإن قصده بوصف أنّه مطلوب بهذا الطلب الموجود فیه فعلا إلّا أنّه اعتقده ندبا لاعتقاده عدم سبب الوجوب، فهو کما تقدّم فی الجهل بالحکم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قصده بعنوان ذلک المستحبّ لاعتقاد تحقّق ذلک العنوان هنا، ففی الصحّة إشکال و إن قلنا بکفایة الوضوء المندوب للدخول فی العبادة الواجبة، من حیث إنّ ما نواه غیر موجود و الموجود غیر منویّ، قال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مشغول الذمّة بواجب الندب، لم یجز، و 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العکس، لأنّه یؤکّد الندب </w:t>
      </w:r>
      <w:r>
        <w:rPr>
          <w:rStyle w:val="FootnoteAnchor"/>
          <w:rtl w:val="true"/>
        </w:rPr>
        <w:footnoteReference w:id="10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یحتمل الجهل بالحکم و الموضوع، و کذا الإشکال فیما لو نوی التجدید فبان واجبا إلّا أنّ الصحّة هنا لا تخلو عن بعد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أنّه لو شکّ فی الحدث بعد الیقین بالطهارة فتوضّأ احتیاطا فانکشف کونه محدثا أجزأت طهارة </w:t>
      </w:r>
      <w:r>
        <w:rPr>
          <w:rStyle w:val="FootnoteAnchor"/>
          <w:rtl w:val="true"/>
        </w:rPr>
        <w:footnoteReference w:id="105"/>
      </w:r>
      <w:r>
        <w:rPr>
          <w:rFonts w:ascii="IRNazanin" w:hAnsi="IRNazanin" w:eastAsia="IRNazanin"/>
          <w:color w:val="111111"/>
          <w:sz w:val="28"/>
          <w:sz w:val="28"/>
          <w:szCs w:val="28"/>
          <w:rtl w:val="true"/>
          <w:lang w:bidi="fa-IR"/>
        </w:rPr>
        <w:t xml:space="preserve">، إذ المقصود من الاحتیاط فعل ما احتمل وجوبه واقعا، فالوجوب علی تقدیر ثبوته واقعا ملحوظ للمحتاط، لکن المصرّح به فی القواعد </w:t>
      </w:r>
      <w:r>
        <w:rPr>
          <w:rStyle w:val="FootnoteAnchor"/>
          <w:rtl w:val="true"/>
        </w:rPr>
        <w:footnoteReference w:id="106"/>
      </w:r>
      <w:r>
        <w:rPr>
          <w:rFonts w:ascii="IRNazanin" w:hAnsi="IRNazanin" w:eastAsia="IRNazanin"/>
          <w:color w:val="111111"/>
          <w:sz w:val="28"/>
          <w:sz w:val="28"/>
          <w:szCs w:val="28"/>
          <w:rtl w:val="true"/>
          <w:lang w:bidi="fa-IR"/>
        </w:rPr>
        <w:t xml:space="preserve">و البیان </w:t>
      </w:r>
      <w:r>
        <w:rPr>
          <w:rStyle w:val="FootnoteAnchor"/>
          <w:rtl w:val="true"/>
        </w:rPr>
        <w:footnoteReference w:id="10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08"/>
      </w:r>
      <w:r>
        <w:rPr>
          <w:rFonts w:ascii="IRNazanin" w:hAnsi="IRNazanin" w:eastAsia="IRNazanin"/>
          <w:color w:val="111111"/>
          <w:sz w:val="28"/>
          <w:sz w:val="28"/>
          <w:szCs w:val="28"/>
          <w:rtl w:val="true"/>
          <w:lang w:bidi="fa-IR"/>
        </w:rPr>
        <w:t>البطلان، بناء علی اعتبار نیّة الوجوب فی الواجب</w:t>
      </w:r>
      <w:r>
        <w:rPr>
          <w:rFonts w:eastAsia="IRNazanin" w:cs="IRNazanin"/>
          <w:color w:val="111111"/>
          <w:sz w:val="28"/>
          <w:szCs w:val="28"/>
          <w:rtl w:val="true"/>
          <w:lang w:bidi="fa-IR"/>
        </w:rPr>
        <w:t>.</w:t>
      </w:r>
      <w:bookmarkStart w:id="44" w:name="pg13035_131537"/>
    </w:p>
    <w:p>
      <w:pPr>
        <w:pStyle w:val="Heading6"/>
        <w:numPr>
          <w:ilvl w:val="5"/>
          <w:numId w:val="1"/>
        </w:numPr>
        <w:rPr/>
      </w:pPr>
      <w:bookmarkStart w:id="45" w:name="__RefHeading___Toc6369884_3224264995"/>
      <w:bookmarkStart w:id="46" w:name="_Toc19"/>
      <w:bookmarkEnd w:id="44"/>
      <w:bookmarkEnd w:id="45"/>
      <w:r>
        <w:rPr>
          <w:rtl w:val="true"/>
        </w:rPr>
        <w:t>المقام الثانی</w:t>
      </w:r>
      <w:r>
        <w:rPr>
          <w:rtl w:val="true"/>
        </w:rPr>
        <w:t xml:space="preserve">: </w:t>
      </w:r>
      <w:r>
        <w:rPr>
          <w:rtl w:val="true"/>
        </w:rPr>
        <w:t>فی اعتبار ملاحظة الوجوب و الندب غایة،</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مذهب کثیر، و فی الروضة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مشهور </w:t>
      </w:r>
      <w:r>
        <w:rPr>
          <w:rStyle w:val="FootnoteAnchor"/>
          <w:rtl w:val="true"/>
        </w:rPr>
        <w:footnoteReference w:id="109"/>
      </w:r>
      <w:r>
        <w:rPr>
          <w:rFonts w:ascii="IRNazanin" w:hAnsi="IRNazanin" w:eastAsia="IRNazanin"/>
          <w:color w:val="111111"/>
          <w:sz w:val="28"/>
          <w:sz w:val="28"/>
          <w:szCs w:val="28"/>
          <w:rtl w:val="true"/>
          <w:lang w:bidi="fa-IR"/>
        </w:rPr>
        <w:t xml:space="preserve">، و إن اختلفوا بین من یظهر منه الاقتصار علی أخذهما غایة کالحلبی فی الکافی </w:t>
      </w:r>
      <w:r>
        <w:rPr>
          <w:rStyle w:val="FootnoteAnchor"/>
          <w:rtl w:val="true"/>
        </w:rPr>
        <w:footnoteReference w:id="110"/>
      </w:r>
      <w:r>
        <w:rPr>
          <w:rFonts w:ascii="IRNazanin" w:hAnsi="IRNazanin" w:eastAsia="IRNazanin"/>
          <w:color w:val="111111"/>
          <w:sz w:val="28"/>
          <w:sz w:val="28"/>
          <w:szCs w:val="28"/>
          <w:rtl w:val="true"/>
          <w:lang w:bidi="fa-IR"/>
        </w:rPr>
        <w:t xml:space="preserve">، و العلّامة فی القواعد </w:t>
      </w:r>
      <w:r>
        <w:rPr>
          <w:rStyle w:val="FootnoteAnchor"/>
          <w:rtl w:val="true"/>
        </w:rPr>
        <w:footnoteReference w:id="111"/>
      </w:r>
      <w:r>
        <w:rPr>
          <w:rFonts w:ascii="IRNazanin" w:hAnsi="IRNazanin" w:eastAsia="IRNazanin"/>
          <w:color w:val="111111"/>
          <w:sz w:val="28"/>
          <w:sz w:val="28"/>
          <w:szCs w:val="28"/>
          <w:rtl w:val="true"/>
          <w:lang w:bidi="fa-IR"/>
        </w:rPr>
        <w:t xml:space="preserve">، و الإرشاد </w:t>
      </w:r>
      <w:r>
        <w:rPr>
          <w:rStyle w:val="FootnoteAnchor"/>
          <w:rtl w:val="true"/>
        </w:rPr>
        <w:footnoteReference w:id="112"/>
      </w:r>
      <w:r>
        <w:rPr>
          <w:rFonts w:ascii="IRNazanin" w:hAnsi="IRNazanin" w:eastAsia="IRNazanin"/>
          <w:color w:val="111111"/>
          <w:sz w:val="28"/>
          <w:sz w:val="28"/>
          <w:szCs w:val="28"/>
          <w:rtl w:val="true"/>
          <w:lang w:bidi="fa-IR"/>
        </w:rPr>
        <w:t xml:space="preserve">، و ابن فهد فی الموجز </w:t>
      </w:r>
      <w:r>
        <w:rPr>
          <w:rStyle w:val="FootnoteAnchor"/>
          <w:rtl w:val="true"/>
        </w:rPr>
        <w:footnoteReference w:id="113"/>
      </w:r>
      <w:r>
        <w:rPr>
          <w:rFonts w:ascii="IRNazanin" w:hAnsi="IRNazanin" w:eastAsia="IRNazanin"/>
          <w:color w:val="111111"/>
          <w:sz w:val="28"/>
          <w:sz w:val="28"/>
          <w:szCs w:val="28"/>
          <w:rtl w:val="true"/>
          <w:lang w:bidi="fa-IR"/>
        </w:rPr>
        <w:t xml:space="preserve">، و بین من یظهر منه اعتبار أخذهما وصفا ممیّزا و غایة کالغنیة </w:t>
      </w:r>
      <w:r>
        <w:rPr>
          <w:rStyle w:val="FootnoteAnchor"/>
          <w:rtl w:val="true"/>
        </w:rPr>
        <w:footnoteReference w:id="114"/>
      </w:r>
      <w:r>
        <w:rPr>
          <w:rFonts w:ascii="IRNazanin" w:hAnsi="IRNazanin" w:eastAsia="IRNazanin"/>
          <w:color w:val="111111"/>
          <w:sz w:val="28"/>
          <w:sz w:val="28"/>
          <w:szCs w:val="28"/>
          <w:rtl w:val="true"/>
          <w:lang w:bidi="fa-IR"/>
        </w:rPr>
        <w:t xml:space="preserve">و الوسیلة </w:t>
      </w:r>
      <w:r>
        <w:rPr>
          <w:rStyle w:val="FootnoteAnchor"/>
          <w:rtl w:val="true"/>
        </w:rPr>
        <w:footnoteReference w:id="115"/>
      </w:r>
      <w:r>
        <w:rPr>
          <w:rFonts w:ascii="IRNazanin" w:hAnsi="IRNazanin" w:eastAsia="IRNazanin"/>
          <w:color w:val="111111"/>
          <w:sz w:val="28"/>
          <w:sz w:val="28"/>
          <w:szCs w:val="28"/>
          <w:rtl w:val="true"/>
          <w:lang w:bidi="fa-IR"/>
        </w:rPr>
        <w:t xml:space="preserve">و السرائر </w:t>
      </w:r>
      <w:r>
        <w:rPr>
          <w:rStyle w:val="FootnoteAnchor"/>
          <w:rtl w:val="true"/>
        </w:rPr>
        <w:footnoteReference w:id="116"/>
      </w:r>
      <w:r>
        <w:rPr>
          <w:rFonts w:ascii="IRNazanin" w:hAnsi="IRNazanin" w:eastAsia="IRNazanin"/>
          <w:color w:val="111111"/>
          <w:sz w:val="28"/>
          <w:sz w:val="28"/>
          <w:szCs w:val="28"/>
          <w:rtl w:val="true"/>
          <w:lang w:bidi="fa-IR"/>
        </w:rPr>
        <w:t xml:space="preserve">و المنتهی </w:t>
      </w:r>
      <w:r>
        <w:rPr>
          <w:rStyle w:val="FootnoteAnchor"/>
          <w:rtl w:val="true"/>
        </w:rPr>
        <w:footnoteReference w:id="117"/>
      </w:r>
      <w:r>
        <w:rPr>
          <w:rFonts w:ascii="IRNazanin" w:hAnsi="IRNazanin" w:eastAsia="IRNazanin"/>
          <w:color w:val="111111"/>
          <w:sz w:val="28"/>
          <w:sz w:val="28"/>
          <w:szCs w:val="28"/>
          <w:rtl w:val="true"/>
          <w:lang w:bidi="fa-IR"/>
        </w:rPr>
        <w:t xml:space="preserve">و کلّ من استدلّ علی اعتبارهما بحصول التمیّز عن المندوب و وجوب إیقاع الفعل علی الوجه الذی کلّف بإیقاعه علیه بناء علی دلالة الوجه الأخیر علی لزوم اعتبار الوجه غایة کما فهمه الشهیدان </w:t>
      </w:r>
      <w:r>
        <w:rPr>
          <w:rStyle w:val="FootnoteAnchor"/>
          <w:rtl w:val="true"/>
        </w:rPr>
        <w:footnoteReference w:id="118"/>
      </w:r>
      <w:r>
        <w:rPr>
          <w:rFonts w:ascii="IRNazanin" w:hAnsi="IRNazanin" w:eastAsia="IRNazanin"/>
          <w:color w:val="111111"/>
          <w:sz w:val="28"/>
          <w:sz w:val="28"/>
          <w:szCs w:val="28"/>
          <w:rtl w:val="true"/>
          <w:lang w:bidi="fa-IR"/>
        </w:rPr>
        <w:t>، و نسبه فی الذکری فی باب الصلاة إلی المتکلّمین،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لمّا أوجبوا إیقاع الواجب لوجوبه أو وجه وجوبه جمعوا بین الأمرین یعنی الوصف و الغایة، فینوی الظهر الواجب لکونه واجبا </w:t>
      </w:r>
      <w:r>
        <w:rPr>
          <w:rStyle w:val="FootnoteAnchor"/>
          <w:rtl w:val="true"/>
        </w:rPr>
        <w:footnoteReference w:id="11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إمّا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الندب المجعولین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الشرعیان، و هو طلب الشارع علی وجه الحتم أو عدمه، فهو راجع إلی جعل الغایة موافقة إرادة اللّٰه التی هی عین القربة المجعولة غایة بالاتّفاق، فالقربة مغنیة عنه کما أنّه مغن عنها، و لذا احترز فی النهایة عن إتیان الفعل لوجوبه أو ندبه أو وجههما عن الإتیان به للریاء و طلب الثواب </w:t>
      </w:r>
      <w:r>
        <w:rPr>
          <w:rStyle w:val="FootnoteAnchor"/>
          <w:rtl w:val="true"/>
        </w:rPr>
        <w:footnoteReference w:id="120"/>
      </w:r>
      <w:r>
        <w:rPr>
          <w:rFonts w:ascii="IRNazanin" w:hAnsi="IRNazanin" w:eastAsia="IRNazanin"/>
          <w:color w:val="111111"/>
          <w:sz w:val="28"/>
          <w:sz w:val="28"/>
          <w:szCs w:val="28"/>
          <w:rtl w:val="true"/>
          <w:lang w:bidi="fa-IR"/>
        </w:rPr>
        <w:t xml:space="preserve">، و حکی هذا الاحتراز فی الروض </w:t>
      </w:r>
      <w:r>
        <w:rPr>
          <w:rStyle w:val="FootnoteAnchor"/>
          <w:rtl w:val="true"/>
        </w:rPr>
        <w:footnoteReference w:id="121"/>
      </w:r>
      <w:r>
        <w:rPr>
          <w:rFonts w:ascii="IRNazanin" w:hAnsi="IRNazanin" w:eastAsia="IRNazanin"/>
          <w:color w:val="111111"/>
          <w:sz w:val="28"/>
          <w:sz w:val="28"/>
          <w:szCs w:val="28"/>
          <w:rtl w:val="true"/>
          <w:lang w:bidi="fa-IR"/>
        </w:rPr>
        <w:t>عن بعض تحقیقات الشهید قدّس سرّه و إن تأمّل فیه الحاکی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یراد بهما العقلیان الثابتان للأفعال فی أنفسها مع قطع النظر عن أمر الشارع کما هو ظاهر إطلاقات المتکلّمین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یشترط فی التکلیف زیادة علی حسن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فیه صفة، بأن یکون واجبا أو مندوبا إن کان التکلیف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یشترط أیضا علم المکلّف بصفات الفعل لئلّا یأمر باجتناب واجب أو مندوب </w:t>
      </w:r>
      <w:r>
        <w:rPr>
          <w:rStyle w:val="FootnoteAnchor"/>
          <w:rtl w:val="true"/>
        </w:rPr>
        <w:footnoteReference w:id="123"/>
      </w:r>
      <w:r>
        <w:rPr>
          <w:rFonts w:ascii="IRNazanin" w:hAnsi="IRNazanin" w:eastAsia="IRNazanin"/>
          <w:color w:val="111111"/>
          <w:sz w:val="28"/>
          <w:sz w:val="28"/>
          <w:szCs w:val="28"/>
          <w:rtl w:val="true"/>
          <w:lang w:bidi="fa-IR"/>
        </w:rPr>
        <w:t>إلی غیر ذلک من موارد استعمال الوجوب و الندب، و صرّح به الشیخ أیضا فی مواضع من العدّة، قال فی إثبات النسخ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لا یجب بإیجاب موجب و إنّما یجب بصفة هو علیها تقتضی وجوب ذلک الشی‌ء، و إنّما یدلّ إیجاب الحکیم علی أنّ له صفة الوجوب لا بأن یصیر واجبا بإیجاب لأنّ إیجاب ما لیس له صفة الوجوب یجری فی القبح مجری إیجاب الظلم</w:t>
      </w:r>
    </w:p>
    <w:p>
      <w:pPr>
        <w:pStyle w:val="BookText"/>
        <w:rPr/>
      </w:pPr>
      <w:r>
        <w:rPr>
          <w:rFonts w:ascii="IRNazanin" w:hAnsi="IRNazanin" w:eastAsia="IRNazanin"/>
          <w:color w:val="111111"/>
          <w:sz w:val="28"/>
          <w:sz w:val="28"/>
          <w:szCs w:val="28"/>
          <w:rtl w:val="true"/>
          <w:lang w:bidi="fa-IR"/>
        </w:rPr>
        <w:t xml:space="preserve">و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فی الاستدلال علی کون وجه الوجوب فی السمعیات کونها ألطافا و مصالح </w:t>
      </w:r>
      <w:r>
        <w:rPr>
          <w:rStyle w:val="FootnoteAnchor"/>
          <w:rtl w:val="true"/>
        </w:rPr>
        <w:footnoteReference w:id="124"/>
      </w:r>
      <w:r>
        <w:rPr>
          <w:rFonts w:ascii="IRNazanin" w:hAnsi="IRNazanin" w:eastAsia="IRNazanin"/>
          <w:color w:val="111111"/>
          <w:sz w:val="28"/>
          <w:sz w:val="28"/>
          <w:szCs w:val="28"/>
          <w:rtl w:val="true"/>
          <w:lang w:bidi="fa-IR"/>
        </w:rPr>
        <w:t>، و یظهر منه هذا أیضا فی مسألة أنّ الأمر للوجوب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دلیل علی اعتبار هذا المعنی فی الغایة، کیف؟ و أکثر العوام بل بعض الخواصّ یعتقدون عدم وجوب کون الفعل الواجب واجبا عقلیا، بل یکفی فی التکلیف حسنه، و لا یتوقّف علی حسن المکلّف به و الذی یجب وجوده فیه هو خصوصیة مرجّحة لوقوعه فی حیّز التکلیف الابتلائی، بأن کان حسن التکلیف مشروطا بتعلّقه بهذا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المصلحة فی التکلیف بهذا الفعل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علینا فی العبادات إلّا تصوّر الفعل بجمیع قیوده الداخلة فی تعلّق الأمر به و القصد إلی فعله طاعة للّٰه، و هذا ممّا یحصل علی مذهب العدلیة و الأشاعرة المنکرین للوجوب العقلی، و الزائد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یختصّ تحقّقه بمذهب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اعتباره، مع أنّ ظاهر من اعتبر الوجوب و الندب فی الغایة أنّه أراد بهما الشرعیین دون العقلیین، و لذا فسّر فی جامع المقاصد </w:t>
      </w:r>
      <w:r>
        <w:rPr>
          <w:rStyle w:val="FootnoteAnchor"/>
          <w:rtl w:val="true"/>
        </w:rPr>
        <w:footnoteReference w:id="125"/>
      </w:r>
      <w:r>
        <w:rPr>
          <w:rFonts w:ascii="Amiri" w:hAnsi="Amiri" w:eastAsia="Amiri" w:cs="Amiri"/>
          <w:color w:val="111111"/>
          <w:sz w:val="28"/>
          <w:sz w:val="28"/>
          <w:szCs w:val="28"/>
          <w:rtl w:val="true"/>
          <w:lang w:bidi="ar-SA"/>
        </w:rPr>
        <w:t xml:space="preserve">و شراح الروضة </w:t>
      </w:r>
      <w:r>
        <w:rPr>
          <w:rStyle w:val="FootnoteAnchor"/>
          <w:rtl w:val="true"/>
        </w:rPr>
        <w:footnoteReference w:id="126"/>
      </w:r>
      <w:r>
        <w:rPr>
          <w:rFonts w:ascii="IRNazanin" w:hAnsi="IRNazanin" w:eastAsia="IRNazanin"/>
          <w:color w:val="111111"/>
          <w:sz w:val="28"/>
          <w:sz w:val="28"/>
          <w:szCs w:val="28"/>
          <w:rtl w:val="true"/>
          <w:lang w:bidi="fa-IR"/>
        </w:rPr>
        <w:t>وجه الوجوب و الندب بما هو سبب إیجاب الشارع أو ندبه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استدلالهم علی المطلب بما نسب إلی العدلیة و صرّح به بعضهم</w:t>
      </w:r>
    </w:p>
    <w:p>
      <w:pPr>
        <w:pStyle w:val="BookText"/>
        <w:rPr/>
      </w:pPr>
      <w:r>
        <w:rPr>
          <w:rFonts w:ascii="IRNazanin" w:hAnsi="IRNazanin" w:eastAsia="IRNazanin"/>
          <w:color w:val="111111"/>
          <w:sz w:val="28"/>
          <w:sz w:val="28"/>
          <w:szCs w:val="28"/>
          <w:rtl w:val="true"/>
          <w:lang w:bidi="fa-IR"/>
        </w:rPr>
        <w:t>کالمحقّق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یشترط فی استحقاق الثواب علی الواجب و المندوب الإتیان به لوجوبه أو ندبه أو وجههما </w:t>
      </w:r>
      <w:r>
        <w:rPr>
          <w:rStyle w:val="FootnoteAnchor"/>
          <w:rtl w:val="true"/>
        </w:rPr>
        <w:footnoteReference w:id="127"/>
      </w:r>
      <w:r>
        <w:rPr>
          <w:rFonts w:ascii="IRNazanin" w:hAnsi="IRNazanin" w:eastAsia="IRNazanin"/>
          <w:color w:val="111111"/>
          <w:sz w:val="28"/>
          <w:sz w:val="28"/>
          <w:szCs w:val="28"/>
          <w:rtl w:val="true"/>
          <w:lang w:bidi="fa-IR"/>
        </w:rPr>
        <w:t>مع أنّ ظاهرهم إرادة العقلیین، ربّما یوهم إرادة المستدلّین أیضا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فجعل الوجوب الشرعی غایة موافقة إرادة الشارع و جعل الوجوب العقلی کذلک راجعا إلی اعتبار القربة بأحد معانیها، لم یدلّ علیه دلیل، و ما اشتهر عن العدلیة یمکن منع دلالته علی اشتراط جعل الوجوب غایة، و إن ادّعاه الشهیدان فی الذکری و الروض </w:t>
      </w:r>
      <w:r>
        <w:rPr>
          <w:rStyle w:val="FootnoteAnchor"/>
          <w:rtl w:val="true"/>
        </w:rPr>
        <w:footnoteReference w:id="128"/>
      </w:r>
      <w:r>
        <w:rPr>
          <w:rFonts w:ascii="IRNazanin" w:hAnsi="IRNazanin" w:eastAsia="IRNazanin"/>
          <w:color w:val="111111"/>
          <w:sz w:val="28"/>
          <w:sz w:val="28"/>
          <w:szCs w:val="28"/>
          <w:rtl w:val="true"/>
          <w:lang w:bidi="fa-IR"/>
        </w:rPr>
        <w:t>، بل مرادهم ملاحظته علی جهة التوصیف، بأن یأتی بالواجب من حیث إنّه واجب عقلی لیطابق غرض الشارع، حیث إنّ غرضه حمل العباد علی الواجبات فی العقل من حیث أنفسها کالعدل و نحوه، أو لتقرّبها فیما هو واجب فی نفسه کالواجبات السمعیة التی اشتهر أنّها لطف فی الواجبات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فی الواجب الشرعی هو الواجب العقلی، و الموضوع للواجب العقلی هو وجهه المقتضی له، فاللطف موضوع للوجوب العقلی، فإذا قصد المکلّف بإتیانه وجه الوجوب فقد قصد الموضوع الحقیقی، و إذا قصد الوجوب العقلی قصد ما هو لازم مساو للموضوع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فالمظنون کلّ الظنّ إرادة المتکلّمین ملاحظة الوجوب و الندب العقلیین أو وجههما فی إتیان ما أمر به لیؤتی به علی وجه عنوانه الذی أمر به فی الحقیقة، فأین هذا من جعل الوجوب الشرعی غایة کالقربة حتی أنّه حکی الشهیدان عن بعض الإشکال فی عبارة النیّة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p>
    <w:p>
      <w:pPr>
        <w:pStyle w:val="BookText"/>
        <w:rPr/>
      </w:pPr>
      <w:r>
        <w:rPr>
          <w:rFonts w:ascii="IRNazanin" w:hAnsi="IRNazanin" w:eastAsia="IRNazanin"/>
          <w:color w:val="111111"/>
          <w:sz w:val="28"/>
          <w:sz w:val="28"/>
          <w:szCs w:val="28"/>
          <w:rtl w:val="true"/>
          <w:lang w:bidi="fa-IR"/>
        </w:rPr>
        <w:t>کذا لوجوبه 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حیث اشتمالها علی غایتین بلا عاطف </w:t>
      </w:r>
      <w:r>
        <w:rPr>
          <w:rStyle w:val="FootnoteAnchor"/>
          <w:rtl w:val="true"/>
        </w:rPr>
        <w:footnoteReference w:id="129"/>
      </w:r>
      <w:r>
        <w:rPr>
          <w:rFonts w:ascii="IRNazanin" w:hAnsi="IRNazanin" w:eastAsia="IRNazanin"/>
          <w:color w:val="111111"/>
          <w:sz w:val="28"/>
          <w:sz w:val="28"/>
          <w:szCs w:val="28"/>
          <w:rtl w:val="true"/>
          <w:lang w:bidi="fa-IR"/>
        </w:rPr>
        <w:t>، فتفصّی عنه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غایة للفعل و القربة غایة للفعل المغیّی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تجویز ترک العطف فی مثل ذلک کما سمع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وجه 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جامع المقاصد </w:t>
      </w:r>
      <w:r>
        <w:rPr>
          <w:rStyle w:val="FootnoteAnchor"/>
          <w:rtl w:val="true"/>
        </w:rPr>
        <w:footnoteReference w:id="130"/>
      </w:r>
      <w:r>
        <w:rPr>
          <w:rFonts w:ascii="Amiri" w:hAnsi="Amiri" w:eastAsia="Amiri" w:cs="Amiri"/>
          <w:color w:val="111111"/>
          <w:sz w:val="28"/>
          <w:sz w:val="28"/>
          <w:szCs w:val="28"/>
          <w:rtl w:val="true"/>
          <w:lang w:bidi="ar-SA"/>
        </w:rPr>
        <w:t xml:space="preserve">و شارح الروضة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شرع الحکم و السبب الباعث علیه، و حکی الثانی عن الشهید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المتکلّمین فیه علی أربعة أقوال،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له إلّا الأمر، و هو مذهب الأشاعرة،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اللطف فی الواجبات و المندوبات العقلیة،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الشکر،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راجع إلی اللطف لکنه لا فی التکلیف العقلی مطلقا بل فی نوع منه و هو الشکر،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وجود المصلحة فی الفعل و المفسدة فی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حکی عن الشهید فی تلک الرسالة موافقة ما فی الغنیة من أنّ الوجه فی وجوب الوضوء استباحة الصلاة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لا یقصد من یرید قصد وجه الوجوب إلّا الوجه الواقعی المعلوم عند اللّٰه للوجوب و الندب، إذ لیس علی الوجوه المذکورة دلیل یطمئنّ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ربّما یدلّ علی تعلیل الوجوب باللطف، و یؤیّده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التفصیل بین فعل العبادات و ترک المحرمات، و توجیه الأوّل باللطف و الثانی بدفع المفسدة، و کأنّ هذا أظهر من الکتاب و السنّة الواردة فی بیان علّیة شرع الواجبات و المحرمات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تلخّص ممّا ذکرنا أنّه لا یعتبر شی‌ء فی الوضوء علی وجه الغائیة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أعلی الغایات و أشرفها لمن یطع اللّٰه لتحصیل الفوائد و الغایات، و إلّا فالإنسان الکامل لا یقصد بطاعته القربة من حیث إنّها فائدة عائدة إلیه، بل الباعث له أهلیة المطاع للإطاعة، فیرید التقرّب إلیه لأنّه محبوب عنده، فلا داعی له علی الفعل إلّا القیام بما یستحقّه المطاع من حیث ذاته لا من حیث إحسانه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یقصد بطاعته أداء بعض ما یستحقّه اللّٰه علیه من الشکر، و لا یقصد بها عود فائدة إلیه، و لو أراد من شکره مزید النعم أو دوام الموجود خرج عن غایة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یقصد مجرّد الرفعة و التقرّب عنده فلا شی‌ء أحبّ إلیه منه، و هذا أوّل مراتب الطالبین بإطاعتهم تحصیل الفوائد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 بطاعته التفصّی عن البعد من اللّٰه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هاتان الفائدتان حاصلتان من الإغماض عن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 ما یبذل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یقصد بها التقرّب لدخول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ترکها البعد الموجب لدخول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التقرّب فی الصورتین الأخیرتین غیر مقصود لذاته بل لأجل التوصّل إلی الملاذ النفسانیة أو دفع المنافرات، قیل بعدم صحّة العبادة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نیّة الثواب و العقاب فقد قطع أکثر الأصحاب بفساد العبادة بقصدهما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أجوبة المسائل المهنّائیة للعلّامة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العدلیة علی أنّ من فعل فعلا لطلب الثواب أو لخوف العقاب لا یستحقّ بذلک ثوابا، و الأصل فی ذلک أنّ من فعل فعلا لیجلب نفعا أو یدفع به ضررا فإنّه لا یستحقّ المدح علی ذلک، و الآیتان المذکورتان فی السؤال، أعنی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 فَلْیَتَنٰافَسِ الْمُتَنٰافِسُونَ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لا دلالة فیهما علی کون غرضهم لفعله مثل ذلک </w:t>
      </w:r>
      <w:r>
        <w:rPr>
          <w:rStyle w:val="FootnoteAnchor"/>
          <w:rtl w:val="true"/>
        </w:rPr>
        <w:footnoteReference w:id="1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الرازی فی تفسیره الکبیر اتّفاق المتکلّمین علی عدم صحّة هذه العبادة </w:t>
      </w:r>
      <w:r>
        <w:rPr>
          <w:rStyle w:val="FootnoteAnchor"/>
          <w:rtl w:val="true"/>
        </w:rPr>
        <w:footnoteReference w:id="139"/>
      </w:r>
      <w:r>
        <w:rPr>
          <w:rFonts w:ascii="IRNazanin" w:hAnsi="IRNazanin" w:eastAsia="IRNazanin"/>
          <w:color w:val="111111"/>
          <w:sz w:val="28"/>
          <w:sz w:val="28"/>
          <w:szCs w:val="28"/>
          <w:rtl w:val="true"/>
          <w:lang w:bidi="fa-IR"/>
        </w:rPr>
        <w:t>، و ما أبعد ما بین هذا القول و تفسیر ابن زهرة للقربة بأنّها طلب</w:t>
      </w:r>
    </w:p>
    <w:p>
      <w:pPr>
        <w:pStyle w:val="BookText"/>
        <w:rPr/>
      </w:pPr>
      <w:r>
        <w:rPr>
          <w:rFonts w:ascii="IRNazanin" w:hAnsi="IRNazanin" w:eastAsia="IRNazanin"/>
          <w:color w:val="111111"/>
          <w:sz w:val="28"/>
          <w:sz w:val="28"/>
          <w:szCs w:val="28"/>
          <w:rtl w:val="true"/>
          <w:lang w:bidi="fa-IR"/>
        </w:rPr>
        <w:t xml:space="preserve">المنزلة الرفیعة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بنیل ثوابه</w:t>
      </w:r>
      <w:r>
        <w:rPr>
          <w:rFonts w:eastAsia="IRNazanin" w:cs="IRNazanin"/>
          <w:color w:val="111111"/>
          <w:sz w:val="28"/>
          <w:szCs w:val="28"/>
          <w:rtl w:val="true"/>
          <w:lang w:bidi="fa-IR"/>
        </w:rPr>
        <w:t xml:space="preserve">) </w:t>
      </w:r>
      <w:r>
        <w:rPr>
          <w:rStyle w:val="FootnoteAnchor"/>
          <w:rtl w:val="true"/>
        </w:rPr>
        <w:footnoteReference w:id="140"/>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الحلبی من أنّه یستحبّ للمصلّی أن یرجو بفعلها مزید الثواب و النجاة من العقاب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فهو ضعیف و لذا نسبه فی الذکری إلی توهّم قوم </w:t>
      </w:r>
      <w:r>
        <w:rPr>
          <w:rStyle w:val="FootnoteAnchor"/>
          <w:rtl w:val="true"/>
        </w:rPr>
        <w:footnoteReference w:id="143"/>
      </w:r>
      <w:r>
        <w:rPr>
          <w:rFonts w:ascii="IRNazanin" w:hAnsi="IRNazanin" w:eastAsia="IRNazanin"/>
          <w:color w:val="111111"/>
          <w:sz w:val="28"/>
          <w:sz w:val="28"/>
          <w:szCs w:val="28"/>
          <w:rtl w:val="true"/>
          <w:lang w:bidi="fa-IR"/>
        </w:rPr>
        <w:t>، لأنّ القدر الثابت من أدلّة وجوب الإطاعة و العبادة هو أن یکون الفعل لأجل أمر اللّٰه سبحانه، و أمّا إیجاب الفعل بهذا الداعی فربما یکون لداع آخر، فإنّه لا یشترط فی صدق الإطاعة أن لا یکون الغرض منها شیئا آخر، و یشهد له صدق المطیع علی الخدّام و العبید القائمین بالخدمة، و لا دلیل علی اعتبار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المدح علی هذا النحو من الإطاعة ثابت إذا قیس هذا الشخص إلی من لا یعتنی بثواب اللّٰه و لا یبالی بعقابه، لضعف اعتقاده بهما أو لغلبة شهوته علی عقله القاطع بوجوب تحمّل الکلفة العاجلة لدفع المضرّة العظیمة و إن کانت آجلة، فضلا عمّا لو کان فی تلک الکلفة مع ذلک منفعة عظیمة آجلة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یطیع لرجاء الثواب أو لخوف العقاب أو لهما معا یحصل له من جهة رجائه و خوفه منزلة عند اللّٰه یکون إلیها معراج الراجین و الخائفین، فقد تحقّق من الشخص المفروض عنوان الإطاعة و حصل له التقرّب و إن لم یکن التقرب مقصودا له بالذات، لما عرفت من أنّ نفس</w:t>
      </w:r>
    </w:p>
    <w:p>
      <w:pPr>
        <w:pStyle w:val="BookText"/>
        <w:rPr/>
      </w:pPr>
      <w:r>
        <w:rPr>
          <w:rFonts w:ascii="IRNazanin" w:hAnsi="IRNazanin" w:eastAsia="IRNazanin"/>
          <w:color w:val="111111"/>
          <w:sz w:val="28"/>
          <w:sz w:val="28"/>
          <w:szCs w:val="28"/>
          <w:rtl w:val="true"/>
          <w:lang w:bidi="fa-IR"/>
        </w:rPr>
        <w:t xml:space="preserve">العمل راجیا أو خائفا متقرّب </w:t>
      </w:r>
      <w:r>
        <w:rPr>
          <w:rStyle w:val="FootnoteAnchor"/>
          <w:rtl w:val="true"/>
        </w:rPr>
        <w:footnoteReference w:id="144"/>
      </w:r>
      <w:r>
        <w:rPr>
          <w:rFonts w:ascii="IRNazanin" w:hAnsi="IRNazanin" w:eastAsia="IRNazanin"/>
          <w:color w:val="111111"/>
          <w:sz w:val="28"/>
          <w:sz w:val="28"/>
          <w:szCs w:val="28"/>
          <w:rtl w:val="true"/>
          <w:lang w:bidi="fa-IR"/>
        </w:rPr>
        <w:t xml:space="preserve">و إن کان الداعی إلی فعله هو الخوف، فالعامل لأجل الخوف مستحقّ للثواب لقربه و إن لم یقصد بعمله </w:t>
      </w:r>
      <w:r>
        <w:rPr>
          <w:rStyle w:val="FootnoteAnchor"/>
          <w:rtl w:val="true"/>
        </w:rPr>
        <w:footnoteReference w:id="145"/>
      </w:r>
      <w:r>
        <w:rPr>
          <w:rFonts w:ascii="IRNazanin" w:hAnsi="IRNazanin" w:eastAsia="IRNazanin"/>
          <w:color w:val="111111"/>
          <w:sz w:val="28"/>
          <w:sz w:val="28"/>
          <w:szCs w:val="28"/>
          <w:rtl w:val="true"/>
          <w:lang w:bidi="fa-IR"/>
        </w:rPr>
        <w:t xml:space="preserve">حصول الثواب، فإنّ من عظّم السلطان خوفا یستحقّ ما یستحقّه الطامعون، و لیس هذا إلّا لاستحقاقه المدح، و لذا مدح اللّٰه الراجین و الخائفین، فما ذکره العلّامة فی أجوبة المسائل من أنّ هذا الشخص لا یسمّی جوادا </w:t>
      </w:r>
      <w:r>
        <w:rPr>
          <w:rStyle w:val="FootnoteAnchor"/>
          <w:rtl w:val="true"/>
        </w:rPr>
        <w:footnoteReference w:id="146"/>
      </w:r>
      <w:r>
        <w:rPr>
          <w:rFonts w:ascii="IRNazanin" w:hAnsi="IRNazanin" w:eastAsia="IRNazanin"/>
          <w:color w:val="111111"/>
          <w:sz w:val="28"/>
          <w:sz w:val="28"/>
          <w:szCs w:val="28"/>
          <w:rtl w:val="true"/>
          <w:lang w:bidi="fa-IR"/>
        </w:rPr>
        <w:t>حقّ، إلّا أنّه یوصف بحسن الیقین و کونه مطمئنّا بما وعد اللّٰه خائفا ممّا أوعده غیر مغرور بملاذّ الدنیا، و لا ریب فی استحقاق هذا الشخص للمدح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خاف و لم یرد بعمله دفع الخوف و لم یرد بعمله جلب المرجوّ، بل عمل للّٰه و رجا الدفع و الجلب من تفضّله لا مجازاته، کان أعلی مرتبة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دعواها إلّا لمن ادّعاها بقوله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طمعا فی جنتک و لکن وجدتک أهلا للعبادة فعبدتک</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و المراد إنّی و إن کنت طامعا خائفا لکن لا أرید بعبادتی جلب المرجو و لا دفع المخوف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الآیات و الأخبار الواردة فی بیان ثواب الطاعات و عقاب العاصی، و الأمر بتحصیل ثواب اللّٰه و دفع العقاب، مضافا إلی ما دلّ </w:t>
      </w:r>
      <w:r>
        <w:rPr>
          <w:rStyle w:val="FootnoteAnchor"/>
          <w:rtl w:val="true"/>
        </w:rPr>
        <w:footnoteReference w:id="148"/>
      </w:r>
      <w:r>
        <w:rPr>
          <w:rFonts w:ascii="IRNazanin" w:hAnsi="IRNazanin" w:eastAsia="IRNazanin"/>
          <w:color w:val="111111"/>
          <w:sz w:val="28"/>
          <w:sz w:val="28"/>
          <w:szCs w:val="28"/>
          <w:rtl w:val="true"/>
          <w:lang w:bidi="fa-IR"/>
        </w:rPr>
        <w:t>علی أنّ العبادة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الاجراء، و عبادة العبید، و عبادة</w:t>
      </w:r>
    </w:p>
    <w:p>
      <w:pPr>
        <w:pStyle w:val="BookText"/>
        <w:rPr/>
      </w:pPr>
      <w:r>
        <w:rPr>
          <w:rFonts w:ascii="IRNazanin" w:hAnsi="IRNazanin" w:eastAsia="IRNazanin"/>
          <w:color w:val="111111"/>
          <w:sz w:val="28"/>
          <w:sz w:val="28"/>
          <w:szCs w:val="28"/>
          <w:rtl w:val="true"/>
          <w:lang w:bidi="fa-IR"/>
        </w:rPr>
        <w:t>الأحرار، و هی أفضل، فإنّ التفضیل یدلّ علی صحّة الأوّلین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الثابت من أدلّة وجوب التعبّد فیما ثبت کونها عبادة هو لزوم صدق الإطاعة أو حصول غرض الشارع من الأمر بهذه العبادات و هو القرب، و الأوّل مستلزم للثانی، لما ذکرنا من أنّ المطیع یحصل له بترجیح داعی الأمر علی داعی الهوی، و الاعتناء بوعد الشارع و وعیده قرب </w:t>
      </w:r>
      <w:r>
        <w:rPr>
          <w:rStyle w:val="FootnoteAnchor"/>
          <w:rtl w:val="true"/>
        </w:rPr>
        <w:footnoteReference w:id="149"/>
      </w:r>
      <w:r>
        <w:rPr>
          <w:rFonts w:ascii="IRNazanin" w:hAnsi="IRNazanin" w:eastAsia="IRNazanin"/>
          <w:color w:val="111111"/>
          <w:sz w:val="28"/>
          <w:sz w:val="28"/>
          <w:szCs w:val="28"/>
          <w:rtl w:val="true"/>
          <w:lang w:bidi="fa-IR"/>
        </w:rPr>
        <w:t>فیکفی تحقّق الثانی و إن لم یصدق الأوّل کما فیمن یفعل الفعل لأجل المصلحة الکافیة الداعیة إلی إیجاب الشارع له إذا کانت ممّا یتعلّق بأمر الآخرة، لأنّ مرجعه حینئذ إلی حصول القرب به و إن لم یصدق هنا الإطاعة إلّا أنّ الغرض منها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المصلحة الموجودة فیه من قبیل الخواصّ الراجعة إلی الأمور الدنیویة کأن علم بالتجربة أنّ صلاة اللیل یدرّ الرزق مع قطع النظر عن أمر الشارع لم یصح </w:t>
      </w:r>
      <w:r>
        <w:rPr>
          <w:rStyle w:val="FootnoteAnchor"/>
          <w:rtl w:val="true"/>
        </w:rPr>
        <w:footnoteReference w:id="150"/>
      </w:r>
      <w:r>
        <w:rPr>
          <w:rFonts w:ascii="IRNazanin" w:hAnsi="IRNazanin" w:eastAsia="IRNazanin"/>
          <w:color w:val="111111"/>
          <w:sz w:val="28"/>
          <w:sz w:val="28"/>
          <w:szCs w:val="28"/>
          <w:rtl w:val="true"/>
          <w:lang w:bidi="fa-IR"/>
        </w:rPr>
        <w:t>العمل إذا فعله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ترتّب ذلک الأمر الدنیوی علی إطاعة اللّٰه عزّ و جلّ فی مثل صلاة الحاجات التی یتوصّل بطاعة اللّٰه إلیها و لیس المقصود هی الحاجات نفسها، بل لو قصد الثواب علی هذا الوجه أیضا و کان الداعی علی فعل العبادات مجرّد الثواب لا لأنّه أمر به المولی، کان العمل فاسدا، و لعلّه مراد من ذکر بطلان العبادة بقصدهما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محکیّ النهایة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إیقاع الواجب لوجوبه و المندوب لندبه أو لوجههما لا للریاء و طلب الثواب و غیرهما </w:t>
      </w:r>
      <w:r>
        <w:rPr>
          <w:rStyle w:val="FootnoteAnchor"/>
          <w:rtl w:val="true"/>
        </w:rPr>
        <w:footnoteReference w:id="1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موافقة من تقدّم إلیهم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إرادة الثواب یعنی مطلق العوض من اللّٰه، لا من حیث الإطاعة کالأجیر علی العمل، فإنّ الفرق بینه و بین الخادم الذی یخدم لأجل انتظام معاشه واضح، فإنّ الأوّل یطلب العوض بإزاء العمل و الثانی بإزاء الإطاعة، و یحتمل أن یرید من الثواب العوض العائد علیه عن المخلوقین، من حیث کونه فی اعتقادهم من أهل الصلاح الذین أمر اللّٰه بصلتهم و الإحسان إلیهم، فیکون تفسیرا للریاء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لوجوبه أو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الغایة الأصلیة التی هی القربة، و لذا احترز بها عن الریاء و طلب الثواب، ففیه تأیید لما قدّمنا فی الوجوب الغائی من کونه بالمعنی الشرعی راجعا إلی قصد القربة </w:t>
      </w:r>
      <w:r>
        <w:rPr>
          <w:rStyle w:val="FootnoteAnchor"/>
          <w:rtl w:val="true"/>
        </w:rPr>
        <w:footnoteReference w:id="152"/>
      </w:r>
      <w:r>
        <w:rPr>
          <w:rFonts w:ascii="IRNazanin" w:hAnsi="IRNazanin" w:eastAsia="IRNazanin"/>
          <w:color w:val="111111"/>
          <w:sz w:val="28"/>
          <w:sz w:val="28"/>
          <w:szCs w:val="28"/>
          <w:rtl w:val="true"/>
          <w:lang w:bidi="fa-IR"/>
        </w:rPr>
        <w:t>، و لما ذکرنا من أنّه یکفی عن قصد الأمر قصد الوجه الموجب لإیجاب الشارع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المبیح للصلاة لا مطلق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اعتبارهما فیه اتّفاقا کما ستظهر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ذکر من الوجه و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کتب الشیخ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اشترط بالطهارة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اللمعة </w:t>
      </w:r>
      <w:r>
        <w:rPr>
          <w:rStyle w:val="FootnoteAnchor"/>
          <w:rtl w:val="true"/>
        </w:rPr>
        <w:footnoteReference w:id="156"/>
      </w:r>
      <w:r>
        <w:rPr>
          <w:rFonts w:ascii="IRNazanin" w:hAnsi="IRNazanin" w:eastAsia="IRNazanin"/>
          <w:color w:val="111111"/>
          <w:sz w:val="28"/>
          <w:sz w:val="28"/>
          <w:szCs w:val="28"/>
          <w:rtl w:val="true"/>
          <w:lang w:bidi="fa-IR"/>
        </w:rPr>
        <w:t xml:space="preserve">تبعا للمحکی فی غایة المراد عن السیّد </w:t>
      </w:r>
      <w:r>
        <w:rPr>
          <w:rStyle w:val="FootnoteAnchor"/>
          <w:rtl w:val="true"/>
        </w:rPr>
        <w:footnoteReference w:id="157"/>
      </w:r>
      <w:r>
        <w:rPr>
          <w:rFonts w:ascii="IRNazanin" w:hAnsi="IRNazanin" w:eastAsia="IRNazanin"/>
          <w:color w:val="111111"/>
          <w:sz w:val="28"/>
          <w:sz w:val="28"/>
          <w:szCs w:val="28"/>
          <w:rtl w:val="true"/>
          <w:lang w:bidi="fa-IR"/>
        </w:rPr>
        <w:t>، أو أحدهما کما فی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158"/>
      </w:r>
      <w:r>
        <w:rPr>
          <w:rFonts w:ascii="IRNazanin" w:hAnsi="IRNazanin" w:eastAsia="IRNazanin"/>
          <w:color w:val="111111"/>
          <w:sz w:val="28"/>
          <w:sz w:val="28"/>
          <w:szCs w:val="28"/>
          <w:rtl w:val="true"/>
          <w:lang w:bidi="fa-IR"/>
        </w:rPr>
        <w:t xml:space="preserve">و موضع من الوسیلة </w:t>
      </w:r>
      <w:r>
        <w:rPr>
          <w:rStyle w:val="FootnoteAnchor"/>
          <w:rtl w:val="true"/>
        </w:rPr>
        <w:footnoteReference w:id="159"/>
      </w:r>
      <w:r>
        <w:rPr>
          <w:rFonts w:ascii="IRNazanin" w:hAnsi="IRNazanin" w:eastAsia="IRNazanin"/>
          <w:color w:val="111111"/>
          <w:sz w:val="28"/>
          <w:sz w:val="28"/>
          <w:szCs w:val="28"/>
          <w:rtl w:val="true"/>
          <w:lang w:bidi="fa-IR"/>
        </w:rPr>
        <w:t xml:space="preserve">و السرائر مدّعیا علیه إجماعنا </w:t>
      </w:r>
      <w:r>
        <w:rPr>
          <w:rStyle w:val="FootnoteAnchor"/>
          <w:rtl w:val="true"/>
        </w:rPr>
        <w:footnoteReference w:id="160"/>
      </w:r>
      <w:r>
        <w:rPr>
          <w:rFonts w:ascii="IRNazanin" w:hAnsi="IRNazanin" w:eastAsia="IRNazanin"/>
          <w:color w:val="111111"/>
          <w:sz w:val="28"/>
          <w:sz w:val="28"/>
          <w:szCs w:val="28"/>
          <w:rtl w:val="true"/>
          <w:lang w:bidi="fa-IR"/>
        </w:rPr>
        <w:t xml:space="preserve">، و المعتبر </w:t>
      </w:r>
      <w:r>
        <w:rPr>
          <w:rStyle w:val="FootnoteAnchor"/>
          <w:rtl w:val="true"/>
        </w:rPr>
        <w:footnoteReference w:id="161"/>
      </w:r>
      <w:r>
        <w:rPr>
          <w:rFonts w:ascii="IRNazanin" w:hAnsi="IRNazanin" w:eastAsia="IRNazanin"/>
          <w:color w:val="111111"/>
          <w:sz w:val="28"/>
          <w:sz w:val="28"/>
          <w:szCs w:val="28"/>
          <w:rtl w:val="true"/>
          <w:lang w:bidi="fa-IR"/>
        </w:rPr>
        <w:t xml:space="preserve">و أکثر کتب العلّامة </w:t>
      </w:r>
      <w:r>
        <w:rPr>
          <w:rStyle w:val="FootnoteAnchor"/>
          <w:rtl w:val="true"/>
        </w:rPr>
        <w:footnoteReference w:id="162"/>
      </w:r>
      <w:r>
        <w:rPr>
          <w:rFonts w:ascii="IRNazanin" w:hAnsi="IRNazanin" w:eastAsia="IRNazanin"/>
          <w:color w:val="111111"/>
          <w:sz w:val="28"/>
          <w:sz w:val="28"/>
          <w:szCs w:val="28"/>
          <w:rtl w:val="true"/>
          <w:lang w:bidi="fa-IR"/>
        </w:rPr>
        <w:t xml:space="preserve">و الشهید </w:t>
      </w:r>
      <w:r>
        <w:rPr>
          <w:rStyle w:val="FootnoteAnchor"/>
          <w:rtl w:val="true"/>
        </w:rPr>
        <w:footnoteReference w:id="163"/>
      </w:r>
      <w:r>
        <w:rPr>
          <w:rFonts w:ascii="IRNazanin" w:hAnsi="IRNazanin" w:eastAsia="IRNazanin"/>
          <w:color w:val="111111"/>
          <w:sz w:val="28"/>
          <w:sz w:val="28"/>
          <w:szCs w:val="28"/>
          <w:rtl w:val="true"/>
          <w:lang w:bidi="fa-IR"/>
        </w:rPr>
        <w:t xml:space="preserve">، و فخر الدین فی رسالة النیّة </w:t>
      </w:r>
      <w:r>
        <w:rPr>
          <w:rStyle w:val="FootnoteAnchor"/>
          <w:rtl w:val="true"/>
        </w:rPr>
        <w:footnoteReference w:id="164"/>
      </w:r>
      <w:r>
        <w:rPr>
          <w:rFonts w:ascii="IRNazanin" w:hAnsi="IRNazanin" w:eastAsia="IRNazanin"/>
          <w:color w:val="111111"/>
          <w:sz w:val="28"/>
          <w:sz w:val="28"/>
          <w:szCs w:val="28"/>
          <w:rtl w:val="true"/>
          <w:lang w:bidi="fa-IR"/>
        </w:rPr>
        <w:t xml:space="preserve">و غیرهم </w:t>
      </w:r>
      <w:r>
        <w:rPr>
          <w:rStyle w:val="FootnoteAnchor"/>
          <w:rtl w:val="true"/>
        </w:rPr>
        <w:footnoteReference w:id="165"/>
      </w:r>
      <w:r>
        <w:rPr>
          <w:rFonts w:ascii="IRNazanin" w:hAnsi="IRNazanin" w:eastAsia="IRNazanin"/>
          <w:color w:val="111111"/>
          <w:sz w:val="28"/>
          <w:sz w:val="28"/>
          <w:szCs w:val="28"/>
          <w:rtl w:val="true"/>
          <w:lang w:bidi="fa-IR"/>
        </w:rPr>
        <w:t xml:space="preserve">، أو کلاهما کما هو ظاهر الکافی </w:t>
      </w:r>
      <w:r>
        <w:rPr>
          <w:rStyle w:val="FootnoteAnchor"/>
          <w:rtl w:val="true"/>
        </w:rPr>
        <w:footnoteReference w:id="166"/>
      </w:r>
      <w:r>
        <w:rPr>
          <w:rFonts w:ascii="IRNazanin" w:hAnsi="IRNazanin" w:eastAsia="IRNazanin"/>
          <w:color w:val="111111"/>
          <w:sz w:val="28"/>
          <w:sz w:val="28"/>
          <w:szCs w:val="28"/>
          <w:rtl w:val="true"/>
          <w:lang w:bidi="fa-IR"/>
        </w:rPr>
        <w:t xml:space="preserve">و الغنیة </w:t>
      </w:r>
      <w:r>
        <w:rPr>
          <w:rStyle w:val="FootnoteAnchor"/>
          <w:rtl w:val="true"/>
        </w:rPr>
        <w:footnoteReference w:id="167"/>
      </w:r>
      <w:r>
        <w:rPr>
          <w:rFonts w:ascii="IRNazanin" w:hAnsi="IRNazanin" w:eastAsia="IRNazanin"/>
          <w:color w:val="111111"/>
          <w:sz w:val="28"/>
          <w:sz w:val="28"/>
          <w:szCs w:val="28"/>
          <w:rtl w:val="true"/>
          <w:lang w:bidi="fa-IR"/>
        </w:rPr>
        <w:t xml:space="preserve">و موضع آخر من الوسیلة </w:t>
      </w:r>
      <w:r>
        <w:rPr>
          <w:rStyle w:val="FootnoteAnchor"/>
          <w:rtl w:val="true"/>
        </w:rPr>
        <w:footnoteReference w:id="168"/>
      </w:r>
      <w:r>
        <w:rPr>
          <w:rFonts w:ascii="IRNazanin" w:hAnsi="IRNazanin" w:eastAsia="IRNazanin"/>
          <w:color w:val="111111"/>
          <w:sz w:val="28"/>
          <w:sz w:val="28"/>
          <w:szCs w:val="28"/>
          <w:rtl w:val="true"/>
          <w:lang w:bidi="fa-IR"/>
        </w:rPr>
        <w:t xml:space="preserve">و حکی عن الإصباح </w:t>
      </w:r>
      <w:r>
        <w:rPr>
          <w:rStyle w:val="FootnoteAnchor"/>
          <w:rtl w:val="true"/>
        </w:rPr>
        <w:footnoteReference w:id="169"/>
      </w:r>
      <w:r>
        <w:rPr>
          <w:rFonts w:ascii="IRNazanin" w:hAnsi="IRNazanin" w:eastAsia="IRNazanin"/>
          <w:color w:val="111111"/>
          <w:sz w:val="28"/>
          <w:sz w:val="28"/>
          <w:szCs w:val="28"/>
          <w:rtl w:val="true"/>
          <w:lang w:bidi="fa-IR"/>
        </w:rPr>
        <w:t xml:space="preserve">و الرازی </w:t>
      </w:r>
      <w:r>
        <w:rPr>
          <w:rStyle w:val="FootnoteAnchor"/>
          <w:rtl w:val="true"/>
        </w:rPr>
        <w:footnoteReference w:id="170"/>
      </w:r>
      <w:r>
        <w:rPr>
          <w:rFonts w:ascii="IRNazanin" w:hAnsi="IRNazanin" w:eastAsia="IRNazanin"/>
          <w:color w:val="111111"/>
          <w:sz w:val="28"/>
          <w:sz w:val="28"/>
          <w:szCs w:val="28"/>
          <w:rtl w:val="true"/>
          <w:lang w:bidi="fa-IR"/>
        </w:rPr>
        <w:t xml:space="preserve">و المصری </w:t>
      </w:r>
      <w:r>
        <w:rPr>
          <w:rStyle w:val="FootnoteAnchor"/>
          <w:rtl w:val="true"/>
        </w:rPr>
        <w:footnoteReference w:id="171"/>
      </w:r>
      <w:r>
        <w:rPr>
          <w:rFonts w:ascii="IRNazanin" w:hAnsi="IRNazanin" w:eastAsia="IRNazanin"/>
          <w:color w:val="111111"/>
          <w:sz w:val="28"/>
          <w:sz w:val="28"/>
          <w:szCs w:val="28"/>
          <w:rtl w:val="true"/>
          <w:lang w:bidi="fa-IR"/>
        </w:rPr>
        <w:t xml:space="preserve">و القاضی </w:t>
      </w:r>
      <w:r>
        <w:rPr>
          <w:rStyle w:val="FootnoteAnchor"/>
          <w:rtl w:val="true"/>
        </w:rPr>
        <w:footnoteReference w:id="172"/>
      </w:r>
      <w:r>
        <w:rPr>
          <w:rFonts w:ascii="IRNazanin" w:hAnsi="IRNazanin" w:eastAsia="IRNazanin"/>
          <w:color w:val="111111"/>
          <w:sz w:val="28"/>
          <w:sz w:val="28"/>
          <w:szCs w:val="28"/>
          <w:rtl w:val="true"/>
          <w:lang w:bidi="fa-IR"/>
        </w:rPr>
        <w:t xml:space="preserve">، أو لا یجب شی‌ء منهما کما هو ظاهر النهایة </w:t>
      </w:r>
      <w:r>
        <w:rPr>
          <w:rStyle w:val="FootnoteAnchor"/>
          <w:rtl w:val="true"/>
        </w:rPr>
        <w:footnoteReference w:id="173"/>
      </w:r>
      <w:r>
        <w:rPr>
          <w:rFonts w:ascii="IRNazanin" w:hAnsi="IRNazanin" w:eastAsia="IRNazanin"/>
          <w:color w:val="111111"/>
          <w:sz w:val="28"/>
          <w:sz w:val="28"/>
          <w:szCs w:val="28"/>
          <w:rtl w:val="true"/>
          <w:lang w:bidi="fa-IR"/>
        </w:rPr>
        <w:t xml:space="preserve">و المحکی عن البشری </w:t>
      </w:r>
      <w:r>
        <w:rPr>
          <w:rStyle w:val="FootnoteAnchor"/>
          <w:rtl w:val="true"/>
        </w:rPr>
        <w:footnoteReference w:id="174"/>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عند المصنّف قدّس سرّه الأخیر،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منهما، و علیه جماعة من متأخّری المتأخّرین </w:t>
      </w:r>
      <w:r>
        <w:rPr>
          <w:rStyle w:val="FootnoteAnchor"/>
          <w:rtl w:val="true"/>
        </w:rPr>
        <w:footnoteReference w:id="175"/>
      </w:r>
      <w:r>
        <w:rPr>
          <w:rFonts w:ascii="IRNazanin" w:hAnsi="IRNazanin" w:eastAsia="IRNazanin"/>
          <w:color w:val="111111"/>
          <w:sz w:val="28"/>
          <w:sz w:val="28"/>
          <w:szCs w:val="28"/>
          <w:rtl w:val="true"/>
          <w:lang w:bidi="fa-IR"/>
        </w:rPr>
        <w:t>، للاتّفاق علی أنّه لا یجب أن ینوی فی الفعل ما عدا مشخّصاته و غایته و لا شی‌ء منهما غایة له و لا مشخّصا، لأنّهما أثران مترتبان علی إیقاع الوضوء بقیوده المشخّصة لغایة القربة، فالرفع و الإباحة من أحکام امتثال الأمر بالوضوء و إتیانه علی الوجه الذی أمر به، لا من الوجوه التی یقع الوضوء علیها حتّی یجب أخذه قیدا للفعل لیوقع الفعل المقید به قربة إلی اللّٰه، فالوضوء المعیّن المأتی به قربة إلی اللّٰه رافع للحدث و مبیح للصلاة، لا أنّ الوضوء المعین الرافع للحدث أو المبیح للصلاة مأتی به قربة إلی اللّٰه، کیف؟ و لو کان الفعل المعیّن فی نفسه رافعا للحدث أو مبیحا للصلاة لم یشترط فی صحّة الوضوء قصد القربة، لأنّ رفع الحدث حینئذ کرفع الخبث یکفی فی سقوط الأمر مجرّد وجوده فی الخارج بأی غایة کان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فساد الاستدلال علی اعتبار أحدهما </w:t>
      </w:r>
      <w:r>
        <w:rPr>
          <w:rStyle w:val="FootnoteAnchor"/>
          <w:rtl w:val="true"/>
        </w:rPr>
        <w:footnoteReference w:id="176"/>
      </w:r>
      <w:r>
        <w:rPr>
          <w:rFonts w:ascii="IRNazanin" w:hAnsi="IRNazanin" w:eastAsia="IRNazanin"/>
          <w:color w:val="111111"/>
          <w:sz w:val="28"/>
          <w:sz w:val="28"/>
          <w:szCs w:val="28"/>
          <w:rtl w:val="true"/>
          <w:lang w:bidi="fa-IR"/>
        </w:rPr>
        <w:t>بما دلّ علی وجوب الوضوء من حیث کونه طهورا،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الصلاة و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فیجب قصد العنوان المأمور به، لعدم تحقّق الامتثال بدونه، بل عرفت سابقا وجوب قصد قیود العنوان، فلا بدّ أن یقصد إلی هذه الأفعال بعنوان حصول الطهارة و رفع الحدث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الأمر متعلّقا بعنوان التطهیر أعنی رفع الحدث أو استباحة الصلاة کان ذلک الأمر توصّلیا قطعا، إذ لا یقصد منه عدا حصول التطهیر فی الخارج و لو لم یقصده و لم یشعر به، إذ بعد حصوله علی أی وجه یسقط الأمر جزما، فالمأمور به بالأمر التعبّدی المدخل له فی العبادات المعتبر فیها قصد القربة هی الأفعال التی تصیر سببا لحصول التطهّر فی الخارج بعد إتیانها فی الخارج منویّا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تعیّنها بجمیع مشخّصاتها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التقرّب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الأمر بالتطهر کلّ أمر یعنون بعنوان مترتّب علی عبادة، کأوامر الإطاعة و ما فی معناها کقول الآمر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أبرئ ذمّتک ممّا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کلّها أوامر توصّلیة لم تصدر لغرض التعبّد بمضمونها و إنّما أرید حصول مضمونها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المأمور به علی جهة التعبّد لم یؤخذ فیه رفع الحدث، و الذی أخذ فیه رفع الحدث لم یؤمر به علی جهة العبادة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أیضا یظهر ضعف ما استدلّ به فی المعتبر </w:t>
      </w:r>
      <w:r>
        <w:rPr>
          <w:rStyle w:val="FootnoteAnchor"/>
          <w:rtl w:val="true"/>
        </w:rPr>
        <w:footnoteReference w:id="178"/>
      </w:r>
      <w:r>
        <w:rPr>
          <w:rFonts w:ascii="IRNazanin" w:hAnsi="IRNazanin" w:eastAsia="IRNazanin"/>
          <w:color w:val="111111"/>
          <w:sz w:val="28"/>
          <w:sz w:val="28"/>
          <w:szCs w:val="28"/>
          <w:rtl w:val="true"/>
          <w:lang w:bidi="fa-IR"/>
        </w:rPr>
        <w:t xml:space="preserve">و المنتهی </w:t>
      </w:r>
      <w:r>
        <w:rPr>
          <w:rStyle w:val="FootnoteAnchor"/>
          <w:rtl w:val="true"/>
        </w:rPr>
        <w:footnoteReference w:id="179"/>
      </w:r>
      <w:r>
        <w:rPr>
          <w:rFonts w:ascii="IRNazanin" w:hAnsi="IRNazanin" w:eastAsia="IRNazanin"/>
          <w:color w:val="111111"/>
          <w:sz w:val="28"/>
          <w:sz w:val="28"/>
          <w:szCs w:val="28"/>
          <w:rtl w:val="true"/>
          <w:lang w:bidi="fa-IR"/>
        </w:rPr>
        <w:t xml:space="preserve">و غیرهما </w:t>
      </w:r>
      <w:r>
        <w:rPr>
          <w:rStyle w:val="FootnoteAnchor"/>
          <w:rtl w:val="true"/>
        </w:rPr>
        <w:footnoteReference w:id="180"/>
      </w:r>
      <w:r>
        <w:rPr>
          <w:rFonts w:ascii="Amiri" w:hAnsi="Amiri" w:eastAsia="Amiri" w:cs="Amiri"/>
          <w:color w:val="111111"/>
          <w:sz w:val="28"/>
          <w:sz w:val="28"/>
          <w:szCs w:val="28"/>
          <w:rtl w:val="true"/>
          <w:lang w:bidi="ar-SA"/>
        </w:rPr>
        <w:t>علی اعتبار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تتحقّق تارة برفع المانع و هو الحدث و اخری برفع منعه کما فی المستحاضة و السلس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 کون ذلک</w:t>
      </w:r>
    </w:p>
    <w:p>
      <w:pPr>
        <w:pStyle w:val="BookText"/>
        <w:rPr/>
      </w:pPr>
      <w:r>
        <w:rPr>
          <w:rFonts w:ascii="IRNazanin" w:hAnsi="IRNazanin" w:eastAsia="IRNazanin"/>
          <w:color w:val="111111"/>
          <w:sz w:val="28"/>
          <w:sz w:val="28"/>
          <w:szCs w:val="28"/>
          <w:rtl w:val="true"/>
          <w:lang w:bidi="fa-IR"/>
        </w:rPr>
        <w:t>لأجل الصلاة،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 الأسد فخذ سلاحک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 الأمیر فخذ أهبتک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إیقاع الأفعال لأجل الصلاة أی إباحتها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یفهم هذا التعلیل فی الآیة کالأمثلة إلّا من تعلیق وجوب الفعل علی إرادة القیام إلی الصلاة، إذ لا وجه لوجوب الفعل عند إرادة ذلک الفعل إلّا توقف ذلک المراد علی ذلک الفعل، لأنّ إرادة الشی‌ء لا یکون سببا لمطلوبیة فعل قبله إلّا لارتباط بینهما، و من المعلوم أنّ الذی یتوقّف علیه الصلاة هو إیقاع هذه الأفعال المشخّصة بجمیع قیودها لغایة الإخلاص،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القیام وجب علیکم من أجل الصلاة هذه الأفعال مع النیّة المشتملة علی الممیّزات و الغایة،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علیکم لأجل الصلاة الوضوء بجمیع شرائطه </w:t>
      </w:r>
      <w:r>
        <w:rPr>
          <w:rStyle w:val="FootnoteAnchor"/>
          <w:rtl w:val="true"/>
        </w:rPr>
        <w:footnoteReference w:id="182"/>
      </w:r>
      <w:r>
        <w:rPr>
          <w:rFonts w:ascii="IRNazanin" w:hAnsi="IRNazanin" w:eastAsia="IRNazanin"/>
          <w:color w:val="111111"/>
          <w:sz w:val="28"/>
          <w:sz w:val="28"/>
          <w:szCs w:val="28"/>
          <w:rtl w:val="true"/>
          <w:lang w:bidi="fa-IR"/>
        </w:rPr>
        <w:t xml:space="preserve">، لا أنّه یجب علیکم هذه الأفعال المقیّدة بقید أنّها للصلاة علی أن یکون قصد کونه للصلاة من مشخصات الفعل، لأنّ هذا ممّا لا یقتضیه سببیّة الشرط للجزاء و لا مقتضی لإرادته من الکلام غیر قضیة </w:t>
      </w:r>
      <w:r>
        <w:rPr>
          <w:rStyle w:val="FootnoteAnchor"/>
          <w:rtl w:val="true"/>
        </w:rPr>
        <w:footnoteReference w:id="183"/>
      </w:r>
      <w:r>
        <w:rPr>
          <w:rFonts w:ascii="IRNazanin" w:hAnsi="IRNazanin" w:eastAsia="IRNazanin"/>
          <w:color w:val="111111"/>
          <w:sz w:val="28"/>
          <w:sz w:val="28"/>
          <w:szCs w:val="28"/>
          <w:rtl w:val="true"/>
          <w:lang w:bidi="fa-IR"/>
        </w:rPr>
        <w:t>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الکلّ الاستدلال علی ذلک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لکلّ امرئ ما نوی</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فإذا لم ینو رفع الحدث لم یقع و إلّا کان له ما لم ینو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یرجع فائدته إلیه، و فائدة هذه الأفعال المنویّة هی الطهارة و رفع الحدث و الفائدة لا تحتاج إلی نیّة، ألا تری أنّه إذا نوی استباحة الصلاة یباح له غیرها ممّا یشترط فیه الطهارة و یکمل له ما یشترط فی کماله و إن لم یخطر ذلک بباله</w:t>
      </w:r>
      <w:r>
        <w:rPr>
          <w:rFonts w:eastAsia="IRNazanin" w:cs="IRNazanin"/>
          <w:color w:val="111111"/>
          <w:sz w:val="28"/>
          <w:szCs w:val="28"/>
          <w:rtl w:val="true"/>
          <w:lang w:bidi="fa-IR"/>
        </w:rPr>
        <w:t>.</w:t>
      </w:r>
      <w:bookmarkStart w:id="47" w:name="pg13035_131552"/>
    </w:p>
    <w:p>
      <w:pPr>
        <w:pStyle w:val="Heading6"/>
        <w:numPr>
          <w:ilvl w:val="5"/>
          <w:numId w:val="1"/>
        </w:numPr>
        <w:rPr/>
      </w:pPr>
      <w:bookmarkStart w:id="48" w:name="__RefHeading___Toc6369886_3224264995"/>
      <w:bookmarkStart w:id="49" w:name="_Toc20"/>
      <w:bookmarkEnd w:id="47"/>
      <w:bookmarkEnd w:id="48"/>
      <w:r>
        <w:rPr>
          <w:rtl w:val="true"/>
        </w:rPr>
        <w:t>بقی فی نیّة الوضوء أمور لا بدّ من التنبیه علیها</w:t>
      </w:r>
      <w:r>
        <w:rPr>
          <w:rtl w:val="true"/>
        </w:rPr>
        <w:t>:</w:t>
      </w:r>
      <w:bookmarkEnd w:id="49"/>
    </w:p>
    <w:p>
      <w:pPr>
        <w:pStyle w:val="Heading6"/>
        <w:numPr>
          <w:ilvl w:val="5"/>
          <w:numId w:val="1"/>
        </w:numPr>
        <w:rPr/>
      </w:pPr>
      <w:bookmarkStart w:id="50" w:name="__RefHeading___Toc6369888_3224264995"/>
      <w:bookmarkStart w:id="51" w:name="_Toc21"/>
      <w:bookmarkEnd w:id="50"/>
      <w:r>
        <w:rPr>
          <w:rtl w:val="true"/>
        </w:rPr>
        <w:t>[</w:t>
      </w:r>
      <w:r>
        <w:rPr>
          <w:rtl w:val="true"/>
        </w:rPr>
        <w:t>الأمر</w:t>
      </w:r>
      <w:r>
        <w:rPr>
          <w:rtl w:val="true"/>
        </w:rPr>
        <w:t xml:space="preserve">] </w:t>
      </w:r>
      <w:r>
        <w:rPr>
          <w:rtl w:val="true"/>
        </w:rPr>
        <w:t>الأوّل</w:t>
      </w:r>
      <w:bookmarkEnd w:id="51"/>
    </w:p>
    <w:p>
      <w:pPr>
        <w:pStyle w:val="BookText"/>
        <w:rPr/>
      </w:pPr>
      <w:r>
        <w:rPr>
          <w:rFonts w:ascii="IRNazanin" w:hAnsi="IRNazanin" w:eastAsia="IRNazanin"/>
          <w:color w:val="111111"/>
          <w:sz w:val="28"/>
          <w:sz w:val="28"/>
          <w:szCs w:val="28"/>
          <w:rtl w:val="true"/>
          <w:lang w:bidi="fa-IR"/>
        </w:rPr>
        <w:t>مقتضی ما ذکرنا کون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الرفع أو الاستباحة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متفرّعة علی تحقّق الوضوء علی وجه العبادة، و المفروض أنّه لا یکون عبادة إلّا بعد الأمر لیتمکّن فیه قصد موافقة إرادة الشارع، و لا أمر بالوضوء لأجل الصلاة إلّا علی وجه الوجوب الغیری المختصّ بالمقدّمات، حیث إنّ رفع المانع و هو الحدث أحد </w:t>
      </w:r>
      <w:r>
        <w:rPr>
          <w:rStyle w:val="FootnoteAnchor"/>
          <w:rtl w:val="true"/>
        </w:rPr>
        <w:footnoteReference w:id="185"/>
      </w:r>
      <w:r>
        <w:rPr>
          <w:rFonts w:ascii="IRNazanin" w:hAnsi="IRNazanin" w:eastAsia="IRNazanin"/>
          <w:color w:val="111111"/>
          <w:sz w:val="28"/>
          <w:sz w:val="28"/>
          <w:szCs w:val="28"/>
          <w:rtl w:val="true"/>
          <w:lang w:bidi="fa-IR"/>
        </w:rPr>
        <w:t>المقدّمات فتحقّق الأمر الغیری یتوقّف علی کونه مقدمة، و مقدّمیته بمعنی رفعه للمانع متوقّفة علی إتیانه علی وجه العبادة المتوقّفة علی الأمر به، فیلزم الدور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الوضوء لأجل الصلاة یتوقّف علی کون الوضوء فی نفسه مقدّمة لها، و هو مناف لما التزمنا من أنّ رفع الحدث الذی باعتباره صار الوضوء مقدّمة من أحکام الإتیان بالوضوء امتثالا للأمر، فلا بدّ إمّا من التزام أمر آخر غیر الوجوب الغیری فیکون امتثاله محصّلا لمقدّمیة الوضوء فیجب من حیث المقدّمیة بالوجوب الغیری، و إمّا من التزام کون الرفع ملحوظا فی الوضوء قبل الأمر الغیری فیصیر منشأ له، لکن الأوّل خلاف الفرض، و الثانی مستلزم لعدم اعتبار القربة فی الوضوء من جهة توقّف رفع الحدث علیها، بل کان رفع الحدث کرفع الخبث من لوازم الفعل، و هو مخالف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الإشکال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فی نفسه له عنوان واقعیّ راجح فی ذاته رافع للحدث بشرط القصد إلی ذلک العنوان و إتیان الفعل من حیث کونه بذلک العنوان، فهی مقدّمة مع قطع النظر عن الأمر فیؤمر به أمرا غیریا، و لمّا کان ذلک العنوان مجهولا لا یمکن القصد إلیه وجب القصد إلیه إجمالا بإتیان ذلک الفعل لأجل إرادة الشارع، فإنّ إرادته و أمره به من حیث ذلک العنوان، فالقصد إلی موافقة أمر الشارع قصد إجمالی إلی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حصول التقرّب للفاعل فباعتبار رجحانه الذاتی الذی لو لا الوجوب الغیری لکان مستحبا نفسیا، بل هو کذلک مع الوجوب الغیری عند بعض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بأنّ الوجوب الغیریّ لا یصیر منشأ للتقرب، و الاستحباب فعلا غیر موجود حتّی یتقرب بامتثاله، لأنّ المفروض إیقاع الفعل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بمنع عدم حصول التقرّب بالواجب الغیریّ إذا کان فی نفسه عبادة مطلوبة ندبا، نظیر الصوم الذی یجب مقدّمة للاعتکاف المنذور، غایة الأمر عدم زیادة ثوابه لأجل هذا الوجوب، فإنّه لا یوجب الثواب و لا یزیله، لکن یبقی الإشکال فی التیمّم بناء علی عدم رجحانه فی نفسه فلا منشأ لحصول التقرب فیه، فتأمّل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فی نفسه لیست مقدّمة فعلیة و إنّما هو یصیر مقدّمة إذا أتی به علی وجه العبادة، فإذا أراد الشارع الصلاة المتوقّفة علی تلک المقدّمة الموقوفة مقدّمیتها علی الأمر وجب الأمر به مع نصب الدلالة علی وجوب</w:t>
      </w:r>
      <w:bookmarkStart w:id="52" w:name="pg13035_131554"/>
    </w:p>
    <w:p>
      <w:pPr>
        <w:pStyle w:val="BookText"/>
        <w:rPr/>
      </w:pPr>
      <w:bookmarkEnd w:id="52"/>
      <w:r>
        <w:rPr>
          <w:rFonts w:ascii="IRNazanin" w:hAnsi="IRNazanin" w:eastAsia="IRNazanin"/>
          <w:color w:val="111111"/>
          <w:sz w:val="28"/>
          <w:sz w:val="28"/>
          <w:szCs w:val="28"/>
          <w:rtl w:val="true"/>
          <w:lang w:bidi="fa-IR"/>
        </w:rPr>
        <w:t>الإتیان به علی وجه العبادة، بناء علی أنّ وجوب قصد التعبّد فی الأوامر إنما فهم من الخارج لا من نفس الأمر، فهذا الأمر محقّق لمقدمیته مغن عن أمر آخر به بعد صیرورته مقدّمة، و المسألة محتاجة إلی التأمّل</w:t>
      </w:r>
      <w:r>
        <w:rPr>
          <w:rFonts w:eastAsia="IRNazanin" w:cs="IRNazanin"/>
          <w:color w:val="111111"/>
          <w:sz w:val="28"/>
          <w:szCs w:val="28"/>
          <w:rtl w:val="true"/>
          <w:lang w:bidi="fa-IR"/>
        </w:rPr>
        <w:t>.</w:t>
      </w:r>
    </w:p>
    <w:p>
      <w:pPr>
        <w:pStyle w:val="Heading6"/>
        <w:numPr>
          <w:ilvl w:val="5"/>
          <w:numId w:val="1"/>
        </w:numPr>
        <w:rPr/>
      </w:pPr>
      <w:bookmarkStart w:id="53" w:name="__RefHeading___Toc6369890_3224264995"/>
      <w:bookmarkStart w:id="54" w:name="_Toc22"/>
      <w:bookmarkEnd w:id="53"/>
      <w:r>
        <w:rPr>
          <w:rtl w:val="true"/>
        </w:rPr>
        <w:t>[</w:t>
      </w:r>
      <w:r>
        <w:rPr>
          <w:rtl w:val="true"/>
        </w:rPr>
        <w:t>الأمر</w:t>
      </w:r>
      <w:r>
        <w:rPr>
          <w:rtl w:val="true"/>
        </w:rPr>
        <w:t xml:space="preserve">] </w:t>
      </w:r>
      <w:r>
        <w:rPr>
          <w:rtl w:val="true"/>
        </w:rPr>
        <w:t>الثانی</w:t>
      </w:r>
      <w:bookmarkEnd w:id="54"/>
    </w:p>
    <w:p>
      <w:pPr>
        <w:pStyle w:val="Heading6"/>
        <w:numPr>
          <w:ilvl w:val="5"/>
          <w:numId w:val="1"/>
        </w:numPr>
        <w:rPr/>
      </w:pPr>
      <w:bookmarkStart w:id="55" w:name="__RefHeading___Toc6369892_3224264995"/>
      <w:bookmarkStart w:id="56" w:name="_Toc23"/>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حکی فی الحدائق عن بعض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لیس من نیّته فعل الصلاة بعد الوضوء لا یجوز له الوضوء و لو فعله کان باطلا بل لو کان من نیّته فعل الصلاة و لم یفعلها تبیّن بطلانه </w:t>
      </w:r>
      <w:r>
        <w:rPr>
          <w:rStyle w:val="FootnoteAnchor"/>
          <w:rtl w:val="true"/>
        </w:rPr>
        <w:footnoteReference w:id="1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6"/>
        <w:numPr>
          <w:ilvl w:val="5"/>
          <w:numId w:val="1"/>
        </w:numPr>
        <w:rPr/>
      </w:pPr>
      <w:bookmarkStart w:id="57" w:name="__RefHeading___Toc6369894_3224264995"/>
      <w:bookmarkStart w:id="58" w:name="_Toc24"/>
      <w:bookmarkEnd w:id="57"/>
      <w:r>
        <w:rPr>
          <w:rtl w:val="true"/>
        </w:rPr>
        <w:t>الکلام هنا فی مقامات</w:t>
      </w:r>
      <w:r>
        <w:rPr>
          <w:rtl w:val="true"/>
        </w:rPr>
        <w:t>:</w:t>
      </w:r>
      <w:bookmarkEnd w:id="58"/>
    </w:p>
    <w:p>
      <w:pPr>
        <w:pStyle w:val="Heading6"/>
        <w:numPr>
          <w:ilvl w:val="5"/>
          <w:numId w:val="1"/>
        </w:numPr>
        <w:rPr/>
      </w:pPr>
      <w:bookmarkStart w:id="59" w:name="__RefHeading___Toc6369896_3224264995"/>
      <w:bookmarkStart w:id="60" w:name="_Toc25"/>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الوضوء بنیّة الوجوب و عدمه لمن لم یرد فعل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الوضوء 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نواها و لم یفعلها، فهل ینکشف بذلک بطلان الوضوء، أم لا؟</w:t>
      </w:r>
    </w:p>
    <w:p>
      <w:pPr>
        <w:pStyle w:val="Heading6"/>
        <w:numPr>
          <w:ilvl w:val="5"/>
          <w:numId w:val="1"/>
        </w:numPr>
        <w:rPr/>
      </w:pPr>
      <w:bookmarkStart w:id="61" w:name="__RefHeading___Toc6369898_3224264995"/>
      <w:bookmarkStart w:id="62" w:name="_Toc26"/>
      <w:bookmarkEnd w:id="61"/>
      <w:r>
        <w:rPr>
          <w:rtl w:val="true"/>
        </w:rPr>
        <w:t>أمّا المقام الأوّل</w:t>
      </w:r>
      <w:r>
        <w:rPr>
          <w:rtl w:val="true"/>
        </w:rPr>
        <w:t>:</w:t>
      </w:r>
      <w:bookmarkEnd w:id="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فصریح کلام جماعة عدم الاعتبار، منهم العلّامة فی جملة من کتبه کالتذکرة </w:t>
      </w:r>
      <w:r>
        <w:rPr>
          <w:rStyle w:val="FootnoteAnchor"/>
          <w:rtl w:val="true"/>
        </w:rPr>
        <w:footnoteReference w:id="188"/>
      </w:r>
      <w:r>
        <w:rPr>
          <w:rFonts w:ascii="IRNazanin" w:hAnsi="IRNazanin" w:eastAsia="IRNazanin"/>
          <w:color w:val="111111"/>
          <w:sz w:val="28"/>
          <w:sz w:val="28"/>
          <w:szCs w:val="28"/>
          <w:rtl w:val="true"/>
          <w:lang w:bidi="fa-IR"/>
        </w:rPr>
        <w:t xml:space="preserve">و المنتهی </w:t>
      </w:r>
      <w:r>
        <w:rPr>
          <w:rStyle w:val="FootnoteAnchor"/>
          <w:rtl w:val="true"/>
        </w:rPr>
        <w:footnoteReference w:id="189"/>
      </w:r>
      <w:r>
        <w:rPr>
          <w:rFonts w:ascii="IRNazanin" w:hAnsi="IRNazanin" w:eastAsia="IRNazanin"/>
          <w:color w:val="111111"/>
          <w:sz w:val="28"/>
          <w:sz w:val="28"/>
          <w:szCs w:val="28"/>
          <w:rtl w:val="true"/>
          <w:lang w:bidi="fa-IR"/>
        </w:rPr>
        <w:t xml:space="preserve">و النهایة </w:t>
      </w:r>
      <w:r>
        <w:rPr>
          <w:rStyle w:val="FootnoteAnchor"/>
          <w:rtl w:val="true"/>
        </w:rPr>
        <w:footnoteReference w:id="190"/>
      </w:r>
      <w:r>
        <w:rPr>
          <w:rFonts w:ascii="IRNazanin" w:hAnsi="IRNazanin" w:eastAsia="IRNazanin"/>
          <w:color w:val="111111"/>
          <w:sz w:val="28"/>
          <w:sz w:val="28"/>
          <w:szCs w:val="28"/>
          <w:rtl w:val="true"/>
          <w:lang w:bidi="fa-IR"/>
        </w:rPr>
        <w:t xml:space="preserve">و القواعد </w:t>
      </w:r>
      <w:r>
        <w:rPr>
          <w:rStyle w:val="FootnoteAnchor"/>
          <w:rtl w:val="true"/>
        </w:rPr>
        <w:footnoteReference w:id="191"/>
      </w:r>
      <w:r>
        <w:rPr>
          <w:rFonts w:ascii="IRNazanin" w:hAnsi="IRNazanin" w:eastAsia="IRNazanin"/>
          <w:color w:val="111111"/>
          <w:sz w:val="28"/>
          <w:sz w:val="28"/>
          <w:szCs w:val="28"/>
          <w:rtl w:val="true"/>
          <w:lang w:bidi="fa-IR"/>
        </w:rPr>
        <w:t>،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لیس علیه</w:t>
      </w:r>
    </w:p>
    <w:p>
      <w:pPr>
        <w:pStyle w:val="BookText"/>
        <w:rPr/>
      </w:pPr>
      <w:r>
        <w:rPr>
          <w:rFonts w:ascii="IRNazanin" w:hAnsi="IRNazanin" w:eastAsia="IRNazanin"/>
          <w:color w:val="111111"/>
          <w:sz w:val="28"/>
          <w:sz w:val="28"/>
          <w:szCs w:val="28"/>
          <w:rtl w:val="true"/>
          <w:lang w:bidi="fa-IR"/>
        </w:rPr>
        <w:t>واجب فنوی بالوضوء الوجوب و صلّی به أعاد الصلاة، فإن تعدّدتا یعنی الصلاة و الطهارة مع تخلّل الحدث أعاد الأولی،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صحّة نیّة الوجوب من دون التفات إلی اشتغال ذمّته بواجب تقتضی صحّته مع الالتفات و إن لم یرد الفعل بطریق أولی، و قد حکی هذا عن ولده فخر الدین قدّس سرّه،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الذی نبّه والده علی ذلک بعد أن أفتی بوجوب إعادة الکلّ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ناقشها جامع المقاصد و غیره </w:t>
      </w:r>
      <w:r>
        <w:rPr>
          <w:rStyle w:val="FootnoteAnchor"/>
          <w:rtl w:val="true"/>
        </w:rPr>
        <w:footnoteReference w:id="193"/>
      </w:r>
      <w:r>
        <w:rPr>
          <w:rFonts w:ascii="IRNazanin" w:hAnsi="IRNazanin" w:eastAsia="IRNazanin"/>
          <w:color w:val="111111"/>
          <w:sz w:val="28"/>
          <w:sz w:val="28"/>
          <w:szCs w:val="28"/>
          <w:rtl w:val="true"/>
          <w:lang w:bidi="fa-IR"/>
        </w:rPr>
        <w:t>فی صحّة نیّة الوجوب مع عدم اعتقاده بل اعتقاده عدمه، لکن هذا أجنبی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صریح الذکری،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موجب ینوی الوجوب فی طهارته ما دام کذلک فلو نوی الندب عمدا أو غلطا بنی علی اعتبار الوجه، و الحدث یرتفع و إن لم یقصد فعل ما علیه من الواجب، لأنّ وجوب الوضوء مستقرّ هنا عند سببه </w:t>
      </w:r>
      <w:r>
        <w:rPr>
          <w:rStyle w:val="FootnoteAnchor"/>
          <w:rtl w:val="true"/>
        </w:rPr>
        <w:footnoteReference w:id="19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ظاهر الشهید الثانی </w:t>
      </w:r>
      <w:r>
        <w:rPr>
          <w:rStyle w:val="FootnoteAnchor"/>
          <w:rtl w:val="true"/>
        </w:rPr>
        <w:footnoteReference w:id="195"/>
      </w:r>
      <w:r>
        <w:rPr>
          <w:rFonts w:ascii="Amiri" w:hAnsi="Amiri" w:eastAsia="Amiri" w:cs="Amiri"/>
          <w:color w:val="111111"/>
          <w:sz w:val="28"/>
          <w:sz w:val="28"/>
          <w:szCs w:val="28"/>
          <w:rtl w:val="true"/>
          <w:lang w:bidi="ar-SA"/>
        </w:rPr>
        <w:t xml:space="preserve">و جماعة ممّن تأخّر عنه </w:t>
      </w:r>
      <w:r>
        <w:rPr>
          <w:rStyle w:val="FootnoteAnchor"/>
          <w:rtl w:val="true"/>
        </w:rPr>
        <w:footnoteReference w:id="196"/>
      </w:r>
      <w:r>
        <w:rPr>
          <w:rFonts w:ascii="IRNazanin" w:hAnsi="IRNazanin" w:eastAsia="IRNazanin"/>
          <w:color w:val="111111"/>
          <w:sz w:val="28"/>
          <w:sz w:val="28"/>
          <w:szCs w:val="28"/>
          <w:rtl w:val="true"/>
          <w:lang w:bidi="fa-IR"/>
        </w:rPr>
        <w:t xml:space="preserve">، بل نسب إلی المشهور </w:t>
      </w:r>
      <w:r>
        <w:rPr>
          <w:rStyle w:val="FootnoteAnchor"/>
          <w:rtl w:val="true"/>
        </w:rPr>
        <w:footnoteReference w:id="197"/>
      </w:r>
      <w:r>
        <w:rPr>
          <w:rFonts w:ascii="IRNazanin" w:hAnsi="IRNazanin" w:eastAsia="IRNazanin"/>
          <w:color w:val="111111"/>
          <w:sz w:val="28"/>
          <w:sz w:val="28"/>
          <w:szCs w:val="28"/>
          <w:rtl w:val="true"/>
          <w:lang w:bidi="fa-IR"/>
        </w:rPr>
        <w:t>من أنّ الوضوء فی وقت اشتغال الذمّة بالواجب لا یکون</w:t>
      </w:r>
    </w:p>
    <w:p>
      <w:pPr>
        <w:pStyle w:val="BookText"/>
        <w:rPr/>
      </w:pPr>
      <w:r>
        <w:rPr>
          <w:rFonts w:ascii="IRNazanin" w:hAnsi="IRNazanin" w:eastAsia="IRNazanin"/>
          <w:color w:val="111111"/>
          <w:sz w:val="28"/>
          <w:sz w:val="28"/>
          <w:szCs w:val="28"/>
          <w:rtl w:val="true"/>
          <w:lang w:bidi="fa-IR"/>
        </w:rPr>
        <w:t xml:space="preserve">إلّا واجبا، و علّل ذلک کاشف اللثام بأنّه لمّا اشتغلت ذمّته بواجب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بالطهارة</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وجب علیه و إن کانت موسّعة، فکیف ینوی بها الندب؟ و إن کان یقصد إیقاع ندب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ینوی من وجب علیه الوضوء و رفع حدثه أنّه یتوضّأ ندبا و إن قصد فعل ما یکفیه الوضوء المندوب؟</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فإنّ معنی الندب أنّه لا یجب علیه مع أنّه وجب، و لیس هذا کمن علیه صلاة واجبة </w:t>
      </w:r>
      <w:r>
        <w:rPr>
          <w:rStyle w:val="FootnoteAnchor"/>
          <w:rtl w:val="true"/>
        </w:rPr>
        <w:footnoteReference w:id="200"/>
      </w:r>
      <w:r>
        <w:rPr>
          <w:rFonts w:ascii="IRNazanin" w:hAnsi="IRNazanin" w:eastAsia="IRNazanin"/>
          <w:color w:val="111111"/>
          <w:sz w:val="28"/>
          <w:sz w:val="28"/>
          <w:szCs w:val="28"/>
          <w:rtl w:val="true"/>
          <w:lang w:bidi="fa-IR"/>
        </w:rPr>
        <w:t xml:space="preserve">فیصلّی ندبا إن جوزناه، لتنافی </w:t>
      </w:r>
      <w:r>
        <w:rPr>
          <w:rStyle w:val="FootnoteAnchor"/>
          <w:rtl w:val="true"/>
        </w:rPr>
        <w:footnoteReference w:id="201"/>
      </w:r>
      <w:r>
        <w:rPr>
          <w:rFonts w:ascii="IRNazanin" w:hAnsi="IRNazanin" w:eastAsia="IRNazanin"/>
          <w:color w:val="111111"/>
          <w:sz w:val="28"/>
          <w:sz w:val="28"/>
          <w:szCs w:val="28"/>
          <w:rtl w:val="true"/>
          <w:lang w:bidi="fa-IR"/>
        </w:rPr>
        <w:t xml:space="preserve">الصلاتین </w:t>
      </w:r>
      <w:r>
        <w:rPr>
          <w:rStyle w:val="FootnoteAnchor"/>
          <w:rtl w:val="true"/>
        </w:rPr>
        <w:footnoteReference w:id="2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یحتمل أن یریدوا من هذا الکلام مجرد عدم ندب الوضوء فی حقّ من اشتغلت ذمته بواجب مشروط به، لا جواز نیّة الوجوب و إن لم یرد الإتیان بذلک المشروط، فلعلّهم مانعون من الوضوء مطلقا لمن لم یرد فعل الواجب، کما هو ظاهر ما حکاه صاحب الحدائق فیما تقدّم </w:t>
      </w:r>
      <w:r>
        <w:rPr>
          <w:rStyle w:val="FootnoteAnchor"/>
          <w:rtl w:val="true"/>
        </w:rPr>
        <w:footnoteReference w:id="20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صرّح بعدم اعتبار قصد الصلاة فی صحّة فعل الوضوء الواجب صاحب الحدائق إلّا أنّ بعض کلامه ربما یشعر بأنّه أخطأ محلّ الکلام، فإنّه بعد ما حکی عن بعض أنّ من لم یکن من نیّته فعل الصلاة بعد الوضوء لم یجز له الوضوء و لو فعله کان باطلا، و حکی عن الأصحاب ما یناسب</w:t>
      </w:r>
    </w:p>
    <w:p>
      <w:pPr>
        <w:pStyle w:val="BookText"/>
        <w:rPr/>
      </w:pPr>
      <w:r>
        <w:rPr>
          <w:rFonts w:ascii="IRNazanin" w:hAnsi="IRNazanin" w:eastAsia="IRNazanin"/>
          <w:color w:val="111111"/>
          <w:sz w:val="28"/>
          <w:sz w:val="28"/>
          <w:szCs w:val="28"/>
          <w:rtl w:val="true"/>
          <w:lang w:bidi="fa-IR"/>
        </w:rPr>
        <w:t xml:space="preserve">هذا القول و ما ینافیه، و </w:t>
      </w:r>
      <w:r>
        <w:rPr>
          <w:rStyle w:val="FootnoteAnchor"/>
          <w:rtl w:val="true"/>
        </w:rPr>
        <w:footnoteReference w:id="204"/>
      </w:r>
      <w:r>
        <w:rPr>
          <w:rFonts w:ascii="IRNazanin" w:hAnsi="IRNazanin" w:eastAsia="IRNazanin"/>
          <w:color w:val="111111"/>
          <w:sz w:val="28"/>
          <w:sz w:val="28"/>
          <w:szCs w:val="28"/>
          <w:rtl w:val="true"/>
          <w:lang w:bidi="fa-IR"/>
        </w:rPr>
        <w:t>نسب هذا القول إلی الضعف و القصور مستندا إلی عدم الدلیل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الواجب هو الوضوء و الصلاة، و الإتیان بأحد الواجبین و إن لم یأت بالآخر بعده غیر مضرّ بصحّته، فمن أین لا یجوز له الوضوء و هو مخاطب به و واجب علیه؟ غایته أنّه یجب علیه الصلاة معه و لکن وجوب الصلاة موسّع علیه، و حینئذ فلو توضّأ أوّل الوقت لأجل الصلاة فی آخره فلا مانع من صحّته </w:t>
      </w:r>
      <w:r>
        <w:rPr>
          <w:rStyle w:val="FootnoteAnchor"/>
          <w:rtl w:val="true"/>
        </w:rPr>
        <w:footnoteReference w:id="2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لم ینکر أحد صحّة الوضوء فی أوّل الوقت لأجل أن یصلّی فی آخره و لا یقبل الإنکار، و إنّما الکلام فی أنّ من لم یرد الصلاة إلّا بوضوء آخر بعد نقض هذا الوضوء، کمن أراد الوضوء فی أوّل الوقت لقراءة القرآن و هو قاصد إلی النوم بعد القراءة ثمّ القیام إلی الصلاة، فإنّ الامتثال بالواجب الغیری و الإتیان به لأجل أمر </w:t>
      </w:r>
      <w:r>
        <w:rPr>
          <w:rStyle w:val="FootnoteAnchor"/>
          <w:rtl w:val="true"/>
        </w:rPr>
        <w:footnoteReference w:id="206"/>
      </w:r>
      <w:r>
        <w:rPr>
          <w:rFonts w:ascii="IRNazanin" w:hAnsi="IRNazanin" w:eastAsia="IRNazanin"/>
          <w:color w:val="111111"/>
          <w:sz w:val="28"/>
          <w:sz w:val="28"/>
          <w:szCs w:val="28"/>
          <w:rtl w:val="true"/>
          <w:lang w:bidi="fa-IR"/>
        </w:rPr>
        <w:t>الشارع توصّلا إلی إباحة الصلاة مع عدم قصد التوصّل به إلی الغیر بل لغرض آخر لا یعدّ إطاعة و موافقة لذلک الأمر، و لا یصلح لأن یکون هذا الفعل إطاعة لذلک الأمر الغیری، ألا تری أنّه إذا أمر المولی بتحصیل المال لأجل شراء اللحم الواجب علیه فحصّل العبد المال لغرض آخر لا دخل له بشراء اللحم لم یعدّ تحصیله هذا بداعی أمر المولی و لم یمکن أن ینبعث عنه، و هذا ما قوّیناه أوّلا و إن کان مؤدّاه مغایرا لإطلاق ما تقدّم حکایته فی کلام صاحب الحدائق، کما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بملاحظة 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التقرّب فی الوضوء إنّما هو باعتبار رجحانه الذاتی لا باعتبار وجوبه المقدّمی، فإذا لم یکن هذا الوجوب داعیا إلیه لم یقدح ذلک فی صحّته و اتّصافه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الوجوب یکون ملحوظا فیه علی وجه التوصیف لا العلّة الغائیة، فتأمّل، فما ذکر الأکثر کما عرفت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استظهر بعض من عاصرناه </w:t>
      </w:r>
      <w:r>
        <w:rPr>
          <w:rStyle w:val="FootnoteAnchor"/>
          <w:rtl w:val="true"/>
        </w:rPr>
        <w:footnoteReference w:id="207"/>
      </w:r>
      <w:r>
        <w:rPr>
          <w:rFonts w:ascii="IRNazanin" w:hAnsi="IRNazanin" w:eastAsia="IRNazanin"/>
          <w:color w:val="111111"/>
          <w:sz w:val="28"/>
          <w:sz w:val="28"/>
          <w:szCs w:val="28"/>
          <w:rtl w:val="true"/>
          <w:lang w:bidi="fa-IR"/>
        </w:rPr>
        <w:t>من کلمات الأصحاب فی تقسیم الوضوء إلی واجب و مندوب، و جعل الواجب ما کان لصلاة واجبة أو 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عبارة الشرائع و الجعفریة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الوضوء للصلاة أو الطواف المفروضین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عبارة الجامع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الذی یؤدّی به صلاة </w:t>
      </w:r>
      <w:r>
        <w:rPr>
          <w:rStyle w:val="FootnoteAnchor"/>
          <w:rtl w:val="true"/>
        </w:rPr>
        <w:footnoteReference w:id="210"/>
      </w:r>
      <w:r>
        <w:rPr>
          <w:rFonts w:ascii="IRNazanin" w:hAnsi="IRNazanin" w:eastAsia="IRNazanin"/>
          <w:color w:val="111111"/>
          <w:sz w:val="28"/>
          <w:sz w:val="28"/>
          <w:szCs w:val="28"/>
          <w:rtl w:val="true"/>
          <w:lang w:bidi="fa-IR"/>
        </w:rPr>
        <w:t>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عبارة المراسم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وجوب الغایة لا یؤثّر فی کون الوضوء المأتی به واجبا و لو لم یوجد لأجل تلک الغایة، بل الواجب ما وجد لأجل الغایة الواقعة، لکنّ الظاهر أنّ قوله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ثبت فی الشریعة لأجل الصلاة، و بهذا الاعتبار یکون واجبا للغیر لا ما تحقّق فی الخارج من المکلّف لأجل الصلاة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قول کلا المحقّقین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الغسل إذا بقی من طلوع الفجر من یوم یجب صومه بقدر ما یغتسل الجنب و لصوم</w:t>
      </w:r>
    </w:p>
    <w:p>
      <w:pPr>
        <w:pStyle w:val="BookText"/>
        <w:rPr/>
      </w:pPr>
      <w:r>
        <w:rPr>
          <w:rFonts w:ascii="Amiri" w:hAnsi="Amiri" w:eastAsia="Amiri" w:cs="Amiri"/>
          <w:color w:val="111111"/>
          <w:sz w:val="28"/>
          <w:sz w:val="28"/>
          <w:szCs w:val="28"/>
          <w:rtl w:val="true"/>
          <w:lang w:bidi="ar-SA"/>
        </w:rPr>
        <w:t xml:space="preserve">المستحاضة </w:t>
      </w:r>
      <w:r>
        <w:rPr>
          <w:rStyle w:val="FootnoteAnchor"/>
          <w:rtl w:val="true"/>
        </w:rPr>
        <w:footnoteReference w:id="212"/>
      </w:r>
      <w:r>
        <w:rPr>
          <w:rFonts w:ascii="IRNazanin" w:hAnsi="IRNazanin" w:eastAsia="IRNazanin"/>
          <w:color w:val="111111"/>
          <w:sz w:val="28"/>
          <w:sz w:val="28"/>
          <w:szCs w:val="28"/>
          <w:rtl w:val="true"/>
          <w:lang w:bidi="fa-IR"/>
        </w:rPr>
        <w:t>حیث لم یقیّداه بصورة إرادة الجنب و المستحاضة صوم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جعل الواجب من الوضوء و الغسل هو الفرد الموجود فی الخارج المنویّ به الصلاة لا ینفکّ عن القول بوجوب نیّة استباحة الصلاة، و الحال أنّ المحقّق فی الشرائع قائل بعدم وجوب الاستباحة و لا رفع الحدث فی الوضوء الواجب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عبارة الجامع، فلم تحضرنی حتّی أنظر فیما قبلها 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عبارة المراسم، ففیها مسامحة واضحة، لأنّ ما یؤدّی به الواجب قد یکون واجبا و قد لا یکون، و کذلک ما یؤدّی به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ظاهر هذه الکلمات معارضة بظهور أکثر کلماتهم فی أنّ وجوب الوضوء لأجل الصلاة، و بذلک یکون واجبا للغیر، ففی المبسوط بعد التقسیم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فالواجب هو الذی یجب لاستباحة </w:t>
      </w:r>
      <w:r>
        <w:rPr>
          <w:rStyle w:val="FootnoteAnchor"/>
          <w:rtl w:val="true"/>
        </w:rPr>
        <w:footnoteReference w:id="214"/>
      </w:r>
      <w:r>
        <w:rPr>
          <w:rFonts w:ascii="Amiri" w:hAnsi="Amiri" w:eastAsia="Amiri" w:cs="Amiri"/>
          <w:color w:val="111111"/>
          <w:sz w:val="28"/>
          <w:sz w:val="28"/>
          <w:szCs w:val="28"/>
          <w:rtl w:val="true"/>
          <w:lang w:bidi="ar-SA"/>
        </w:rPr>
        <w:t xml:space="preserve">الصلاة أو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لا وجه لوجوبه إلّا هذین </w:t>
      </w:r>
      <w:r>
        <w:rPr>
          <w:rStyle w:val="FootnoteAnchor"/>
          <w:rtl w:val="true"/>
        </w:rPr>
        <w:footnoteReference w:id="216"/>
      </w:r>
      <w:r>
        <w:rPr>
          <w:rFonts w:ascii="Amiri" w:hAnsi="Amiri" w:eastAsia="Amiri" w:cs="Amiri"/>
          <w:color w:val="111111"/>
          <w:sz w:val="28"/>
          <w:sz w:val="28"/>
          <w:szCs w:val="28"/>
          <w:rtl w:val="true"/>
          <w:lang w:bidi="ar-SA"/>
        </w:rPr>
        <w:t xml:space="preserve">، و نحوها عبارة السرائر </w:t>
      </w:r>
      <w:r>
        <w:rPr>
          <w:rStyle w:val="FootnoteAnchor"/>
          <w:rtl w:val="true"/>
        </w:rPr>
        <w:footnoteReference w:id="217"/>
      </w:r>
      <w:r>
        <w:rPr>
          <w:rFonts w:ascii="IRNazanin" w:hAnsi="IRNazanin" w:eastAsia="IRNazanin"/>
          <w:color w:val="111111"/>
          <w:sz w:val="28"/>
          <w:sz w:val="28"/>
          <w:szCs w:val="28"/>
          <w:rtl w:val="true"/>
          <w:lang w:bidi="fa-IR"/>
        </w:rPr>
        <w:t>، و هما صریحان فی أنّ الصلاة غایة لوجوب الوضوء لا أنّ الوجوب یعرض للوضوء المأتی به لأجل الصلاة،</w:t>
      </w:r>
      <w:bookmarkStart w:id="63" w:name="pg13035_131560"/>
    </w:p>
    <w:p>
      <w:pPr>
        <w:pStyle w:val="BookText"/>
        <w:rPr/>
      </w:pPr>
      <w:bookmarkEnd w:id="63"/>
      <w:r>
        <w:rPr>
          <w:rFonts w:ascii="IRNazanin" w:hAnsi="IRNazanin" w:eastAsia="IRNazanin"/>
          <w:color w:val="111111"/>
          <w:sz w:val="28"/>
          <w:sz w:val="28"/>
          <w:szCs w:val="28"/>
          <w:rtl w:val="true"/>
          <w:lang w:bidi="fa-IR"/>
        </w:rPr>
        <w:t>فقولهما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للواجب فی قسمین باعتبار غایة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نحوهما فی جعل الغایة غایة للوجوب عبارات العلّامة فی کتبه کالقواعد و التحریر و النهایة و الإرشاد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أطال المعاصر المتقدم قدّس اللّٰه روحه </w:t>
      </w:r>
      <w:r>
        <w:rPr>
          <w:rStyle w:val="FootnoteAnchor"/>
          <w:rtl w:val="true"/>
        </w:rPr>
        <w:footnoteReference w:id="219"/>
      </w:r>
      <w:r>
        <w:rPr>
          <w:rFonts w:ascii="IRNazanin" w:hAnsi="IRNazanin" w:eastAsia="IRNazanin"/>
          <w:color w:val="111111"/>
          <w:sz w:val="28"/>
          <w:sz w:val="28"/>
          <w:szCs w:val="28"/>
          <w:rtl w:val="true"/>
          <w:lang w:bidi="fa-IR"/>
        </w:rPr>
        <w:t xml:space="preserve">فی حمل عبارتی المبسوط و السرائر و ما وافقهما علی مطلبه بما لا یخلو عن نظر و منع، مضافا إلی ما تقدّم </w:t>
      </w:r>
      <w:r>
        <w:rPr>
          <w:rStyle w:val="FootnoteAnchor"/>
          <w:rtl w:val="true"/>
        </w:rPr>
        <w:footnoteReference w:id="220"/>
      </w:r>
      <w:r>
        <w:rPr>
          <w:rFonts w:ascii="IRNazanin" w:hAnsi="IRNazanin" w:eastAsia="IRNazanin"/>
          <w:color w:val="111111"/>
          <w:sz w:val="28"/>
          <w:sz w:val="28"/>
          <w:szCs w:val="28"/>
          <w:rtl w:val="true"/>
          <w:lang w:bidi="fa-IR"/>
        </w:rPr>
        <w:t xml:space="preserve">فی عبارة الشرائع من أنّ اللازم من جعل الواجب هو الفرد المأتی به لأجل الصلاة هو اعتبار نیّة الاستباحة فی الوضوء الواجب فما لم یرد به الصلاة لا یکون واجبا مأمورا به، مع أنّ الشیخ </w:t>
      </w:r>
      <w:r>
        <w:rPr>
          <w:rStyle w:val="FootnoteAnchor"/>
          <w:rtl w:val="true"/>
        </w:rPr>
        <w:footnoteReference w:id="221"/>
      </w:r>
      <w:r>
        <w:rPr>
          <w:rFonts w:ascii="Amiri" w:hAnsi="Amiri" w:eastAsia="Amiri" w:cs="Amiri"/>
          <w:color w:val="111111"/>
          <w:sz w:val="28"/>
          <w:sz w:val="28"/>
          <w:szCs w:val="28"/>
          <w:rtl w:val="true"/>
          <w:lang w:bidi="ar-SA"/>
        </w:rPr>
        <w:t xml:space="preserve">و الحلّی </w:t>
      </w:r>
      <w:r>
        <w:rPr>
          <w:rStyle w:val="FootnoteAnchor"/>
          <w:rtl w:val="true"/>
        </w:rPr>
        <w:footnoteReference w:id="222"/>
      </w:r>
      <w:r>
        <w:rPr>
          <w:rFonts w:ascii="IRNazanin" w:hAnsi="IRNazanin" w:eastAsia="IRNazanin"/>
          <w:color w:val="111111"/>
          <w:sz w:val="28"/>
          <w:sz w:val="28"/>
          <w:szCs w:val="28"/>
          <w:rtl w:val="true"/>
          <w:lang w:bidi="fa-IR"/>
        </w:rPr>
        <w:t xml:space="preserve">و صاحب الجامع </w:t>
      </w:r>
      <w:r>
        <w:rPr>
          <w:rStyle w:val="FootnoteAnchor"/>
          <w:rtl w:val="true"/>
        </w:rPr>
        <w:footnoteReference w:id="223"/>
      </w:r>
      <w:r>
        <w:rPr>
          <w:rFonts w:ascii="Amiri" w:hAnsi="Amiri" w:eastAsia="Amiri" w:cs="Amiri"/>
          <w:color w:val="111111"/>
          <w:sz w:val="28"/>
          <w:sz w:val="28"/>
          <w:szCs w:val="28"/>
          <w:rtl w:val="true"/>
          <w:lang w:bidi="ar-SA"/>
        </w:rPr>
        <w:t xml:space="preserve">و العلّامة </w:t>
      </w:r>
      <w:r>
        <w:rPr>
          <w:rStyle w:val="FootnoteAnchor"/>
          <w:rtl w:val="true"/>
        </w:rPr>
        <w:footnoteReference w:id="224"/>
      </w:r>
      <w:r>
        <w:rPr>
          <w:rFonts w:ascii="IRNazanin" w:hAnsi="IRNazanin" w:eastAsia="IRNazanin"/>
          <w:color w:val="111111"/>
          <w:sz w:val="28"/>
          <w:sz w:val="28"/>
          <w:szCs w:val="28"/>
          <w:rtl w:val="true"/>
          <w:lang w:bidi="fa-IR"/>
        </w:rPr>
        <w:t>لا یتعیّن عندهم فی الوضوء واجبا کان أو مندوبا قصد الاستباحة، بل یکتفون عنه برفع الحدث، فتأمّل</w:t>
      </w:r>
      <w:r>
        <w:rPr>
          <w:rFonts w:eastAsia="IRNazanin" w:cs="IRNazanin"/>
          <w:color w:val="111111"/>
          <w:sz w:val="28"/>
          <w:szCs w:val="28"/>
          <w:rtl w:val="true"/>
          <w:lang w:bidi="fa-IR"/>
        </w:rPr>
        <w:t>.</w:t>
      </w:r>
    </w:p>
    <w:p>
      <w:pPr>
        <w:pStyle w:val="Heading6"/>
        <w:numPr>
          <w:ilvl w:val="5"/>
          <w:numId w:val="1"/>
        </w:numPr>
        <w:rPr/>
      </w:pPr>
      <w:bookmarkStart w:id="64" w:name="__RefHeading___Toc6369900_3224264995"/>
      <w:bookmarkStart w:id="65" w:name="_Toc27"/>
      <w:bookmarkEnd w:id="64"/>
      <w:r>
        <w:rPr>
          <w:rtl w:val="true"/>
        </w:rPr>
        <w:t>و أمّا المقام الثانی</w:t>
      </w:r>
      <w:r>
        <w:rPr>
          <w:rtl w:val="true"/>
        </w:rPr>
        <w:t>:</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بعض متأخّری المتأخرین جوّز الوضوء بنیّة الندب فی وقت</w:t>
      </w:r>
    </w:p>
    <w:p>
      <w:pPr>
        <w:pStyle w:val="BookText"/>
        <w:rPr/>
      </w:pPr>
      <w:r>
        <w:rPr>
          <w:rFonts w:ascii="IRNazanin" w:hAnsi="IRNazanin" w:eastAsia="IRNazanin"/>
          <w:color w:val="111111"/>
          <w:sz w:val="28"/>
          <w:sz w:val="28"/>
          <w:szCs w:val="28"/>
          <w:rtl w:val="true"/>
          <w:lang w:bidi="fa-IR"/>
        </w:rPr>
        <w:t xml:space="preserve">وجوب المشروط به </w:t>
      </w:r>
      <w:r>
        <w:rPr>
          <w:rStyle w:val="FootnoteAnchor"/>
          <w:rtl w:val="true"/>
        </w:rPr>
        <w:footnoteReference w:id="225"/>
      </w:r>
      <w:r>
        <w:rPr>
          <w:rFonts w:ascii="IRNazanin" w:hAnsi="IRNazanin" w:eastAsia="IRNazanin"/>
          <w:color w:val="111111"/>
          <w:sz w:val="28"/>
          <w:sz w:val="28"/>
          <w:szCs w:val="28"/>
          <w:rtl w:val="true"/>
          <w:lang w:bidi="fa-IR"/>
        </w:rPr>
        <w:t>، و لکن ظاهر کلمات أکثر من تقدّم أنّه لا یجوز الوضوء بنیّة الندب لمن علیه وضوء واجب و إن لم یقصد إلّا غایة یستحبّ لها الطهارة، و لازم ذلک أنّ مثل هذا یقصد الوجوب و یشکل حینئذ بناء علی اعتبار الوجوب غایة، حیث إنّ الداعی لیس وجوب الوضوء، بل هو جهة الندب الموجودة، إلّا أن یلتزم بأنّ هذا الذی لا یقصد الإتیان بالواجب المشروط بالطهارة لا یشرع له الوضوء، لأنّ الإتیان بغایة الندب غیر صحیح لعدم الندب، و الإتیان به لوجوبه خلاف مقصود الفاعل، فالوضوء المندوب عندهم بمنزلة صلاة النافلة لمن علیه فریضة و لا یرید الإتیان بها علی القول بحرمة التنفّل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اعتقد وجوبه لغایة مندوبة کالتأهّب أو لنفسه فصادف وجوبه الواقعی لاشتغال ذمّته بغایته وقع منه الوجوب فی محلّها کما تقدّم من الجماعة، أو بمنع اعتبار نیّة الوجه إلّا علی وجه التوصیف بأن یقصد إتیان هذا الوضوء الواجب علیه لأجل غایة لا یوقعها لها لکن یوقعها لغایة الندب و لا یظنّ بهم التزامه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استوجهناه من عدم جواز نیّة الوجوب إلّا عند إرادة الواجب المشروط، ففی جواز إیقاع الوضوء بنیّة الندب وجهان مبنیّان علی جواز اجتماع الوجوب و الاستحباب الفعلیّین فی الشی‌ء الواحد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منه و إن جوّزناه فی غیر المقام، نظرا إلی وحدة حقیقة الوضوء الواجب و المستحب، و لذا لا یجوز الإتیان بأحدهما عقیب الآخر</w:t>
      </w:r>
    </w:p>
    <w:p>
      <w:pPr>
        <w:pStyle w:val="BookText"/>
        <w:rPr/>
      </w:pPr>
      <w:r>
        <w:rPr>
          <w:rFonts w:ascii="IRNazanin" w:hAnsi="IRNazanin" w:eastAsia="IRNazanin"/>
          <w:color w:val="111111"/>
          <w:sz w:val="28"/>
          <w:sz w:val="28"/>
          <w:szCs w:val="28"/>
          <w:rtl w:val="true"/>
          <w:lang w:bidi="fa-IR"/>
        </w:rPr>
        <w:t>بناء علی أنّ الوضوء المندوب رافع الحدث، فکأنّ ماهیّة رفع الحدث اجتمع فیها جهتا الواجب و الندب، نظیر اجتماعهما فی قتل زید مثلا و غیره من الأمور الغیر القابلة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المندوب غیر رافع کالوضوء للنوم، بل مطلق الوضوء المندوب لغایة غیر مشروطة برفع الحدث علی القول بعدم جواز الدخول به فی العبادة، جاز اتّصافه بالندب، لأنّه فرد مغایر للفرد الواجب، فیصیر من قبیل صلاة النافلة فی وقت الفریضة علی القول بجوازها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یتّجه ابتناء ما ذکروه من عدم کون الوضوء فی وقت الواجب المشروط به إلّا واجبا، علی اتّحاد حقیقة الواجب و المندوب حتی یمتنع اتّصافه بهما معا، و لیس تعدّد عنوانه من حیث کونها مقدّمة لواجب و مقدّمة لمستحبّ مجوّزا لذلک، لأنّ المفروض عدم تفاوت العنوانین، فهما عنوانان لشخص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من عدم کونه مندوبا بالفعل، فهل یجوز الإتیان به لمن لا یرید غایة الوجوب موافقة لجهة ندبه الموجودة فیه بالفعل و إن لم یکن الندب موجودا، أو لا، فلا یشرع الوضوء لهذا الشخص لعدم قصده الواجب المصحّح لإتیانه علی وجه الوجوب و عدم استحبابه فعلا لیصحّ الإتیان به علی وجه الندب؟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إذ القدر اللازم فی الامتثال الموجب لاستحقاقه الثواب ملاحظة جهة الطلب الموجودة فی الفعل و إن کان نفس الطلب المتفصّل بتجویز الترک مفقودا لوجود الجهة المانعة من الترک، فإنّ فقده علی هذا الوجه لا ینافی کون ملاحظته منشأ لاستحقاق الثواب کما هو واضح بملاحظة طریقة العقلاء فی مثل المقام، فراجع، و هذا الوضوء له حکم</w:t>
      </w:r>
    </w:p>
    <w:p>
      <w:pPr>
        <w:pStyle w:val="BookText"/>
        <w:rPr/>
      </w:pPr>
      <w:r>
        <w:rPr>
          <w:rFonts w:ascii="IRNazanin" w:hAnsi="IRNazanin" w:eastAsia="IRNazanin"/>
          <w:color w:val="111111"/>
          <w:sz w:val="28"/>
          <w:sz w:val="28"/>
          <w:szCs w:val="28"/>
          <w:rtl w:val="true"/>
          <w:lang w:bidi="fa-IR"/>
        </w:rPr>
        <w:t>المندوب و إن کان واجبا، لانطباقه علی ما أمر به وجوبا و لیس من باب إسقاط الواجب بالمستحبّ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لنشر إلی بعض ما وجدنا من کلمات المتأخّرین من المانعین لما تقدّم عن الشهید الثانی و غیره، بل نسب إلی المشهور من أنّ الوضوء لا یکون فی وقت العبادة المشروطة به إلّا واجبا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المدارک علی ما حکی عنه، حیث إنّه نسبه </w:t>
      </w:r>
      <w:r>
        <w:rPr>
          <w:rStyle w:val="FootnoteAnchor"/>
          <w:rtl w:val="true"/>
        </w:rPr>
        <w:footnoteReference w:id="227"/>
      </w:r>
      <w:r>
        <w:rPr>
          <w:rFonts w:ascii="IRNazanin" w:hAnsi="IRNazanin" w:eastAsia="IRNazanin"/>
          <w:color w:val="111111"/>
          <w:sz w:val="28"/>
          <w:sz w:val="28"/>
          <w:szCs w:val="28"/>
          <w:rtl w:val="true"/>
          <w:lang w:bidi="fa-IR"/>
        </w:rPr>
        <w:t>إلی المتأخّرین،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یقم دلیل علی ذلک عندنا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المدقّق السلطان فی حاشیة الروضة، حیث ذکر عند قول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فی وقت العبادة الواجبة لا یکون إلّا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نظر، لأنّا لا نسلّم أنّه لا یکون فی وقت العبادة الواجبة إلّا الوضوء الواجب لأنّ الوضوء فی کلّ وقت مستحب </w:t>
      </w:r>
      <w:r>
        <w:rPr>
          <w:rStyle w:val="FootnoteAnchor"/>
          <w:rtl w:val="true"/>
        </w:rPr>
        <w:footnoteReference w:id="2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عنه فی حاشیة اخری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بناء </w:t>
      </w:r>
      <w:r>
        <w:rPr>
          <w:rStyle w:val="FootnoteAnchor"/>
          <w:rtl w:val="true"/>
        </w:rPr>
        <w:footnoteReference w:id="230"/>
      </w:r>
      <w:r>
        <w:rPr>
          <w:rFonts w:ascii="IRNazanin" w:hAnsi="IRNazanin" w:eastAsia="IRNazanin"/>
          <w:color w:val="111111"/>
          <w:sz w:val="28"/>
          <w:sz w:val="28"/>
          <w:szCs w:val="28"/>
          <w:rtl w:val="true"/>
          <w:lang w:bidi="fa-IR"/>
        </w:rPr>
        <w:t>ما ذکره الشارح علی مذهب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وقت العبادة الواجبة لا یصحّ الإتیان بالمستحب </w:t>
      </w:r>
      <w:r>
        <w:rPr>
          <w:rStyle w:val="FootnoteAnchor"/>
          <w:rtl w:val="true"/>
        </w:rPr>
        <w:footnoteReference w:id="2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جمال الدین فی حاشیة الروضة بأنّ هذا التحقیق ذکره الشارح و غیره فی خصوص الوضوء و لو جعل بناءه علی ما ذکره فلا اختصاص له بالوضوء </w:t>
      </w:r>
      <w:r>
        <w:rPr>
          <w:rStyle w:val="FootnoteAnchor"/>
          <w:rtl w:val="true"/>
        </w:rPr>
        <w:footnoteReference w:id="23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حکایة الحاشیة الأولی عن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وجب علیه الوضوء لوجوب الصلاة فکیف یکون مستحبّا؟ و لعلّ مراده أنّ للوضوء فی کلّ وقت غایة یستحبّ الوضوء لها کالکون علی الطهارة فحینئذ یجوز للمکلّف الإتیان بالوضوء المندوب لها و إن وجب أیضا علیه لغایة أخری، و حینئذ فقصد الندب فیه لیس بمعنی کونه مندوبا لتلک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یقصد الوضوء ندبا للکون علی الطهارة لکون الوضوء مندوبا له من غیر قصد إلی کونه واجبا علیه من جهة أخری، و لا دلیل علی عدم جواز الوضوء علی هذا الوجه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القول بأنّ الوضوء فی حال واحد لا یکون واجبا و ندبا مشهور بین الأصحاب، و الظاهر أنّ مرادهم أنّه لا یجوز الوضوء بقصد الندب مع اشتغال الذمّة بواجب مشروط به، و یتوجه علیه ما أشرنا إلیه، إلا أن یقال إنّ بناء کلامهم علی اشتراط قصد الوجوب و الندب و النیة بمعنی وجوب قصد حال الفعل فی نفسه مطلقا من غیر نظر إلی خصوص غایة غایة، إذ لا شکّ فی وجوب الوضوء علیه حال اشتغال ذمّته بمشروط به، فإذا وجب علیه و لم یقصد ذلک و قصد الندب باعتبار بعض غایاته لم یصحّ،</w:t>
      </w:r>
      <w:bookmarkStart w:id="66" w:name="pg13035_131565"/>
    </w:p>
    <w:p>
      <w:pPr>
        <w:pStyle w:val="BookText"/>
        <w:rPr/>
      </w:pPr>
      <w:bookmarkEnd w:id="66"/>
      <w:r>
        <w:rPr>
          <w:rFonts w:ascii="IRNazanin" w:hAnsi="IRNazanin" w:eastAsia="IRNazanin"/>
          <w:color w:val="111111"/>
          <w:sz w:val="28"/>
          <w:sz w:val="28"/>
          <w:szCs w:val="28"/>
          <w:rtl w:val="true"/>
          <w:lang w:bidi="fa-IR"/>
        </w:rPr>
        <w:t xml:space="preserve">لکن إثبات شرط قصد الوجوب و الندب علی هذا الوجه دونه خرط القتاد </w:t>
      </w:r>
      <w:r>
        <w:rPr>
          <w:rStyle w:val="FootnoteAnchor"/>
          <w:rtl w:val="true"/>
        </w:rPr>
        <w:footnoteReference w:id="23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عن والده قدّس سرّه فی شرح الدروس جواز الوضوء ندبا مع اشتغال ذمّته بموجب الوضوء، فإن جوزنا التداخل کما هو الظاهر یکون کافیا عن الواجب أیضا، و إلا فلا بدّ من وضوء آخر للواجب </w:t>
      </w:r>
      <w:r>
        <w:rPr>
          <w:rStyle w:val="FootnoteAnchor"/>
          <w:rtl w:val="true"/>
        </w:rPr>
        <w:footnoteReference w:id="2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مبنی کلام والده قدّس سرّه کالسلطان فی الحاشیة الأولی علی تعدّد حقیقة الواجب و المندوب، و مبنی کلام المشهور علی منع الندب الفعلیّ، و مبنی کلام جمال الدین قدّس سرّه علی ما ذکرنا من ملاحظة جهة الندب، فتدبّر</w:t>
      </w:r>
      <w:r>
        <w:rPr>
          <w:rFonts w:eastAsia="IRNazanin" w:cs="IRNazanin"/>
          <w:color w:val="111111"/>
          <w:sz w:val="28"/>
          <w:szCs w:val="28"/>
          <w:rtl w:val="true"/>
          <w:lang w:bidi="fa-IR"/>
        </w:rPr>
        <w:t>.</w:t>
      </w:r>
    </w:p>
    <w:p>
      <w:pPr>
        <w:pStyle w:val="Heading6"/>
        <w:numPr>
          <w:ilvl w:val="5"/>
          <w:numId w:val="1"/>
        </w:numPr>
        <w:rPr/>
      </w:pPr>
      <w:bookmarkStart w:id="67" w:name="__RefHeading___Toc6369902_3224264995"/>
      <w:bookmarkStart w:id="68" w:name="_Toc28"/>
      <w:bookmarkEnd w:id="67"/>
      <w:r>
        <w:rPr>
          <w:rtl w:val="true"/>
        </w:rPr>
        <w:t>و أمّا المقام الثالث</w:t>
      </w:r>
      <w:r>
        <w:rPr>
          <w:rtl w:val="true"/>
        </w:rPr>
        <w:t>:</w:t>
      </w:r>
      <w:bookmarkEnd w:id="68"/>
    </w:p>
    <w:p>
      <w:pPr>
        <w:pStyle w:val="BookText"/>
        <w:rPr/>
      </w:pPr>
      <w:r>
        <w:rPr>
          <w:rFonts w:ascii="IRNazanin" w:hAnsi="IRNazanin" w:eastAsia="IRNazanin"/>
          <w:color w:val="111111"/>
          <w:sz w:val="28"/>
          <w:sz w:val="28"/>
          <w:szCs w:val="28"/>
          <w:rtl w:val="true"/>
          <w:lang w:bidi="fa-IR"/>
        </w:rPr>
        <w:t xml:space="preserve">فاعلم أنّ ظاهر المشهور أنّه متی وقع الوضوء الواجب الرافع للحدث المبیح للصلاة یترتّب علیه أثره و هو ارتفاع الحدث منجّزا من غیر تعلیق </w:t>
      </w:r>
      <w:r>
        <w:rPr>
          <w:rStyle w:val="FootnoteAnchor"/>
          <w:rtl w:val="true"/>
        </w:rPr>
        <w:footnoteReference w:id="235"/>
      </w:r>
      <w:r>
        <w:rPr>
          <w:rFonts w:ascii="IRNazanin" w:hAnsi="IRNazanin" w:eastAsia="IRNazanin"/>
          <w:color w:val="111111"/>
          <w:sz w:val="28"/>
          <w:sz w:val="28"/>
          <w:szCs w:val="28"/>
          <w:rtl w:val="true"/>
          <w:lang w:bidi="fa-IR"/>
        </w:rPr>
        <w:t>علی تحقق الصلاة بعده، فإنّ المقدّمة إذا تحقّقت تحقّقت واجبة و یترتّب علیها أحکام الواجب و إن لم یحصل ذو المقدّمة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هنا بعض فی المسألة الفرعیة و الأصولیة فی هذا المقام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الأولی، فقد حکی فی الحدائق عمّن تقدم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فعل الوضوء لمن لم یکن من نیّته فعل الصلاة، و أنّه لو کان من نیّته فعل الصلاة و لم یفعلها تبیّن بطلانه </w:t>
      </w:r>
      <w:r>
        <w:rPr>
          <w:rStyle w:val="FootnoteAnchor"/>
          <w:rtl w:val="true"/>
        </w:rPr>
        <w:footnoteReference w:id="23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المسألة الأصولیة فقد حکی بعض المعاصرین </w:t>
      </w:r>
      <w:r>
        <w:rPr>
          <w:rStyle w:val="FootnoteAnchor"/>
          <w:rtl w:val="true"/>
        </w:rPr>
        <w:footnoteReference w:id="237"/>
      </w:r>
      <w:r>
        <w:rPr>
          <w:rFonts w:ascii="IRNazanin" w:hAnsi="IRNazanin" w:eastAsia="IRNazanin"/>
          <w:color w:val="111111"/>
          <w:sz w:val="28"/>
          <w:sz w:val="28"/>
          <w:szCs w:val="28"/>
          <w:rtl w:val="true"/>
          <w:lang w:bidi="fa-IR"/>
        </w:rPr>
        <w:t>فی حاشیته علی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یتوهّم أنّ المقدّمة إنّما تتّصف بالوجوب إذا تعقّبها ذو المقدّمة و توصّل بها إلیه فإذا لم یحصل ذو المقدّمة لم یکن المقدّمة موجودة علی صفة الوجوب، و قد زیّفه المحشّی الحاکی إلّا أنّه ارتضاه بعض آخر من المعاصرین </w:t>
      </w:r>
      <w:r>
        <w:rPr>
          <w:rStyle w:val="FootnoteAnchor"/>
          <w:rtl w:val="true"/>
        </w:rPr>
        <w:footnoteReference w:id="238"/>
      </w:r>
      <w:r>
        <w:rPr>
          <w:rFonts w:ascii="IRNazanin" w:hAnsi="IRNazanin" w:eastAsia="IRNazanin"/>
          <w:color w:val="111111"/>
          <w:sz w:val="28"/>
          <w:sz w:val="28"/>
          <w:szCs w:val="28"/>
          <w:rtl w:val="true"/>
          <w:lang w:bidi="fa-IR"/>
        </w:rPr>
        <w:t>، و بالغ فیه فی مواضع من کتابه و أن عدم تحقق ذی المقدمة یکشف عن عدم اتّصاف المقدّمة بالوجوب، فقاس المقدّمات بلوازم الواجب فی أنّها إذا لاحظها الطالب بوصف التجرّد و الانفراد عن الواجب لم تکن مطلوبة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الحقّ ما علیه المشهور فی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الفرعیة، فظاهرهم الاتّفاق علی أنّ الوضوء بنیّة رفع الحدث أو استباحة الصلاة متی وقع علی وجهه جامعا لشرائط الصحّة ارتفع به الحدث و إن لم یتحقّق معه الصلاة التی نواها بل مطلق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أصالة عدم اشتراط الصحة بتعقّب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فإیّاک أن تحدث وضوءا حتّی تستیقن أنّک قد أحدثت</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بعیدا استناد هذا القائل إلی ما دلّ علی أنّ الطهور ثلث</w:t>
      </w:r>
      <w:bookmarkStart w:id="69" w:name="pg13035_131567"/>
    </w:p>
    <w:p>
      <w:pPr>
        <w:pStyle w:val="BookText"/>
        <w:rPr/>
      </w:pPr>
      <w:bookmarkEnd w:id="69"/>
      <w:r>
        <w:rPr>
          <w:rFonts w:ascii="Amiri" w:hAnsi="Amiri" w:eastAsia="Amiri" w:cs="Amiri"/>
          <w:color w:val="111111"/>
          <w:sz w:val="28"/>
          <w:sz w:val="28"/>
          <w:szCs w:val="28"/>
          <w:rtl w:val="true"/>
          <w:lang w:bidi="ar-SA"/>
        </w:rPr>
        <w:t xml:space="preserve">الصلاة </w:t>
      </w:r>
      <w:r>
        <w:rPr>
          <w:rStyle w:val="FootnoteAnchor"/>
          <w:rtl w:val="true"/>
        </w:rPr>
        <w:footnoteReference w:id="240"/>
      </w:r>
      <w:r>
        <w:rPr>
          <w:rFonts w:ascii="IRNazanin" w:hAnsi="IRNazanin" w:eastAsia="IRNazanin"/>
          <w:color w:val="111111"/>
          <w:sz w:val="28"/>
          <w:sz w:val="28"/>
          <w:szCs w:val="28"/>
          <w:rtl w:val="true"/>
          <w:lang w:bidi="fa-IR"/>
        </w:rPr>
        <w:t xml:space="preserve">، و نحوه ممّا دلّ علی کونه بمنزلة الجزء </w:t>
      </w:r>
      <w:r>
        <w:rPr>
          <w:rStyle w:val="FootnoteAnchor"/>
          <w:rtl w:val="true"/>
        </w:rPr>
        <w:footnoteReference w:id="241"/>
      </w:r>
      <w:r>
        <w:rPr>
          <w:rFonts w:ascii="IRNazanin" w:hAnsi="IRNazanin" w:eastAsia="IRNazanin"/>
          <w:color w:val="111111"/>
          <w:sz w:val="28"/>
          <w:sz w:val="28"/>
          <w:szCs w:val="28"/>
          <w:rtl w:val="true"/>
          <w:lang w:bidi="fa-IR"/>
        </w:rPr>
        <w:t>حتّی فی بطلانه إذا لم یلحقه باقی الأجزاء لکنّه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المسألة الأصولیة، فقد تحقّقت فی محلها و أنّ وجوب المقدّمة لمعنی موجود فیها بالفعل غیر معلّق علی حصول ذیها و هو توقّف الواجب علیها و أداء ترکها إلی ترکه، فکلّما تحقّق فی الخارج اختیارا بعد الطلب خصوصا لداعی الطلب فقد وقعت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لصاحب المعالم فی مسألة الضدّ کلام فی وجوب المقدّمة </w:t>
      </w:r>
      <w:r>
        <w:rPr>
          <w:rStyle w:val="FootnoteAnchor"/>
          <w:rtl w:val="true"/>
        </w:rPr>
        <w:footnoteReference w:id="242"/>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فالظاهر أنّ الوضوء المنویّ به الواجب المراد به الإتیان بصلاة أو غیرها ممّا یتوقف علیه یقع </w:t>
      </w:r>
      <w:r>
        <w:rPr>
          <w:rStyle w:val="FootnoteAnchor"/>
          <w:rtl w:val="true"/>
        </w:rPr>
        <w:footnoteReference w:id="243"/>
      </w:r>
      <w:r>
        <w:rPr>
          <w:rFonts w:ascii="IRNazanin" w:hAnsi="IRNazanin" w:eastAsia="IRNazanin"/>
          <w:color w:val="111111"/>
          <w:sz w:val="28"/>
          <w:sz w:val="28"/>
          <w:szCs w:val="28"/>
          <w:rtl w:val="true"/>
          <w:lang w:bidi="fa-IR"/>
        </w:rPr>
        <w:t>رافعا للحدث و إن لم یحصل الفعل بعده</w:t>
      </w:r>
      <w:r>
        <w:rPr>
          <w:rFonts w:eastAsia="IRNazanin" w:cs="IRNazanin"/>
          <w:color w:val="111111"/>
          <w:sz w:val="28"/>
          <w:szCs w:val="28"/>
          <w:rtl w:val="true"/>
          <w:lang w:bidi="fa-IR"/>
        </w:rPr>
        <w:t>.</w:t>
      </w:r>
    </w:p>
    <w:p>
      <w:pPr>
        <w:pStyle w:val="Heading6"/>
        <w:numPr>
          <w:ilvl w:val="5"/>
          <w:numId w:val="1"/>
        </w:numPr>
        <w:rPr/>
      </w:pPr>
      <w:bookmarkStart w:id="70" w:name="__RefHeading___Toc6369904_3224264995"/>
      <w:bookmarkStart w:id="71" w:name="_Toc29"/>
      <w:bookmarkEnd w:id="70"/>
      <w:r>
        <w:rPr>
          <w:rtl w:val="true"/>
        </w:rPr>
        <w:t>الأمر الثالث</w:t>
      </w:r>
      <w:bookmarkEnd w:id="71"/>
    </w:p>
    <w:p>
      <w:pPr>
        <w:pStyle w:val="BookText"/>
        <w:rPr/>
      </w:pPr>
      <w:r>
        <w:rPr>
          <w:rFonts w:ascii="IRNazanin" w:hAnsi="IRNazanin" w:eastAsia="IRNazanin"/>
          <w:color w:val="111111"/>
          <w:sz w:val="28"/>
          <w:sz w:val="28"/>
          <w:szCs w:val="28"/>
          <w:rtl w:val="true"/>
          <w:lang w:bidi="fa-IR"/>
        </w:rPr>
        <w:t>اشتراط نیّة الرفع عند القائل به لا یتعقّل فی الوضوء المجامع للحدث الأکبر کوضوء الجنب و الحائض، و لا فی وضوء المتطهّر کالمتجدّد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یختصّ بالوضوء الذی یراد لأجل الصلاة و شبهها ممّا یتوقّف علی الطهارة، أو یعمّ مطلق الوضوء الصادر من المحدث بالحدث الأصغر و لو لغیر ما یتوقّف علی الطهارة کالتلاوة و دخول المساجد و نحوهما، فلا یترتّب</w:t>
      </w:r>
    </w:p>
    <w:p>
      <w:pPr>
        <w:pStyle w:val="BookText"/>
        <w:rPr/>
      </w:pPr>
      <w:r>
        <w:rPr>
          <w:rFonts w:ascii="IRNazanin" w:hAnsi="IRNazanin" w:eastAsia="IRNazanin"/>
          <w:color w:val="111111"/>
          <w:sz w:val="28"/>
          <w:sz w:val="28"/>
          <w:szCs w:val="28"/>
          <w:rtl w:val="true"/>
          <w:lang w:bidi="fa-IR"/>
        </w:rPr>
        <w:t xml:space="preserve">علیها غایتها بدون نیّة الرفع؟ ظاهر جماعة من المتأخرین کصاحب المدارک </w:t>
      </w:r>
      <w:r>
        <w:rPr>
          <w:rStyle w:val="FootnoteAnchor"/>
          <w:rtl w:val="true"/>
        </w:rPr>
        <w:footnoteReference w:id="244"/>
      </w:r>
      <w:r>
        <w:rPr>
          <w:rFonts w:ascii="IRNazanin" w:hAnsi="IRNazanin" w:eastAsia="IRNazanin"/>
          <w:color w:val="111111"/>
          <w:sz w:val="28"/>
          <w:sz w:val="28"/>
          <w:szCs w:val="28"/>
          <w:rtl w:val="true"/>
          <w:lang w:bidi="fa-IR"/>
        </w:rPr>
        <w:t xml:space="preserve">، و غیره </w:t>
      </w:r>
      <w:r>
        <w:rPr>
          <w:rStyle w:val="FootnoteAnchor"/>
          <w:rtl w:val="true"/>
        </w:rPr>
        <w:footnoteReference w:id="245"/>
      </w:r>
      <w:r>
        <w:rPr>
          <w:rFonts w:ascii="IRNazanin" w:hAnsi="IRNazanin" w:eastAsia="IRNazanin"/>
          <w:color w:val="111111"/>
          <w:sz w:val="28"/>
          <w:sz w:val="28"/>
          <w:szCs w:val="28"/>
          <w:rtl w:val="true"/>
          <w:lang w:bidi="fa-IR"/>
        </w:rPr>
        <w:t>هو الأوّل، حیث عنونوا الخلاف فی جواز الدخول فی الصلاة بالوضوءات المندوبة، و استدلالهم علی الجواز بدعوی أنّ مطلق الوضوء المشروع 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الاعتراض علی هذا الاستدلال بأنّ المشروعیة لا تستلزم رفع الحدث کما فی الأغسال المندوبة، إذ لو اعتبر فی صحّتها نیّة رفع الحدث لم یکن وجه للخلاف فی جواز الدخول بها فی الصلاة، لأنّ الحدث عندهم معنی واحد إذا ارتفع جاز الصلاة، و لم یکن وجه للاستدلال علی الجواز بالدعوی المذکورة و لا للاعتراض علیه بأنّ نیّة الرفع غیر </w:t>
      </w:r>
      <w:r>
        <w:rPr>
          <w:rStyle w:val="FootnoteAnchor"/>
          <w:rtl w:val="true"/>
        </w:rPr>
        <w:footnoteReference w:id="246"/>
      </w:r>
      <w:r>
        <w:rPr>
          <w:rFonts w:ascii="Amiri" w:hAnsi="Amiri" w:eastAsia="Amiri" w:cs="Amiri"/>
          <w:color w:val="111111"/>
          <w:sz w:val="28"/>
          <w:sz w:val="28"/>
          <w:szCs w:val="28"/>
          <w:rtl w:val="true"/>
          <w:lang w:bidi="ar-SA"/>
        </w:rPr>
        <w:t>متحقّقة بالفرض</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الظاهر من کلام الحلّی فی السرائر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إجماعنا منعقد علی أنّه لا یستباح الصلاة إلّا بنیّة رفع الحدث أو استباحة الصلاة، فإمّا أن توضّأ الإنسان بنیّة دخول المساجد أو الکون علی طهارة أو الأخذ فی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الإنسان یستحبّ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فی هذه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یرتفع بذلک حدثه و لا یستبیح بذلک الدخول فی الصلاة </w:t>
      </w:r>
      <w:r>
        <w:rPr>
          <w:rStyle w:val="FootnoteAnchor"/>
          <w:rtl w:val="true"/>
        </w:rPr>
        <w:footnoteReference w:id="24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الوضوءات المذکورة مشروعة غیر رافعة، و یحتمل بعیدا إرادة فساد هذه الوضوءات بهذه النیّات و عدم حصول غایاتها إلّا بنیّة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جماعة هو الثانی، بل یستفاد من جامع المقاصد أنّه ظاهر کلّ من اشترط نیّة الرفع أو الاستباحة، و إنّما یکتفی بعضهم بقصد الغایة المستحبّ لها الوضوء بدعوی أنّ قصدها قصد لرفع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ذکر الوضوءات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الوضوء لواحد من الأمور المذکورة نیّة الرفع أو الاستباحة لمشروط بالطهارة لیتحقّق غایته، أم یکفی قصد الغایة؟</w:t>
      </w:r>
    </w:p>
    <w:p>
      <w:pPr>
        <w:pStyle w:val="BookText"/>
        <w:rPr/>
      </w:pPr>
      <w:r>
        <w:rPr>
          <w:rFonts w:ascii="IRNazanin" w:hAnsi="IRNazanin" w:eastAsia="IRNazanin"/>
          <w:color w:val="111111"/>
          <w:sz w:val="28"/>
          <w:sz w:val="28"/>
          <w:szCs w:val="28"/>
          <w:rtl w:val="true"/>
          <w:lang w:bidi="fa-IR"/>
        </w:rPr>
        <w:t>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بابتناء ذلک علی أن نیّة الطهارة مکمّلة له هل هی کافیة فی رفع الحدث أم لا؟ فإن قلنا بالأوّل، کفت الغایة، و إلّا فلا بدّ من أحد الأمرین، و بدونه لا یقع الوضوء صحیحا، کما یظهر من کلامهم فی نیّة الوضوء، بناء علی اشتراط نیّة الرفع أو الاستباحة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الاکتفاء بنیّة الغایة تمسّکا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امرئ ما نوی</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 و یظهر من المصنّف قدّس سرّه فی الوضوء للتکفین، فإنّه استحبّه و تردد فی جواز الدخول به فی الصلاة </w:t>
      </w:r>
      <w:r>
        <w:rPr>
          <w:rStyle w:val="FootnoteAnchor"/>
          <w:rtl w:val="true"/>
        </w:rPr>
        <w:footnoteReference w:id="2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استظهره من المصنّف قدّس سرّه فی الوضوء للتکفین من عدم الملازمة بین استحباب الوضوء و بین ارتفاع الحدث به و جواز الدخول به فی الصلاة، هو الذی استظهرناه من السرائر، و هو الذی اختاره المستظهر فی مسألة الوضوء لتکفین المیّت </w:t>
      </w:r>
      <w:r>
        <w:rPr>
          <w:rStyle w:val="FootnoteAnchor"/>
          <w:rtl w:val="true"/>
        </w:rPr>
        <w:footnoteReference w:id="252"/>
      </w:r>
      <w:r>
        <w:rPr>
          <w:rFonts w:ascii="IRNazanin" w:hAnsi="IRNazanin" w:eastAsia="IRNazanin"/>
          <w:color w:val="111111"/>
          <w:sz w:val="28"/>
          <w:sz w:val="28"/>
          <w:szCs w:val="28"/>
          <w:rtl w:val="true"/>
          <w:lang w:bidi="fa-IR"/>
        </w:rPr>
        <w:t xml:space="preserve">و جزم به فخر الدین فی الإیضاح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استظهره من کلامهم، فالمراد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إطلاقهم القول باشتراط نیّة الرفع أو الاستباحة فی الوضوء، فإنّ ظاهره کونها کسائر الشرائط معتبرة فی جمیع أفراد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کلماتهم الأخر، قال فی المبسوط فی نیّة الوضوء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کیفیّتها أن ینوی رفع الحدث أو استباحة فعل من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یصحّ فعلها إلّا بطهارة مثل الصلاة و الطواف، فإذا نوی استباحة شی‌ء من ذلک أجزأ، لأنّه لا یصحّ شی‌ء من هذه الأفعال إلّا بعد الطهارة، و متی ینوی استباحة فعل من الأفعال</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التی لیس من شرطها الطهارة لکنّها مستحبّة مثل قراءة القرآن طاهرا و دخول المسجد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نوی استباحة شی‌ء من هذا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لم یرتفع حدثه لأنّ فعله لیس من شرطه الطهارة، و حکم الجنب فی هذا الباب حکم المحدث سواء إلّا أنّ فی حقّ </w:t>
      </w:r>
      <w:r>
        <w:rPr>
          <w:rStyle w:val="FootnoteAnchor"/>
          <w:rtl w:val="true"/>
        </w:rPr>
        <w:footnoteReference w:id="256"/>
      </w:r>
      <w:r>
        <w:rPr>
          <w:rFonts w:ascii="IRNazanin" w:hAnsi="IRNazanin" w:eastAsia="IRNazanin"/>
          <w:color w:val="111111"/>
          <w:sz w:val="28"/>
          <w:sz w:val="28"/>
          <w:szCs w:val="28"/>
          <w:rtl w:val="true"/>
          <w:lang w:bidi="fa-IR"/>
        </w:rPr>
        <w:t xml:space="preserve">الجنب فی بعض أفعاله یشترط الطهارة مثل دخول المسجد و الجلوس فیه </w:t>
      </w:r>
      <w:r>
        <w:rPr>
          <w:rStyle w:val="FootnoteAnchor"/>
          <w:rtl w:val="true"/>
        </w:rPr>
        <w:footnoteReference w:id="257"/>
      </w:r>
      <w:r>
        <w:rPr>
          <w:rFonts w:ascii="IRNazanin" w:hAnsi="IRNazanin" w:eastAsia="IRNazanin"/>
          <w:color w:val="111111"/>
          <w:sz w:val="28"/>
          <w:sz w:val="28"/>
          <w:szCs w:val="28"/>
          <w:rtl w:val="true"/>
          <w:lang w:bidi="fa-IR"/>
        </w:rPr>
        <w:t xml:space="preserve">، فإنّه ممنوع منه </w:t>
      </w:r>
      <w:r>
        <w:rPr>
          <w:rStyle w:val="FootnoteAnchor"/>
          <w:rtl w:val="true"/>
        </w:rPr>
        <w:footnoteReference w:id="258"/>
      </w:r>
      <w:r>
        <w:rPr>
          <w:rFonts w:ascii="IRNazanin" w:hAnsi="IRNazanin" w:eastAsia="IRNazanin"/>
          <w:color w:val="111111"/>
          <w:sz w:val="28"/>
          <w:sz w:val="28"/>
          <w:szCs w:val="28"/>
          <w:rtl w:val="true"/>
          <w:lang w:bidi="fa-IR"/>
        </w:rPr>
        <w:t xml:space="preserve">و لا یجوز له </w:t>
      </w:r>
      <w:r>
        <w:rPr>
          <w:rStyle w:val="FootnoteAnchor"/>
          <w:rtl w:val="true"/>
        </w:rPr>
        <w:footnoteReference w:id="259"/>
      </w:r>
      <w:r>
        <w:rPr>
          <w:rFonts w:ascii="IRNazanin" w:hAnsi="IRNazanin" w:eastAsia="IRNazanin"/>
          <w:color w:val="111111"/>
          <w:sz w:val="28"/>
          <w:sz w:val="28"/>
          <w:szCs w:val="28"/>
          <w:rtl w:val="true"/>
          <w:lang w:bidi="fa-IR"/>
        </w:rPr>
        <w:t xml:space="preserve">إلّا بعد الغسل، و لیس کذلک المحدث، فإذا نوی الجنب استباحة دخول المسجد و الجلوس فیه ارتفع حدثه، و أما الاجتیاز فیه فحکم الجنب و حکم المحدث </w:t>
      </w:r>
      <w:r>
        <w:rPr>
          <w:rStyle w:val="FootnoteAnchor"/>
          <w:rtl w:val="true"/>
        </w:rPr>
        <w:footnoteReference w:id="260"/>
      </w:r>
      <w:r>
        <w:rPr>
          <w:rFonts w:ascii="IRNazanin" w:hAnsi="IRNazanin" w:eastAsia="IRNazanin"/>
          <w:color w:val="111111"/>
          <w:sz w:val="28"/>
          <w:sz w:val="28"/>
          <w:szCs w:val="28"/>
          <w:rtl w:val="true"/>
          <w:lang w:bidi="fa-IR"/>
        </w:rPr>
        <w:t xml:space="preserve">فیه سواء </w:t>
      </w:r>
      <w:r>
        <w:rPr>
          <w:rStyle w:val="FootnoteAnchor"/>
          <w:rtl w:val="true"/>
        </w:rPr>
        <w:footnoteReference w:id="2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بعض الفحول </w:t>
      </w:r>
      <w:r>
        <w:rPr>
          <w:rStyle w:val="FootnoteAnchor"/>
          <w:rtl w:val="true"/>
        </w:rPr>
        <w:footnoteReference w:id="262"/>
      </w:r>
      <w:r>
        <w:rPr>
          <w:rFonts w:ascii="IRNazanin" w:hAnsi="IRNazanin" w:eastAsia="IRNazanin"/>
          <w:color w:val="111111"/>
          <w:sz w:val="28"/>
          <w:sz w:val="28"/>
          <w:szCs w:val="28"/>
          <w:rtl w:val="true"/>
          <w:lang w:bidi="fa-IR"/>
        </w:rPr>
        <w:t xml:space="preserve">و إن فهم منه أنّ مراده أنّ الوضوء الذی یتوضّأ للصلاة لا بدّ من قصد أحد الأمرین لا مطلق الوضوء، لکن هذا مناف لتسویة حکم غسل الجنب مع الوضوء معه </w:t>
      </w:r>
      <w:r>
        <w:rPr>
          <w:rStyle w:val="FootnoteAnchor"/>
          <w:rtl w:val="true"/>
        </w:rPr>
        <w:footnoteReference w:id="263"/>
      </w:r>
      <w:r>
        <w:rPr>
          <w:rFonts w:ascii="IRNazanin" w:hAnsi="IRNazanin" w:eastAsia="IRNazanin"/>
          <w:color w:val="111111"/>
          <w:sz w:val="28"/>
          <w:sz w:val="28"/>
          <w:szCs w:val="28"/>
          <w:rtl w:val="true"/>
          <w:lang w:bidi="fa-IR"/>
        </w:rPr>
        <w:t>، فإنّ الغسل للاجتیاز فی المسجد إن ارتفع معه الحدث فلا معنی لعدم جواز الدخول به فی المسجد و الجلوس فیه، و إن لم یرتفع به الحدث وقع فاسدا لا مشروعا غیر رافع، فالغسل للاجتیاز عنده نظیر الوضوء لقراءة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فی کلام الشیخ الوضوء و الغسل بنیّة استباحة ما لا یتوقّف علی الطهارة، فلعلّ الفساد من هذه الجهة و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إرادته من الاستباحة مجرّد الدخول فی القراءة لا إحراز جوازه، و لذا حکم الفاضلان فی المعتبر </w:t>
      </w:r>
      <w:r>
        <w:rPr>
          <w:rStyle w:val="FootnoteAnchor"/>
          <w:rtl w:val="true"/>
        </w:rPr>
        <w:footnoteReference w:id="264"/>
      </w:r>
      <w:r>
        <w:rPr>
          <w:rFonts w:ascii="IRNazanin" w:hAnsi="IRNazanin" w:eastAsia="IRNazanin"/>
          <w:color w:val="111111"/>
          <w:sz w:val="28"/>
          <w:sz w:val="28"/>
          <w:szCs w:val="28"/>
          <w:rtl w:val="true"/>
          <w:lang w:bidi="fa-IR"/>
        </w:rPr>
        <w:t xml:space="preserve">و المنتهی </w:t>
      </w:r>
      <w:r>
        <w:rPr>
          <w:rStyle w:val="FootnoteAnchor"/>
          <w:rtl w:val="true"/>
        </w:rPr>
        <w:footnoteReference w:id="265"/>
      </w:r>
      <w:r>
        <w:rPr>
          <w:rFonts w:ascii="IRNazanin" w:hAnsi="IRNazanin" w:eastAsia="IRNazanin"/>
          <w:color w:val="111111"/>
          <w:sz w:val="28"/>
          <w:sz w:val="28"/>
          <w:szCs w:val="28"/>
          <w:rtl w:val="true"/>
          <w:lang w:bidi="fa-IR"/>
        </w:rPr>
        <w:t xml:space="preserve">و التذکرة </w:t>
      </w:r>
      <w:r>
        <w:rPr>
          <w:rStyle w:val="FootnoteAnchor"/>
          <w:rtl w:val="true"/>
        </w:rPr>
        <w:footnoteReference w:id="266"/>
      </w:r>
      <w:r>
        <w:rPr>
          <w:rFonts w:ascii="IRNazanin" w:hAnsi="IRNazanin" w:eastAsia="IRNazanin"/>
          <w:color w:val="111111"/>
          <w:sz w:val="28"/>
          <w:sz w:val="28"/>
          <w:szCs w:val="28"/>
          <w:rtl w:val="true"/>
          <w:lang w:bidi="fa-IR"/>
        </w:rPr>
        <w:t xml:space="preserve">بصحّة الوضوء و الغسل فی الفرض الذی ذکره الشیخ، و فی الوضوء للکون علی الطهارة مستدلّین بتحقّق قصد رفع الحدث، و تبعهما الشهید فی الذکری </w:t>
      </w:r>
      <w:r>
        <w:rPr>
          <w:rStyle w:val="FootnoteAnchor"/>
          <w:rtl w:val="true"/>
        </w:rPr>
        <w:footnoteReference w:id="267"/>
      </w:r>
      <w:r>
        <w:rPr>
          <w:rFonts w:ascii="IRNazanin" w:hAnsi="IRNazanin" w:eastAsia="IRNazanin"/>
          <w:color w:val="111111"/>
          <w:sz w:val="28"/>
          <w:sz w:val="28"/>
          <w:szCs w:val="28"/>
          <w:rtl w:val="true"/>
          <w:lang w:bidi="fa-IR"/>
        </w:rPr>
        <w:t>فإنّ هذا الاستدلال یدلّ منهم علی تسلیم اعتبار نیّة الرفع فی مطلق الوضوء إلّا أنّهم مدّعون تحقّقها فی الفروض المذکورة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أدلّة اشتراط نیّة رفع الحدث أو الاستباحة التی</w:t>
      </w:r>
    </w:p>
    <w:p>
      <w:pPr>
        <w:pStyle w:val="BookText"/>
        <w:rPr/>
      </w:pPr>
      <w:r>
        <w:rPr>
          <w:rFonts w:ascii="IRNazanin" w:hAnsi="IRNazanin" w:eastAsia="IRNazanin"/>
          <w:color w:val="111111"/>
          <w:sz w:val="28"/>
          <w:sz w:val="28"/>
          <w:szCs w:val="28"/>
          <w:rtl w:val="true"/>
          <w:lang w:bidi="fa-IR"/>
        </w:rPr>
        <w:t>ذکروها لا تدلّ علی اعتبارها فی مطلق الوضوء، کیف؟ و لا یعقل فی بعض أفراده، فإذا ورد الأمر بالوضوء لأجل غایة فإن لم یعلم منه مطلوبیّته لأجل مطلوبیة رفع الحدث فی تلک الغایة، فلا دلیل علی اعتبار قصد رفع الحدث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بأنّ کلّ وضوء مشروع للمحدث یقتضی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الحدث و إن لم ینوه، و إلّا کان من قبیل الأغسال المندوبة المطلوبة لغایاتها و إن علم مطلوبیّتها لأجل مطلوبیّة ارتفاع الحدث فی تلک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 بالوضوء رفع الحدث فلا إشکال فی صحّة الوضوء بمعنی ترتّب جمیع آثاره علیه، لارتفاع الحدث، کما سیجی‌ء التنبیه علیه فی کلام 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قصد نفس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جوازها الوضعی بمعنی الصحّة أو التکلیفی بمعنی الإباحة فی مقابل الحرمة، فهذه النیّة لغو، لجواز الفعل بدون الوضوء، فلا یصلح جعله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قصد کمال الغایة فقد قصد ما یتوقّف علی الطهارة، فلا فرق بینه و بین صلاة النافلة فی توقّفهما علی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 أنّ الأمر بالوضوء لیس لمطلوبیّة ارتفاع الحدث فی الغایة فالوضوء صحیح و لا یرتفع به الحدث، لعدم قصده و لا قصد ما یستلزمه، لکن هذا الوضوء فی المحدث بالحدث الأصغر لم یوجد له مورد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 المراد بالصحّة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و الذکری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للخلاف فی الوضوء لقراءة </w:t>
      </w:r>
      <w:r>
        <w:rPr>
          <w:rStyle w:val="FootnoteAnchor"/>
          <w:rtl w:val="true"/>
        </w:rPr>
        <w:footnoteReference w:id="269"/>
      </w:r>
      <w:r>
        <w:rPr>
          <w:rFonts w:ascii="IRNazanin" w:hAnsi="IRNazanin" w:eastAsia="IRNazanin"/>
          <w:color w:val="111111"/>
          <w:sz w:val="28"/>
          <w:sz w:val="28"/>
          <w:szCs w:val="28"/>
          <w:rtl w:val="true"/>
          <w:lang w:bidi="fa-IR"/>
        </w:rPr>
        <w:t xml:space="preserve">القرآن و نحوه ترتّب جمیع الآثار علیه، لارتفاع الحدث به، کما اعترف به المحقّق الثانی فی مسألة الوضوء لتکفین المیّت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ظهر لک أنّ الأقوی أنّ کلّ وضوء مندوب یقع من المحدث بالأصغر فهو رافع لحدثه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الوضوءات المندوبة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یفعله لغایة یترتّب جوازها علی ارتفاع الحدث کصلاة النافلة و مسّ کتابة القرآن ندبا و یلحق به الوضوء للتأهّب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خلاف فی ارتفاع الحدث به و استباحة الدخول به فی الصلاة و غیرها، و إن کان یظهر من صاحب الحدائق وجود الخلاف فیما فعل لغیر الصلاة من الغایات المتوقّفة علی الطهارة </w:t>
      </w:r>
      <w:r>
        <w:rPr>
          <w:rStyle w:val="FootnoteAnchor"/>
          <w:rtl w:val="true"/>
        </w:rPr>
        <w:footnoteReference w:id="271"/>
      </w:r>
      <w:r>
        <w:rPr>
          <w:rFonts w:ascii="IRNazanin" w:hAnsi="IRNazanin" w:eastAsia="IRNazanin"/>
          <w:color w:val="111111"/>
          <w:sz w:val="28"/>
          <w:sz w:val="28"/>
          <w:szCs w:val="28"/>
          <w:rtl w:val="true"/>
          <w:lang w:bidi="fa-IR"/>
        </w:rPr>
        <w:t xml:space="preserve">، لکنّه غیر صحیح کما تقدّم من المبسوط و السرائر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 لغایات لا یتوقّف علی الطهارة و هو علی أقسام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فضیلة الغایة المقصودة علی ارتفاع الحدث کقراءة القرآن المجعولة غایة للوضوء، و مثله کلّ عمل مندوب توقّف فضله علی ارتفاع الحدث، و أولی منه ما کان نفس الغایة فیه ارتفاع الحدث کالکون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یثبت توقّف الغایة المقصودة فیه إلّا علی نفس الوضوء دون الطهارة بمعنی رفع الحدث، کما فی السعی إلی قضاء الحاجة و النوم و بعض أفعال الحجّ التی لم یدلّ الدلیل إلّا علی استحباب الوضوء فیها دون عنوان الطهارة بمعنی رفع الحدث، و هذا الوضوء غیر متحقّق علی وجه الیقین، لأنّ الظاهر فی جمیع موارد استحباب الوضوء استحباب الطهارة و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المأتی به استحبابا عقیب مثل المذی و التقبیل و شبههما ممّا یستحب الوضوء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المأتی به للتجدید إذا انکشف سبق الحدث و یلحق به الوضوء المأتی به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المأتی به استحبابا باعتقاد الحیض فیکشف </w:t>
      </w:r>
      <w:r>
        <w:rPr>
          <w:rStyle w:val="FootnoteAnchor"/>
          <w:rtl w:val="true"/>
        </w:rPr>
        <w:footnoteReference w:id="274"/>
      </w:r>
      <w:r>
        <w:rPr>
          <w:rFonts w:ascii="IRNazanin" w:hAnsi="IRNazanin" w:eastAsia="IRNazanin"/>
          <w:color w:val="111111"/>
          <w:sz w:val="28"/>
          <w:sz w:val="28"/>
          <w:szCs w:val="28"/>
          <w:rtl w:val="true"/>
          <w:lang w:bidi="fa-IR"/>
        </w:rPr>
        <w:t>عدمه و ثبوت الحدث الأصغر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قسم خامس </w:t>
      </w:r>
      <w:r>
        <w:rPr>
          <w:rStyle w:val="FootnoteAnchor"/>
          <w:rtl w:val="true"/>
        </w:rPr>
        <w:footnoteReference w:id="275"/>
      </w:r>
      <w:r>
        <w:rPr>
          <w:rFonts w:ascii="IRNazanin" w:hAnsi="IRNazanin" w:eastAsia="IRNazanin"/>
          <w:color w:val="111111"/>
          <w:sz w:val="28"/>
          <w:sz w:val="28"/>
          <w:szCs w:val="28"/>
          <w:rtl w:val="true"/>
          <w:lang w:bidi="fa-IR"/>
        </w:rPr>
        <w:t xml:space="preserve">، و هو ما لو نوی المحدث بالأصغر وضوءا مطلقا، ذکره الفاضلان </w:t>
      </w:r>
      <w:r>
        <w:rPr>
          <w:rStyle w:val="FootnoteAnchor"/>
          <w:rtl w:val="true"/>
        </w:rPr>
        <w:footnoteReference w:id="276"/>
      </w:r>
      <w:r>
        <w:rPr>
          <w:rFonts w:ascii="IRNazanin" w:hAnsi="IRNazanin" w:eastAsia="IRNazanin"/>
          <w:color w:val="111111"/>
          <w:sz w:val="28"/>
          <w:sz w:val="28"/>
          <w:szCs w:val="28"/>
          <w:rtl w:val="true"/>
          <w:lang w:bidi="fa-IR"/>
        </w:rPr>
        <w:t xml:space="preserve">و الشهید فی الذکری </w:t>
      </w:r>
      <w:r>
        <w:rPr>
          <w:rStyle w:val="FootnoteAnchor"/>
          <w:rtl w:val="true"/>
        </w:rPr>
        <w:footnoteReference w:id="277"/>
      </w:r>
      <w:r>
        <w:rPr>
          <w:rFonts w:ascii="IRNazanin" w:hAnsi="IRNazanin" w:eastAsia="IRNazanin"/>
          <w:color w:val="111111"/>
          <w:sz w:val="28"/>
          <w:sz w:val="28"/>
          <w:szCs w:val="28"/>
          <w:rtl w:val="true"/>
          <w:lang w:bidi="fa-IR"/>
        </w:rPr>
        <w:t>مقابلا للوضوء للغایات حتّی الکون علی الطهارة، و حکموا فیه بالبطلان، و لم یعلم مرادهم منه، و لو أرید به الوضوء المأتی به لا لغایة و لا للکون علی الطهارة خرج عن المقسم و هو الوضوء المندوب، لکونه علی هذا الوجه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الأقسام کلّها محلّ الخلاف، و فی المدارک نسب القول المختار إلی المعروف بین الأصحاب، بل حکی عن بعض الإجماع </w:t>
      </w:r>
      <w:r>
        <w:rPr>
          <w:rStyle w:val="FootnoteAnchor"/>
          <w:rtl w:val="true"/>
        </w:rPr>
        <w:footnoteReference w:id="278"/>
      </w:r>
      <w:r>
        <w:rPr>
          <w:rFonts w:ascii="IRNazanin" w:hAnsi="IRNazanin" w:eastAsia="IRNazanin"/>
          <w:color w:val="111111"/>
          <w:sz w:val="28"/>
          <w:sz w:val="28"/>
          <w:szCs w:val="28"/>
          <w:rtl w:val="true"/>
          <w:lang w:bidi="fa-IR"/>
        </w:rPr>
        <w:t>، و فیه ما لا یخفی علی المتتبّع، فإنّ القول بعدم ارتفاع الحدث بالوضوء لقراءة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أولی الأقسام الأربعة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اختاره جامع المقاصد </w:t>
      </w:r>
      <w:r>
        <w:rPr>
          <w:rStyle w:val="FootnoteAnchor"/>
          <w:rtl w:val="true"/>
        </w:rPr>
        <w:footnoteReference w:id="279"/>
      </w:r>
      <w:r>
        <w:rPr>
          <w:rFonts w:ascii="IRNazanin" w:hAnsi="IRNazanin" w:eastAsia="IRNazanin"/>
          <w:color w:val="111111"/>
          <w:sz w:val="28"/>
          <w:sz w:val="28"/>
          <w:szCs w:val="28"/>
          <w:rtl w:val="true"/>
          <w:lang w:bidi="fa-IR"/>
        </w:rPr>
        <w:t>بعد أن حکی عن الشیخ و الحلّی و جماعة، و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عدم کفایة المجدّد إذا ظهرت الحاجة إلیه </w:t>
      </w:r>
      <w:r>
        <w:rPr>
          <w:rStyle w:val="FootnoteAnchor"/>
          <w:rtl w:val="true"/>
        </w:rPr>
        <w:footnoteReference w:id="280"/>
      </w:r>
      <w:r>
        <w:rPr>
          <w:rFonts w:ascii="IRNazanin" w:hAnsi="IRNazanin" w:eastAsia="IRNazanin"/>
          <w:color w:val="111111"/>
          <w:sz w:val="28"/>
          <w:sz w:val="28"/>
          <w:szCs w:val="28"/>
          <w:rtl w:val="true"/>
          <w:lang w:bidi="fa-IR"/>
        </w:rPr>
        <w:t xml:space="preserve">، بل عرفت من الحلّی دعوی الإجماع علی عدم کفایته </w:t>
      </w:r>
      <w:r>
        <w:rPr>
          <w:rStyle w:val="FootnoteAnchor"/>
          <w:rtl w:val="true"/>
        </w:rPr>
        <w:footnoteReference w:id="281"/>
      </w:r>
      <w:r>
        <w:rPr>
          <w:rFonts w:ascii="IRNazanin" w:hAnsi="IRNazanin" w:eastAsia="IRNazanin"/>
          <w:color w:val="111111"/>
          <w:sz w:val="28"/>
          <w:sz w:val="28"/>
          <w:szCs w:val="28"/>
          <w:rtl w:val="true"/>
          <w:lang w:bidi="fa-IR"/>
        </w:rPr>
        <w:t>إلّا أن یحمل کلام المجوّزین علی الوضوء المندوب المشروع و یعترفون بعدم مشروعیّة الوضوء لعدم نیّة رفع الحدث و یکون مراد المانعین اعتبار رفع الحدث فی صحّة الوضوء المندوب، فلا خلاف بینهم حینئذ فی جواز الدخول فی الصلاة بالوضوء المندوب الصحیح إلّا أنّ خلافهم فی الصحّة، لکن هذا خلاف ما عرفته سابقا من أنّ النزاع فی ذلک بعد الفراغ عن المشروعیة بدون نیّة رفع الحدث، فافهم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فما حکاه فی المدارک عن بعض الأصحاب من الإجماع علی الصحّة </w:t>
      </w:r>
      <w:r>
        <w:rPr>
          <w:rStyle w:val="FootnoteAnchor"/>
          <w:rtl w:val="true"/>
        </w:rPr>
        <w:footnoteReference w:id="282"/>
      </w:r>
      <w:r>
        <w:rPr>
          <w:rFonts w:ascii="IRNazanin" w:hAnsi="IRNazanin" w:eastAsia="IRNazanin"/>
          <w:color w:val="111111"/>
          <w:sz w:val="28"/>
          <w:sz w:val="28"/>
          <w:szCs w:val="28"/>
          <w:rtl w:val="true"/>
          <w:lang w:bidi="fa-IR"/>
        </w:rPr>
        <w:t>فلعلّ منشأه عبارة أخری للحلّی فی السرائر،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یؤدّی بالطهارة المندوبة الفرض من الصلاة بإجماع أصحابنا </w:t>
      </w:r>
      <w:r>
        <w:rPr>
          <w:rStyle w:val="FootnoteAnchor"/>
          <w:rtl w:val="true"/>
        </w:rPr>
        <w:footnoteReference w:id="2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نظر فی مساق العبارة المذکورة و لاحظ السرائر 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بقرینة ما تقدّم من دعوی </w:t>
      </w:r>
      <w:r>
        <w:rPr>
          <w:rStyle w:val="FootnoteAnchor"/>
          <w:rtl w:val="true"/>
        </w:rPr>
        <w:footnoteReference w:id="284"/>
      </w:r>
      <w:r>
        <w:rPr>
          <w:rFonts w:ascii="IRNazanin" w:hAnsi="IRNazanin" w:eastAsia="IRNazanin"/>
          <w:color w:val="111111"/>
          <w:sz w:val="28"/>
          <w:sz w:val="28"/>
          <w:szCs w:val="28"/>
          <w:rtl w:val="true"/>
          <w:lang w:bidi="fa-IR"/>
        </w:rPr>
        <w:t>الإجماع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مراده بالطهارة المندوبة هی المأتی بها بنیّة الندب لصلاة النافلة و نحوها، و العبارة المذکورة بعینها ذکرها ابن زهرة فی الغنیة و استدلّ علیه أیضا بالإجماع، ثم ذکر أنّ من خالف فی ذلک من أصحابنا فغیر معتد به </w:t>
      </w:r>
      <w:r>
        <w:rPr>
          <w:rStyle w:val="FootnoteAnchor"/>
          <w:rtl w:val="true"/>
        </w:rPr>
        <w:footnoteReference w:id="285"/>
      </w:r>
      <w:r>
        <w:rPr>
          <w:rFonts w:ascii="IRNazanin" w:hAnsi="IRNazanin" w:eastAsia="IRNazanin"/>
          <w:color w:val="111111"/>
          <w:sz w:val="28"/>
          <w:sz w:val="28"/>
          <w:szCs w:val="28"/>
          <w:rtl w:val="true"/>
          <w:lang w:bidi="fa-IR"/>
        </w:rPr>
        <w:t>، و ربما یجعل هذه الفقرة قرینة علی إرادة مطلق المندوب، نظرا إلی أنّه لا خلاف بین أصحابنا ظاهرا فی جواز الدخول فی الفریضة بالوضوء المأتی به لصلاة النافلة،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سیاق کلامه فیما ذکرنا أقوی من ظهور هذه الفقرة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إجماع الغنیة و السرائر فی الإیهام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التذکرة و المنتهی، 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یصلّی بوضوء واحد جمیع الصلوات فرائضها و سننها ما لم یحدث سواء کان الوضوء فرضا أم نفلا و سواء توضّأ لنافلة أو لفریضة قبل وصول وقتها أو بعده مع ارتفاع الحدث بلا خلاف، أمّا مع بقاء الحدث فقولان سیأتی تحقیقهما </w:t>
      </w:r>
      <w:r>
        <w:rPr>
          <w:rStyle w:val="FootnoteAnchor"/>
          <w:rtl w:val="true"/>
        </w:rPr>
        <w:footnoteReference w:id="28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یصلّی بوضوء واحد ما شاء من الصلوات، و هو مذهب أهل العلم </w:t>
      </w:r>
      <w:r>
        <w:rPr>
          <w:rStyle w:val="FootnoteAnchor"/>
          <w:rtl w:val="true"/>
        </w:rPr>
        <w:footnoteReference w:id="2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مساقهما أجنبی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أنّ کثیرا من الأصحاب علی خلاف ما استظهره فی المدارک منهم و إن کان الأقوی فی النظر ما اختاره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القسم الأوّل، فلأنّ المفروض أنّه توضّأ وضوءا نوی به ما یتوقّف علی ارتفاع الحدث و هی فضیلة القراءة </w:t>
      </w:r>
      <w:r>
        <w:rPr>
          <w:rStyle w:val="FootnoteAnchor"/>
          <w:rtl w:val="true"/>
        </w:rPr>
        <w:footnoteReference w:id="288"/>
      </w:r>
      <w:r>
        <w:rPr>
          <w:rFonts w:ascii="IRNazanin" w:hAnsi="IRNazanin" w:eastAsia="IRNazanin"/>
          <w:color w:val="111111"/>
          <w:sz w:val="28"/>
          <w:sz w:val="28"/>
          <w:szCs w:val="28"/>
          <w:rtl w:val="true"/>
          <w:lang w:bidi="fa-IR"/>
        </w:rPr>
        <w:t>، فلا فرق بینه و بین نیّة جواز مسّ کتابة القرآن و إباحة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القرآن مرفوع الحدث یدلّ علی استحباب نیّة رفع الحدث لها بالوضوء </w:t>
      </w:r>
      <w:r>
        <w:rPr>
          <w:rStyle w:val="FootnoteAnchor"/>
          <w:rtl w:val="true"/>
        </w:rPr>
        <w:footnoteReference w:id="289"/>
      </w:r>
      <w:r>
        <w:rPr>
          <w:rFonts w:ascii="IRNazanin" w:hAnsi="IRNazanin" w:eastAsia="IRNazanin"/>
          <w:color w:val="111111"/>
          <w:sz w:val="28"/>
          <w:sz w:val="28"/>
          <w:szCs w:val="28"/>
          <w:rtl w:val="true"/>
          <w:lang w:bidi="fa-IR"/>
        </w:rPr>
        <w:t xml:space="preserve">، فإذا أتی بالوضوء کذلک حصل الغایة المقصودة منه أعنی رفع الحدث، و هذا معنی ما فی المنتهی </w:t>
      </w:r>
      <w:r>
        <w:rPr>
          <w:rStyle w:val="FootnoteAnchor"/>
          <w:rtl w:val="true"/>
        </w:rPr>
        <w:footnoteReference w:id="290"/>
      </w:r>
      <w:r>
        <w:rPr>
          <w:rFonts w:ascii="IRNazanin" w:hAnsi="IRNazanin" w:eastAsia="IRNazanin"/>
          <w:color w:val="111111"/>
          <w:sz w:val="28"/>
          <w:sz w:val="28"/>
          <w:szCs w:val="28"/>
          <w:rtl w:val="true"/>
          <w:lang w:bidi="fa-IR"/>
        </w:rPr>
        <w:t xml:space="preserve">تبعا للمعتبر </w:t>
      </w:r>
      <w:r>
        <w:rPr>
          <w:rStyle w:val="FootnoteAnchor"/>
          <w:rtl w:val="true"/>
        </w:rPr>
        <w:footnoteReference w:id="291"/>
      </w:r>
      <w:r>
        <w:rPr>
          <w:rFonts w:ascii="IRNazanin" w:hAnsi="IRNazanin" w:eastAsia="IRNazanin"/>
          <w:color w:val="111111"/>
          <w:sz w:val="28"/>
          <w:sz w:val="28"/>
          <w:szCs w:val="28"/>
          <w:rtl w:val="true"/>
          <w:lang w:bidi="fa-IR"/>
        </w:rPr>
        <w:t>من أنّه نوی شیئا من لوازمه صحّة الطهارة و هو إیقاع القراءة علی وجه الکمال و لا یتحقّق إلّا برفع الحدث فیکون رفع الحدث منویّا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اعترضه فی جامع المقاصد بأنّ المفروض نیّة القراءة لا النیّة علی هذا الوجه المعیّن إذ لو نواه علی هذا الوجه ملاحظا ما ذکر لکان ناویا رفع الحدث، فلا یتّجه فی الصحّة إشکال، فعلی هذا الأصحّ فی المتنازع فیه البطلان، و إلیه ذهب الشیخ و الحلّی و جماعة، هذا بناء علی اعتبار نیّة الرفع أو الاستباحة فعلی القول بعدم اعتبارهما فی النیّة فلا إشکال فی الصحّة </w:t>
      </w:r>
      <w:r>
        <w:rPr>
          <w:rStyle w:val="FootnoteAnchor"/>
          <w:rtl w:val="true"/>
        </w:rPr>
        <w:footnoteReference w:id="2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للوضوء بنیة قراءة القرآن معنی غیر قصد وقوع القراءة علی الوجه الأکمل و هو </w:t>
      </w:r>
      <w:r>
        <w:rPr>
          <w:rStyle w:val="FootnoteAnchor"/>
          <w:rtl w:val="true"/>
        </w:rPr>
        <w:footnoteReference w:id="293"/>
      </w:r>
      <w:r>
        <w:rPr>
          <w:rFonts w:ascii="IRNazanin" w:hAnsi="IRNazanin" w:eastAsia="IRNazanin"/>
          <w:color w:val="111111"/>
          <w:sz w:val="28"/>
          <w:sz w:val="28"/>
          <w:szCs w:val="28"/>
          <w:rtl w:val="true"/>
          <w:lang w:bidi="fa-IR"/>
        </w:rPr>
        <w:t>کون القارئ مرتفع الحدث فنیّة القراءة ترجع إلی نیّة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فرض أنّ مجرّد کون القارئ متوضئا و إن لم یرتفع حدثه مستحبّ، فهو و إن کان خلاف المستفاد من أدلّة القراءة و الکون علی الطهارة، مع کونه مستلزما لکون </w:t>
      </w:r>
      <w:r>
        <w:rPr>
          <w:rStyle w:val="FootnoteAnchor"/>
          <w:rtl w:val="true"/>
        </w:rPr>
        <w:footnoteReference w:id="294"/>
      </w:r>
      <w:r>
        <w:rPr>
          <w:rFonts w:ascii="IRNazanin" w:hAnsi="IRNazanin" w:eastAsia="IRNazanin"/>
          <w:color w:val="111111"/>
          <w:sz w:val="28"/>
          <w:sz w:val="28"/>
          <w:szCs w:val="28"/>
          <w:rtl w:val="true"/>
          <w:lang w:bidi="fa-IR"/>
        </w:rPr>
        <w:t xml:space="preserve">استحباب القراءة مرتفع الحدث آکد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فیستحبّ الوضوء بنیّة رفع الحدث، إلّا أنّ لما ذکره قدّس سرّه من انفکاک نیّة القراءة عن نیّة رفع الحدث علی هذا الفرض وجه </w:t>
      </w:r>
      <w:r>
        <w:rPr>
          <w:rStyle w:val="FootnoteAnchor"/>
          <w:rtl w:val="true"/>
        </w:rPr>
        <w:footnoteReference w:id="295"/>
      </w:r>
      <w:r>
        <w:rPr>
          <w:rFonts w:ascii="IRNazanin" w:hAnsi="IRNazanin" w:eastAsia="IRNazanin"/>
          <w:color w:val="111111"/>
          <w:sz w:val="28"/>
          <w:sz w:val="28"/>
          <w:szCs w:val="28"/>
          <w:rtl w:val="true"/>
          <w:lang w:bidi="fa-IR"/>
        </w:rPr>
        <w:t xml:space="preserve">، و یتّجه به أیضا ما ذکره فی الإیضاح </w:t>
      </w:r>
      <w:r>
        <w:rPr>
          <w:rStyle w:val="FootnoteAnchor"/>
          <w:rtl w:val="true"/>
        </w:rPr>
        <w:footnoteReference w:id="296"/>
      </w:r>
      <w:r>
        <w:rPr>
          <w:rFonts w:ascii="IRNazanin" w:hAnsi="IRNazanin" w:eastAsia="IRNazanin"/>
          <w:color w:val="111111"/>
          <w:sz w:val="28"/>
          <w:sz w:val="28"/>
          <w:szCs w:val="28"/>
          <w:rtl w:val="true"/>
          <w:lang w:bidi="fa-IR"/>
        </w:rPr>
        <w:t>فی وجه عدم صحّة هذا الوضوء من أنّه یعنی نیّة القراءة مثلا غیر مستلزم لرفع الحدث، لأنّ کلّ ما کان مستلزما للشی‌ء منع اجتماعه مع نقیضه، و هنا یمکن اجتماعه مع الحدث حتّی یکون ناویه غیر ناو لرفع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المفروض أن المستفاد من الأدلّة کون فضیلة القراءة موقوفة علی ارتفاع الحدث</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الکلام 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ثبت استحباب الوضوء لأجل القراءة و إن لم یرتفع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القسم الثانی، و الحقّ فیه أیضا ارتفاع الحدث به، بناء علی أنّ الوضوء المشروع الواقع من المحدث بالأصغر رافع لحدثه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المبنی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بالوضوء فی الکتاب و السنّة أمر مقدّمی یفید وجوبه للغیر، و قد أشرنا فی الأمر الأوّل إلی أن اللازم من هذا کون الوضوء فی نفسه مقدّمة للصلاة رافعا لمانعها و صیرورة هذا منشأ لوجوبه، و قد أشرنا إلی الجمع بین هذا و بین عدم کون الوضوء رافعا لمانع الصلاة إلّا بعد تعلّق الأمر به و إتیانه امتثالا لذلک الأمر، لکن المناسب لهذا الاستدلال الوجه الأوّل من وجهی الجمع المتقدّمین </w:t>
      </w:r>
      <w:r>
        <w:rPr>
          <w:rStyle w:val="FootnoteAnchor"/>
          <w:rtl w:val="true"/>
        </w:rPr>
        <w:footnoteReference w:id="29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علّة استحباب الوضوء للصلاة من قول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أمر بالوضوء و بدئ به لأن یکون العبد طاهرا إذا قام بین یدی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مناجاته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إیّاه مطیعا له فیما أمره نقیّا من الأدناس و النجاسة مع ما فیه من ذهاب الکسل و طرد النعاس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تزکیة الفؤاد للقیام</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بین یدی الجبّار</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الروایة ظاهرة، بل صریحة فی أنّ رفع الحدث من قبیل الخاصیة المترتّبة </w:t>
      </w:r>
      <w:r>
        <w:rPr>
          <w:rStyle w:val="FootnoteAnchor"/>
          <w:rtl w:val="true"/>
        </w:rPr>
        <w:footnoteReference w:id="301"/>
      </w:r>
      <w:r>
        <w:rPr>
          <w:rFonts w:ascii="IRNazanin" w:hAnsi="IRNazanin" w:eastAsia="IRNazanin"/>
          <w:color w:val="111111"/>
          <w:sz w:val="28"/>
          <w:sz w:val="28"/>
          <w:szCs w:val="28"/>
          <w:rtl w:val="true"/>
          <w:lang w:bidi="fa-IR"/>
        </w:rPr>
        <w:t>علی ذات الوضوء و هو المنشأ للأمر به، فثبت أنّ ماهیّة الوضوء لما کانت رافعة للحدث أمر بها، لا أنّ الوضوء المأمور به لأجل الصلاة المأتی به لأجلها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مستحبّ فی نفسه و هو رافع للحدث و مبیح للدخول فی الصلاة، فکلّ ما أمر به ندبا لغایة ترتّب علیه ذلک الأثر و هو رفع الحدث، مع قابلیة المحلّ لا فی مثل الحائض و الجنب، لأنّ المأمور به فی الأوامر الغیریّة هو المأمور به فی 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تغایر حقیقتی المأمور به فی الأوامر الغیریة و المأمور به فی الأمر النفسی، یدفعه ظواهر الأدلّة فی المقامین، فالأمر الغیری المتعلّق بالوضوء فی الحقیقة أمر یحصّل ذلک الأثر المترتّب علی فعل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الوضوء فی نفسه، فالظاهر أنّه ممّا لا خلاف فیه کما فی کشف اللثام </w:t>
      </w:r>
      <w:r>
        <w:rPr>
          <w:rStyle w:val="FootnoteAnchor"/>
          <w:rtl w:val="true"/>
        </w:rPr>
        <w:footnoteReference w:id="302"/>
      </w:r>
      <w:r>
        <w:rPr>
          <w:rFonts w:ascii="IRNazanin" w:hAnsi="IRNazanin" w:eastAsia="IRNazanin"/>
          <w:color w:val="111111"/>
          <w:sz w:val="28"/>
          <w:sz w:val="28"/>
          <w:szCs w:val="28"/>
          <w:rtl w:val="true"/>
          <w:lang w:bidi="fa-IR"/>
        </w:rPr>
        <w:t xml:space="preserve">، و قد صرّح به الحلّی و الفاضلان و الشهیدان </w:t>
      </w:r>
      <w:r>
        <w:rPr>
          <w:rStyle w:val="FootnoteAnchor"/>
          <w:rtl w:val="true"/>
        </w:rPr>
        <w:footnoteReference w:id="303"/>
      </w:r>
      <w:r>
        <w:rPr>
          <w:rFonts w:ascii="IRNazanin" w:hAnsi="IRNazanin" w:eastAsia="IRNazanin"/>
          <w:color w:val="111111"/>
          <w:sz w:val="28"/>
          <w:sz w:val="28"/>
          <w:szCs w:val="28"/>
          <w:rtl w:val="true"/>
          <w:lang w:bidi="fa-IR"/>
        </w:rPr>
        <w:t xml:space="preserve">و غیرهم </w:t>
      </w:r>
      <w:r>
        <w:rPr>
          <w:rStyle w:val="FootnoteAnchor"/>
          <w:rtl w:val="true"/>
        </w:rPr>
        <w:footnoteReference w:id="304"/>
      </w:r>
      <w:r>
        <w:rPr>
          <w:rFonts w:ascii="IRNazanin" w:hAnsi="IRNazanin" w:eastAsia="IRNazanin"/>
          <w:color w:val="111111"/>
          <w:sz w:val="28"/>
          <w:sz w:val="28"/>
          <w:szCs w:val="28"/>
          <w:rtl w:val="true"/>
          <w:lang w:bidi="fa-IR"/>
        </w:rPr>
        <w:t>، و یدلّ علیه الأخبار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أنّه رافع للحدث، فلظهور الأدلّة الدالّة علی استحبابه فی ذلک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فإنّه یدلّ علی استحباب التطهّر فی نفسه، و التطهّر إمّا خصوص التطهر من الحدث و إمّا أعمّ منه و من التطهر من الخبث</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علی الطهور عشر حسنات</w:t>
      </w:r>
    </w:p>
    <w:p>
      <w:pPr>
        <w:pStyle w:val="BookText"/>
        <w:rPr/>
      </w:pPr>
      <w:r>
        <w:rPr>
          <w:rFonts w:ascii="Amiri" w:hAnsi="Amiri" w:eastAsia="Amiri" w:cs="Amiri"/>
          <w:color w:val="111111"/>
          <w:sz w:val="28"/>
          <w:sz w:val="28"/>
          <w:szCs w:val="28"/>
          <w:rtl w:val="true"/>
          <w:lang w:bidi="ar-SA"/>
        </w:rPr>
        <w:t>فتطهّروا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فإنّ ظاهر الأمر الاستحباب النفسی و لا اختصاص له بمورده من الوضوء التجدیدی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قوله علیه السلام حکایة للحدیث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أحدث و لم یتوضّأ فقد جفانی، و من یتوضّأ و لم یصلّ رکعتین فقد جفانی، و من توضّأ و صلّی رکعتین و دعانی و لم أجبه فیما سألنی </w:t>
      </w:r>
      <w:r>
        <w:rPr>
          <w:rStyle w:val="FootnoteAnchor"/>
          <w:rtl w:val="true"/>
        </w:rPr>
        <w:footnoteReference w:id="307"/>
      </w:r>
      <w:r>
        <w:rPr>
          <w:rFonts w:ascii="IRNazanin" w:hAnsi="IRNazanin" w:eastAsia="IRNazanin"/>
          <w:color w:val="111111"/>
          <w:sz w:val="28"/>
          <w:sz w:val="28"/>
          <w:szCs w:val="28"/>
          <w:rtl w:val="true"/>
          <w:lang w:bidi="fa-IR"/>
        </w:rPr>
        <w:t>من أمر دینه أو دنیاه فقد جفوته، و لست بربّ جاف</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فإنّ الظاهر من الروایة استحباب التوضّی للمحدث لمجرّد رفع الحدث لا لأجل صلاة رکعتین، فظاهره أنّ ترک الوضوء جفاء و ترک الصلاة جفاء آخر، فهما مطلوبان مستقلّان، لا أنّ المقصود من الوضوء الصلاة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عن الأمالی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أکثر من الطهور یزد اللّٰه فی عمرک، و إن استطعت أن تکون باللیل و النهار علی طهارة فافعل، فإنّک إذا متّ علی طهارة متّ شهیدا</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جواز الاستدلال بما عن نوادر الراوندی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أصحاب رسول اللّٰه صلّی اللّٰه علیه و آله و سلّم إذا بالوا توضّئوا أو تیمّموا مخافة أن تدرکهم الساعة</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فإنّ الظاهر بقرینة روایة</w:t>
      </w:r>
    </w:p>
    <w:p>
      <w:pPr>
        <w:pStyle w:val="BookText"/>
        <w:rPr/>
      </w:pPr>
      <w:r>
        <w:rPr>
          <w:rFonts w:ascii="IRNazanin" w:hAnsi="IRNazanin" w:eastAsia="IRNazanin"/>
          <w:color w:val="111111"/>
          <w:sz w:val="28"/>
          <w:sz w:val="28"/>
          <w:szCs w:val="28"/>
          <w:rtl w:val="true"/>
          <w:lang w:bidi="fa-IR"/>
        </w:rPr>
        <w:t>أنس مخافة إدراک ساعة الموت علی غیر طهارة فیفوتهم ثواب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أنّ هذا الوجه موقوف علی ورود الأمر أوّلا بالتوضّی و العلم بترتّب الأثر علیه من الخارج، أمّا لو فرض ورود الأمر أوّلا بالتطهر من الحدث فیدلّ ذلک علی الأمر من باب المقدّمة بالتوضّی، فیکشف ذلک عن کون الوضوء فی نفسه مقدّمة و یترتّب علیه الأثر، فیرجع هذا الوجه إلی الوجه الأوّل،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عدم اشتراط نیّة الرفع أو الاستباحة فی الوضوء و کفایة نیّة القربة، و کلما قلنا بکفایة نیّة القربة ارتفع الحدث بالوضوء المندوب، لظهور الإجماع المرکّب و عدم القول بالفصل من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الدین </w:t>
      </w:r>
      <w:r>
        <w:rPr>
          <w:rStyle w:val="FootnoteAnchor"/>
          <w:rtl w:val="true"/>
        </w:rPr>
        <w:footnoteReference w:id="31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312"/>
      </w:r>
      <w:r>
        <w:rPr>
          <w:rFonts w:ascii="IRNazanin" w:hAnsi="IRNazanin" w:eastAsia="IRNazanin"/>
          <w:color w:val="111111"/>
          <w:sz w:val="28"/>
          <w:sz w:val="28"/>
          <w:szCs w:val="28"/>
          <w:rtl w:val="true"/>
          <w:lang w:bidi="fa-IR"/>
        </w:rPr>
        <w:t>، حیث نفیا الإشکال فی صحّة الوضوءات المذکورة بناء علی کفایة نیّة القربة و عدم اعتبار نیّة الرفع أو 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 الحلّی فی عبارتهما المتقدمة من المبسوط و السرائر </w:t>
      </w:r>
      <w:r>
        <w:rPr>
          <w:rStyle w:val="FootnoteAnchor"/>
          <w:rtl w:val="true"/>
        </w:rPr>
        <w:footnoteReference w:id="313"/>
      </w:r>
      <w:r>
        <w:rPr>
          <w:rFonts w:ascii="IRNazanin" w:hAnsi="IRNazanin" w:eastAsia="IRNazanin"/>
          <w:color w:val="111111"/>
          <w:sz w:val="28"/>
          <w:sz w:val="28"/>
          <w:szCs w:val="28"/>
          <w:rtl w:val="true"/>
          <w:lang w:bidi="fa-IR"/>
        </w:rPr>
        <w:t>، حیث فرّعا عدم ارتفاع الحدث بالوضوءات المذکورة علی انعقاد الإجماع علی اعتبار نیّة الرفع أو 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الظاهرة فی هذا المعنی، مثل ما یظهر منه إطلاق الطهور علی الوضوء بقول مطلق، و لازمة ترتّب أحکام الطهور علیه، مثل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الخصال فی حدیث الأربعمائة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توضّأ أحدکم فلیسمّ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 طهوره قال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صاحب المدارک </w:t>
      </w:r>
      <w:r>
        <w:rPr>
          <w:rStyle w:val="FootnoteAnchor"/>
          <w:rtl w:val="true"/>
        </w:rPr>
        <w:footnoteReference w:id="315"/>
      </w:r>
      <w:r>
        <w:rPr>
          <w:rFonts w:ascii="IRNazanin" w:hAnsi="IRNazanin" w:eastAsia="IRNazanin"/>
          <w:color w:val="111111"/>
          <w:sz w:val="28"/>
          <w:sz w:val="28"/>
          <w:szCs w:val="28"/>
          <w:rtl w:val="true"/>
          <w:lang w:bidi="fa-IR"/>
        </w:rPr>
        <w:t>علی هذا المطلب، من قوله علیه السلام فی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استیقنت أنّک قد أحدثت فتوضّأ و إیّاک </w:t>
      </w:r>
      <w:r>
        <w:rPr>
          <w:rStyle w:val="FootnoteAnchor"/>
          <w:rtl w:val="true"/>
        </w:rPr>
        <w:footnoteReference w:id="316"/>
      </w:r>
      <w:r>
        <w:rPr>
          <w:rFonts w:ascii="IRNazanin" w:hAnsi="IRNazanin" w:eastAsia="IRNazanin"/>
          <w:color w:val="111111"/>
          <w:sz w:val="28"/>
          <w:sz w:val="28"/>
          <w:szCs w:val="28"/>
          <w:rtl w:val="true"/>
          <w:lang w:bidi="fa-IR"/>
        </w:rPr>
        <w:t xml:space="preserve">أن تحدث وضوءا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حتّی تستیقن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أحدثت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دلّت علی النهی عن الوضوء بقصد الوجوب أو رفع الحدث عقیب الیقین بالوضوء من دون تفصیل بین أفراد الوضوء المتیقّن، فدلّ علی کفایة کلّ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مسوق لبیان کفایة عدم الیقین بالحدث بعد الیقین بالوضوء، بعد الفراغ عن کون الوضوء المتیقّن رافعا للحدث، فافهم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استدلّ به غیره </w:t>
      </w:r>
      <w:r>
        <w:rPr>
          <w:rStyle w:val="FootnoteAnchor"/>
          <w:rtl w:val="true"/>
        </w:rPr>
        <w:footnoteReference w:id="320"/>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حدث</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فإنّه دالّ علی کون الحدث ناقضا للوضوء بقول مطلق، و لازم ذلک کون الوضوء أیضا رافعا للحدث، إذ لو جامعه لم ینقض به، لعدم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یمنع الملازمة کما فی الأغسال المندوبة الصحیحة مع الحدث الأصغر، مع انتقاضة به علی أقوی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الکلّ ما استدلّ به ثالث </w:t>
      </w:r>
      <w:r>
        <w:rPr>
          <w:rStyle w:val="FootnoteAnchor"/>
          <w:rtl w:val="true"/>
        </w:rPr>
        <w:footnoteReference w:id="322"/>
      </w:r>
      <w:r>
        <w:rPr>
          <w:rFonts w:ascii="Amiri" w:hAnsi="Amiri" w:eastAsia="Amiri" w:cs="Amiri"/>
          <w:color w:val="111111"/>
          <w:sz w:val="28"/>
          <w:sz w:val="28"/>
          <w:szCs w:val="28"/>
          <w:rtl w:val="true"/>
          <w:lang w:bidi="ar-SA"/>
        </w:rPr>
        <w:t>من حسنة زرارة،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یصلّی بوضوء واحد صلاة اللیل و النهار؟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یحدث</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عن صحّة أن یصلّی بوضوء واحد أزید من واحدة بعد الفراغ من جواز صلاة واحدة به، و الکلام فیما نحن فیه فی صحّة أصل الصلاة بالوضوءات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فالعمدة فی إثبات المطلب الوجه الأوّل، و یؤیّده الباقی، فافهم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هذه الوجوه بأسرها یعلم الصحّة فی القسم الثالث، و هو الوضوء التجدیدی، وفاقا للشیخ </w:t>
      </w:r>
      <w:r>
        <w:rPr>
          <w:rStyle w:val="FootnoteAnchor"/>
          <w:rtl w:val="true"/>
        </w:rPr>
        <w:footnoteReference w:id="324"/>
      </w:r>
      <w:r>
        <w:rPr>
          <w:rFonts w:ascii="Amiri" w:hAnsi="Amiri" w:eastAsia="Amiri" w:cs="Amiri"/>
          <w:color w:val="111111"/>
          <w:sz w:val="28"/>
          <w:sz w:val="28"/>
          <w:szCs w:val="28"/>
          <w:rtl w:val="true"/>
          <w:lang w:bidi="ar-SA"/>
        </w:rPr>
        <w:t xml:space="preserve">و المحقّق </w:t>
      </w:r>
      <w:r>
        <w:rPr>
          <w:rStyle w:val="FootnoteAnchor"/>
          <w:rtl w:val="true"/>
        </w:rPr>
        <w:footnoteReference w:id="325"/>
      </w:r>
      <w:r>
        <w:rPr>
          <w:rFonts w:ascii="Amiri" w:hAnsi="Amiri" w:eastAsia="Amiri" w:cs="Amiri"/>
          <w:color w:val="111111"/>
          <w:sz w:val="28"/>
          <w:sz w:val="28"/>
          <w:szCs w:val="28"/>
          <w:rtl w:val="true"/>
          <w:lang w:bidi="ar-SA"/>
        </w:rPr>
        <w:t xml:space="preserve">و جماعة </w:t>
      </w:r>
      <w:r>
        <w:rPr>
          <w:rStyle w:val="FootnoteAnchor"/>
          <w:rtl w:val="true"/>
        </w:rPr>
        <w:footnoteReference w:id="326"/>
      </w:r>
      <w:r>
        <w:rPr>
          <w:rFonts w:ascii="IRNazanin" w:hAnsi="IRNazanin" w:eastAsia="IRNazanin"/>
          <w:color w:val="111111"/>
          <w:sz w:val="28"/>
          <w:sz w:val="28"/>
          <w:szCs w:val="28"/>
          <w:rtl w:val="true"/>
          <w:lang w:bidi="fa-IR"/>
        </w:rPr>
        <w:t>، إلّا أنّ الأخبار هنا أوضح دلالة، مثل ما تقدّم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بعد الطهور عشر حسنات فتطهّروا</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و فی مرسلة سعد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علی الطهر عشر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فإنّ</w:t>
      </w:r>
    </w:p>
    <w:p>
      <w:pPr>
        <w:pStyle w:val="BookText"/>
        <w:rPr/>
      </w:pPr>
      <w:r>
        <w:rPr>
          <w:rFonts w:ascii="IRNazanin" w:hAnsi="IRNazanin" w:eastAsia="IRNazanin"/>
          <w:color w:val="111111"/>
          <w:sz w:val="28"/>
          <w:sz w:val="28"/>
          <w:szCs w:val="28"/>
          <w:rtl w:val="true"/>
          <w:lang w:bidi="fa-IR"/>
        </w:rPr>
        <w:t>إطلاق الطهر علی الوضوء التجدیدی یکشف عن کونه مثل الوضوء الأوّل فی إحداثه نظافة باطنة لو صادفت الحدث رفعه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یوضّح</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 و إطلاق التجدید علیه فی النصّ </w:t>
      </w:r>
      <w:r>
        <w:rPr>
          <w:rStyle w:val="FootnoteAnchor"/>
          <w:rtl w:val="true"/>
        </w:rPr>
        <w:footnoteReference w:id="331"/>
      </w:r>
      <w:r>
        <w:rPr>
          <w:rFonts w:ascii="IRNazanin" w:hAnsi="IRNazanin" w:eastAsia="IRNazanin"/>
          <w:color w:val="111111"/>
          <w:sz w:val="28"/>
          <w:sz w:val="28"/>
          <w:szCs w:val="28"/>
          <w:rtl w:val="true"/>
          <w:lang w:bidi="fa-IR"/>
        </w:rPr>
        <w:t xml:space="preserve">و الفتوی </w:t>
      </w:r>
      <w:r>
        <w:rPr>
          <w:rStyle w:val="FootnoteAnchor"/>
          <w:rtl w:val="true"/>
        </w:rPr>
        <w:footnoteReference w:id="332"/>
      </w:r>
      <w:r>
        <w:rPr>
          <w:rFonts w:ascii="IRNazanin" w:hAnsi="IRNazanin" w:eastAsia="IRNazanin"/>
          <w:color w:val="111111"/>
          <w:sz w:val="28"/>
          <w:sz w:val="28"/>
          <w:szCs w:val="28"/>
          <w:rtl w:val="true"/>
          <w:lang w:bidi="fa-IR"/>
        </w:rPr>
        <w:t>، 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نسبه فی الذکری إلی ظاهر الأخبار و الأصحاب من أنّ شرعیة المجدّد للتدارک فهو منویّ به تلک الغایة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الحکمة فی تشریعه تأثیره فعلا لو کان المکلّف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الطهارة رأسا أو لخلل فی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فالمکلّف ناو إجمالا لرفع الحدث به لو فرض کونه محدثا، و لذلک قال الشیخ بصحّته مع اشتراطه لنیة الرفع و الاستباحة، و طعن علیه الحلّی </w:t>
      </w:r>
      <w:r>
        <w:rPr>
          <w:rStyle w:val="FootnoteAnchor"/>
          <w:rtl w:val="true"/>
        </w:rPr>
        <w:footnoteReference w:id="334"/>
      </w:r>
      <w:r>
        <w:rPr>
          <w:rFonts w:ascii="Amiri" w:hAnsi="Amiri" w:eastAsia="Amiri" w:cs="Amiri"/>
          <w:color w:val="111111"/>
          <w:sz w:val="28"/>
          <w:sz w:val="28"/>
          <w:szCs w:val="28"/>
          <w:rtl w:val="true"/>
          <w:lang w:bidi="ar-SA"/>
        </w:rPr>
        <w:t xml:space="preserve">و تعجّب منه العلامة </w:t>
      </w:r>
      <w:r>
        <w:rPr>
          <w:rStyle w:val="FootnoteAnchor"/>
          <w:rtl w:val="true"/>
        </w:rPr>
        <w:footnoteReference w:id="335"/>
      </w:r>
      <w:r>
        <w:rPr>
          <w:rFonts w:ascii="IRNazanin" w:hAnsi="IRNazanin" w:eastAsia="IRNazanin"/>
          <w:color w:val="111111"/>
          <w:sz w:val="28"/>
          <w:sz w:val="28"/>
          <w:szCs w:val="28"/>
          <w:rtl w:val="true"/>
          <w:lang w:bidi="fa-IR"/>
        </w:rPr>
        <w:t>، و انتصر له فی 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نیّة الاستباحة إنّما تعتبر مع التذکّر، أمّا إذا ظنّ المکلّف حصولها فلا، فإذا جدّد فصادف حدثا فی نفس الأمر کان مرتفعا، کیف، و هم یعلّلون شرعیّة المجدّد باستدراک ما عساه فات فی الأوّل، و مثله استحباب الغسل فی أوّل لیلة من شهر رمضان تلافیا لما عساه فات من</w:t>
      </w:r>
    </w:p>
    <w:p>
      <w:pPr>
        <w:pStyle w:val="BookText"/>
        <w:rPr/>
      </w:pPr>
      <w:r>
        <w:rPr>
          <w:rFonts w:ascii="IRNazanin" w:hAnsi="IRNazanin" w:eastAsia="IRNazanin"/>
          <w:color w:val="111111"/>
          <w:sz w:val="28"/>
          <w:sz w:val="28"/>
          <w:szCs w:val="28"/>
          <w:rtl w:val="true"/>
          <w:lang w:bidi="fa-IR"/>
        </w:rPr>
        <w:t xml:space="preserve">الأغسال الواجبة، و الاتّفاق واقع علی إجزاء یوم الشکّ ندبا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الواجب</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 و الصدقة بدرهم تمرا تلافیا لما جاز لزومه فی الإحرام </w:t>
      </w:r>
      <w:r>
        <w:rPr>
          <w:rStyle w:val="FootnoteAnchor"/>
          <w:rtl w:val="true"/>
        </w:rPr>
        <w:footnoteReference w:id="3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التوجیه لا یصلح فی مقابل العلّامة الذی لا یقول بکفایة الوضوء الاحتیاطی المنویّ به التدارک صریحا، فضلا عن هذا الوضوء الذی یکون حکمته الاحتیاط و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تجدید الوضوء قصد لإحداث تلک النظافة التی ذکرنا أنّ المستفاد من الأخبار کونها من جنس النظافة الاولی، فترفع الحدث لو صادفته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التوجیه الذی ذکره فی غایة المراد حسن جدّا لو قصد بالوضوء التجدیدی الاحتیاط و التدارک صریحا، بأن یلتفت إلی احتمال خلل فی الطهارة الأولی فتوضّأ بداعی التجدید علی تقدیر عدم الخلل، و التدارک علی تقدیر الخلل، فإنّ الظاهر صحّة هذه النیّة کما یستفاد من النصوص الواردة </w:t>
      </w:r>
      <w:r>
        <w:rPr>
          <w:rStyle w:val="FootnoteAnchor"/>
          <w:rtl w:val="true"/>
        </w:rPr>
        <w:footnoteReference w:id="338"/>
      </w:r>
      <w:r>
        <w:rPr>
          <w:rFonts w:ascii="IRNazanin" w:hAnsi="IRNazanin" w:eastAsia="IRNazanin"/>
          <w:color w:val="111111"/>
          <w:sz w:val="28"/>
          <w:sz w:val="28"/>
          <w:szCs w:val="28"/>
          <w:rtl w:val="true"/>
          <w:lang w:bidi="fa-IR"/>
        </w:rPr>
        <w:t xml:space="preserve">فی نظائره التی ذکر الشهید جملة منها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حکم الوضوء المستحبّ عقیب المذی و أخویه، حیث</w:t>
      </w:r>
    </w:p>
    <w:p>
      <w:pPr>
        <w:pStyle w:val="BookText"/>
        <w:rPr/>
      </w:pPr>
      <w:r>
        <w:rPr>
          <w:rFonts w:ascii="IRNazanin" w:hAnsi="IRNazanin" w:eastAsia="IRNazanin"/>
          <w:color w:val="111111"/>
          <w:sz w:val="28"/>
          <w:sz w:val="28"/>
          <w:szCs w:val="28"/>
          <w:rtl w:val="true"/>
          <w:lang w:bidi="fa-IR"/>
        </w:rPr>
        <w:t>إنّ الظاهر أنّ المطلوب بالوضوء فیها تکمیل النقص الداخل علی الطهارة بسبب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التجدید بملاحظة حکمة أولی برفع الحدث من هذا الوضوء،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حکم الوضوء المأتی به لمحض الاحتیاط مع کون المکلّف محکوما ظاهرا بالطهارة، لاستصحاب أو شکّ بعد الفراغ و نحو ذلک، فإنّ الأقوی صحّته و ارتفاع الحدث به لو صادفه، و هو أولی بذلک من الوضوء التجدیدی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فی المعتبر ذکر فی الوضوء التجدیدی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فیه الصحّة إذا نوی بالثانیة الصلاة، لأنّها طهارة شرعیّة قصد بها فضیلة لا تحصل إلّا بها،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نوی به وضوءا مطلقا لم یصحّ </w:t>
      </w:r>
      <w:r>
        <w:rPr>
          <w:rStyle w:val="FootnoteAnchor"/>
          <w:rtl w:val="true"/>
        </w:rPr>
        <w:footnoteReference w:id="340"/>
      </w:r>
      <w:r>
        <w:rPr>
          <w:rFonts w:ascii="IRNazanin" w:hAnsi="IRNazanin" w:eastAsia="IRNazanin"/>
          <w:color w:val="111111"/>
          <w:sz w:val="28"/>
          <w:sz w:val="28"/>
          <w:szCs w:val="28"/>
          <w:rtl w:val="true"/>
          <w:lang w:bidi="fa-IR"/>
        </w:rPr>
        <w:t>،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الفرق یشعر بأنّ المجدد عنده قسمان </w:t>
      </w:r>
      <w:r>
        <w:rPr>
          <w:rStyle w:val="FootnoteAnchor"/>
          <w:rtl w:val="true"/>
        </w:rPr>
        <w:footnoteReference w:id="3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عن المحقّق فی الوضوء للقراءة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نوی وضوءا مطلقا لم یصحّ، فلا بدّ من التأمّل فی مقصوده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الکلام </w:t>
      </w:r>
      <w:r>
        <w:rPr>
          <w:rStyle w:val="FootnoteAnchor"/>
          <w:rtl w:val="true"/>
        </w:rPr>
        <w:footnoteReference w:id="342"/>
      </w:r>
      <w:r>
        <w:rPr>
          <w:rFonts w:ascii="IRNazanin" w:hAnsi="IRNazanin" w:eastAsia="IRNazanin"/>
          <w:color w:val="111111"/>
          <w:sz w:val="28"/>
          <w:sz w:val="28"/>
          <w:szCs w:val="28"/>
          <w:rtl w:val="true"/>
          <w:lang w:bidi="fa-IR"/>
        </w:rPr>
        <w:t xml:space="preserve">فی الوضوء المجدّد جهة أخری، و هی نیّة الوجه، فإنّ من یعتبر نیّة الوجه لا بدّ له بعد القول بصحّة هذا الوضوء و الإغماض عن اعتبار نیّة الرفع و الاستباحة من التفصیل بین ما إذا اتّحد المتجدد و المتجدد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فی الوجه، و بین ما إذا اختلفا، و کذلک الکلام فی الوضوء الاحتیاطی، و الأقوی عدم اعتبار ذلک و إن قلنا باعتبار نیّة الوجه، و یظهر وجهه ممّا تقدّم فی نیّة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 و هو وضوء الحائض و الجنب إذا ظهر عدم الحدثین حال الوضوء، فلم یتعرّض له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یجزی وضوء الحائض و لو ظهر بعد الوضوء انقطاعه </w:t>
      </w:r>
      <w:r>
        <w:rPr>
          <w:rStyle w:val="FootnoteAnchor"/>
          <w:rtl w:val="true"/>
        </w:rPr>
        <w:footnoteReference w:id="344"/>
      </w:r>
      <w:r>
        <w:rPr>
          <w:rFonts w:ascii="IRNazanin" w:hAnsi="IRNazanin" w:eastAsia="IRNazanin"/>
          <w:color w:val="111111"/>
          <w:sz w:val="28"/>
          <w:sz w:val="28"/>
          <w:szCs w:val="28"/>
          <w:rtl w:val="true"/>
          <w:lang w:bidi="fa-IR"/>
        </w:rPr>
        <w:t>، و الأقوی فیه الصحّة بناء علی ما استفدناه من الأخبار من أنّ الوضوء حقیقة واحدة له تأثیر واحد، و هی نظافة معنویة، فإن وجدت محلا قابلا للتأثیر أثّرت، و إن لم یکن المحلّ قابلا فإن کان لوجود الأثر قبل الوضوء أکّده، کما فی الوضوء المجدّد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التأثیر یکون بارتفاع الحدث إذا کان أصغر، و بتخفیف الحدث الأکبر مطلقا أو لبعض الأفعال کالنوم و الأکل و الذکر فی أوقات الصلاة، فالمؤثّر فی المحدث بالأصغر و الأکبر شی‌ء لکن یختلف أثره باعتبار المحلّ، فإذا تبیّن کون الحائض منقطعة الدم أثّر الوضوء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یعتبر نیة الوجه أو نیّة الرفع أو الاستباحة فیشکل علیه الحکم بالصحّة،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محتاجة إلی التأمّل و إنما أطلنا زمام الکلام فی هذا المقام لکون المطلب حقیقا بالاهتمام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ذکر المصنّف اعتبار النیة فی الوضوء و عدم رفعه الحدث إلّا بها تفطّن لحال إزالة الخبث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مطلق القصد، فضلا عن قصد التقرّب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إزالة النجاسات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المقصود منها</w:t>
      </w:r>
    </w:p>
    <w:p>
      <w:pPr>
        <w:pStyle w:val="BookText"/>
        <w:rPr/>
      </w:pPr>
      <w:r>
        <w:rPr>
          <w:rFonts w:ascii="Amiri" w:hAnsi="Amiri" w:eastAsia="Amiri" w:cs="Amiri"/>
          <w:color w:val="111111"/>
          <w:sz w:val="28"/>
          <w:sz w:val="28"/>
          <w:szCs w:val="28"/>
          <w:rtl w:val="true"/>
          <w:lang w:bidi="ar-SA"/>
        </w:rPr>
        <w:t xml:space="preserve">زوال النجاسة و قد علم من الشرع حصوله بمجرّد إصابة المطهر </w:t>
      </w:r>
      <w:r>
        <w:rPr>
          <w:rStyle w:val="FootnoteAnchor"/>
          <w:rtl w:val="true"/>
        </w:rPr>
        <w:footnoteReference w:id="346"/>
      </w:r>
      <w:r>
        <w:rPr>
          <w:rFonts w:ascii="IRNazanin" w:hAnsi="IRNazanin" w:eastAsia="IRNazanin"/>
          <w:color w:val="111111"/>
          <w:sz w:val="28"/>
          <w:sz w:val="28"/>
          <w:szCs w:val="28"/>
          <w:rtl w:val="true"/>
          <w:lang w:bidi="fa-IR"/>
        </w:rPr>
        <w:t>للنجس و لو من دون قصد و لا شعور من أحد،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غدیر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لا یصیب </w:t>
      </w:r>
      <w:r>
        <w:rPr>
          <w:rStyle w:val="FootnoteAnchor"/>
          <w:rtl w:val="true"/>
        </w:rPr>
        <w:footnoteReference w:id="348"/>
      </w:r>
      <w:r>
        <w:rPr>
          <w:rFonts w:ascii="Amiri" w:hAnsi="Amiri" w:eastAsia="Amiri" w:cs="Amiri"/>
          <w:color w:val="111111"/>
          <w:sz w:val="28"/>
          <w:sz w:val="28"/>
          <w:szCs w:val="28"/>
          <w:rtl w:val="true"/>
          <w:lang w:bidi="ar-SA"/>
        </w:rPr>
        <w:t>شیئا إلّا و قد طهّره</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أشرقت علیه الشمس فقد طهر</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مضافا إلی إطلاقات الأمر بالغسل عن النجاسات </w:t>
      </w:r>
      <w:r>
        <w:rPr>
          <w:rStyle w:val="FootnoteAnchor"/>
          <w:rtl w:val="true"/>
        </w:rPr>
        <w:footnoteReference w:id="351"/>
      </w:r>
      <w:r>
        <w:rPr>
          <w:rFonts w:ascii="IRNazanin" w:hAnsi="IRNazanin" w:eastAsia="IRNazanin"/>
          <w:color w:val="111111"/>
          <w:sz w:val="28"/>
          <w:sz w:val="28"/>
          <w:szCs w:val="28"/>
          <w:rtl w:val="true"/>
          <w:lang w:bidi="fa-IR"/>
        </w:rPr>
        <w:t>، فإنّ ظاهر الأمر سقوط التکلیف بإتیان المأمور به بأیّ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تلک الأوامر اعتبار المباشرة، و کلّ واجب اعتبر فیه المباشرة اعتبر فیه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ظهور کثیر من أدلّة تطهیر النجاسات فی عدم لزوم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بل الضرورة قائمة علی عدم وجوب المباشرة فی إزالة النجاسات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للاستشکال فی المقام حتّی 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ما یجب فیه النیّة من الطهارات و نحوها و ما لا یجب فیه من إزالة النجاسة و ما شابهها ملتبس جدّا، لخلوّ الأخبار من هذا</w:t>
      </w:r>
    </w:p>
    <w:p>
      <w:pPr>
        <w:pStyle w:val="BookText"/>
        <w:rPr/>
      </w:pPr>
      <w:r>
        <w:rPr>
          <w:rFonts w:ascii="IRNazanin" w:hAnsi="IRNazanin" w:eastAsia="IRNazanin"/>
          <w:color w:val="111111"/>
          <w:sz w:val="28"/>
          <w:sz w:val="28"/>
          <w:szCs w:val="28"/>
          <w:rtl w:val="true"/>
          <w:lang w:bidi="fa-IR"/>
        </w:rPr>
        <w:t xml:space="preserve">البیان </w:t>
      </w:r>
      <w:r>
        <w:rPr>
          <w:rStyle w:val="FootnoteAnchor"/>
          <w:rtl w:val="true"/>
        </w:rPr>
        <w:footnoteReference w:id="35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 الأمر عدم اعتبار النیّة و وجوب مباشرة المأمور به و هما متنافیان، لأنّ کلّ فعل وجب فیه المباشرة وجب فیه النیّة بالإجماع و الاستقراء، إلّا أنّه بعد ما ثبت من الخارج عدم اعتبار المباشرة بقی ظاهر اللفظ من عدم اعتبار النیّة سلیما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ادعی أنّ الأصل الثانوی المستفاد من أدلّة اعتبار النیّة فی جمیع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 قوله صلّی اللّٰه علیه و آله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کون کلّ عمل متوقّفا علی النیّة إلّا ما خرج، و قد أوضحنا فی الأصول </w:t>
      </w:r>
      <w:r>
        <w:rPr>
          <w:rStyle w:val="FootnoteAnchor"/>
          <w:rtl w:val="true"/>
        </w:rPr>
        <w:footnoteReference w:id="356"/>
      </w:r>
      <w:r>
        <w:rPr>
          <w:rFonts w:ascii="IRNazanin" w:hAnsi="IRNazanin" w:eastAsia="IRNazanin"/>
          <w:color w:val="111111"/>
          <w:sz w:val="28"/>
          <w:sz w:val="28"/>
          <w:szCs w:val="28"/>
          <w:rtl w:val="true"/>
          <w:lang w:bidi="fa-IR"/>
        </w:rPr>
        <w:t xml:space="preserve">و أشرنا هنا فی أوّل مسألة النیّة إلی عدم تمامیّة هذا الأصل، فراجع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72" w:name="pg13035_131591"/>
    </w:p>
    <w:p>
      <w:pPr>
        <w:pStyle w:val="Heading6"/>
        <w:numPr>
          <w:ilvl w:val="5"/>
          <w:numId w:val="1"/>
        </w:numPr>
        <w:rPr/>
      </w:pPr>
      <w:bookmarkStart w:id="73" w:name="__RefHeading___Toc6369906_3224264995"/>
      <w:bookmarkStart w:id="74" w:name="_Toc30"/>
      <w:bookmarkEnd w:id="72"/>
      <w:bookmarkEnd w:id="73"/>
      <w:r>
        <w:rPr>
          <w:rtl w:val="true"/>
        </w:rPr>
        <w:t>[</w:t>
      </w:r>
      <w:r>
        <w:rPr>
          <w:rtl w:val="true"/>
        </w:rPr>
        <w:t>ضمّ مقصد مباح إلی نیّة التقرّب</w:t>
      </w:r>
      <w:r>
        <w:rPr>
          <w:rtl w:val="true"/>
        </w:rPr>
        <w:t>]</w:t>
      </w:r>
      <w:bookmarkEnd w:id="74"/>
    </w:p>
    <w:p>
      <w:pPr>
        <w:pStyle w:val="Heading6"/>
        <w:numPr>
          <w:ilvl w:val="5"/>
          <w:numId w:val="1"/>
        </w:numPr>
        <w:rPr/>
      </w:pPr>
      <w:bookmarkStart w:id="75" w:name="__RefHeading___Toc6369908_3224264995"/>
      <w:bookmarkStart w:id="76" w:name="_Toc31"/>
      <w:bookmarkEnd w:id="75"/>
      <w:r>
        <w:rPr>
          <w:rtl w:val="true"/>
        </w:rPr>
        <w:t>اشارة</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المتوضّئ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نیّة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آخر، فلا یخلو إمّا أن یکون مباحا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التسخّن و نظافة العضو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المقاصد المباحة، و إمّا أن یکون محرّما کالریاء و السمعة أو محرّما آخر، و إمّا أن یکون راجحا شرعا،</w:t>
      </w:r>
    </w:p>
    <w:p>
      <w:pPr>
        <w:pStyle w:val="Heading6"/>
        <w:numPr>
          <w:ilvl w:val="5"/>
          <w:numId w:val="1"/>
        </w:numPr>
        <w:rPr/>
      </w:pPr>
      <w:bookmarkStart w:id="77" w:name="__RefHeading___Toc6369910_3224264995"/>
      <w:bookmarkStart w:id="78" w:name="_Toc32"/>
      <w:bookmarkEnd w:id="77"/>
      <w:r>
        <w:rPr>
          <w:rtl w:val="true"/>
        </w:rPr>
        <w:t>فالکلام فی مقامات ثلاثة</w:t>
      </w:r>
      <w:r>
        <w:rPr>
          <w:rtl w:val="true"/>
        </w:rPr>
        <w:t>:</w:t>
      </w:r>
      <w:bookmarkEnd w:id="78"/>
    </w:p>
    <w:p>
      <w:pPr>
        <w:pStyle w:val="Heading6"/>
        <w:numPr>
          <w:ilvl w:val="5"/>
          <w:numId w:val="1"/>
        </w:numPr>
        <w:rPr/>
      </w:pPr>
      <w:bookmarkStart w:id="79" w:name="__RefHeading___Toc6369912_3224264995"/>
      <w:bookmarkStart w:id="80" w:name="_Toc33"/>
      <w:bookmarkEnd w:id="79"/>
      <w:r>
        <w:rPr>
          <w:rtl w:val="true"/>
        </w:rPr>
        <w:t>أمّا المقام الأوّل</w:t>
      </w:r>
      <w:r>
        <w:rPr>
          <w:rtl w:val="true"/>
        </w:rPr>
        <w:t>:</w:t>
      </w:r>
      <w:bookmarkEnd w:id="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فالمحکی فی قواعد الشهید عن ظاهر الأکثر </w:t>
      </w:r>
      <w:r>
        <w:rPr>
          <w:rStyle w:val="FootnoteAnchor"/>
          <w:rtl w:val="true"/>
        </w:rPr>
        <w:footnoteReference w:id="359"/>
      </w:r>
      <w:r>
        <w:rPr>
          <w:rFonts w:ascii="IRNazanin" w:hAnsi="IRNazanin" w:eastAsia="IRNazanin"/>
          <w:color w:val="111111"/>
          <w:sz w:val="28"/>
          <w:sz w:val="28"/>
          <w:szCs w:val="28"/>
          <w:rtl w:val="true"/>
          <w:lang w:bidi="fa-IR"/>
        </w:rPr>
        <w:t xml:space="preserve">و المصرح به فی المبسوط </w:t>
      </w:r>
      <w:r>
        <w:rPr>
          <w:rStyle w:val="FootnoteAnchor"/>
          <w:rtl w:val="true"/>
        </w:rPr>
        <w:footnoteReference w:id="360"/>
      </w:r>
      <w:r>
        <w:rPr>
          <w:rFonts w:ascii="IRNazanin" w:hAnsi="IRNazanin" w:eastAsia="IRNazanin"/>
          <w:color w:val="111111"/>
          <w:sz w:val="28"/>
          <w:sz w:val="28"/>
          <w:szCs w:val="28"/>
          <w:rtl w:val="true"/>
          <w:lang w:bidi="fa-IR"/>
        </w:rPr>
        <w:t xml:space="preserve">و المعتبر </w:t>
      </w:r>
      <w:r>
        <w:rPr>
          <w:rStyle w:val="FootnoteAnchor"/>
          <w:rtl w:val="true"/>
        </w:rPr>
        <w:footnoteReference w:id="361"/>
      </w:r>
      <w:r>
        <w:rPr>
          <w:rFonts w:ascii="IRNazanin" w:hAnsi="IRNazanin" w:eastAsia="IRNazanin"/>
          <w:color w:val="111111"/>
          <w:sz w:val="28"/>
          <w:sz w:val="28"/>
          <w:szCs w:val="28"/>
          <w:rtl w:val="true"/>
          <w:lang w:bidi="fa-IR"/>
        </w:rPr>
        <w:t xml:space="preserve">و بعض کتب العلّامة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یخلّ ذلک فی الصحّة،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طهارته مجزیة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استدلّ له جماعة </w:t>
      </w:r>
      <w:r>
        <w:rPr>
          <w:rStyle w:val="FootnoteAnchor"/>
          <w:rtl w:val="true"/>
        </w:rPr>
        <w:footnoteReference w:id="363"/>
      </w:r>
      <w:r>
        <w:rPr>
          <w:rFonts w:ascii="IRNazanin" w:hAnsi="IRNazanin" w:eastAsia="IRNazanin"/>
          <w:color w:val="111111"/>
          <w:sz w:val="28"/>
          <w:sz w:val="28"/>
          <w:szCs w:val="28"/>
          <w:rtl w:val="true"/>
          <w:lang w:bidi="fa-IR"/>
        </w:rPr>
        <w:t>بما فی المبسوط و المعتبر من أنّه نوی الواجب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علیه </w:t>
      </w:r>
      <w:r>
        <w:rPr>
          <w:rStyle w:val="FootnoteAnchor"/>
          <w:rtl w:val="true"/>
        </w:rPr>
        <w:footnoteReference w:id="364"/>
      </w:r>
      <w:r>
        <w:rPr>
          <w:rFonts w:ascii="IRNazanin" w:hAnsi="IRNazanin" w:eastAsia="IRNazanin"/>
          <w:color w:val="111111"/>
          <w:sz w:val="28"/>
          <w:sz w:val="28"/>
          <w:szCs w:val="28"/>
          <w:rtl w:val="true"/>
          <w:lang w:bidi="fa-IR"/>
        </w:rPr>
        <w:t>أنّ هذه الضمائم من اللوازم، فهی حاصلة و إن لم تقصد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بمنع حصول الواجب مع عدم الإخلاص المعتبر فیه المقتضی لکون الأمر هو الداعی بالاستقلال، و حصول اللازم لا یستلزم قصده، و القادح هو القصد دون الحصول، کما أنّ مقصود 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 أنّ قصده قادح إجماعا، و لذا اختار العلّامة فی بعض کتبه </w:t>
      </w:r>
      <w:r>
        <w:rPr>
          <w:rStyle w:val="FootnoteAnchor"/>
          <w:rtl w:val="true"/>
        </w:rPr>
        <w:footnoteReference w:id="365"/>
      </w:r>
      <w:r>
        <w:rPr>
          <w:rFonts w:ascii="IRNazanin" w:hAnsi="IRNazanin" w:eastAsia="IRNazanin"/>
          <w:color w:val="111111"/>
          <w:sz w:val="28"/>
          <w:sz w:val="28"/>
          <w:szCs w:val="28"/>
          <w:rtl w:val="true"/>
          <w:lang w:bidi="fa-IR"/>
        </w:rPr>
        <w:t xml:space="preserve">تبعا لجماعة کما فی الروض البطلان </w:t>
      </w:r>
      <w:r>
        <w:rPr>
          <w:rStyle w:val="FootnoteAnchor"/>
          <w:rtl w:val="true"/>
        </w:rPr>
        <w:footnoteReference w:id="366"/>
      </w:r>
      <w:r>
        <w:rPr>
          <w:rFonts w:ascii="IRNazanin" w:hAnsi="IRNazanin" w:eastAsia="IRNazanin"/>
          <w:color w:val="111111"/>
          <w:sz w:val="28"/>
          <w:sz w:val="28"/>
          <w:szCs w:val="28"/>
          <w:rtl w:val="true"/>
          <w:lang w:bidi="fa-IR"/>
        </w:rPr>
        <w:t xml:space="preserve">، و تبعه علیه فخر الدین </w:t>
      </w:r>
      <w:r>
        <w:rPr>
          <w:rStyle w:val="FootnoteAnchor"/>
          <w:rtl w:val="true"/>
        </w:rPr>
        <w:footnoteReference w:id="367"/>
      </w:r>
      <w:r>
        <w:rPr>
          <w:rFonts w:ascii="IRNazanin" w:hAnsi="IRNazanin" w:eastAsia="IRNazanin"/>
          <w:color w:val="111111"/>
          <w:sz w:val="28"/>
          <w:sz w:val="28"/>
          <w:szCs w:val="28"/>
          <w:rtl w:val="true"/>
          <w:lang w:bidi="fa-IR"/>
        </w:rPr>
        <w:t xml:space="preserve">و الشهیدان فی البیان </w:t>
      </w:r>
      <w:r>
        <w:rPr>
          <w:rStyle w:val="FootnoteAnchor"/>
          <w:rtl w:val="true"/>
        </w:rPr>
        <w:footnoteReference w:id="368"/>
      </w:r>
      <w:r>
        <w:rPr>
          <w:rFonts w:ascii="IRNazanin" w:hAnsi="IRNazanin" w:eastAsia="IRNazanin"/>
          <w:color w:val="111111"/>
          <w:sz w:val="28"/>
          <w:sz w:val="28"/>
          <w:szCs w:val="28"/>
          <w:rtl w:val="true"/>
          <w:lang w:bidi="fa-IR"/>
        </w:rPr>
        <w:t xml:space="preserve">و القواعد </w:t>
      </w:r>
      <w:r>
        <w:rPr>
          <w:rStyle w:val="FootnoteAnchor"/>
          <w:rtl w:val="true"/>
        </w:rPr>
        <w:footnoteReference w:id="369"/>
      </w:r>
      <w:r>
        <w:rPr>
          <w:rFonts w:ascii="IRNazanin" w:hAnsi="IRNazanin" w:eastAsia="IRNazanin"/>
          <w:color w:val="111111"/>
          <w:sz w:val="28"/>
          <w:sz w:val="28"/>
          <w:szCs w:val="28"/>
          <w:rtl w:val="true"/>
          <w:lang w:bidi="fa-IR"/>
        </w:rPr>
        <w:t xml:space="preserve">و الروض </w:t>
      </w:r>
      <w:r>
        <w:rPr>
          <w:rStyle w:val="FootnoteAnchor"/>
          <w:rtl w:val="true"/>
        </w:rPr>
        <w:footnoteReference w:id="37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371"/>
      </w:r>
      <w:r>
        <w:rPr>
          <w:rFonts w:ascii="IRNazanin" w:hAnsi="IRNazanin" w:eastAsia="IRNazanin"/>
          <w:color w:val="111111"/>
          <w:sz w:val="28"/>
          <w:sz w:val="28"/>
          <w:szCs w:val="28"/>
          <w:rtl w:val="true"/>
          <w:lang w:bidi="fa-IR"/>
        </w:rPr>
        <w:t xml:space="preserve">و صاحب الموجز </w:t>
      </w:r>
      <w:r>
        <w:rPr>
          <w:rStyle w:val="FootnoteAnchor"/>
          <w:rtl w:val="true"/>
        </w:rPr>
        <w:footnoteReference w:id="372"/>
      </w:r>
      <w:r>
        <w:rPr>
          <w:rFonts w:ascii="IRNazanin" w:hAnsi="IRNazanin" w:eastAsia="IRNazanin"/>
          <w:color w:val="111111"/>
          <w:sz w:val="28"/>
          <w:sz w:val="28"/>
          <w:szCs w:val="28"/>
          <w:rtl w:val="true"/>
          <w:lang w:bidi="fa-IR"/>
        </w:rPr>
        <w:t xml:space="preserve">و غیرهم </w:t>
      </w:r>
      <w:r>
        <w:rPr>
          <w:rStyle w:val="FootnoteAnchor"/>
          <w:rtl w:val="true"/>
        </w:rPr>
        <w:footnoteReference w:id="373"/>
      </w:r>
      <w:r>
        <w:rPr>
          <w:rFonts w:ascii="IRNazanin" w:hAnsi="IRNazanin" w:eastAsia="IRNazanin"/>
          <w:color w:val="111111"/>
          <w:sz w:val="28"/>
          <w:sz w:val="28"/>
          <w:szCs w:val="28"/>
          <w:rtl w:val="true"/>
          <w:lang w:bidi="fa-IR"/>
        </w:rPr>
        <w:t xml:space="preserve">، و لهم مضافا إلی ما ذکر من اعتبار الإخلاص المنافی لاشتراک الداعی ما دلّ علی حصر العبّاد فی من یعمل طمعا فی الثواب، و من یعمل خوفا من العقاب، و من یعمل حبّا للّٰه </w:t>
      </w:r>
      <w:r>
        <w:rPr>
          <w:rStyle w:val="FootnoteAnchor"/>
          <w:rtl w:val="true"/>
        </w:rPr>
        <w:footnoteReference w:id="374"/>
      </w:r>
      <w:r>
        <w:rPr>
          <w:rFonts w:ascii="IRNazanin" w:hAnsi="IRNazanin" w:eastAsia="IRNazanin"/>
          <w:color w:val="111111"/>
          <w:sz w:val="28"/>
          <w:sz w:val="28"/>
          <w:szCs w:val="28"/>
          <w:rtl w:val="true"/>
          <w:lang w:bidi="fa-IR"/>
        </w:rPr>
        <w:t>، فإنّ ظاهر الحصر بطلان عبادة غیرهم، و ما عدا الحبّ من الأمور الراجعة إلی اللّٰه عزّ و جلّ راجع إلیه بأدنی تأمّل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تفصیل احتمله الشهید فی قواعده، و نسبة الجزم إلیه سهو، قال</w:t>
      </w:r>
    </w:p>
    <w:p>
      <w:pPr>
        <w:pStyle w:val="BookText"/>
        <w:rPr/>
      </w:pPr>
      <w:r>
        <w:rPr>
          <w:rFonts w:ascii="IRNazanin" w:hAnsi="IRNazanin" w:eastAsia="IRNazanin"/>
          <w:color w:val="111111"/>
          <w:sz w:val="28"/>
          <w:sz w:val="28"/>
          <w:szCs w:val="28"/>
          <w:rtl w:val="true"/>
          <w:lang w:bidi="fa-IR"/>
        </w:rPr>
        <w:t>بعد ترجیح مذهب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الباعث الأصلیّ هی القربة </w:t>
      </w:r>
      <w:r>
        <w:rPr>
          <w:rStyle w:val="FootnoteAnchor"/>
          <w:rtl w:val="true"/>
        </w:rPr>
        <w:footnoteReference w:id="375"/>
      </w:r>
      <w:r>
        <w:rPr>
          <w:rFonts w:ascii="IRNazanin" w:hAnsi="IRNazanin" w:eastAsia="IRNazanin"/>
          <w:color w:val="111111"/>
          <w:sz w:val="28"/>
          <w:sz w:val="28"/>
          <w:szCs w:val="28"/>
          <w:rtl w:val="true"/>
          <w:lang w:bidi="fa-IR"/>
        </w:rPr>
        <w:t xml:space="preserve">ثمّ طرأ التبرّد عند الابتداء بالفعل لم یضر، و لو کان الباعث الأصلی هو التبرد فلمّا أراده ضمّ القربة لم یجز، و کذا إذا کان الباعث مجموع الأمرین، لأنّه لا أولویّة حینئذ فتدافعا و تساقطا، فکأنّه غیر ناو </w:t>
      </w:r>
      <w:r>
        <w:rPr>
          <w:rStyle w:val="FootnoteAnchor"/>
          <w:rtl w:val="true"/>
        </w:rPr>
        <w:footnoteReference w:id="37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الجزم بهذا التفصیل عن غیر واحد من المتأخّرین </w:t>
      </w:r>
      <w:r>
        <w:rPr>
          <w:rStyle w:val="FootnoteAnchor"/>
          <w:rtl w:val="true"/>
        </w:rPr>
        <w:footnoteReference w:id="377"/>
      </w:r>
      <w:r>
        <w:rPr>
          <w:rFonts w:ascii="IRNazanin" w:hAnsi="IRNazanin" w:eastAsia="IRNazanin"/>
          <w:color w:val="111111"/>
          <w:sz w:val="28"/>
          <w:sz w:val="28"/>
          <w:szCs w:val="28"/>
          <w:rtl w:val="true"/>
          <w:lang w:bidi="fa-IR"/>
        </w:rPr>
        <w:t xml:space="preserve">، و زاد الفاضل الهندی، فنزّل إطلاق الأصحاب علی ذلک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 الشهید بالباعث الأصلی هو المستقلّ فی البعث، و بالطاری ما أکّده من غیر أن یکون له مدخل فی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ثمرة تأکیده ربما یظهر فی مقامات أخر مثل ما إذا طرأ علی الباعث الأصلی ما یزاحمه فی البعث لو لا تأکّده بهذه الضمیمة لکنّه فی ذلک الفرض أیضا یخرج عن الاستقلال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فرض مدخلیّة الضمیمة یوجب ترکّب الباعث و قد حکم فیه بالفساد، و حینئذ فلا یبعد ما فی شرح الفاضل من تنزیل إطلاق الأصحاب علیه، کما یشعر به عنوان المسألة هنا، بضمّ نیّة التبرّد إلی نیّة التقرّب الظاهر فی حصول نیّة التقرّب الذی فسّر المصنّف قدّس سرّه الإخلاص بها فی المعتبر </w:t>
      </w:r>
      <w:r>
        <w:rPr>
          <w:rStyle w:val="FootnoteAnchor"/>
          <w:rtl w:val="true"/>
        </w:rPr>
        <w:footnoteReference w:id="379"/>
      </w:r>
      <w:r>
        <w:rPr>
          <w:rFonts w:ascii="IRNazanin" w:hAnsi="IRNazanin" w:eastAsia="IRNazanin"/>
          <w:color w:val="111111"/>
          <w:sz w:val="28"/>
          <w:sz w:val="28"/>
          <w:szCs w:val="28"/>
          <w:rtl w:val="true"/>
          <w:lang w:bidi="fa-IR"/>
        </w:rPr>
        <w:t xml:space="preserve">، و استدلاله فیه تبعا للمبسوط </w:t>
      </w:r>
      <w:r>
        <w:rPr>
          <w:rStyle w:val="FootnoteAnchor"/>
          <w:rtl w:val="true"/>
        </w:rPr>
        <w:footnoteReference w:id="380"/>
      </w:r>
      <w:r>
        <w:rPr>
          <w:rFonts w:ascii="Amiri" w:hAnsi="Amiri" w:eastAsia="Amiri" w:cs="Amiri"/>
          <w:color w:val="111111"/>
          <w:sz w:val="28"/>
          <w:sz w:val="28"/>
          <w:szCs w:val="28"/>
          <w:rtl w:val="true"/>
          <w:lang w:bidi="ar-SA"/>
        </w:rPr>
        <w:t>علی الصحّة بکون نیّة التبرّد</w:t>
      </w:r>
    </w:p>
    <w:p>
      <w:pPr>
        <w:pStyle w:val="BookText"/>
        <w:rPr/>
      </w:pPr>
      <w:r>
        <w:rPr>
          <w:rFonts w:ascii="IRNazanin" w:hAnsi="IRNazanin" w:eastAsia="IRNazanin"/>
          <w:color w:val="111111"/>
          <w:sz w:val="28"/>
          <w:sz w:val="28"/>
          <w:szCs w:val="28"/>
          <w:rtl w:val="true"/>
          <w:lang w:bidi="fa-IR"/>
        </w:rPr>
        <w:t>زیادة غیر منافیة، فإنّ ظاهره عدم دخلها فی أصل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یدخل فی عبارة الشهید قدّس سرّه ما لو کان ترکّب الباعث من مجموع التقرّب و التبرّد من حیث کون کلّ منهما جزءا غیر قابل فی نفسه للاستقلال فی البعث لو انفرد عن الآخر و ما کان الترکیب فیه باعتبار کون کلّ منهما لو خلّی و طبعه باعثا مستقلا فی البعث إلّا أنّ اجتماعهما 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استحالة اجتماع علّتین علی معلول واحد و امتناع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الفعل إلی المجموع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یقرب الصحّة فی الثانی تبعا لکاشف الغطاء </w:t>
      </w:r>
      <w:r>
        <w:rPr>
          <w:rStyle w:val="FootnoteAnchor"/>
          <w:rtl w:val="true"/>
        </w:rPr>
        <w:footnoteReference w:id="381"/>
      </w:r>
      <w:r>
        <w:rPr>
          <w:rFonts w:ascii="IRNazanin" w:hAnsi="IRNazanin" w:eastAsia="IRNazanin"/>
          <w:color w:val="111111"/>
          <w:sz w:val="28"/>
          <w:sz w:val="28"/>
          <w:szCs w:val="28"/>
          <w:rtl w:val="true"/>
          <w:lang w:bidi="fa-IR"/>
        </w:rPr>
        <w:t>، و لعلّه لدعوی صدق الامتثال حینئذ و جواز استناد الفعل إلی داعی الأمر، لأنّ وجود الداعی المباح و عدمه حینئذ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استناده إلی الداعی المباح أیضا لکنّ القادح عدم جواز الاستناد إلی الأمر لا جواز الاستناد إلی غیره، ألا تری أنّه لو أمر المولی بشی‌ء و أمر الوالد بذلک الشی‌ء فأتی العبد به مریدا لامتثالهما بحیث یکون کلّ منهما کافیا فی بعثه لو انفرد عدّ ممتثلا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جواز استناد الفعل إلی کلّ منهما، لامتناع وحدة الأثر و تعدّد المؤثّر، و لا إلی أحدهما، للزوم الترجیح بلا مرجّح، بل هو مستند إلی المجموع و المفروض أنّ ظاهر أدلّة الإخلاص و اعتبار القربة ینفی مدخلیّة شی‌ء آخر فی العمل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المثال المذکور فیمتنع </w:t>
      </w:r>
      <w:r>
        <w:rPr>
          <w:rStyle w:val="FootnoteAnchor"/>
          <w:rtl w:val="true"/>
        </w:rPr>
        <w:footnoteReference w:id="382"/>
      </w:r>
      <w:r>
        <w:rPr>
          <w:rFonts w:ascii="IRNazanin" w:hAnsi="IRNazanin" w:eastAsia="IRNazanin"/>
          <w:color w:val="111111"/>
          <w:sz w:val="28"/>
          <w:sz w:val="28"/>
          <w:szCs w:val="28"/>
          <w:rtl w:val="true"/>
          <w:lang w:bidi="fa-IR"/>
        </w:rPr>
        <w:t>فیه صدق امتثال کلّ من المولی 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اجتمع الأمران فی فعل شخصیّ واحد لا یمکن التعدّد فیه لم یکن بدّ من الإتیان به مریدا لموافقة الأمرین، و هذا غایة ما یمکن فی هذا الفرض من موافقة الأمر، بخلاف ما نحن فیه فإنّه یمکن تخلیص الداعی لموافقة الأمر و تحصیل التبرّد بغیر الوضوء إن أمکن و إلّا فعلیه تضعیف داعی التبرّد و تقویة داعی الإخلاص، فإن الباعثین المستقلّین یمکن ملاحظة أحدهما دون الآخر، کما لو أمر الشارع بانقاذ ولده الغریق فإنّه قد ینقذه لمحض محبّة الولد من غیر ملاحظة أمر الشارع، و إن کان ینقذه لو کان غیر ابنه لمحض الأمر و لو تکلّفا لا عن شوق، و قد یکون الأمر بالعکس، فیکون الباعث المستقلّ أمر المولی و إن کان الداعی الآخر موجودا بالفعل، بحیث لو لا أمر المولی لفعله بهذا الداعی، کجمیع ما کان یصدر عن أمیر المؤمنین علیه السلام من المشتهیات و الملاذّ النفسانیة حیث کانت تصدر منه علیه السلام لموافقة أوامر اللّٰه المتعلّقة بها باعتبار من الاعتبارات مع وجود الداعی المستقلّ الآخر، بحیث لو فرضنا عدم رجحان ارتکابه شرعا من وجه من الوجوه کان یرتکبه بمقتضی الداعی النفسانی الموجود فیه، و قد یکون أحد الداعیین مستقلّا و الآخر مؤکّدا و لا کلام فیه أیضا، إنّما الکلام فیما إذا اشترکا فی التأثیر الفعلی و أمکن للمکلّف تخلیص القربة فی البعث</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محلّ الخلاف هی الضمیمة المباحة الدخیلة فی أصل العمل، و أمّا الموجبة لاختیار بعض أفراده علی بعض فلا إشکال و لا خلاف فی عدم قدحها، ضرورة أنّ مقتضی التخییر فی أفراد الکلّی تفویض الخصوصیّات إلی الدواعی النفسانیة للمکلّف، فاختیار الوضوء بالماء البارد فی الصیف و الحارّ فی الشتاء لأجل التبرّد أو التسخین غیر قادح فی الامتثال قطعا</w:t>
      </w:r>
      <w:r>
        <w:rPr>
          <w:rFonts w:eastAsia="IRNazanin" w:cs="IRNazanin"/>
          <w:color w:val="111111"/>
          <w:sz w:val="28"/>
          <w:szCs w:val="28"/>
          <w:rtl w:val="true"/>
          <w:lang w:bidi="fa-IR"/>
        </w:rPr>
        <w:t>.</w:t>
      </w:r>
      <w:bookmarkStart w:id="81" w:name="pg13035_131596"/>
    </w:p>
    <w:p>
      <w:pPr>
        <w:pStyle w:val="Heading6"/>
        <w:numPr>
          <w:ilvl w:val="5"/>
          <w:numId w:val="1"/>
        </w:numPr>
        <w:rPr/>
      </w:pPr>
      <w:bookmarkStart w:id="82" w:name="__RefHeading___Toc6369914_3224264995"/>
      <w:bookmarkStart w:id="83" w:name="_Toc34"/>
      <w:bookmarkEnd w:id="81"/>
      <w:bookmarkEnd w:id="82"/>
      <w:r>
        <w:rPr>
          <w:rtl w:val="true"/>
        </w:rPr>
        <w:t>[</w:t>
      </w:r>
      <w:r>
        <w:rPr>
          <w:rtl w:val="true"/>
        </w:rPr>
        <w:t>المقام الثانی بطلان العمل بضم الریاء</w:t>
      </w:r>
      <w:r>
        <w:rPr>
          <w:rtl w:val="true"/>
        </w:rPr>
        <w:t>]</w:t>
      </w:r>
      <w:bookmarkEnd w:id="83"/>
    </w:p>
    <w:p>
      <w:pPr>
        <w:pStyle w:val="Heading6"/>
        <w:numPr>
          <w:ilvl w:val="5"/>
          <w:numId w:val="1"/>
        </w:numPr>
        <w:rPr/>
      </w:pPr>
      <w:bookmarkStart w:id="84" w:name="__RefHeading___Toc6369916_3224264995"/>
      <w:bookmarkStart w:id="85" w:name="_Toc35"/>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المعروف بین الأصحاب بطلان العمل بضمیمة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حرمة الریاء الثابتة بالنصّ </w:t>
      </w:r>
      <w:r>
        <w:rPr>
          <w:rStyle w:val="FootnoteAnchor"/>
          <w:rtl w:val="true"/>
        </w:rPr>
        <w:footnoteReference w:id="383"/>
      </w:r>
      <w:r>
        <w:rPr>
          <w:rFonts w:ascii="IRNazanin" w:hAnsi="IRNazanin" w:eastAsia="IRNazanin"/>
          <w:color w:val="111111"/>
          <w:sz w:val="28"/>
          <w:sz w:val="28"/>
          <w:szCs w:val="28"/>
          <w:rtl w:val="true"/>
          <w:lang w:bidi="fa-IR"/>
        </w:rPr>
        <w:t>و الإجماع الموجبة لفساد العمل المتّحد معه فی الوجود و عدم الإخلاص المقتضی لعدم حصول الإطاعة مع الضمیمة المباحة کما عرفت، فضلا عن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الدالّة علی کون العمل المرائی فیه مردودا مکتوبا فی صحائف السیّئات، مثل روایة السکونی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لیصعد بعمل العبد مبتهجا به فإذا صعد بحسناته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فی سجّین فإنّه لیس إیّای أراد بها</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 فإنّ تعلیل ثبت العمل فی کتاب الفجّار بعدم </w:t>
      </w:r>
      <w:r>
        <w:rPr>
          <w:rStyle w:val="FootnoteAnchor"/>
          <w:rtl w:val="true"/>
        </w:rPr>
        <w:footnoteReference w:id="385"/>
      </w:r>
      <w:r>
        <w:rPr>
          <w:rFonts w:ascii="IRNazanin" w:hAnsi="IRNazanin" w:eastAsia="IRNazanin"/>
          <w:color w:val="111111"/>
          <w:sz w:val="28"/>
          <w:sz w:val="28"/>
          <w:szCs w:val="28"/>
          <w:rtl w:val="true"/>
          <w:lang w:bidi="fa-IR"/>
        </w:rPr>
        <w:t>انحصار مراد العامل فی اللّٰه عزّ و جلّ صریح فی المطلب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یجاء بالعبد یوم القیامة قد صلّی فیقول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صلّیت ابتغاء وجهک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Style w:val="FootnoteAnchor"/>
          <w:rtl w:val="true"/>
        </w:rPr>
        <w:footnoteReference w:id="387"/>
      </w:r>
      <w:r>
        <w:rPr>
          <w:rFonts w:ascii="IRNazanin" w:hAnsi="IRNazanin" w:eastAsia="IRNazanin"/>
          <w:color w:val="111111"/>
          <w:sz w:val="28"/>
          <w:sz w:val="28"/>
          <w:szCs w:val="28"/>
          <w:rtl w:val="true"/>
          <w:lang w:bidi="fa-IR"/>
        </w:rPr>
        <w:t>صلیت لیقال ما أحسن صلاة فلان، اذهبوا به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مثل ذلک فی القتال و قراءة القرآن و الصدقة</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روایة علیّ بن سالم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w:t>
      </w:r>
      <w:r>
        <w:rPr>
          <w:rStyle w:val="FootnoteAnchor"/>
          <w:rtl w:val="true"/>
        </w:rPr>
        <w:footnoteReference w:id="389"/>
      </w:r>
      <w:r>
        <w:rPr>
          <w:rFonts w:ascii="IRNazanin" w:hAnsi="IRNazanin" w:eastAsia="IRNazanin"/>
          <w:color w:val="111111"/>
          <w:sz w:val="28"/>
          <w:sz w:val="28"/>
          <w:szCs w:val="28"/>
          <w:rtl w:val="true"/>
          <w:lang w:bidi="fa-IR"/>
        </w:rPr>
        <w:t>معی غیری فی عمل لم أقبله إلّا ما کان لی خالصا</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سفیان بن عیینة </w:t>
      </w:r>
      <w:r>
        <w:rPr>
          <w:rStyle w:val="FootnoteAnchor"/>
          <w:rtl w:val="true"/>
        </w:rPr>
        <w:footnoteReference w:id="391"/>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العمل </w:t>
      </w:r>
      <w:r>
        <w:rPr>
          <w:rStyle w:val="FootnoteAnchor"/>
          <w:rtl w:val="true"/>
        </w:rPr>
        <w:footnoteReference w:id="392"/>
      </w:r>
      <w:r>
        <w:rPr>
          <w:rFonts w:ascii="Amiri" w:hAnsi="Amiri" w:eastAsia="Amiri" w:cs="Amiri"/>
          <w:color w:val="111111"/>
          <w:sz w:val="28"/>
          <w:sz w:val="28"/>
          <w:szCs w:val="28"/>
          <w:rtl w:val="true"/>
          <w:lang w:bidi="ar-SA"/>
        </w:rPr>
        <w:t>الخالص، الذی لا ترید أن یحمدک علیه إلّا اللّٰه عزّ و جلّ</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زرارة و حمران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عمل عملا یطلب به وجه اللّٰه و الدار الآخرة و أدخل فیه رضا أحد من الناس کان مشرکا</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إلی 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عن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دخول الریاء فی العمل موجب لسقوط ثوابه، لا لعدم إجزائه بمعنی وجوب فعله ثانیا و العقاب علی ترکه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سقوط الأخبار الدالّة علی عدم قبول العمل المرائی فیه </w:t>
      </w:r>
      <w:r>
        <w:rPr>
          <w:rStyle w:val="FootnoteAnchor"/>
          <w:rtl w:val="true"/>
        </w:rPr>
        <w:footnoteReference w:id="396"/>
      </w:r>
      <w:r>
        <w:rPr>
          <w:rFonts w:ascii="Amiri" w:hAnsi="Amiri" w:eastAsia="Amiri" w:cs="Amiri"/>
          <w:color w:val="111111"/>
          <w:sz w:val="28"/>
          <w:sz w:val="28"/>
          <w:szCs w:val="28"/>
          <w:rtl w:val="true"/>
          <w:lang w:bidi="ar-SA"/>
        </w:rPr>
        <w:t>بما قرّره قدّس سرّه من أنّ القبول أخصّ من الإجزاء فعدمه أعمّ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منشأ الفساد إن کان مجرّد ترکّب الداعی لم یقدح ذلک کما تقدّم فی</w:t>
      </w:r>
    </w:p>
    <w:p>
      <w:pPr>
        <w:pStyle w:val="BookText"/>
        <w:rPr/>
      </w:pPr>
      <w:r>
        <w:rPr>
          <w:rFonts w:ascii="IRNazanin" w:hAnsi="IRNazanin" w:eastAsia="IRNazanin"/>
          <w:color w:val="111111"/>
          <w:sz w:val="28"/>
          <w:sz w:val="28"/>
          <w:szCs w:val="28"/>
          <w:rtl w:val="true"/>
          <w:lang w:bidi="fa-IR"/>
        </w:rPr>
        <w:t>الضمیمة المباحة عن ظاهر الأکثر، و إن کان حرمة الریاء المتّحد مع العمل فی الوجود الخارجی فهو مبنیّ علی کون الریاء هو العمل المقصود به الخلق دون الخالق و امتناع اجتماع الأمر و النهی، أمّا لو کان هو قصد ذلک فالمحرّم هو قصد ذلک لا العمل المقصود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بجواز اجتماع العبادة فی الوجود مع ما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یقدح تحریم نفس العمل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الاستدلال حینئذ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إلّا أنّ القول بعدم قدح الضمیمة المباحة یوجب توجیه هذه الأدلّة بما یسقط معه الاستدلال بها فی هذا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المذهب ما علیه المشهور، لأنّ ظاهر عدم القبول عرفا هو الفساد و عدم الإجزاء، و کثرة استعماله فی عدم الثواب الکامل لا یوجب رفع الید عن الحقیقة، و بعض الأخبار المتقدّمة ظاهرة فی العقاب علی العمل من حیث نفس العبادة </w:t>
      </w:r>
      <w:r>
        <w:rPr>
          <w:rStyle w:val="FootnoteAnchor"/>
          <w:rtl w:val="true"/>
        </w:rPr>
        <w:footnoteReference w:id="399"/>
      </w:r>
      <w:r>
        <w:rPr>
          <w:rFonts w:ascii="IRNazanin" w:hAnsi="IRNazanin" w:eastAsia="IRNazanin"/>
          <w:color w:val="111111"/>
          <w:sz w:val="28"/>
          <w:sz w:val="28"/>
          <w:szCs w:val="28"/>
          <w:rtl w:val="true"/>
          <w:lang w:bidi="fa-IR"/>
        </w:rPr>
        <w:t>فلا یسمع دعوی کون الریاء هو نفس القصد، و لا ینفع القول بجواز اجتماع الأمر و النهی، لأنّ اختلاف متعلّق الأمر و النهی بحسب الداعی، فإنّ المنهی هی الصلاة لداعی الریاء، فتأمّل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المناقشة فی بعض الروایات السابقة بعدم دلالتها علی حرمة العمل، فإنّ أظهرها روایة السکونی، فإنّها ظاهرة بقرینة ابتهاج الملائکة به فی استجماعه لشرائط الصحّة، إذ لا یخفی علیهم الشرائط المعتبرة فی العبادة،</w:t>
      </w:r>
      <w:bookmarkStart w:id="86" w:name="pg13035_131599"/>
    </w:p>
    <w:p>
      <w:pPr>
        <w:pStyle w:val="BookText"/>
        <w:rPr/>
      </w:pPr>
      <w:bookmarkEnd w:id="86"/>
      <w:r>
        <w:rPr>
          <w:rFonts w:ascii="IRNazanin" w:hAnsi="IRNazanin" w:eastAsia="IRNazanin"/>
          <w:color w:val="111111"/>
          <w:sz w:val="28"/>
          <w:sz w:val="28"/>
          <w:szCs w:val="28"/>
          <w:rtl w:val="true"/>
          <w:lang w:bidi="fa-IR"/>
        </w:rPr>
        <w:t xml:space="preserve">کالوضوء المأتی به لمحض التبرّد و التسخین، و کذلک المأتی به لمحض مدح الناس، فلا بدّ من حمل الردّ فیها علی عدم القبول الکامل من جهة الریاء الخفیّ الذی لا یمکن إلزام کل أحد بدفعه و إبطاله للعمل، فتحمل الروایة علی مکلّف خاصّ یکون هذا العمل منه کالسیّئة و إن کانت من غیره حسنة، فإنّ حسنات الأبرار سیّئات المقرّبین، و یکون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 الهابط السافل مقابل العلّیین بالنسبة إلی هذا المکلّف، و یشهد له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الروایات بالأرض السابعة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بالسماء السابعة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فالاستدلال بها لا یخلو عن الإشکال بعد الإغماض عن کونها روایة السکونی إلّا أنّ العمل علی المشهور غیر محتاج إلیها</w:t>
      </w:r>
      <w:r>
        <w:rPr>
          <w:rFonts w:eastAsia="IRNazanin" w:cs="IRNazanin"/>
          <w:color w:val="111111"/>
          <w:sz w:val="28"/>
          <w:szCs w:val="28"/>
          <w:rtl w:val="true"/>
          <w:lang w:bidi="fa-IR"/>
        </w:rPr>
        <w:t>.</w:t>
      </w:r>
    </w:p>
    <w:p>
      <w:pPr>
        <w:pStyle w:val="Heading6"/>
        <w:numPr>
          <w:ilvl w:val="5"/>
          <w:numId w:val="1"/>
        </w:numPr>
        <w:rPr/>
      </w:pPr>
      <w:bookmarkStart w:id="87" w:name="__RefHeading___Toc6369918_3224264995"/>
      <w:bookmarkStart w:id="88" w:name="_Toc36"/>
      <w:bookmarkEnd w:id="87"/>
      <w:r>
        <w:rPr>
          <w:rtl w:val="true"/>
        </w:rPr>
        <w:t>و هنا أمور</w:t>
      </w:r>
      <w:r>
        <w:rPr>
          <w:rtl w:val="true"/>
        </w:rPr>
        <w:t>:</w:t>
      </w:r>
      <w:bookmarkEnd w:id="88"/>
    </w:p>
    <w:p>
      <w:pPr>
        <w:pStyle w:val="Heading6"/>
        <w:numPr>
          <w:ilvl w:val="5"/>
          <w:numId w:val="1"/>
        </w:numPr>
        <w:rPr/>
      </w:pPr>
      <w:bookmarkStart w:id="89" w:name="__RefHeading___Toc6369920_3224264995"/>
      <w:bookmarkStart w:id="90" w:name="_Toc37"/>
      <w:bookmarkEnd w:id="89"/>
      <w:r>
        <w:rPr>
          <w:rtl w:val="true"/>
        </w:rPr>
        <w:t xml:space="preserve">الأوّل </w:t>
      </w:r>
      <w:r>
        <w:rPr>
          <w:rtl w:val="true"/>
        </w:rPr>
        <w:t>[</w:t>
      </w:r>
      <w:r>
        <w:rPr>
          <w:rtl w:val="true"/>
        </w:rPr>
        <w:t>إذا کانت نیة الریاء تبعیة</w:t>
      </w:r>
      <w:r>
        <w:rPr>
          <w:rtl w:val="true"/>
        </w:rPr>
        <w:t>]</w:t>
      </w:r>
      <w:bookmarkEnd w:id="90"/>
    </w:p>
    <w:p>
      <w:pPr>
        <w:pStyle w:val="BookText"/>
        <w:rPr/>
      </w:pPr>
      <w:r>
        <w:rPr>
          <w:rFonts w:ascii="IRNazanin" w:hAnsi="IRNazanin" w:eastAsia="IRNazanin"/>
          <w:color w:val="111111"/>
          <w:sz w:val="28"/>
          <w:sz w:val="28"/>
          <w:szCs w:val="28"/>
          <w:rtl w:val="true"/>
          <w:lang w:bidi="fa-IR"/>
        </w:rPr>
        <w:t>أنّه لا فرق بین کون الریاء علّة مستقلّة أو جزءا من العلّة مستقلا لو تجرّد عنه أو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المتقدّم و هو التأکید للداعی الذی استظهرنا سابقا أنّه مراد المجوّزین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للضمیمة ففی بطلان العبادة به إشکال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إطلاق قوله علیه السلام فی صحیحة زرارة المتقدّمة </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أدخل فیه رضا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یصدق علی مثل ما نحن فیه، لأنّ الفعل مستند إلی الداعی المتأکّد، فللمؤکّد دخل فی هذا الداعی الشخصی</w:t>
      </w:r>
      <w:r>
        <w:rPr>
          <w:rFonts w:eastAsia="IRNazanin" w:cs="IRNazanin"/>
          <w:color w:val="111111"/>
          <w:sz w:val="28"/>
          <w:szCs w:val="28"/>
          <w:rtl w:val="true"/>
          <w:lang w:bidi="fa-IR"/>
        </w:rPr>
        <w:t>.</w:t>
      </w:r>
      <w:bookmarkStart w:id="91" w:name="pg13035_131600"/>
    </w:p>
    <w:p>
      <w:pPr>
        <w:pStyle w:val="BookText"/>
        <w:rPr/>
      </w:pPr>
      <w:bookmarkEnd w:id="91"/>
      <w:r>
        <w:rPr>
          <w:rFonts w:ascii="IRNazanin" w:hAnsi="IRNazanin" w:eastAsia="IRNazanin"/>
          <w:color w:val="111111"/>
          <w:sz w:val="28"/>
          <w:sz w:val="28"/>
          <w:szCs w:val="28"/>
          <w:rtl w:val="true"/>
          <w:lang w:bidi="fa-IR"/>
        </w:rPr>
        <w:t>و یؤیّده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للمرائی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ینشط إذا رأی الناس، و یکسل إذا کان وحده، و یحبّ أن یحمد فی جمیع أموره</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فإنّ الظاهر من نشاطه بمرئی الناس شوقه و تأکّد داعیه إلی العمل، و المراد من الکسل عند الخلوة وقوع العمل عنه متکاسلا، و هو عین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 ظاهر أکثر أدلّة الریاء الاختصاص بصورة استقلاله فی البعث أو ترکّب الباعث، فیراد حینئذ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إدخاله فی الباعث علی وجه الجزئیة لا التأکید،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سفیان المتقدّمة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الهمّة علی العمل و التقاعد عنه، و المسألة لا تخلو عن إشکال</w:t>
      </w:r>
      <w:r>
        <w:rPr>
          <w:rFonts w:eastAsia="IRNazanin" w:cs="IRNazanin"/>
          <w:color w:val="111111"/>
          <w:sz w:val="28"/>
          <w:szCs w:val="28"/>
          <w:rtl w:val="true"/>
          <w:lang w:bidi="fa-IR"/>
        </w:rPr>
        <w:t>.</w:t>
      </w:r>
    </w:p>
    <w:p>
      <w:pPr>
        <w:pStyle w:val="Heading6"/>
        <w:numPr>
          <w:ilvl w:val="5"/>
          <w:numId w:val="1"/>
        </w:numPr>
        <w:rPr/>
      </w:pPr>
      <w:bookmarkStart w:id="92" w:name="__RefHeading___Toc6369922_3224264995"/>
      <w:bookmarkStart w:id="93" w:name="_Toc38"/>
      <w:bookmarkEnd w:id="92"/>
      <w:r>
        <w:rPr>
          <w:rtl w:val="true"/>
        </w:rPr>
        <w:t>[</w:t>
      </w:r>
      <w:r>
        <w:rPr>
          <w:rtl w:val="true"/>
        </w:rPr>
        <w:t>الأمر</w:t>
      </w:r>
      <w:r>
        <w:rPr>
          <w:rtl w:val="true"/>
        </w:rPr>
        <w:t xml:space="preserve">] </w:t>
      </w:r>
      <w:r>
        <w:rPr>
          <w:rtl w:val="true"/>
        </w:rPr>
        <w:t xml:space="preserve">الثانی </w:t>
      </w:r>
      <w:r>
        <w:rPr>
          <w:rtl w:val="true"/>
        </w:rPr>
        <w:t>[</w:t>
      </w:r>
      <w:r>
        <w:rPr>
          <w:rtl w:val="true"/>
        </w:rPr>
        <w:t>هل یسری بطلان الجزء المراءی فیه إلی بطلان الکل</w:t>
      </w:r>
      <w:r>
        <w:rPr>
          <w:rtl w:val="true"/>
        </w:rPr>
        <w:t>]</w:t>
      </w:r>
      <w:bookmarkEnd w:id="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ضمّ الریاء إنّما یبطل الفعل الذی انضمّ إلیه، فإذا کان جزءا لعبادة بطل فإن أمکن تدارکه فهو و إلّا بطل الکلّ، فإذا غسل الید الیسری غسلة ثانیة مستحبّة بقصد الریاء بطل الوضوء من جهة امتناع المسح بالماء الخارج عن الوضوء، و إذا کان من الأجزاء المستحبّة و لم یتدارکه لم یلزم من بطلانه إلّا بطلان المرکّب من حیث کونه فردا مستحبّا من الواجب، فلا یبطل ما عدا ذلک الجزء من الأجزاء التی تلتئم منها أقلّ الواجب بل یصدق أنّه أتی بالفرد الواجب بمحض القربة، و لا فرق فی ذلک بین أن یکون المنویّ</w:t>
      </w:r>
    </w:p>
    <w:p>
      <w:pPr>
        <w:pStyle w:val="BookText"/>
        <w:rPr/>
      </w:pPr>
      <w:r>
        <w:rPr>
          <w:rFonts w:ascii="IRNazanin" w:hAnsi="IRNazanin" w:eastAsia="IRNazanin"/>
          <w:color w:val="111111"/>
          <w:sz w:val="28"/>
          <w:sz w:val="28"/>
          <w:szCs w:val="28"/>
          <w:rtl w:val="true"/>
          <w:lang w:bidi="fa-IR"/>
        </w:rPr>
        <w:t xml:space="preserve">ابتداء هو ذلک الفرد المستحبّ و أن یبدو له ذلک عند إرادة الإتیان بذلک الجزء، لأنّ نیّة الفرد الخاصّ لا یوجب البقاء علیها، لأنّ ما لا یجب نیته ابتداء لا یجب البقاء علیه، فکأنّه عدل عن الفرد المستحبّ إلی أقلّ الواجب، بل لو </w:t>
      </w:r>
      <w:r>
        <w:rPr>
          <w:rStyle w:val="FootnoteAnchor"/>
          <w:rtl w:val="true"/>
        </w:rPr>
        <w:footnoteReference w:id="404"/>
      </w:r>
      <w:r>
        <w:rPr>
          <w:rFonts w:ascii="IRNazanin" w:hAnsi="IRNazanin" w:eastAsia="IRNazanin"/>
          <w:color w:val="111111"/>
          <w:sz w:val="28"/>
          <w:sz w:val="28"/>
          <w:szCs w:val="28"/>
          <w:rtl w:val="true"/>
          <w:lang w:bidi="fa-IR"/>
        </w:rPr>
        <w:t>نوی ابتداء الریاء بذلک الجزء المستحبّ لم یکن إلّا کما لو نوی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یتخیّل البطلان خصوصا </w:t>
      </w:r>
      <w:r>
        <w:rPr>
          <w:rStyle w:val="FootnoteAnchor"/>
          <w:rtl w:val="true"/>
        </w:rPr>
        <w:footnoteReference w:id="405"/>
      </w:r>
      <w:r>
        <w:rPr>
          <w:rFonts w:ascii="IRNazanin" w:hAnsi="IRNazanin" w:eastAsia="IRNazanin"/>
          <w:color w:val="111111"/>
          <w:sz w:val="28"/>
          <w:sz w:val="28"/>
          <w:szCs w:val="28"/>
          <w:rtl w:val="true"/>
          <w:lang w:bidi="fa-IR"/>
        </w:rPr>
        <w:t>فی الصورة الأولی، حیث إنّه نوی بمجموع ما نوی التعبّد به الریاء و لو باعتبار جزئه، و یقوّیه ظاهر ما تقدّم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أدخل فیه رضا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علیه السلام حکایة عنه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لی و لغیری ترکته لغیری</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فإنّه یصدق علی ما نحن فیه أنّه عمل للّٰه سبحانه و لغیره فیکون متروکا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یصدق أیضا أنّه أتی بأقلّ الواجب تقرّبا إلی اللّٰه تعالی، و مقتضی ذلک إعطاء کلّ بمصداق حکمه، فالمرکّب من حیث إنّ الجزء المستحبّ داخل فی حقیقته متروک فاسد لیس له ثواب و یستحقّ </w:t>
      </w:r>
      <w:r>
        <w:rPr>
          <w:rStyle w:val="FootnoteAnchor"/>
          <w:rtl w:val="true"/>
        </w:rPr>
        <w:footnoteReference w:id="407"/>
      </w:r>
      <w:r>
        <w:rPr>
          <w:rFonts w:ascii="IRNazanin" w:hAnsi="IRNazanin" w:eastAsia="IRNazanin"/>
          <w:color w:val="111111"/>
          <w:sz w:val="28"/>
          <w:sz w:val="28"/>
          <w:szCs w:val="28"/>
          <w:rtl w:val="true"/>
          <w:lang w:bidi="fa-IR"/>
        </w:rPr>
        <w:t>علیه العقاب باعتبار جزئه، و ما عدا ذلک الجزء من حیث إنّه مصداق الکلّی أتی به تقرّبا صحیح علی أحسن الأحوال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قلنا إنّ مرجع استحباب الأجزاء إلی استحباب الفرد المشتمل علیها بأن یکون أجزاؤه واجبة للفرد الأفضل کما هو الظاهر من</w:t>
      </w:r>
      <w:bookmarkStart w:id="94" w:name="pg13035_131602"/>
    </w:p>
    <w:p>
      <w:pPr>
        <w:pStyle w:val="BookText"/>
        <w:rPr/>
      </w:pPr>
      <w:bookmarkEnd w:id="94"/>
      <w:r>
        <w:rPr>
          <w:rFonts w:ascii="IRNazanin" w:hAnsi="IRNazanin" w:eastAsia="IRNazanin"/>
          <w:color w:val="111111"/>
          <w:sz w:val="28"/>
          <w:sz w:val="28"/>
          <w:szCs w:val="28"/>
          <w:rtl w:val="true"/>
          <w:lang w:bidi="fa-IR"/>
        </w:rPr>
        <w:t>استحباب الشی‌ء علی وجه الجزئیّة، أمّا إذا کان الشی‌ء مستحبّا نفسیّا فی العبادة فالأمر أوضح، إذ لا ترکیب للواجب منه حینئذ أصلا</w:t>
      </w:r>
      <w:r>
        <w:rPr>
          <w:rFonts w:eastAsia="IRNazanin" w:cs="IRNazanin"/>
          <w:color w:val="111111"/>
          <w:sz w:val="28"/>
          <w:szCs w:val="28"/>
          <w:rtl w:val="true"/>
          <w:lang w:bidi="fa-IR"/>
        </w:rPr>
        <w:t>.</w:t>
      </w:r>
    </w:p>
    <w:p>
      <w:pPr>
        <w:pStyle w:val="Heading6"/>
        <w:numPr>
          <w:ilvl w:val="5"/>
          <w:numId w:val="1"/>
        </w:numPr>
        <w:rPr/>
      </w:pPr>
      <w:bookmarkStart w:id="95" w:name="__RefHeading___Toc6369924_3224264995"/>
      <w:bookmarkStart w:id="96" w:name="_Toc39"/>
      <w:bookmarkEnd w:id="95"/>
      <w:r>
        <w:rPr>
          <w:rtl w:val="true"/>
        </w:rPr>
        <w:t>[</w:t>
      </w:r>
      <w:r>
        <w:rPr>
          <w:rtl w:val="true"/>
        </w:rPr>
        <w:t>الأمر</w:t>
      </w:r>
      <w:r>
        <w:rPr>
          <w:rtl w:val="true"/>
        </w:rPr>
        <w:t xml:space="preserve">] </w:t>
      </w:r>
      <w:r>
        <w:rPr>
          <w:rtl w:val="true"/>
        </w:rPr>
        <w:t xml:space="preserve">الثالث </w:t>
      </w:r>
      <w:r>
        <w:rPr>
          <w:rtl w:val="true"/>
        </w:rPr>
        <w:t>[</w:t>
      </w:r>
      <w:r>
        <w:rPr>
          <w:rtl w:val="true"/>
        </w:rPr>
        <w:t>الریاء فی ترجیح بعض أفراد العمل علی بعض</w:t>
      </w:r>
      <w:r>
        <w:rPr>
          <w:rtl w:val="true"/>
        </w:rPr>
        <w:t>]</w:t>
      </w:r>
      <w:bookmarkEnd w:id="96"/>
    </w:p>
    <w:p>
      <w:pPr>
        <w:pStyle w:val="BookText"/>
        <w:rPr/>
      </w:pPr>
      <w:r>
        <w:rPr>
          <w:rFonts w:ascii="IRNazanin" w:hAnsi="IRNazanin" w:eastAsia="IRNazanin"/>
          <w:color w:val="111111"/>
          <w:sz w:val="28"/>
          <w:sz w:val="28"/>
          <w:szCs w:val="28"/>
          <w:rtl w:val="true"/>
          <w:lang w:bidi="fa-IR"/>
        </w:rPr>
        <w:t>لا فرق فی بطلان العمل بضمّ الریاء بین دخله فی أصل العمل أو فی ترجّح بعض أفراده علی بعض، فلیس الریاء کالضمیمة المباحة التی تقدّم أنّها لا یقدح فی ترجیح بعض الأفراد علی بعض، و الوجه فیه واضح، فإنّ الأمر بالکلّی إنّما یلزم منه التخییر فی الأفراد المباحة دون مطلق الأفراد حتّی المحرمة، مع أنّه یصدق علیه أنّه عمل هذا العمل الخاص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استلزام ذلک للاعتراف بفساد الفرد المشتمل علی الجزء المستحبّ المرائی فیه، لأنّ متعلّق النهی حقیقة هو هذا الجزء المغایر لباقی الأجزاء فی الوجود، و وجود الکلّ فی ضمن باقی الأجزاء مغایر لوجوده فی ضمن المشتمل علیه، فلا محذور فی اتّصاف أحدهما بالوجوب و الآخر بالحرمة بخلاف الفرد المتشخّص بالخصوصیّة المقصود بها الریاء، فإنّه متّحد مع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المنهیّ عنه لجزئه إنّما یرجع النهی إلی جزئه، و المنهیّ عنه لوصفه المشخّص لوجوده یرجع النهی إلی محلّ الوصف و هو نفس الفرد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الریاء فی بعض الخصوصیّات الخارجة عن الفرد من حیث الوجود لم یقدح و إن انتزع عنه صفة قائمة بالفرد، فاستقبال القبلة فی حال الوضوء ریاء لا یبطل الوضوء و إن صدق أنّه توضّأ مستقبلا، و کذا التحنّک فی الصلاة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یفرق فی الکون فی مکان خاصّ ریاء بین الصلاة فیبطل، و بین الوضوء فلا یبطل</w:t>
      </w:r>
      <w:r>
        <w:rPr>
          <w:rFonts w:eastAsia="IRNazanin" w:cs="IRNazanin"/>
          <w:color w:val="111111"/>
          <w:sz w:val="28"/>
          <w:szCs w:val="28"/>
          <w:rtl w:val="true"/>
          <w:lang w:bidi="fa-IR"/>
        </w:rPr>
        <w:t>.</w:t>
      </w:r>
      <w:bookmarkStart w:id="97" w:name="pg13035_131603"/>
    </w:p>
    <w:p>
      <w:pPr>
        <w:pStyle w:val="BookText"/>
        <w:rPr/>
      </w:pPr>
      <w:bookmarkEnd w:id="97"/>
      <w:r>
        <w:rPr>
          <w:rFonts w:ascii="IRNazanin" w:hAnsi="IRNazanin" w:eastAsia="IRNazanin"/>
          <w:color w:val="111111"/>
          <w:sz w:val="28"/>
          <w:sz w:val="28"/>
          <w:szCs w:val="28"/>
          <w:rtl w:val="true"/>
          <w:lang w:bidi="fa-IR"/>
        </w:rPr>
        <w:t>و أمّا الزمان فالظاهر عدم الفرق فیه بینهما، فمن توضّأ قبل الوقت للتهیؤ ریاء یبطل</w:t>
      </w:r>
      <w:r>
        <w:rPr>
          <w:rFonts w:eastAsia="IRNazanin" w:cs="IRNazanin"/>
          <w:color w:val="111111"/>
          <w:sz w:val="28"/>
          <w:szCs w:val="28"/>
          <w:rtl w:val="true"/>
          <w:lang w:bidi="fa-IR"/>
        </w:rPr>
        <w:t>.</w:t>
      </w:r>
    </w:p>
    <w:p>
      <w:pPr>
        <w:pStyle w:val="Heading6"/>
        <w:numPr>
          <w:ilvl w:val="5"/>
          <w:numId w:val="1"/>
        </w:numPr>
        <w:rPr/>
      </w:pPr>
      <w:bookmarkStart w:id="98" w:name="__RefHeading___Toc6369926_3224264995"/>
      <w:bookmarkStart w:id="99" w:name="_Toc40"/>
      <w:bookmarkEnd w:id="98"/>
      <w:r>
        <w:rPr>
          <w:rtl w:val="true"/>
        </w:rPr>
        <w:t>[</w:t>
      </w:r>
      <w:r>
        <w:rPr>
          <w:rtl w:val="true"/>
        </w:rPr>
        <w:t>الأمر</w:t>
      </w:r>
      <w:r>
        <w:rPr>
          <w:rtl w:val="true"/>
        </w:rPr>
        <w:t xml:space="preserve">] </w:t>
      </w:r>
      <w:r>
        <w:rPr>
          <w:rtl w:val="true"/>
        </w:rPr>
        <w:t xml:space="preserve">الرابع </w:t>
      </w:r>
      <w:r>
        <w:rPr>
          <w:rtl w:val="true"/>
        </w:rPr>
        <w:t>[</w:t>
      </w:r>
      <w:r>
        <w:rPr>
          <w:rtl w:val="true"/>
        </w:rPr>
        <w:t>تعریف الریاء</w:t>
      </w:r>
      <w:r>
        <w:rPr>
          <w:rtl w:val="true"/>
        </w:rPr>
        <w:t>]</w:t>
      </w:r>
      <w:bookmarkEnd w:id="99"/>
    </w:p>
    <w:p>
      <w:pPr>
        <w:pStyle w:val="BookText"/>
        <w:rPr/>
      </w:pP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 علماء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المنزلة عند غیره تعالی بالعبادة </w:t>
      </w:r>
      <w:r>
        <w:rPr>
          <w:rStyle w:val="FootnoteAnchor"/>
          <w:rtl w:val="true"/>
        </w:rPr>
        <w:footnoteReference w:id="408"/>
      </w:r>
      <w:r>
        <w:rPr>
          <w:rFonts w:ascii="IRNazanin" w:hAnsi="IRNazanin" w:eastAsia="IRNazanin"/>
          <w:color w:val="111111"/>
          <w:sz w:val="28"/>
          <w:sz w:val="28"/>
          <w:szCs w:val="28"/>
          <w:rtl w:val="true"/>
          <w:lang w:bidi="fa-IR"/>
        </w:rPr>
        <w:t xml:space="preserve">، و ظاهره اختصاصه بداعی مدح الناس، فلو قصد بذلک دفع الذمّ عن نفسه، کما لو راعی فی القراءة آدابها الغیر الواجبة دفعا لنسبة النقص إلیه بجهله بطریقة </w:t>
      </w:r>
      <w:r>
        <w:rPr>
          <w:rStyle w:val="FootnoteAnchor"/>
          <w:rtl w:val="true"/>
        </w:rPr>
        <w:footnoteReference w:id="409"/>
      </w:r>
      <w:r>
        <w:rPr>
          <w:rFonts w:ascii="IRNazanin" w:hAnsi="IRNazanin" w:eastAsia="IRNazanin"/>
          <w:color w:val="111111"/>
          <w:sz w:val="28"/>
          <w:sz w:val="28"/>
          <w:szCs w:val="28"/>
          <w:rtl w:val="true"/>
          <w:lang w:bidi="fa-IR"/>
        </w:rPr>
        <w:t>القراء لم یکن بذلک بأس، و ظاهر الأخبار الواردة فی باب الریاء أیضا الاختصاص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دفع الضرر داعیا مستقلا إلی أصل العمل دون الخصوصیّات فسد، و لو کان جزء الداعی بنی علی ما تقدّم فی الضمیمة المباحة لأنّه أحد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قدّس سرّه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یتحقّق الریاء بقصد مدح الرائی و الانتفاع به أو دفع ضرره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العبادة المشوبة بالتقیّة؟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العبادة واقع علی وجه الإخلاص، و ما فعل فیها تقیّة فإنّ له 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أصله فهو قربة، و بالنسبة إلی ما طرأ من استدفاع الضرر فهو لازم لذلک فلا یقدح فی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فرض إحداثه صلاة تقیّة فإنّه من باب الریاء </w:t>
      </w:r>
      <w:r>
        <w:rPr>
          <w:rStyle w:val="FootnoteAnchor"/>
          <w:rtl w:val="true"/>
        </w:rPr>
        <w:footnoteReference w:id="41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دفع 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إمّا علی الانتفاع فیکون کلاهما غایة للمدح، و إمّا علی المدح فیکون غایة مستقلّة، و علی هذا فمطلق الریاء لیس</w:t>
      </w:r>
    </w:p>
    <w:p>
      <w:pPr>
        <w:pStyle w:val="BookText"/>
        <w:rPr/>
      </w:pPr>
      <w:r>
        <w:rPr>
          <w:rFonts w:ascii="IRNazanin" w:hAnsi="IRNazanin" w:eastAsia="IRNazanin"/>
          <w:color w:val="111111"/>
          <w:sz w:val="28"/>
          <w:sz w:val="28"/>
          <w:szCs w:val="28"/>
          <w:rtl w:val="true"/>
          <w:lang w:bidi="fa-IR"/>
        </w:rPr>
        <w:t xml:space="preserve">محرّما؛ لأنّ التوصّل إلی دفع الضرر و لو بطلب المنزلة عند الناس و طلب مدحهم له لا دلیل علی تحریمه بل قد یجب، و ظاهر الأخبار حرمة الریاء بقول مطلق، فالأجود تخصیص حقیقة الریاء بما هو ظاهر التعریف الأوّل من طلب المنزلة بتحصیل ما لم یکن حاصلا من المنافع المحرّمة أو المباحة، فدفع الضرر من الضمائم الغیر المحرّمة و حکمه یعلم منها </w:t>
      </w:r>
      <w:r>
        <w:rPr>
          <w:rStyle w:val="FootnoteAnchor"/>
          <w:rtl w:val="true"/>
        </w:rPr>
        <w:footnoteReference w:id="411"/>
      </w:r>
      <w:r>
        <w:rPr>
          <w:rFonts w:ascii="IRNazanin" w:hAnsi="IRNazanin" w:eastAsia="IRNazanin"/>
          <w:color w:val="111111"/>
          <w:sz w:val="28"/>
          <w:sz w:val="28"/>
          <w:szCs w:val="28"/>
          <w:rtl w:val="true"/>
          <w:lang w:bidi="fa-IR"/>
        </w:rPr>
        <w:t>، فما ذکره قدّس سرّه فی القواعد یحتاج إلی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علی ما ذکرنا طلب المنزلة عند الناس لتحصیل غایة راجحة کترویج الحقّ و إماتة الباطل بکلمته المسموعة، فالظاهر عدم دخوله فی الریاء؛ لأنّ مرجعه إلی طلب المنزلة عند اللّٰه، و لو نوقش فی الصدق منعنا حرمته؛ لأنّ عموم حرمة الریاء معارض بعموم رجحان تلک الغایة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یقصد بالعمل سماع الناس به فیعظم رتبته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 الریاء، و أمّا حبّ استماع الناس لعمله من دون أن یفعله لذلک فهو کحبّ رؤیة الغیر لعمله و سروره بذلک من دون أن یعمل لذلک ممّا ورد عدم البأس به، ففی حسنة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یعمل العمل من الخیر فیراه إنسان فیسره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من أحد إلّا و هو یحبّ أن یظهر له فی الناس الخیر إذا لم یکن یصنع ذلک لذلک</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إرادة ذلک من حیث الفطرة و الجبلّة، أو علی أنّ أکثر أفراد الإنسان لا یخلو عن ذلک، غایة الأمر أنّ المخلصین إنّما یحبّون ذلک لأغراض راجحة شرعا کما سیجی‌ء، و غیرهم یحبّه</w:t>
      </w:r>
      <w:bookmarkStart w:id="100" w:name="pg13035_131605"/>
    </w:p>
    <w:p>
      <w:pPr>
        <w:pStyle w:val="BookText"/>
        <w:rPr/>
      </w:pPr>
      <w:bookmarkEnd w:id="100"/>
      <w:r>
        <w:rPr>
          <w:rFonts w:ascii="IRNazanin" w:hAnsi="IRNazanin" w:eastAsia="IRNazanin"/>
          <w:color w:val="111111"/>
          <w:sz w:val="28"/>
          <w:sz w:val="28"/>
          <w:szCs w:val="28"/>
          <w:rtl w:val="true"/>
          <w:lang w:bidi="fa-IR"/>
        </w:rPr>
        <w:t>لقلّة الوثوق باطلاع المعبود تعالی علیه، و هو خلق ذمیم یفضی إلی الریاء؛ لأنّ من أحبّ شیئا مال إلی تحصیله، لکنّه لا یفسد العمل؛ لأنّه خارج عنه و غیر قادح فی غرض العامل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 الکتب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رجل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 العمل لا أحبّ أن یطّلع علیه أحد فیطّلع علیه أحد فیسرّنی،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أجران أجر السرّ و أجر العلانیة</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و المراد بأجر العلانیة إمّا ما حصل له من حبّ الناس له باطلاعهم علی حسن باطنه، فیکون قد حصل له ثواب الآخرة بإخلاصه، و کراهة اطّلاع الغیر علی ما بینه و بین اللّٰه، و ثواب الدنیا بحسن ذکره بین الناس، و إمّا ما حصل له بسروره علی اطّلاع الغیر علیه من حیث صیرورته سببا لاقتداء الغیر به من أجر من أعلن بالعمل إرادة لاقتداء الناس به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فی الضمیمة المحرّمة غیر الریاء و السمعة یعلم ممّا تقدّم فیهما، فإنّ الضمیمة إن کانت من قبیل العنوان فلا إشکال فی کون قصده مبطلا لصیرورة الفعل الواحد عنوانا لواجب و محرّم فیکون حراما، و إن کانت من قبیل الغایة کان قصدها منافیا للإخلاص، مع أنّ الفعل لأجل الغایة المحرّمة محرّم و لو مقدّمة، فیلزم اجتماع 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أنّه لا فرق بین کون الحرام غایة لأجل العمل أو لترجیح بعض خصوصیاته علی بعض</w:t>
      </w:r>
      <w:r>
        <w:rPr>
          <w:rFonts w:eastAsia="IRNazanin" w:cs="IRNazanin"/>
          <w:color w:val="111111"/>
          <w:sz w:val="28"/>
          <w:szCs w:val="28"/>
          <w:rtl w:val="true"/>
          <w:lang w:bidi="fa-IR"/>
        </w:rPr>
        <w:t>.</w:t>
      </w:r>
    </w:p>
    <w:p>
      <w:pPr>
        <w:pStyle w:val="Heading6"/>
        <w:numPr>
          <w:ilvl w:val="5"/>
          <w:numId w:val="1"/>
        </w:numPr>
        <w:rPr/>
      </w:pPr>
      <w:bookmarkStart w:id="101" w:name="__RefHeading___Toc6369928_3224264995"/>
      <w:bookmarkStart w:id="102" w:name="_Toc41"/>
      <w:bookmarkEnd w:id="101"/>
      <w:r>
        <w:rPr>
          <w:rtl w:val="true"/>
        </w:rPr>
        <w:t>المقام الثالث</w:t>
      </w:r>
      <w:r>
        <w:rPr>
          <w:rtl w:val="true"/>
        </w:rPr>
        <w:t xml:space="preserve">: </w:t>
      </w:r>
      <w:r>
        <w:rPr>
          <w:rtl w:val="true"/>
        </w:rPr>
        <w:t>فی الضمیمة الراجحة،</w:t>
      </w:r>
      <w:bookmarkEnd w:id="1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أنّها لا تخلّ بالعبادة، 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الخلاف فی الصحّة هنا </w:t>
      </w:r>
      <w:r>
        <w:rPr>
          <w:rStyle w:val="FootnoteAnchor"/>
          <w:rtl w:val="true"/>
        </w:rPr>
        <w:footnoteReference w:id="414"/>
      </w:r>
      <w:r>
        <w:rPr>
          <w:rFonts w:ascii="IRNazanin" w:hAnsi="IRNazanin" w:eastAsia="IRNazanin"/>
          <w:color w:val="111111"/>
          <w:sz w:val="28"/>
          <w:sz w:val="28"/>
          <w:szCs w:val="28"/>
          <w:rtl w:val="true"/>
          <w:lang w:bidi="fa-IR"/>
        </w:rPr>
        <w:t>، و عن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415"/>
      </w:r>
      <w:r>
        <w:rPr>
          <w:rFonts w:ascii="IRNazanin" w:hAnsi="IRNazanin" w:eastAsia="IRNazanin"/>
          <w:color w:val="111111"/>
          <w:sz w:val="28"/>
          <w:sz w:val="28"/>
          <w:szCs w:val="28"/>
          <w:rtl w:val="true"/>
          <w:lang w:bidi="fa-IR"/>
        </w:rPr>
        <w:t xml:space="preserve">، و هو غیر بعید؛ لأنّها تؤکد القربة المقصودة بها لتأکّد الطلب المتعلّق بها من حیث تخل </w:t>
      </w:r>
      <w:r>
        <w:rPr>
          <w:rStyle w:val="FootnoteAnchor"/>
          <w:rtl w:val="true"/>
        </w:rPr>
        <w:footnoteReference w:id="416"/>
      </w:r>
      <w:r>
        <w:rPr>
          <w:rFonts w:ascii="IRNazanin" w:hAnsi="IRNazanin" w:eastAsia="IRNazanin"/>
          <w:color w:val="111111"/>
          <w:sz w:val="28"/>
          <w:sz w:val="28"/>
          <w:szCs w:val="28"/>
          <w:rtl w:val="true"/>
          <w:lang w:bidi="fa-IR"/>
        </w:rPr>
        <w:t>تحصیل راجحین بها، لکنّها إنّما توجب التأکید إذا کان المقصود الأصلی هو الوضوء، و الضمیمة من قبیل المشوّق و المرغّب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انعکس الأمر و کان ذلک الراجح هو المقصود الأصلی، ففی تحقق الإطاعة بالوضوء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مسألة جواز قصد الضمائم المباحة لا دخل له بمسألة جواز التداخل فی التکالیف التی اختلفوا فیها کما قد یتوهّم؛ لأنّ الکلام هنا فی مفهومین متغایرین یتصادقان فی موضوع خارجیّ واحد قد أمر بکلّ واحد منهما أمرا مستقلا موجبا لثواب مستقلّ علی الموافقة و عقاب مستقلّ علی المخالفة، و لا إشکال فی تحقّق امتثال الأمر بهما إذا قصد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یشکل إذا لم یکن أحد العنوانین مقصودا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مسألة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سیتّضح فی مسألة تداخل الوضوءات و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تارة فی اتحاد التکلیف و تعدّده، و اخری فی أنّه علی فرض التعدّد هل یکون بینهما تباین جزئی حتّی یتصادقا، أو لا یتصادقا و لا بدّ من التعدّد؟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وحدة التکلیف کما فی أسباب الوضوء فلا إشکال فی التداخل القهریّ، و إذا ثبت التعدّد مع التباین فلا إشکال فی عدم التداخل، و إذا ثبت التعدّد مع التصادق صار کمسألة الضمیمة الراجحة، فافهم</w:t>
      </w:r>
      <w:r>
        <w:rPr>
          <w:rFonts w:eastAsia="IRNazanin" w:cs="IRNazanin"/>
          <w:color w:val="111111"/>
          <w:sz w:val="28"/>
          <w:szCs w:val="28"/>
          <w:rtl w:val="true"/>
          <w:lang w:bidi="fa-IR"/>
        </w:rPr>
        <w:t>.</w:t>
      </w:r>
      <w:bookmarkStart w:id="103" w:name="pg13035_131607"/>
    </w:p>
    <w:p>
      <w:pPr>
        <w:pStyle w:val="Heading6"/>
        <w:numPr>
          <w:ilvl w:val="5"/>
          <w:numId w:val="1"/>
        </w:numPr>
        <w:rPr/>
      </w:pPr>
      <w:bookmarkStart w:id="104" w:name="__RefHeading___Toc6369930_3224264995"/>
      <w:bookmarkStart w:id="105" w:name="_Toc42"/>
      <w:bookmarkEnd w:id="103"/>
      <w:bookmarkEnd w:id="104"/>
      <w:r>
        <w:rPr>
          <w:rtl w:val="true"/>
        </w:rPr>
        <w:t>[</w:t>
      </w:r>
      <w:r>
        <w:rPr>
          <w:rtl w:val="true"/>
        </w:rPr>
        <w:t>وقت النیّة</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المشهور من أنّها الإرادة التفصیلیّة المقارنة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أفعال الوضوء المعدودة فعلا واحدا، فإذا قصد المکلّف الإتیان بالفرد الکامل و هو المشتمل علی الأجزاء المستحبّة فلا بدّ من تقدیمها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جزء من هذا الفرد الکامل،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الیدین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فی الوضوء کما عن المشهور </w:t>
      </w:r>
      <w:r>
        <w:rPr>
          <w:rStyle w:val="FootnoteAnchor"/>
          <w:rtl w:val="true"/>
        </w:rPr>
        <w:footnoteReference w:id="418"/>
      </w:r>
      <w:r>
        <w:rPr>
          <w:rFonts w:ascii="IRNazanin" w:hAnsi="IRNazanin" w:eastAsia="IRNazanin"/>
          <w:color w:val="111111"/>
          <w:sz w:val="28"/>
          <w:sz w:val="28"/>
          <w:szCs w:val="28"/>
          <w:rtl w:val="true"/>
          <w:lang w:bidi="fa-IR"/>
        </w:rPr>
        <w:t xml:space="preserve">، و نسب إلی الشیخ و أکثر الأصحاب </w:t>
      </w:r>
      <w:r>
        <w:rPr>
          <w:rStyle w:val="FootnoteAnchor"/>
          <w:rtl w:val="true"/>
        </w:rPr>
        <w:footnoteReference w:id="419"/>
      </w:r>
      <w:r>
        <w:rPr>
          <w:rFonts w:ascii="IRNazanin" w:hAnsi="IRNazanin" w:eastAsia="IRNazanin"/>
          <w:color w:val="111111"/>
          <w:sz w:val="28"/>
          <w:sz w:val="28"/>
          <w:szCs w:val="28"/>
          <w:rtl w:val="true"/>
          <w:lang w:bidi="fa-IR"/>
        </w:rPr>
        <w:t>، و لا إشکال فیه بناء علی ما ذکر من کون غسلهما أوّل الأفعال؛ من جهة أنّه کیف ینوی الوجوب و یقارنه بما لیس بواجب و یجعله داخلا فیها؛ لأنّ نیّة الوجوب فی الفرد المشتمل علی المندوب و لو أشکلت لم یفرّق بین کون المندوب أوّل الأفعال و بین عدمه، و کلّ ما یقال فی الأجزاء المستحبّة المتخلّلة فهو جار فی الجزء الأوّل المستحب، کما لا یخفی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المناسب لمذهب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ینوی فی </w:t>
      </w:r>
      <w:r>
        <w:rPr>
          <w:rStyle w:val="FootnoteAnchor"/>
          <w:rtl w:val="true"/>
        </w:rPr>
        <w:footnoteReference w:id="420"/>
      </w:r>
      <w:r>
        <w:rPr>
          <w:rFonts w:ascii="IRNazanin" w:hAnsi="IRNazanin" w:eastAsia="IRNazanin"/>
          <w:color w:val="111111"/>
          <w:sz w:val="28"/>
          <w:sz w:val="28"/>
          <w:szCs w:val="28"/>
          <w:rtl w:val="true"/>
          <w:lang w:bidi="fa-IR"/>
        </w:rPr>
        <w:t>الإتیان بالفرد الکامل الإتیان بالواجب لوجوبه و بالمندوب لندبه، و هو الذی یظهر من کلام بعضهم کالعلامة، حیث قال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معرفة</w:t>
      </w:r>
    </w:p>
    <w:p>
      <w:pPr>
        <w:pStyle w:val="BookText"/>
        <w:rPr/>
      </w:pPr>
      <w:r>
        <w:rPr>
          <w:rFonts w:ascii="IRNazanin" w:hAnsi="IRNazanin" w:eastAsia="IRNazanin"/>
          <w:color w:val="111111"/>
          <w:sz w:val="28"/>
          <w:sz w:val="28"/>
          <w:szCs w:val="28"/>
          <w:rtl w:val="true"/>
          <w:lang w:bidi="fa-IR"/>
        </w:rPr>
        <w:t xml:space="preserve">واجبات الصلاة من مندوباتها لیوقع کلّا علی وجهه </w:t>
      </w:r>
      <w:r>
        <w:rPr>
          <w:rStyle w:val="FootnoteAnchor"/>
          <w:rtl w:val="true"/>
        </w:rPr>
        <w:footnoteReference w:id="421"/>
      </w:r>
      <w:r>
        <w:rPr>
          <w:rFonts w:ascii="IRNazanin" w:hAnsi="IRNazanin" w:eastAsia="IRNazanin"/>
          <w:color w:val="111111"/>
          <w:sz w:val="28"/>
          <w:sz w:val="28"/>
          <w:szCs w:val="28"/>
          <w:rtl w:val="true"/>
          <w:lang w:bidi="fa-IR"/>
        </w:rPr>
        <w:t>، و حینئذ فالمقارنة معتبرة بالنسبة إلی مجموع النیّتین و مجموع العمل، فکما لا یقدح مع وجوب أوّل الأجزاء عدم مقارنة نیّة المندوبات بفعلها، کذلک لا یقدح مع استحباب أوّل الأجزاء عدم مقارنة عدم مقارنة نیّة الواجبات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الروض فی مسألة تداخل الأغسال کفایة نیّة الوجوب فی الفرد المشتمل علی الأجزاء المستحبّة </w:t>
      </w:r>
      <w:r>
        <w:rPr>
          <w:rStyle w:val="FootnoteAnchor"/>
          <w:rtl w:val="true"/>
        </w:rPr>
        <w:footnoteReference w:id="422"/>
      </w:r>
      <w:r>
        <w:rPr>
          <w:rFonts w:ascii="IRNazanin" w:hAnsi="IRNazanin" w:eastAsia="IRNazanin"/>
          <w:color w:val="111111"/>
          <w:sz w:val="28"/>
          <w:sz w:val="28"/>
          <w:szCs w:val="28"/>
          <w:rtl w:val="true"/>
          <w:lang w:bidi="fa-IR"/>
        </w:rPr>
        <w:t>، و فیه نظر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کون غسل الیدین من الأجزاء المستحبّة للوضوء بالشروط الآتیة هو المشهور، إلّا أنّ مستنده غیر واضح؛ فإنّ ما استدلّ به علی الاستحباب </w:t>
      </w:r>
      <w:r>
        <w:rPr>
          <w:rStyle w:val="FootnoteAnchor"/>
          <w:rtl w:val="true"/>
        </w:rPr>
        <w:footnoteReference w:id="423"/>
      </w:r>
      <w:r>
        <w:rPr>
          <w:rFonts w:ascii="IRNazanin" w:hAnsi="IRNazanin" w:eastAsia="IRNazanin"/>
          <w:color w:val="111111"/>
          <w:sz w:val="28"/>
          <w:sz w:val="28"/>
          <w:szCs w:val="28"/>
          <w:rtl w:val="true"/>
          <w:lang w:bidi="fa-IR"/>
        </w:rPr>
        <w:t>مثل صحیحة بکیر و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أنّهما سألا أبا عبد اللّٰه علیه السلام </w:t>
      </w:r>
      <w:r>
        <w:rPr>
          <w:rStyle w:val="FootnoteAnchor"/>
          <w:rtl w:val="true"/>
        </w:rPr>
        <w:footnoteReference w:id="424"/>
      </w:r>
      <w:r>
        <w:rPr>
          <w:rFonts w:ascii="IRNazanin" w:hAnsi="IRNazanin" w:eastAsia="IRNazanin"/>
          <w:color w:val="111111"/>
          <w:sz w:val="28"/>
          <w:sz w:val="28"/>
          <w:szCs w:val="28"/>
          <w:rtl w:val="true"/>
          <w:lang w:bidi="fa-IR"/>
        </w:rPr>
        <w:t xml:space="preserve">عن وضوء رسول اللّٰه صلّی اللّٰه علیه و آله، فدعا بطست أو بتور فیه ماء فغسل کفّه ثمّ غمس کفّه الیمنی فی التور </w:t>
      </w:r>
      <w:r>
        <w:rPr>
          <w:rStyle w:val="FootnoteAnchor"/>
          <w:rtl w:val="true"/>
        </w:rPr>
        <w:footnoteReference w:id="425"/>
      </w:r>
      <w:r>
        <w:rPr>
          <w:rFonts w:ascii="IRNazanin" w:hAnsi="IRNazanin" w:eastAsia="IRNazanin"/>
          <w:color w:val="111111"/>
          <w:sz w:val="28"/>
          <w:sz w:val="28"/>
          <w:szCs w:val="28"/>
          <w:rtl w:val="true"/>
          <w:lang w:bidi="fa-IR"/>
        </w:rPr>
        <w:t>فغسل وجهه بها</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لا دلالة لها علی الجزئیّة، فلعلّ الغسل لرفع النجاسة المتوهّمة، فیکون مقدّمة مستحبّة لغسل الأعضاء، فمرجعه إلی استحباب صیانة ماء الوضوء و أعضائه عن النجاسة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ظاهر بعض الأخبار ذلک، مثل روایة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یبول و لم یمسّ یده الیمنی شی‌ء أ یدخلها فی وضوئه قبل أن 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یغسلها،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استیقظ من نومه و لم یبل أ یدخل یده فی الإناء قبل أن 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لا یدری حیث باتت یده، فلیغسلها</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نظیر الأمر به وجوبا إذا کان الید متیقّن النجاسة، فإنّه لا یعدّ بذلک من الأجزاء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 النجاسة المتوهّمة حکمة للحکم، و لذا </w:t>
      </w:r>
      <w:r>
        <w:rPr>
          <w:rStyle w:val="FootnoteAnchor"/>
          <w:rtl w:val="true"/>
        </w:rPr>
        <w:footnoteReference w:id="428"/>
      </w:r>
      <w:r>
        <w:rPr>
          <w:rFonts w:ascii="IRNazanin" w:hAnsi="IRNazanin" w:eastAsia="IRNazanin"/>
          <w:color w:val="111111"/>
          <w:sz w:val="28"/>
          <w:sz w:val="28"/>
          <w:szCs w:val="28"/>
          <w:rtl w:val="true"/>
          <w:lang w:bidi="fa-IR"/>
        </w:rPr>
        <w:t xml:space="preserve">یکون مستحبّا مع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التسلیم لا یصیر بذلک من أجزاء الوضوء أیضا بل مستحبّ تعبّدی للاغتراف بالید و الاستعمال </w:t>
      </w:r>
      <w:r>
        <w:rPr>
          <w:rStyle w:val="FootnoteAnchor"/>
          <w:rtl w:val="true"/>
        </w:rPr>
        <w:footnoteReference w:id="430"/>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للغسل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فاستحباب غسل الیدین یحتمل وجوها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الاستحباب النفسی، نظیر السواک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الاستحباب الغیری، و هو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علی أن یکون مرّة مستحبّا نظیر الغسلات الثانیة فی الوجه و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علی أن یکون علی وجه الشرطیّة لکون ماء الوضوء أو أعضائه علی الوجه الکامل أعنی متیقّن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علی أن یکون علی وجه شرط الکمال لاستعمالها فی الاغتراف و الغسل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الأخبار أحد الأخیرین، و الذی یجدی هو الثانی، و قد حکی عن السیّد فی بعض کلماته الاکتفاء بالنیّة عند غسلهما </w:t>
      </w:r>
      <w:r>
        <w:rPr>
          <w:rStyle w:val="FootnoteAnchor"/>
          <w:rtl w:val="true"/>
        </w:rPr>
        <w:footnoteReference w:id="431"/>
      </w:r>
      <w:r>
        <w:rPr>
          <w:rFonts w:ascii="IRNazanin" w:hAnsi="IRNazanin" w:eastAsia="IRNazanin"/>
          <w:color w:val="111111"/>
          <w:sz w:val="28"/>
          <w:sz w:val="28"/>
          <w:szCs w:val="28"/>
          <w:rtl w:val="true"/>
          <w:lang w:bidi="fa-IR"/>
        </w:rPr>
        <w:t>مع تسلیم الاستحباب علی الوجه الثالث، و الحکم من فحوی ذلک بکفایة النیّة عند غسل الیدین إذا وجب لإزالة النجاسة المتیقّنة، 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ما ذکرنا توقّف جماعة فی الحکم المشهور، منهم صاحب البشری علی ما حکاه الشهید رحمه اللّٰه </w:t>
      </w:r>
      <w:r>
        <w:rPr>
          <w:rStyle w:val="FootnoteAnchor"/>
          <w:rtl w:val="true"/>
        </w:rPr>
        <w:footnoteReference w:id="432"/>
      </w:r>
      <w:r>
        <w:rPr>
          <w:rFonts w:ascii="IRNazanin" w:hAnsi="IRNazanin" w:eastAsia="IRNazanin"/>
          <w:color w:val="111111"/>
          <w:sz w:val="28"/>
          <w:sz w:val="28"/>
          <w:szCs w:val="28"/>
          <w:rtl w:val="true"/>
          <w:lang w:bidi="fa-IR"/>
        </w:rPr>
        <w:t xml:space="preserve">، بل ظاهر الحلّی فی السرائر إنکار ذلک فی الوضوء، لکنّه قال به فی غسل الجنابة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أنّه لا یجوز تقدیم النیّة عند التسمیة و السواک، لأنّهما إنّما استحبا لوقوع الوضوء علی الوجه الکامل، کما یدلّ علیه قوله 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سمّی علی وضوئه طهر جمیع بدنه</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فإنّ هذا و أمثاله ظاهر فی کون التسمیة أمرا خارجا موجبا لتأثیر کلّ فعل من أفعال الوضوء کمال أثره، نظیر التسمیة علی کلّ أمر فی صیرورتها سببا لبرکته و بعد الشیطان عنه، ففی</w:t>
      </w:r>
    </w:p>
    <w:p>
      <w:pPr>
        <w:pStyle w:val="BookText"/>
        <w:rPr/>
      </w:pPr>
      <w:r>
        <w:rPr>
          <w:rFonts w:ascii="IRNazanin" w:hAnsi="IRNazanin" w:eastAsia="IRNazanin"/>
          <w:color w:val="111111"/>
          <w:sz w:val="28"/>
          <w:sz w:val="28"/>
          <w:szCs w:val="28"/>
          <w:rtl w:val="true"/>
          <w:lang w:bidi="fa-IR"/>
        </w:rPr>
        <w:t>روایة العلاء بن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 أحدکم و لم یسمّ کان للشیطان فی وضوئه شرک، و إن أکل أو شرب أو لبس و کلّ شی‌ء صنعه ینبغی أن یسمّی علیه فإن لم یفعل کان للشیطان فیه شرک</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و نحوها غیرها من الروایات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السواک فهو مستحبّ مؤکّد أمام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السواک شطر الوضوء</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معارض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الاستیاک قبل أن یتوضّأ</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و الحمل فیه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المضمضة و الاستنشاق، فالظاهر کونهما من الوضوء، بل عن 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أنّهما من سنن الوضوء </w:t>
      </w:r>
      <w:r>
        <w:rPr>
          <w:rStyle w:val="FootnoteAnchor"/>
          <w:rtl w:val="true"/>
        </w:rPr>
        <w:footnoteReference w:id="439"/>
      </w:r>
      <w:r>
        <w:rPr>
          <w:rFonts w:ascii="IRNazanin" w:hAnsi="IRNazanin" w:eastAsia="IRNazanin"/>
          <w:color w:val="111111"/>
          <w:sz w:val="28"/>
          <w:sz w:val="28"/>
          <w:szCs w:val="28"/>
          <w:rtl w:val="true"/>
          <w:lang w:bidi="fa-IR"/>
        </w:rPr>
        <w:t>، 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من الوضوء </w:t>
      </w:r>
      <w:r>
        <w:rPr>
          <w:rStyle w:val="FootnoteAnchor"/>
          <w:rtl w:val="true"/>
        </w:rPr>
        <w:footnoteReference w:id="440"/>
      </w:r>
      <w:r>
        <w:rPr>
          <w:rFonts w:ascii="IRNazanin" w:hAnsi="IRNazanin" w:eastAsia="IRNazanin"/>
          <w:color w:val="111111"/>
          <w:sz w:val="28"/>
          <w:sz w:val="28"/>
          <w:szCs w:val="28"/>
          <w:rtl w:val="true"/>
          <w:lang w:bidi="fa-IR"/>
        </w:rPr>
        <w:t xml:space="preserve">، و نفی کونهما منه فی بعض آخر </w:t>
      </w:r>
      <w:r>
        <w:rPr>
          <w:rStyle w:val="FootnoteAnchor"/>
          <w:rtl w:val="true"/>
        </w:rPr>
        <w:footnoteReference w:id="441"/>
      </w:r>
      <w:r>
        <w:rPr>
          <w:rFonts w:ascii="IRNazanin" w:hAnsi="IRNazanin" w:eastAsia="IRNazanin"/>
          <w:color w:val="111111"/>
          <w:sz w:val="28"/>
          <w:sz w:val="28"/>
          <w:szCs w:val="28"/>
          <w:rtl w:val="true"/>
          <w:lang w:bidi="fa-IR"/>
        </w:rPr>
        <w:t>محمول علی الوضوء الواجب، و علیه فلا إشکال فی جواز النیّة عندهما إلّا أنّه یحتمل أن یکونا منظّفین مستحبین لأجل الصلاة قبل الوضوء، لا أنّهما من أجزاء الوضوء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Style w:val="FootnoteAnchor"/>
          <w:rtl w:val="true"/>
        </w:rPr>
        <w:footnoteReference w:id="442"/>
      </w:r>
      <w:r>
        <w:rPr>
          <w:rFonts w:ascii="IRNazanin" w:hAnsi="IRNazanin" w:eastAsia="IRNazanin"/>
          <w:color w:val="111111"/>
          <w:sz w:val="28"/>
          <w:sz w:val="28"/>
          <w:szCs w:val="28"/>
          <w:rtl w:val="true"/>
          <w:lang w:bidi="fa-IR"/>
        </w:rPr>
        <w:t xml:space="preserve">کان الأولی تأخیر النیّة إلی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إجماعا</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البیان </w:t>
      </w:r>
      <w:r>
        <w:rPr>
          <w:rStyle w:val="FootnoteAnchor"/>
          <w:rtl w:val="true"/>
        </w:rPr>
        <w:footnoteReference w:id="443"/>
      </w:r>
      <w:r>
        <w:rPr>
          <w:rFonts w:ascii="Amiri" w:hAnsi="Amiri" w:eastAsia="Amiri" w:cs="Amiri"/>
          <w:color w:val="111111"/>
          <w:sz w:val="28"/>
          <w:sz w:val="28"/>
          <w:szCs w:val="28"/>
          <w:rtl w:val="true"/>
          <w:lang w:bidi="ar-SA"/>
        </w:rPr>
        <w:t xml:space="preserve">و النفلیّة </w:t>
      </w:r>
      <w:r>
        <w:rPr>
          <w:rStyle w:val="FootnoteAnchor"/>
          <w:rtl w:val="true"/>
        </w:rPr>
        <w:footnoteReference w:id="444"/>
      </w:r>
      <w:r>
        <w:rPr>
          <w:rFonts w:ascii="Amiri" w:hAnsi="Amiri" w:eastAsia="Amiri" w:cs="Amiri"/>
          <w:color w:val="111111"/>
          <w:sz w:val="28"/>
          <w:sz w:val="28"/>
          <w:szCs w:val="28"/>
          <w:rtl w:val="true"/>
          <w:lang w:bidi="ar-SA"/>
        </w:rPr>
        <w:t xml:space="preserve">و المحقّق الأردبیلی قدّس سرّه </w:t>
      </w:r>
      <w:r>
        <w:rPr>
          <w:rStyle w:val="FootnoteAnchor"/>
          <w:rtl w:val="true"/>
        </w:rPr>
        <w:footnoteReference w:id="445"/>
      </w:r>
      <w:r>
        <w:rPr>
          <w:rFonts w:ascii="IRNazanin" w:hAnsi="IRNazanin" w:eastAsia="IRNazanin"/>
          <w:color w:val="111111"/>
          <w:sz w:val="28"/>
          <w:sz w:val="28"/>
          <w:szCs w:val="28"/>
          <w:rtl w:val="true"/>
          <w:lang w:bidi="fa-IR"/>
        </w:rPr>
        <w:t xml:space="preserve">و تلمیذیه صاحبی </w:t>
      </w:r>
      <w:r>
        <w:rPr>
          <w:rStyle w:val="FootnoteAnchor"/>
          <w:rtl w:val="true"/>
        </w:rPr>
        <w:footnoteReference w:id="446"/>
      </w:r>
      <w:r>
        <w:rPr>
          <w:rFonts w:ascii="IRNazanin" w:hAnsi="IRNazanin" w:eastAsia="IRNazanin"/>
          <w:color w:val="111111"/>
          <w:sz w:val="28"/>
          <w:sz w:val="28"/>
          <w:szCs w:val="28"/>
          <w:rtl w:val="true"/>
          <w:lang w:bidi="fa-IR"/>
        </w:rPr>
        <w:t xml:space="preserve">المدارک </w:t>
      </w:r>
      <w:r>
        <w:rPr>
          <w:rStyle w:val="FootnoteAnchor"/>
          <w:rtl w:val="true"/>
        </w:rPr>
        <w:footnoteReference w:id="447"/>
      </w:r>
      <w:r>
        <w:rPr>
          <w:rFonts w:ascii="IRNazanin" w:hAnsi="IRNazanin" w:eastAsia="IRNazanin"/>
          <w:color w:val="111111"/>
          <w:sz w:val="28"/>
          <w:sz w:val="28"/>
          <w:szCs w:val="28"/>
          <w:rtl w:val="true"/>
          <w:lang w:bidi="fa-IR"/>
        </w:rPr>
        <w:t xml:space="preserve">و المعالم </w:t>
      </w:r>
      <w:r>
        <w:rPr>
          <w:rStyle w:val="FootnoteAnchor"/>
          <w:rtl w:val="true"/>
        </w:rPr>
        <w:footnoteReference w:id="448"/>
      </w:r>
      <w:r>
        <w:rPr>
          <w:rFonts w:ascii="IRNazanin" w:hAnsi="IRNazanin" w:eastAsia="IRNazanin"/>
          <w:color w:val="111111"/>
          <w:sz w:val="28"/>
          <w:sz w:val="28"/>
          <w:szCs w:val="28"/>
          <w:rtl w:val="true"/>
          <w:lang w:bidi="fa-IR"/>
        </w:rPr>
        <w:t xml:space="preserve">و غیرهم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 خلاف عند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فسّروا النیّة بالإرادة التفصیلیّة،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استدامة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جزء من الوضوء، و لا یضرّ انقطاعها فی الأثناء مع عدم الاشتغال بفعل اتّفاقا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الوجه فی وجوب هذه الاستدامة ما دلّ علی اعتبار النیّة فی العمل </w:t>
      </w:r>
      <w:r>
        <w:rPr>
          <w:rStyle w:val="FootnoteAnchor"/>
          <w:rtl w:val="true"/>
        </w:rPr>
        <w:footnoteReference w:id="450"/>
      </w:r>
      <w:r>
        <w:rPr>
          <w:rFonts w:ascii="IRNazanin" w:hAnsi="IRNazanin" w:eastAsia="IRNazanin"/>
          <w:color w:val="111111"/>
          <w:sz w:val="28"/>
          <w:sz w:val="28"/>
          <w:szCs w:val="28"/>
          <w:rtl w:val="true"/>
          <w:lang w:bidi="fa-IR"/>
        </w:rPr>
        <w:t>إذ مع عدم الاستدامة یقع الجزء الواقع حاله غیر منویّ، و أمّا کفایة الحکمیة و عدم إیجاب الاستدامة الفعلیّة فلتعذّرها أو تعسّرها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تخیّل بعضهم أنّ الدلیل علی وجوب الحکمیّة أنّه لمّا تعذّرت الفعلیّة لم تسقط الحکمیّة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فی الردّ علیها تارة و عدم جریانها فی المقام اخری</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تعذّر الفعلیّة دائما مراعاتها بقدر الإمکان، لکنّ الإنصاف أنّه عسر جدّا و أنّ اللازم من تعذّر الفعلیّة عدم</w:t>
      </w:r>
    </w:p>
    <w:p>
      <w:pPr>
        <w:pStyle w:val="BookText"/>
        <w:rPr/>
      </w:pPr>
      <w:r>
        <w:rPr>
          <w:rFonts w:ascii="IRNazanin" w:hAnsi="IRNazanin" w:eastAsia="IRNazanin"/>
          <w:color w:val="111111"/>
          <w:sz w:val="28"/>
          <w:sz w:val="28"/>
          <w:szCs w:val="28"/>
          <w:rtl w:val="true"/>
          <w:lang w:bidi="fa-IR"/>
        </w:rPr>
        <w:t>وجوب إخطار المنویّ بقیودها التفصیلیّة، فلم لا یکفی بإخطاره بعنوان إجمالی؟</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العسر إنّما هو بالتزام الإخطار و عدم الذهول و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غبار فی وجوب هذا المقدار، و إنّما البحث مع المشهور فی اعتبار الزائد من ذلک فی أوّل العمل، و هلّا جعلوا النیّة الفعلیّة هذه التی سموها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w:t>
      </w:r>
      <w:r>
        <w:rPr>
          <w:rStyle w:val="FootnoteAnchor"/>
          <w:rtl w:val="true"/>
        </w:rPr>
        <w:footnoteReference w:id="452"/>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453"/>
      </w:r>
      <w:r>
        <w:rPr>
          <w:rFonts w:ascii="IRNazanin" w:hAnsi="IRNazanin" w:eastAsia="IRNazanin"/>
          <w:color w:val="111111"/>
          <w:sz w:val="28"/>
          <w:sz w:val="28"/>
          <w:szCs w:val="28"/>
          <w:rtl w:val="true"/>
          <w:lang w:bidi="fa-IR"/>
        </w:rPr>
        <w:t xml:space="preserve">و المحقّق و الشهید الثانیین </w:t>
      </w:r>
      <w:r>
        <w:rPr>
          <w:rStyle w:val="FootnoteAnchor"/>
          <w:rtl w:val="true"/>
        </w:rPr>
        <w:footnoteReference w:id="454"/>
      </w:r>
      <w:r>
        <w:rPr>
          <w:rFonts w:ascii="IRNazanin" w:hAnsi="IRNazanin" w:eastAsia="IRNazanin"/>
          <w:color w:val="111111"/>
          <w:sz w:val="28"/>
          <w:sz w:val="28"/>
          <w:szCs w:val="28"/>
          <w:rtl w:val="true"/>
          <w:lang w:bidi="fa-IR"/>
        </w:rPr>
        <w:t xml:space="preserve">و غیرهم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ینتقل من تلک النیّة إلی نیّة تخالفها؛ فإنّه إذا کان کذلک کان حکم النیّة السابقة یعنی أثرها العقلی و الشرعی و العرفی مستمرّا غیر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اللازم من عدم الانتقال إلی نیّة الخلاف أنّه کلّما توجّه ذهنه إلی الفعل المنویّ فی أثناء الاشتغال به تجدّد له قصد تفصیلی و عزم علی إتیان الفعل علی النحو المنویّ سابقا، لأنّ صدور الفعل الاختیاریّ من المتردّد غیر معقول کما عرفت سابقا، و المفروض أنّه غیر ناو للخلاف، فلا یبقی إلّا کونه عازما علی المضیّ فی الفعل قاصدا له تفصیلا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الفرق بین هذا القصد التفصیلی و النیّة الابتدائیّة کون النیّة فی الابتداء مشتملة علی قیود الفعل و الغایة تفصیلا، و هذا مشتمل علیهما إجمالا</w:t>
      </w:r>
    </w:p>
    <w:p>
      <w:pPr>
        <w:pStyle w:val="BookText"/>
        <w:rPr/>
      </w:pPr>
      <w:r>
        <w:rPr>
          <w:rFonts w:ascii="IRNazanin" w:hAnsi="IRNazanin" w:eastAsia="IRNazanin"/>
          <w:color w:val="111111"/>
          <w:sz w:val="28"/>
          <w:sz w:val="28"/>
          <w:szCs w:val="28"/>
          <w:rtl w:val="true"/>
          <w:lang w:bidi="fa-IR"/>
        </w:rPr>
        <w:t xml:space="preserve">و إن کان القصد تفصیلیّا؛ لکونه مع الشعور و الالتفات، و أمّا العزم و القصد الإجمالی المجامع لعدم الشعور فهو موجود دائما و إن لم یتوجّه الذهن و لم یلتفت إلی الفعل؛ لما عرفت من کلام المحقّق الطوسی و غیره من أنّه یحدث آنا فآنا إرادة جزئیّة بحسب الحرکات و إن لم یشعر الفاعل بها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فهناک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 التفصیلیّة، و هی إرادة الفعل مع الشعور به و بجمیع مشخّصاته و غایته، و هی معتبرة فی أوّل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إرادة تفصیلیّة مع الشعور به بعنوان إجمالی من حیث المشخّصات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إرادة إجمالیّة من دون شعور بالفعل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 الأوّل من هذه الأمور و لم یحدث بعدها الانتقال إلی خلافها حصل الأمران الأخیران، لکنّ الأوّل منهما موقوف علی توجّه الذهن إلی الفعل و تذکّره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حکم المشهور بوجوب الاستدامة بذلک المعنی مختصّ بحال تذکرة </w:t>
      </w:r>
      <w:r>
        <w:rPr>
          <w:rStyle w:val="FootnoteAnchor"/>
          <w:rtl w:val="true"/>
        </w:rPr>
        <w:footnoteReference w:id="457"/>
      </w:r>
      <w:r>
        <w:rPr>
          <w:rFonts w:ascii="IRNazanin" w:hAnsi="IRNazanin" w:eastAsia="IRNazanin"/>
          <w:color w:val="111111"/>
          <w:sz w:val="28"/>
          <w:sz w:val="28"/>
          <w:szCs w:val="28"/>
          <w:rtl w:val="true"/>
          <w:lang w:bidi="fa-IR"/>
        </w:rPr>
        <w:t>الفاعل للفعل و التفاته؛ إذ وجوبها حال ذهوله و عدم تذکّره للفعل تکلیف للغافل، و إیجاب التذکّر علیه دائما کرّ علی ما فرّ منه من التعذّر و القناعة بالاستدامة الحکمیّة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سهل علیک إرجاع ما ظاهره المنافاة لتفسیر المشهور إلیه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فی الذکری من أنّ معنی الاستدامة البقاء علی حکمها</w:t>
      </w:r>
    </w:p>
    <w:p>
      <w:pPr>
        <w:pStyle w:val="BookText"/>
        <w:rPr/>
      </w:pPr>
      <w:r>
        <w:rPr>
          <w:rFonts w:ascii="IRNazanin" w:hAnsi="IRNazanin" w:eastAsia="IRNazanin"/>
          <w:color w:val="111111"/>
          <w:sz w:val="28"/>
          <w:sz w:val="28"/>
          <w:szCs w:val="28"/>
          <w:rtl w:val="true"/>
          <w:lang w:bidi="fa-IR"/>
        </w:rPr>
        <w:t xml:space="preserve">و العزم علی مقتضاها </w:t>
      </w:r>
      <w:r>
        <w:rPr>
          <w:rStyle w:val="FootnoteAnchor"/>
          <w:rtl w:val="true"/>
        </w:rPr>
        <w:footnoteReference w:id="458"/>
      </w:r>
      <w:r>
        <w:rPr>
          <w:rFonts w:ascii="IRNazanin" w:hAnsi="IRNazanin" w:eastAsia="IRNazanin"/>
          <w:color w:val="111111"/>
          <w:sz w:val="28"/>
          <w:sz w:val="28"/>
          <w:szCs w:val="28"/>
          <w:rtl w:val="true"/>
          <w:lang w:bidi="fa-IR"/>
        </w:rPr>
        <w:t>، فهو و إن جعله الشهید و المحقّق الثانیان مقابلا للمشهور إلّا أنّ مراده عند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علی المکلّف هو البقاء و العزم، و إنّما یصیر المکلّف موردا لتکلیفه بهما و وجوبهما علیه إذا توجّه ذهنه إلی الفعل،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المکلّف إذا ذکر الفعل فی أثناء الاشتغال به أن یبقی علی حکم النیة الاولی و یعزم علی مقتضاها، و قد عرفت أنّ هذا لا ینفکّ عن عدم نیّة الخلاف الذی هو تفسیر المشهور و وجوب عدم نیّة الخلاف لا ینفکّ عن وجوب العزم و المضیّ علی النیّة الأولی بعد بداهة عدم إمکان صدور الحرکة الاختیاریّة بدون إرادة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ما ذکرنا نسب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أحد تلامذة الشهید، و لا یخفی علیه موارد مخالفته للأصحاب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الشیخ للاستدامة إلی الفقهاء </w:t>
      </w:r>
      <w:r>
        <w:rPr>
          <w:rStyle w:val="FootnoteAnchor"/>
          <w:rtl w:val="true"/>
        </w:rPr>
        <w:footnoteReference w:id="459"/>
      </w:r>
      <w:r>
        <w:rPr>
          <w:rFonts w:ascii="IRNazanin" w:hAnsi="IRNazanin" w:eastAsia="IRNazanin"/>
          <w:color w:val="111111"/>
          <w:sz w:val="28"/>
          <w:sz w:val="28"/>
          <w:szCs w:val="28"/>
          <w:rtl w:val="true"/>
          <w:lang w:bidi="fa-IR"/>
        </w:rPr>
        <w:t xml:space="preserve">مشعرا باتّفاقهم علیه، و إنّما دعا الشهید إلی تفسیرها بذلک لأنّ عدم نیّة الخلاف أمر عدمیّ لا ینبغی أن یفسّر به الاستدامة و لا أن یجعل فی حیّز الوجوب، و هو کذلک؛ فإنّ تفسیر الشیخ و من تبعه عند التأمّل لا یخلو عن مسامحة من هذه الجهة؛ فإنّ استدامة النیّة نظیر إحداثها أمر وجودیّ واقع فی حیّز الوجوب عند التفات المکلّف إلی الفعل و خطوره فی ذهنه، لکن وجوب إحداثها مطلق بالنسبة إلی الإخطار، فیجب إخطار الفعل بمشخّصاته لأجل إرادة </w:t>
      </w:r>
      <w:r>
        <w:rPr>
          <w:rStyle w:val="FootnoteAnchor"/>
          <w:rtl w:val="true"/>
        </w:rPr>
        <w:footnoteReference w:id="460"/>
      </w:r>
      <w:r>
        <w:rPr>
          <w:rFonts w:ascii="IRNazanin" w:hAnsi="IRNazanin" w:eastAsia="IRNazanin"/>
          <w:color w:val="111111"/>
          <w:sz w:val="28"/>
          <w:sz w:val="28"/>
          <w:szCs w:val="28"/>
          <w:rtl w:val="true"/>
          <w:lang w:bidi="fa-IR"/>
        </w:rPr>
        <w:t>المقارنة، و وجوب استدامتها مشروط بخطور الفعل فی ذهن المکلف و تذکره له؛ إذ لو وجب الإخطار مقدّمة لها یرجع إلی الاستدامة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یوهم هذا المعنی تفسیر الاستدامة فی الغنیة و السرائر بأن یکون المکلّف ذاکرا لها غیر فاعل لنیّة تخالفها </w:t>
      </w:r>
      <w:r>
        <w:rPr>
          <w:rStyle w:val="FootnoteAnchor"/>
          <w:rtl w:val="true"/>
        </w:rPr>
        <w:footnoteReference w:id="461"/>
      </w:r>
      <w:r>
        <w:rPr>
          <w:rFonts w:ascii="IRNazanin" w:hAnsi="IRNazanin" w:eastAsia="IRNazanin"/>
          <w:color w:val="111111"/>
          <w:sz w:val="28"/>
          <w:sz w:val="28"/>
          <w:szCs w:val="28"/>
          <w:rtl w:val="true"/>
          <w:lang w:bidi="fa-IR"/>
        </w:rPr>
        <w:t>، لکنّه بظاهره خلاف الإجماع، فینبغی أن یجعل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للذاکر کما قیل </w:t>
      </w:r>
      <w:r>
        <w:rPr>
          <w:rStyle w:val="FootnoteAnchor"/>
          <w:rtl w:val="true"/>
        </w:rPr>
        <w:footnoteReference w:id="462"/>
      </w:r>
      <w:r>
        <w:rPr>
          <w:rFonts w:ascii="IRNazanin" w:hAnsi="IRNazanin" w:eastAsia="IRNazanin"/>
          <w:color w:val="111111"/>
          <w:sz w:val="28"/>
          <w:sz w:val="28"/>
          <w:szCs w:val="28"/>
          <w:rtl w:val="true"/>
          <w:lang w:bidi="fa-IR"/>
        </w:rPr>
        <w:t>، أو یجعل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 خبرا، فمعنی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الشخص فی حال التذکّر للنّیة السابقة و الالتفات إلیها غیر فاعل لنیّة تخالفها، فافهم؛ و لذا لم یجعل أحد هذا التفسیر تفسیرا ثالثا لتفسیری المشهور و الشهید مع دعوی القائل به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اتّحاد التفسیرین المحکیین فی قواعد الشهید قدّس سرّه؛ فإنّه بعد بیان الاکتفاء بالاستمرار الحکمی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بتجدید العزم کلّما ذکر، و منهم من فسّره بعدم الإتیان بالمنافی، و قد فسّرناه فی رسالة الحجّ </w:t>
      </w:r>
      <w:r>
        <w:rPr>
          <w:rStyle w:val="FootnoteAnchor"/>
          <w:rtl w:val="true"/>
        </w:rPr>
        <w:footnoteReference w:id="46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کلام الشهید إلّا تعدّد العبارة فی التفسیر، و لا دلالة فیه علی اختلاف بینهما فی المعنی؛ فإنّ الکلّ متّفقون علی وجوب تجدّد العزم إذا ذکر؛ إذ لو لم یتجدّد العزم عند التذکّر وقع ذلک الجزء لا محالة بنیّة مخالفه لنیّة الوضوء؛ لأنّ وقوع الحرکة الاختیاریة لا بنیّة ممتنعة، و نیّة الوضوء مفروض العدم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فتجدّد العزم عند الذکر لا بدّ منه مع فرض عدم نیّة الخلاف، و أمّا اختصاص وجوبه بصورة التذکّر فلأنّ وجوبه مطلقا یستلزم</w:t>
      </w:r>
    </w:p>
    <w:p>
      <w:pPr>
        <w:pStyle w:val="BookText"/>
        <w:rPr/>
      </w:pPr>
      <w:r>
        <w:rPr>
          <w:rFonts w:ascii="IRNazanin" w:hAnsi="IRNazanin" w:eastAsia="IRNazanin"/>
          <w:color w:val="111111"/>
          <w:sz w:val="28"/>
          <w:sz w:val="28"/>
          <w:szCs w:val="28"/>
          <w:rtl w:val="true"/>
          <w:lang w:bidi="fa-IR"/>
        </w:rPr>
        <w:t>وجوب التذکّر مقدّمة، فیرجع إلی الاستدامة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ممّا ذکرناه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الفرق بین قول الشهید و المشهور بوجوب تجدید العزم کلّما ذکر علی الأوّل دون الثانی؛ لأنّ تجدید العزم عند التذکّر واجب اتّفاقا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لما ذکرنا من اتّحاد التفاسیر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 عدم وجوب إخطار الفعل بعد النیّة الاولی، و لا فی أنّ العزم التفصیلیّ علی الفعل یتوقّف عقلا علی خطوره فی الذهن، و لا فی أنّ مجرّد عدم نیّة الخلاف لیس قابلا لتعلّق التکلیف به خصوصا حال الذهول عن الفعل، و لا فی أنّه إذا خطر الفعل فی ذهنه فی الأثناء وجب علیه العزم علی الفعل علی الوجه المنویّ أوّلا و ترک العدول إلی إتیان الفعل بنیّة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أظنّ فی المقام اختلافا إلّا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یجعل الثمرة بین تفسیری الشهید و المشهور بطلان العبادة بالتردد فی أثنائها علی الأوّل دون الثانی، و فیه ما لا یخفی؛ فإنّ الکلام فی استدامة النیّة فی أفعال الوضوء لا فی أحوال الوضوء اتفاقا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المصنّف و جماعة استدامة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یوهم أنّ نیّة القطع أو الخلاف فی الأثناء مخلّ بالوضوء و إن فعل کلّ جزء منها بالنیّة الأولی؛ لانقطاع الاستدامة، و لیس کذلک؛ لأنّ النیّة ابتداء و استدامة إنّما تعتبر فی العمل و هو المرکّب من الأجزاء، فمقتضی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شی‌ء من العمل إلّا عن نیّة، فالاستمرار</w:t>
      </w:r>
    </w:p>
    <w:p>
      <w:pPr>
        <w:pStyle w:val="BookText"/>
        <w:rPr/>
      </w:pPr>
      <w:r>
        <w:rPr>
          <w:rFonts w:ascii="IRNazanin" w:hAnsi="IRNazanin" w:eastAsia="IRNazanin"/>
          <w:color w:val="111111"/>
          <w:sz w:val="28"/>
          <w:sz w:val="28"/>
          <w:szCs w:val="28"/>
          <w:rtl w:val="true"/>
          <w:lang w:bidi="fa-IR"/>
        </w:rPr>
        <w:t xml:space="preserve">فی کلامهم إنّما یلاحظ بالنسبة إلی الفعل المعدود أمرا مستمرّا متّصلا فی مقابل انقطاعها فی أثناء العمل المستلزم لوقوع جزء منه بلا نیّة، لا بالنسبة إلی الأکوان المتخلّلة بین أجزاء العمل حتّی یقدح </w:t>
      </w:r>
      <w:r>
        <w:rPr>
          <w:rStyle w:val="FootnoteAnchor"/>
          <w:rtl w:val="true"/>
        </w:rPr>
        <w:footnoteReference w:id="466"/>
      </w:r>
      <w:r>
        <w:rPr>
          <w:rFonts w:ascii="IRNazanin" w:hAnsi="IRNazanin" w:eastAsia="IRNazanin"/>
          <w:color w:val="111111"/>
          <w:sz w:val="28"/>
          <w:sz w:val="28"/>
          <w:szCs w:val="28"/>
          <w:rtl w:val="true"/>
          <w:lang w:bidi="fa-IR"/>
        </w:rPr>
        <w:t>فیه نیّة القطع فی بعض تلک الأکوان فضلا عن التردّد، فالاستدامة بجمیع تفاسیرها علی تسلیم تخالفها فی المعنی إنّما تلاحظ فی أفعال الوضوء لا أحواله بلا خلاف، فأخذ الثمرة المذکورة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ذهب جمع إلی التزام ذلک فی الصلاة </w:t>
      </w:r>
      <w:r>
        <w:rPr>
          <w:rStyle w:val="FootnoteAnchor"/>
          <w:rtl w:val="true"/>
        </w:rPr>
        <w:footnoteReference w:id="467"/>
      </w:r>
      <w:r>
        <w:rPr>
          <w:rFonts w:ascii="IRNazanin" w:hAnsi="IRNazanin" w:eastAsia="IRNazanin"/>
          <w:color w:val="111111"/>
          <w:sz w:val="28"/>
          <w:sz w:val="28"/>
          <w:szCs w:val="28"/>
          <w:rtl w:val="true"/>
          <w:lang w:bidi="fa-IR"/>
        </w:rPr>
        <w:t>بناء علی ما استفید من أنّ الأکوان المتخلّلة بین أجزائها من الأکوان الصلاتیّة یعتبر فیها ما یعتبر فی أجزائها من الطهارة و الستر و الاستقبال، فخلوّ بعض هذه الأکوان عن النیّة مخلّ،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بحرمة إبطال العمل علی وجه یشمل الوضوء کان استمرار النیّة واجبا، بمعنی وجوب إتمام الوضوء و حرمة إبطاله، و سیجی‌ء التعرّض لذلک فی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قد أشرنا فی أوّل المسألة إلی أنّ البحث عن الاستدامة کمسألة المقارنة المتقدمة إنّما هو علی القول بالإخطار، و أمّا علی القول بالداعی فالبحث عنها ساقط؛ لقضاء ضرورة العقل بلزوم المقارنة و الاستدامة الفعلیّة للنّیة بهذا المعنی إلی آخر الفعل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تخیّل بعضهم جریان المسألتین علی القول بالداعی؛ بناء علی ما ذکره</w:t>
      </w:r>
    </w:p>
    <w:p>
      <w:pPr>
        <w:pStyle w:val="BookText"/>
        <w:rPr/>
      </w:pPr>
      <w:r>
        <w:rPr>
          <w:rFonts w:ascii="IRNazanin" w:hAnsi="IRNazanin" w:eastAsia="IRNazanin"/>
          <w:color w:val="111111"/>
          <w:sz w:val="28"/>
          <w:sz w:val="28"/>
          <w:szCs w:val="28"/>
          <w:rtl w:val="true"/>
          <w:lang w:bidi="fa-IR"/>
        </w:rPr>
        <w:t>هنا، و تقدّم منه فی أوّل النیّة من أنّه یعتبر بناء علی القول بالداعی الخطور فی الابتداء دون العلم به، و أنّ ذلک مدار الفرق بینه و بین الإخطار و إلّا فلا فرق بینهما بالنسبة إلی عدم الاعتداد بعبادة الغافل فی الابتداء، فیکون الفرق بین الابتداء و الأثناء علی الداعی أنّ الغفلة و الذهول الماحیین لخطور الصورة یقدحان فی الابتداء دون الأثناء،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الابتداء من القصد إلی الفعل و إن لم یلتفت الذهن إلی الداعی، بخلاف الأثناء؛ فإنّه یکتفی به و إن وقع من غیر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ما حکاه عن الریاض تبعا للمحقّق الخوانساری و الوحید البهبهانی و صاحب الحدائق بما حاصله سقوط مسألتی المقارنة و الاستدامة الحکمیّة بناء علی القول بالداعی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ما لا یخفی؛ لأنّه مع مخالفة بعض ما هو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لصحّة وقوع العبادة بعد حصول الداعی مع الغفلة الماحیة لأصل الخطور، کما یتفق فی الأثناء، و هو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یلتزمون فساد ما وقع فیها فی أثناء ذلک و هو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أدری ما الذی دعاهم إلی ذلک مع أنّ القول بالداعی لا یقتضیه کما تقدّم </w:t>
      </w:r>
      <w:r>
        <w:rPr>
          <w:rStyle w:val="FootnoteAnchor"/>
          <w:rtl w:val="true"/>
        </w:rPr>
        <w:footnoteReference w:id="46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هنا و فیما تقدّم منه فی أوّل النیّة </w:t>
      </w:r>
      <w:r>
        <w:rPr>
          <w:rStyle w:val="FootnoteAnchor"/>
          <w:rtl w:val="true"/>
        </w:rPr>
        <w:footnoteReference w:id="469"/>
      </w:r>
      <w:r>
        <w:rPr>
          <w:rFonts w:ascii="IRNazanin" w:hAnsi="IRNazanin" w:eastAsia="IRNazanin"/>
          <w:color w:val="111111"/>
          <w:sz w:val="28"/>
          <w:sz w:val="28"/>
          <w:szCs w:val="28"/>
          <w:rtl w:val="true"/>
          <w:lang w:bidi="fa-IR"/>
        </w:rPr>
        <w:t>من وجهی الفرق بین القولین و استبعاد صحّة العبادة مع الذهول عنه فی أوّلها بل قطعه بفساد ذلک فیما تقدّم منه، یظهر ما فیه بمراجعة ما تقدّم منّا فی تحریر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الداعی لا یزیدون فی أمر النیّة علی ما یتوقّف صدور الأفعال الاختیاریة علیه عقلا و هی الإرادة المسبوقة بتصوّر الفعل و غایته المقرونة بأوّل جزء من الحرکات المعدودة فی العادة فعلا واحدا کالقیام للذهاب إلی السوق و اشتراء اللحم، و القعود للوضوء، و أخذ الإبریق للصبّ، و الاستقبال بالأذان و الإقامة للصلاة، فلا یقدح غفلته بالمرّة و ذهوله عن الفعل و الداعی حین الشروع فی المشی، أو فی أفعال الوضوء، أو فی إحرام الصلاة، کما لا یقدح غفلته فیما بعد ذلک من أجزاء العمل؛ لأنّ النیّة عندهم أعمّ من الإرادة التفصیلیّة المتوقّفة علی الخطور، و من المرکوزة فی الذهن مع عدم شعور الفاعل بها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القائلون بالإخطار، فیلتزمون بوجوب </w:t>
      </w:r>
      <w:r>
        <w:rPr>
          <w:rStyle w:val="FootnoteAnchor"/>
          <w:rtl w:val="true"/>
        </w:rPr>
        <w:footnoteReference w:id="470"/>
      </w:r>
      <w:r>
        <w:rPr>
          <w:rFonts w:ascii="IRNazanin" w:hAnsi="IRNazanin" w:eastAsia="IRNazanin"/>
          <w:color w:val="111111"/>
          <w:sz w:val="28"/>
          <w:sz w:val="28"/>
          <w:szCs w:val="28"/>
          <w:rtl w:val="true"/>
          <w:lang w:bidi="fa-IR"/>
        </w:rPr>
        <w:t>الإرادة التفصیلیّة مقارنة لأوّل المأمور به و لا یجوّزون الغفلة عنده و إن قارنته بعض مقدّماته المعدودة معه فعلا واحدا، و یکتفون فیما بعد ذلک بالإرادة الإجمالیّة المنفکّة عن الشعور</w:t>
      </w:r>
      <w:r>
        <w:rPr>
          <w:rFonts w:eastAsia="IRNazanin" w:cs="IRNazanin"/>
          <w:color w:val="111111"/>
          <w:sz w:val="28"/>
          <w:szCs w:val="28"/>
          <w:rtl w:val="true"/>
          <w:lang w:bidi="fa-IR"/>
        </w:rPr>
        <w:t>.</w:t>
      </w:r>
      <w:bookmarkStart w:id="106" w:name="pg13035_131621"/>
    </w:p>
    <w:p>
      <w:pPr>
        <w:pStyle w:val="Heading6"/>
        <w:numPr>
          <w:ilvl w:val="5"/>
          <w:numId w:val="1"/>
        </w:numPr>
        <w:rPr/>
      </w:pPr>
      <w:bookmarkStart w:id="107" w:name="__RefHeading___Toc6369932_3224264995"/>
      <w:bookmarkStart w:id="108" w:name="_Toc43"/>
      <w:bookmarkEnd w:id="106"/>
      <w:bookmarkEnd w:id="107"/>
      <w:r>
        <w:rPr>
          <w:rtl w:val="true"/>
        </w:rPr>
        <w:t>[</w:t>
      </w:r>
      <w:r>
        <w:rPr>
          <w:rtl w:val="true"/>
        </w:rPr>
        <w:t>تداخل الأسباب و المسببات</w:t>
      </w:r>
      <w:r>
        <w:rPr>
          <w:rtl w:val="true"/>
        </w:rPr>
        <w:t>]</w:t>
      </w:r>
      <w:bookmarkEnd w:id="108"/>
    </w:p>
    <w:p>
      <w:pPr>
        <w:pStyle w:val="Heading6"/>
        <w:numPr>
          <w:ilvl w:val="5"/>
          <w:numId w:val="1"/>
        </w:numPr>
        <w:rPr/>
      </w:pPr>
      <w:bookmarkStart w:id="109" w:name="__RefHeading___Toc6369934_3224264995"/>
      <w:bookmarkStart w:id="110" w:name="_Toc44"/>
      <w:bookmarkEnd w:id="109"/>
      <w:r>
        <w:rPr>
          <w:rtl w:val="true"/>
        </w:rPr>
        <w:t>اشارة</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کلّ من القولین المتقدّمین </w:t>
      </w:r>
      <w:r>
        <w:rPr>
          <w:rStyle w:val="FootnoteAnchor"/>
          <w:rtl w:val="true"/>
        </w:rPr>
        <w:footnoteReference w:id="471"/>
      </w:r>
      <w:r>
        <w:rPr>
          <w:rFonts w:ascii="IRNazanin" w:hAnsi="IRNazanin" w:eastAsia="IRNazanin"/>
          <w:color w:val="111111"/>
          <w:sz w:val="28"/>
          <w:sz w:val="28"/>
          <w:szCs w:val="28"/>
          <w:rtl w:val="true"/>
          <w:lang w:bidi="fa-IR"/>
        </w:rPr>
        <w:t xml:space="preserve">فی اعتبار رفع الحدث، و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للحدث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دفعة أو مترتّبة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الشرع وجوبا أو استحبابا لکمال واجب کالقی‌ء و الرعاف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وضوء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بل ضرورة عند العلماء، و یکتفی فی غایة هذا الوضوء بعد توصیفه بالوجوب أو الندب عند المصنّف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بنیّة التقرّب و لا یحتاج </w:t>
      </w:r>
      <w:r>
        <w:rPr>
          <w:rStyle w:val="FootnoteAnchor"/>
          <w:rtl w:val="true"/>
        </w:rPr>
        <w:footnoteReference w:id="472"/>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رفع الحدث إلیه 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أو 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تطهّر </w:t>
      </w:r>
      <w:r>
        <w:rPr>
          <w:rStyle w:val="FootnoteAnchor"/>
          <w:rtl w:val="true"/>
        </w:rPr>
        <w:footnoteReference w:id="473"/>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الحدث المسبّب عن الأسباب المختلفة أمر واحد لا تعدّد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الأحداث الموجبة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یتوقّف صحّة الوضوء علی قصد رفع کلّ ما وقع منها، فلا یرتفع ما لم ینو رفعه؛ لیترتّب أنّه متی قصد رفع حدث واحد فإن لم یقع هذا الحدث بطل الوضوء، نظیر نیّة رفع الجنابة فی غسل الحیض، و إن وقع مع غیره اختصّ الواقع بالرفع إن لم یقصد </w:t>
      </w:r>
      <w:r>
        <w:rPr>
          <w:rStyle w:val="FootnoteAnchor"/>
          <w:rtl w:val="true"/>
        </w:rPr>
        <w:footnoteReference w:id="474"/>
      </w:r>
      <w:r>
        <w:rPr>
          <w:rFonts w:ascii="IRNazanin" w:hAnsi="IRNazanin" w:eastAsia="IRNazanin"/>
          <w:color w:val="111111"/>
          <w:sz w:val="28"/>
          <w:sz w:val="28"/>
          <w:szCs w:val="28"/>
          <w:rtl w:val="true"/>
          <w:lang w:bidi="fa-IR"/>
        </w:rPr>
        <w:t>عدم ارتفاع غیره، و إلّا ففیه وجوه قیل ببعضها، و احتمل الباقی رفع الکلّ، و خصوص المنویّ، و عدم الرفع أصلا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الاکتفاء بالوضوء الواحد لیس من باب تداخل المسبّبین کما</w:t>
      </w:r>
    </w:p>
    <w:p>
      <w:pPr>
        <w:pStyle w:val="BookText"/>
        <w:rPr/>
      </w:pPr>
      <w:r>
        <w:rPr>
          <w:rFonts w:ascii="IRNazanin" w:hAnsi="IRNazanin" w:eastAsia="IRNazanin"/>
          <w:color w:val="111111"/>
          <w:sz w:val="28"/>
          <w:sz w:val="28"/>
          <w:szCs w:val="28"/>
          <w:rtl w:val="true"/>
          <w:lang w:bidi="fa-IR"/>
        </w:rPr>
        <w:t>سیجی‌ء فی تداخل الأسباب، و لذا لم یجز تعدّد الوضوء بتعدّد الحدث إلّا من باب تداخل السببین فی التأثیر و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تداخل فی الوضوء بالنسبة إلی أسبابه کذا لا تداخل بالنسبة إلی غایاته، بل الوضوء فعل واحد یطلب لأمور متعدّدة یترتّب جمیعها علی رفع الحدث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الغایة الواجبة و المندوبة و الملفّقة، و لا بین الأسباب الملزمة له کالإحداث الخمسة، و الموجبة لرجحانه کالقی‌ء و الرعاف، و ربما استوجه کون التداخل فی مثل ذلک کالأغسال المندوبة رخصة لا عزیمة، و الأوجه خلافه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المصنّف قدّس سرّه ذکر مسألة تداخل الأغسال هنا استطرادا؛ لأنّ أسباب الغسل عنده کأسباب الوضوء کما سیأتی من المعتبر </w:t>
      </w:r>
      <w:r>
        <w:rPr>
          <w:rStyle w:val="FootnoteAnchor"/>
          <w:rtl w:val="true"/>
        </w:rPr>
        <w:footnoteReference w:id="475"/>
      </w:r>
      <w:r>
        <w:rPr>
          <w:rFonts w:ascii="IRNazanin" w:hAnsi="IRNazanin" w:eastAsia="IRNazanin"/>
          <w:color w:val="111111"/>
          <w:sz w:val="28"/>
          <w:sz w:val="28"/>
          <w:szCs w:val="28"/>
          <w:rtl w:val="true"/>
          <w:lang w:bidi="fa-IR"/>
        </w:rPr>
        <w:t>، 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الثابت شرعا بالنسبة إلیه و لو استحبابا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متّفقة فی الوجه أو مختلفة کفی عنها غسل واحد بلا خلاف فی ذلک فی الجملة، و الأصل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مخالفته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جعفر علیه السلام فی صحیحة زرارة المرویّة فی السرائر عن کتاب محمّد بن علیّ بن محبوب و عن کتاب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أجزأک غسلک ذلک للجنابة و الجمعة و عرفة و النحر و الحلق و الذبح و الزیارة، فإذا اجتمعت حقوق للّٰه علیک أجزأها عنک غسل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المرأة یجزیها غسل واحد لجنابتها و إحرامها و جمعتها و غسلها من حیضها و عیدها</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عیسی عن علیّ بن حدید عن جمیل بن درّاج عن بعض أصحابنا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 الجنب بعد طلوع الفجر أجزأ عنه ذلک الغسل من کلّ غسل یلزمه فی ذلک الیوم</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شهاب 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غسل میّتا توضّأ ثمّ أتی أهله، و یجزیه غسل واحد لهما</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غیر واحد من الروایات کفایة غسل واحد للجنابة و الحیض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یضاف إلی ذلک کلّه أصالة التداخل فی المسبّبات هنا، بناء علی أنّ امتثال کلّ من أوامر هذه الأغسال یحصل بغسل واحد و إن لم نقل بتداخل الأسباب فی التأثیر، و استلزامه کون التداخل قهریّا کأسباب الوضوء و هو هنا خلاف الفرض، لمخالفته لإطلاق أدلّة سببیّتها، بخلاف التداخل فی أمثال المسبّبات، فإنّه مقتضی الإطلاق فی الأوامر الواردة بالمسبّبات بعد تحقّق أسبابها و غیر موجب للتداخل القهریّ، بل هو نظیر تداخل کلّیین فی فرد واحد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فقیرا و أکرم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استدلّ بهذا غیر واحد تبعا للعلّامة قدّس سرّه فی بعض کلماته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التداخل فی المسبّبات فی أمثال المقام أسوأ حالا من التداخل فی الأسباب؛ نظرا إلی أنّ التداخل فی الأسباب مخالف لظاهر أدلّتها کما مرّ فی منزوحات البئر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التداخل فی المسبّبات بعد تسلیم استقلال الأسباب فی التأثیر، فغیر ممکن؛ لأنّ الفردین المتّحدین مفهوما لا یعقل اتّحادهما؛ لأنّ کونهما فی الخارج فردین إنّما هو بتعدّد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قیاسهما علی المفهومین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الفساد؛ لإمکان اتّحاد المفهومین فی الخارج بتصادقهما فی فرد واحد، و أمّا الفردان من مفهوم واحد فلا یعقل 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فرض تعدّد المسبّب یتوقّف علی تغایر بینهما، إمّا فی الذهن و إن حصل الاتّحاد فی الخارج کما فی المفهومین، و إمّا فی الخارج کما فی فردین من مفهوم واحد، و إمّا الوجود الواحد لمفهوم </w:t>
      </w:r>
      <w:r>
        <w:rPr>
          <w:rStyle w:val="FootnoteAnchor"/>
          <w:rtl w:val="true"/>
        </w:rPr>
        <w:footnoteReference w:id="481"/>
      </w:r>
      <w:r>
        <w:rPr>
          <w:rFonts w:ascii="IRNazanin" w:hAnsi="IRNazanin" w:eastAsia="IRNazanin"/>
          <w:color w:val="111111"/>
          <w:sz w:val="28"/>
          <w:sz w:val="28"/>
          <w:szCs w:val="28"/>
          <w:rtl w:val="true"/>
          <w:lang w:bidi="fa-IR"/>
        </w:rPr>
        <w:t>واحد فلا یعقل فیه تعدّد حتّی یفرض فیه استقلال کلّ سبب بمسبّبه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الفردین المسبّبین للسببین کالجنابة و المسّ مثلا، لیس کلّ منهما سببا من حیث مفهومه المشترک بینه و بین الفرد المسبّب للسبب الآخر و إلّا لم یتخالفا فی الآثار، فتخالفهما فی الآثار یدلّ علی کون کلّ فرد منهما معرّفا لعنوان یترتب علیه تلک الآثار، فیرجع الأمر إلی مفهومین یمکن اتحادهما فی فرد واحد یتصادقان فیه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اللازم من ذلک عدم جواز تداخلهما لعدم العلم بکون ذینک المفهومین قابلا للتصادق فی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أدلّة الأغسال اتّحاد حقیقة الغسل الذی یوجبه أسبابه، فما یوجبه الجنابة من الغسل عین ما یوجبه الحیض، فیکشف ذلک عن اتّحاد حقیقة هذه الأسباب</w:t>
      </w:r>
    </w:p>
    <w:p>
      <w:pPr>
        <w:pStyle w:val="BookText"/>
        <w:rPr/>
      </w:pPr>
      <w:r>
        <w:rPr>
          <w:rFonts w:ascii="IRNazanin" w:hAnsi="IRNazanin" w:eastAsia="IRNazanin"/>
          <w:color w:val="111111"/>
          <w:sz w:val="28"/>
          <w:sz w:val="28"/>
          <w:szCs w:val="28"/>
          <w:rtl w:val="true"/>
          <w:lang w:bidi="fa-IR"/>
        </w:rPr>
        <w:t>و رجوعها إلی حدث واحد کما فی أسباب الوضوء، فمرجع أصالة عدم التداخل حینئذ إلی وجوب تکرار هذه الحقیقة الواحدة بتکرر أفراد الحدث الواحد، و هذا خلاف الإجماع؛ فإنّ تعدّد الأغسال بتعدّد أسبابها و عدم الاکتفاء فیها بواحد مبنیّ علی اختلاف حقائق الأحداث و الأغسال و عدم کونها کموجبات الوضوء، کما لا یخفی علی من لا حظ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ظهور معتد به لتلک الأدلّة فی اتّحاد حقیقة الأغسال و إن کان یوهمه إطلاقاتها، مع أنّ هنا ما یدلّ علی تعدّد ما یجب علی المکلف عند تعدّد الأسباب، فیدلّ علی اختلاف حقائقها لما ادّعی من الإجماع علی عدم التعدّد علی تقدیر اتّحاد حقیقة الأغسال و الأحداث،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اجتمعت للّٰه علیک حقوق أجزأها عنک غسل واحد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لمعنی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قوله علیه السلام فی غسل الحیض و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تجعلهما غسلا واحدا</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فإنّ استناد الاتّحاد إلی جعل المکلّف فی مقام الأداء و الامتثال ظاهر فی تعدّدهما فی أنفسهما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 من کلّ غسل یلزمه فی ذلک الیوم</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فإنّه ظاهر فی تعدّد الأغسال</w:t>
      </w:r>
      <w:r>
        <w:rPr>
          <w:rFonts w:eastAsia="IRNazanin" w:cs="IRNazanin"/>
          <w:color w:val="111111"/>
          <w:sz w:val="28"/>
          <w:szCs w:val="28"/>
          <w:rtl w:val="true"/>
          <w:lang w:bidi="fa-IR"/>
        </w:rPr>
        <w:t>.</w:t>
      </w:r>
      <w:bookmarkStart w:id="111" w:name="pg13035_131626"/>
    </w:p>
    <w:p>
      <w:pPr>
        <w:pStyle w:val="BookText"/>
        <w:rPr/>
      </w:pPr>
      <w:bookmarkEnd w:id="111"/>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قبله وضوء إلّا غسل الجنابة</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فإنّ ظاهره اختلاف أنواع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یمکن أن یکون الاختلاف إضافیّا فیتّحد الحقیقة، مدفوع بأنّ المراد مجرّد تمایز کلّ من الأغسال عن غیره، و أنّ غسل الحیض و الجنابة لیسا کغسلی جنابة متعاقبین یکون الثانی بحسب المفهوم عین الأوّل لا تغایر بینهما إلّا فی الوجود، و هذا المقدار کاف فی عدم جواز التداخل، و لیس المراد بالنوع النوع المنطقی المقابل للصنف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الشکّ فی المسألة بوهن الإطلاقات بأمثال هذه الأمارات کاف فی الأصل الذی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فالمستند فی ثبوت التداخل فی مورده هی الأخبار المتقدّمة، فلا بدّ من تشخیص مدلولها من حیث عمومها لجمیع صور اجتماع الأغسال و اختصاصها ببعضها، فنقول</w:t>
      </w:r>
      <w:r>
        <w:rPr>
          <w:rFonts w:eastAsia="IRNazanin" w:cs="IRNazanin"/>
          <w:color w:val="111111"/>
          <w:sz w:val="28"/>
          <w:szCs w:val="28"/>
          <w:rtl w:val="true"/>
          <w:lang w:bidi="fa-IR"/>
        </w:rPr>
        <w:t>:</w:t>
      </w:r>
    </w:p>
    <w:p>
      <w:pPr>
        <w:pStyle w:val="Heading6"/>
        <w:numPr>
          <w:ilvl w:val="5"/>
          <w:numId w:val="1"/>
        </w:numPr>
        <w:rPr/>
      </w:pPr>
      <w:bookmarkStart w:id="112" w:name="__RefHeading___Toc6369936_3224264995"/>
      <w:bookmarkStart w:id="113" w:name="_Toc45"/>
      <w:bookmarkEnd w:id="112"/>
      <w:r>
        <w:rPr>
          <w:rtl w:val="true"/>
        </w:rPr>
        <w:t>إنّ الأغسال المجتمعة إمّا واجبة أو مندوبة أو مختلفة فهنا مسائل</w:t>
      </w:r>
      <w:r>
        <w:rPr>
          <w:rtl w:val="true"/>
        </w:rPr>
        <w:t>:</w:t>
      </w:r>
      <w:bookmarkEnd w:id="113"/>
    </w:p>
    <w:p>
      <w:pPr>
        <w:pStyle w:val="Heading6"/>
        <w:numPr>
          <w:ilvl w:val="5"/>
          <w:numId w:val="1"/>
        </w:numPr>
        <w:rPr/>
      </w:pPr>
      <w:bookmarkStart w:id="114" w:name="__RefHeading___Toc6369938_3224264995"/>
      <w:bookmarkStart w:id="115" w:name="_Toc46"/>
      <w:bookmarkEnd w:id="114"/>
      <w:r>
        <w:rPr>
          <w:rtl w:val="true"/>
        </w:rPr>
        <w:t>[</w:t>
      </w:r>
      <w:r>
        <w:rPr>
          <w:rtl w:val="true"/>
        </w:rPr>
        <w:t>المسألة</w:t>
      </w:r>
      <w:r>
        <w:rPr>
          <w:rtl w:val="true"/>
        </w:rPr>
        <w:t xml:space="preserve">] </w:t>
      </w:r>
      <w:r>
        <w:rPr>
          <w:rtl w:val="true"/>
        </w:rPr>
        <w:t>الأولی أن یجتمع أسباب وجوب الغسل، و له صور</w:t>
      </w:r>
      <w:r>
        <w:rPr>
          <w:rtl w:val="true"/>
        </w:rPr>
        <w:t>:</w:t>
      </w:r>
      <w:bookmarkEnd w:id="115"/>
    </w:p>
    <w:p>
      <w:pPr>
        <w:pStyle w:val="Heading6"/>
        <w:numPr>
          <w:ilvl w:val="5"/>
          <w:numId w:val="1"/>
        </w:numPr>
        <w:rPr/>
      </w:pPr>
      <w:bookmarkStart w:id="116" w:name="__RefHeading___Toc6369940_3224264995"/>
      <w:bookmarkStart w:id="117" w:name="_Toc47"/>
      <w:bookmarkEnd w:id="116"/>
      <w:r>
        <w:rPr>
          <w:rtl w:val="true"/>
        </w:rPr>
        <w:t>[</w:t>
      </w:r>
      <w:r>
        <w:rPr>
          <w:rtl w:val="true"/>
        </w:rPr>
        <w:t>الصورة</w:t>
      </w:r>
      <w:r>
        <w:rPr>
          <w:rtl w:val="true"/>
        </w:rPr>
        <w:t xml:space="preserve">] </w:t>
      </w:r>
      <w:r>
        <w:rPr>
          <w:rtl w:val="true"/>
        </w:rPr>
        <w:t>الأولی</w:t>
      </w:r>
      <w:r>
        <w:rPr>
          <w:rtl w:val="true"/>
        </w:rPr>
        <w:t xml:space="preserve">: </w:t>
      </w:r>
      <w:r>
        <w:rPr>
          <w:rtl w:val="true"/>
        </w:rPr>
        <w:t>أن ینوی الجمیع،</w:t>
      </w:r>
      <w:bookmarkEnd w:id="117"/>
    </w:p>
    <w:p>
      <w:pPr>
        <w:pStyle w:val="BookText"/>
        <w:rPr/>
      </w:pPr>
      <w:r>
        <w:rPr>
          <w:rFonts w:ascii="Amiri" w:hAnsi="Amiri" w:eastAsia="Amiri" w:cs="Amiri"/>
          <w:color w:val="111111"/>
          <w:sz w:val="28"/>
          <w:sz w:val="28"/>
          <w:szCs w:val="28"/>
          <w:rtl w:val="true"/>
          <w:lang w:bidi="ar-SA"/>
        </w:rPr>
        <w:t xml:space="preserve">إنّ الأغسال المجتمعة إمّا واجبة أو مندوبة أو مختلفة </w:t>
      </w:r>
      <w:r>
        <w:rPr>
          <w:rStyle w:val="FootnoteAnchor"/>
          <w:rtl w:val="true"/>
        </w:rPr>
        <w:footnoteReference w:id="486"/>
      </w:r>
      <w:r>
        <w:rPr>
          <w:rFonts w:ascii="IRNazanin" w:hAnsi="IRNazanin" w:eastAsia="IRNazanin"/>
          <w:color w:val="111111"/>
          <w:sz w:val="28"/>
          <w:sz w:val="28"/>
          <w:szCs w:val="28"/>
          <w:rtl w:val="true"/>
          <w:lang w:bidi="fa-IR"/>
        </w:rPr>
        <w:t>فهنا مسائل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دلالة الأخبار المذکورة علی التداخل فیها، بل هو المتیقّن من مدلولها کما ستعرف، و الظاهر أنّه موضع وفاق کما مرّ عن شرح الدروس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یتوهم الخلاف ممن اعتبر فی</w:t>
      </w:r>
      <w:bookmarkStart w:id="118" w:name="pg13035_131627"/>
    </w:p>
    <w:p>
      <w:pPr>
        <w:pStyle w:val="BookText"/>
        <w:rPr/>
      </w:pPr>
      <w:bookmarkEnd w:id="118"/>
      <w:r>
        <w:rPr>
          <w:rFonts w:ascii="IRNazanin" w:hAnsi="IRNazanin" w:eastAsia="IRNazanin"/>
          <w:color w:val="111111"/>
          <w:sz w:val="28"/>
          <w:sz w:val="28"/>
          <w:szCs w:val="28"/>
          <w:rtl w:val="true"/>
          <w:lang w:bidi="fa-IR"/>
        </w:rPr>
        <w:t xml:space="preserve">تداخل الأغسال التی أحدها الجنابة نیّة الجنابة کما فی السرائر </w:t>
      </w:r>
      <w:r>
        <w:rPr>
          <w:rStyle w:val="FootnoteAnchor"/>
          <w:rtl w:val="true"/>
        </w:rPr>
        <w:footnoteReference w:id="488"/>
      </w:r>
      <w:r>
        <w:rPr>
          <w:rFonts w:ascii="IRNazanin" w:hAnsi="IRNazanin" w:eastAsia="IRNazanin"/>
          <w:color w:val="111111"/>
          <w:sz w:val="28"/>
          <w:sz w:val="28"/>
          <w:szCs w:val="28"/>
          <w:rtl w:val="true"/>
          <w:lang w:bidi="fa-IR"/>
        </w:rPr>
        <w:t>، لکن الظاهر أنّه أراد منه الجنابة لا بشرط فی مقابل نیة خصوص غیرها، لا نیّة الجنابة بشرط عدم نیّة الغیر</w:t>
      </w:r>
      <w:r>
        <w:rPr>
          <w:rFonts w:eastAsia="IRNazanin" w:cs="IRNazanin"/>
          <w:color w:val="111111"/>
          <w:sz w:val="28"/>
          <w:szCs w:val="28"/>
          <w:rtl w:val="true"/>
          <w:lang w:bidi="fa-IR"/>
        </w:rPr>
        <w:t>.</w:t>
      </w:r>
    </w:p>
    <w:p>
      <w:pPr>
        <w:pStyle w:val="Heading6"/>
        <w:numPr>
          <w:ilvl w:val="5"/>
          <w:numId w:val="1"/>
        </w:numPr>
        <w:rPr/>
      </w:pPr>
      <w:bookmarkStart w:id="119" w:name="__RefHeading___Toc6369942_3224264995"/>
      <w:bookmarkStart w:id="120" w:name="_Toc48"/>
      <w:bookmarkEnd w:id="119"/>
      <w:r>
        <w:rPr>
          <w:rtl w:val="true"/>
        </w:rPr>
        <w:t>الصورة الثانیة</w:t>
      </w:r>
      <w:r>
        <w:rPr>
          <w:rtl w:val="true"/>
        </w:rPr>
        <w:t xml:space="preserve">: </w:t>
      </w:r>
      <w:r>
        <w:rPr>
          <w:rtl w:val="true"/>
        </w:rPr>
        <w:t>أن ینوی رفع الحدث</w:t>
      </w:r>
      <w:bookmarkEnd w:id="120"/>
    </w:p>
    <w:p>
      <w:pPr>
        <w:pStyle w:val="BookText"/>
        <w:rPr/>
      </w:pPr>
      <w:r>
        <w:rPr>
          <w:rFonts w:ascii="IRNazanin" w:hAnsi="IRNazanin" w:eastAsia="IRNazanin"/>
          <w:color w:val="111111"/>
          <w:sz w:val="28"/>
          <w:sz w:val="28"/>
          <w:szCs w:val="28"/>
          <w:rtl w:val="true"/>
          <w:lang w:bidi="fa-IR"/>
        </w:rPr>
        <w:t xml:space="preserve">أعنی ما فی المکلّف من الحالة المانعة عن الدخول فی المشروط بالطهارة، و الظاهر أنّه لا خلاف فی التداخل فیه أیضا کما فی شرح الجعفریة </w:t>
      </w:r>
      <w:r>
        <w:rPr>
          <w:rStyle w:val="FootnoteAnchor"/>
          <w:rtl w:val="true"/>
        </w:rPr>
        <w:footnoteReference w:id="489"/>
      </w:r>
      <w:r>
        <w:rPr>
          <w:rFonts w:ascii="IRNazanin" w:hAnsi="IRNazanin" w:eastAsia="IRNazanin"/>
          <w:color w:val="111111"/>
          <w:sz w:val="28"/>
          <w:sz w:val="28"/>
          <w:szCs w:val="28"/>
          <w:rtl w:val="true"/>
          <w:lang w:bidi="fa-IR"/>
        </w:rPr>
        <w:t>لأنّ مرجعها إلی الصورة الأولی</w:t>
      </w:r>
      <w:r>
        <w:rPr>
          <w:rFonts w:eastAsia="IRNazanin" w:cs="IRNazanin"/>
          <w:color w:val="111111"/>
          <w:sz w:val="28"/>
          <w:szCs w:val="28"/>
          <w:rtl w:val="true"/>
          <w:lang w:bidi="fa-IR"/>
        </w:rPr>
        <w:t>.</w:t>
      </w:r>
    </w:p>
    <w:p>
      <w:pPr>
        <w:pStyle w:val="Heading6"/>
        <w:numPr>
          <w:ilvl w:val="5"/>
          <w:numId w:val="1"/>
        </w:numPr>
        <w:rPr/>
      </w:pPr>
      <w:bookmarkStart w:id="121" w:name="__RefHeading___Toc6369944_3224264995"/>
      <w:bookmarkStart w:id="122" w:name="_Toc49"/>
      <w:bookmarkEnd w:id="121"/>
      <w:r>
        <w:rPr>
          <w:rtl w:val="true"/>
        </w:rPr>
        <w:t>الصورة الثالثة</w:t>
      </w:r>
      <w:r>
        <w:rPr>
          <w:rtl w:val="true"/>
        </w:rPr>
        <w:t xml:space="preserve">: </w:t>
      </w:r>
      <w:r>
        <w:rPr>
          <w:rtl w:val="true"/>
        </w:rPr>
        <w:t>أن ینوی خصوص غسل الجنابة،</w:t>
      </w:r>
      <w:bookmarkEnd w:id="122"/>
    </w:p>
    <w:p>
      <w:pPr>
        <w:pStyle w:val="BookText"/>
        <w:rPr/>
      </w:pPr>
      <w:r>
        <w:rPr>
          <w:rFonts w:ascii="IRNazanin" w:hAnsi="IRNazanin" w:eastAsia="IRNazanin"/>
          <w:color w:val="111111"/>
          <w:sz w:val="28"/>
          <w:sz w:val="28"/>
          <w:szCs w:val="28"/>
          <w:rtl w:val="true"/>
          <w:lang w:bidi="fa-IR"/>
        </w:rPr>
        <w:t xml:space="preserve">و المشهور الاجتزاء به عمّا عداه، بل صریح السرائر </w:t>
      </w:r>
      <w:r>
        <w:rPr>
          <w:rStyle w:val="FootnoteAnchor"/>
          <w:rtl w:val="true"/>
        </w:rPr>
        <w:footnoteReference w:id="49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491"/>
      </w:r>
      <w:r>
        <w:rPr>
          <w:rFonts w:ascii="IRNazanin" w:hAnsi="IRNazanin" w:eastAsia="IRNazanin"/>
          <w:color w:val="111111"/>
          <w:sz w:val="28"/>
          <w:sz w:val="28"/>
          <w:szCs w:val="28"/>
          <w:rtl w:val="true"/>
          <w:lang w:bidi="fa-IR"/>
        </w:rPr>
        <w:t>الإجماع علیه، و فی شرح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الخلاف فیه </w:t>
      </w:r>
      <w:r>
        <w:rPr>
          <w:rStyle w:val="FootnoteAnchor"/>
          <w:rtl w:val="true"/>
        </w:rPr>
        <w:footnoteReference w:id="492"/>
      </w:r>
      <w:r>
        <w:rPr>
          <w:rFonts w:ascii="IRNazanin" w:hAnsi="IRNazanin" w:eastAsia="IRNazanin"/>
          <w:color w:val="111111"/>
          <w:sz w:val="28"/>
          <w:sz w:val="28"/>
          <w:szCs w:val="28"/>
          <w:rtl w:val="true"/>
          <w:lang w:bidi="fa-IR"/>
        </w:rPr>
        <w:t xml:space="preserve">، و کذا فی شرح الموجز </w:t>
      </w:r>
      <w:r>
        <w:rPr>
          <w:rStyle w:val="FootnoteAnchor"/>
          <w:rtl w:val="true"/>
        </w:rPr>
        <w:footnoteReference w:id="493"/>
      </w:r>
      <w:r>
        <w:rPr>
          <w:rFonts w:ascii="IRNazanin" w:hAnsi="IRNazanin" w:eastAsia="IRNazanin"/>
          <w:color w:val="111111"/>
          <w:sz w:val="28"/>
          <w:sz w:val="28"/>
          <w:szCs w:val="28"/>
          <w:rtl w:val="true"/>
          <w:lang w:bidi="fa-IR"/>
        </w:rPr>
        <w:t>رادّا بذلک علی من حکی قولا بعدم الاجتزاء به من غسل الاستحاضة، و لعلّ فی هذه الإجماعات کفایة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علیه بالأخبار المتقدّمة أیضا، و لا یخلو عن نظر؛ لأنّ الظاهر منها نیّة الجمیع،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کان فی مرسلة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 الجنب بعد طلوع الفجر أجزأه غسله ذلک عن کلّ غسل یلزم علیه فی ذلک الیوم</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ظهور فی کون الرافع من الجنب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جامع المقاصد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الأخبار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الحدث الذی هو عبارة عن النجاسة الحکمیّة متّحد و إن تعدّد أسبابه، فإذا نوی ارتفاعه بالسبب الأقوی ارتفع بالإضافة إلی غیره </w:t>
      </w:r>
      <w:r>
        <w:rPr>
          <w:rStyle w:val="FootnoteAnchor"/>
          <w:rtl w:val="true"/>
        </w:rPr>
        <w:footnoteReference w:id="495"/>
      </w:r>
      <w:r>
        <w:rPr>
          <w:rFonts w:ascii="IRNazanin" w:hAnsi="IRNazanin" w:eastAsia="IRNazanin"/>
          <w:color w:val="111111"/>
          <w:sz w:val="28"/>
          <w:sz w:val="28"/>
          <w:szCs w:val="28"/>
          <w:rtl w:val="true"/>
          <w:lang w:bidi="fa-IR"/>
        </w:rPr>
        <w:t>، و هو استدلال حسن بناء علی جعل الأسباب کأسباب الحدث الأصغر، و لا یحتاج معه إلی دعوی الأقوویة و الأضعفیة مع کونها فی محلّ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شارح الدروس علیه بصدق الامتثال عرفا،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طلب شی‌ء من أحد ثمّ أتی بذلک المطلوب و إن لم یکن إتیانه به من جهة ذلک الطلب لم یسغ فی العرف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لم </w:t>
      </w:r>
      <w:r>
        <w:rPr>
          <w:rStyle w:val="FootnoteAnchor"/>
          <w:rtl w:val="true"/>
        </w:rPr>
        <w:footnoteReference w:id="496"/>
      </w:r>
      <w:r>
        <w:rPr>
          <w:rFonts w:ascii="IRNazanin" w:hAnsi="IRNazanin" w:eastAsia="IRNazanin"/>
          <w:color w:val="111111"/>
          <w:sz w:val="28"/>
          <w:sz w:val="28"/>
          <w:szCs w:val="28"/>
          <w:rtl w:val="true"/>
          <w:lang w:bidi="fa-IR"/>
        </w:rPr>
        <w:t>تأت بذلک المطلوب، خصوصا إذا کان إتیانه به من جهة طلب آخر من ذلک الطالب 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القدر المسلّم علی تقدیر تمامیّة دلیله أنّه لا بدّ من الإتیان فی الأوامر الإلهیّة التی من قبیل العبادات بالمأمور به متقرّبا إلی اللّٰه فالمأمور به فی الحقیقة امتثال الطبیعة المقیّدة بکونه علی وجه الإخلاص و التقرّب، و لا شکّ أنّ الإتیان بالمطلوب فیما نحن فیه للتقرّب، و لا نسلّم أنّه یلزم أن یکون المنظور ذلک الطلب بخصوصه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علی نفسه بمنافاة ذلک لما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المنع عن دلالتهما علی أنّ غیر المنویّ لا یحصل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یقال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 لم ینو فی الفرض المذکور امتثال أمر ممّا عدا الجنابة؛ لأنّ الامتثال کما عرفت یحصل بإتیان الفعل مع الإخلاص، فعند قصد ذلک الفعل یقصد الامتثال أیضا</w:t>
      </w:r>
    </w:p>
    <w:p>
      <w:pPr>
        <w:pStyle w:val="BookText"/>
        <w:rPr/>
      </w:pPr>
      <w:r>
        <w:rPr>
          <w:rFonts w:ascii="IRNazanin" w:hAnsi="IRNazanin" w:eastAsia="IRNazanin"/>
          <w:color w:val="111111"/>
          <w:sz w:val="28"/>
          <w:sz w:val="28"/>
          <w:szCs w:val="28"/>
          <w:rtl w:val="true"/>
          <w:lang w:bidi="fa-IR"/>
        </w:rPr>
        <w:t>ضمنا، و لا نسلّم ظهور الروایات فی اعتبار القصد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حصول الامتثال و سقوط الذمّ و العقاب و عدم بقاء توجّه التکلیف، فهل یحصل الثواب و الأجر علی ذلک الفعل؟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علی قاعدة التحسین و التقبیح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مدح و ثواب علی ذلک الفعل؛ لأنّ الفعل لا بدّ أن یکون له فی نفسه حسن حتّی یؤمر به، و حسنه لا بدّ أن لا یکون مشروطا بشی‌ء و إلّا لأمر بذلک الشرط أیضا، غایة الأمر تسلیم اشتراط ذلک الأمر بالقربة، و أمّا اشتراط أن یکون الإتیان بخصوص ذلک الأمر فلا، فلا بدّ أن یحصل للمکلّف ما یترتّب علی ذلک الفعل من المنافع الدنیویّة أو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نابی من أن یکون الإتیان بقصد ذلک الأمر بخصوصه حسنا؛ لحکم العقل به ظاهرا و قد فاته ذلک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المطلب بعموم الروایات المتقدّمة، ثمّ قال ما ملخّصه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لو لا الدلیل الأوّل المثبت لکفایة الفعل الواحد لامتثال جمیع الأوامر أشکل التمسّک بالروایات؛ لکونها معارضة بأدلّة وجوب غسل الحیض الدالّة علی وجوب امتثالها، فیدور الأمر بین تقییدها بغیر صورة إتیان غسل الجنابة و تقیید هذه الروایات بصورة نیّة الجمیع، و الثانی أولی؛ لکثرة المعارضات و أرجحیة سندها، مع أنّ ظاهر روایة الکفایة بقاء وجوب الأغسال و کفایة غسل واحد لها لا سقوط بعضها، و کذا لو شککنا فی تحقّق امتثال الجمیع للشکّ حینئذ فی تخصیص أدلّة وجوب غسل الحیض </w:t>
      </w:r>
      <w:r>
        <w:rPr>
          <w:rStyle w:val="FootnoteAnchor"/>
          <w:rtl w:val="true"/>
        </w:rPr>
        <w:footnoteReference w:id="497"/>
      </w:r>
      <w:r>
        <w:rPr>
          <w:rFonts w:ascii="IRNazanin" w:hAnsi="IRNazanin" w:eastAsia="IRNazanin"/>
          <w:color w:val="111111"/>
          <w:sz w:val="28"/>
          <w:sz w:val="28"/>
          <w:szCs w:val="28"/>
          <w:rtl w:val="true"/>
          <w:lang w:bidi="fa-IR"/>
        </w:rPr>
        <w:t>، انتهی موضع الحاجة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قدّس سرّه أضعف ممّا ذکره المحقّق الثانی قدّس سرّه </w:t>
      </w:r>
      <w:r>
        <w:rPr>
          <w:rStyle w:val="FootnoteAnchor"/>
          <w:rtl w:val="true"/>
        </w:rPr>
        <w:footnoteReference w:id="498"/>
      </w:r>
      <w:r>
        <w:rPr>
          <w:rFonts w:ascii="IRNazanin" w:hAnsi="IRNazanin" w:eastAsia="IRNazanin"/>
          <w:color w:val="111111"/>
          <w:sz w:val="28"/>
          <w:sz w:val="28"/>
          <w:szCs w:val="28"/>
          <w:rtl w:val="true"/>
          <w:lang w:bidi="fa-IR"/>
        </w:rPr>
        <w:t>لأنّه إذا ثبت تعدّد التکلیف و المکلّف به کما حقّقنا سابقا و اعترف هذا المحقّق فی آخر کلامه و فیما قبله من کون امتثال أمر غسل ما عدا الجنابة حسنا بالاستقلال، و أنّ لذلک الغسل حسنا مستقلّا، و علم من العقل و العرف أن الامتثال لأمر یجب امتثاله لا یتحقّق إلّا مع قصد عنوان المأمور به و إتیانه للأمر به، فکیف یعقل أن یکون امتثال أحد الأمرین امتثالا للأمر الآخر و إن لم یقصده و لا التفت إلی متعلّقه؟ و هل یکون ذلک إلّا مع رفع الید عن تعدّد المکلّف به، و التزام کون الأوامر المتعدّدة راجعة إلی فعل واحد، و مع دعوی عدم اعتبار القصد إلی الأمر و المأمور به فی تحقّق الامتثال؟ و الأوّل خلاف الفرض و الثانی خلاف العقل و النقل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هذا ما فرّعه علی قاعدة التحسین و التقبیح من المدح و الثواب علی الفعل الغیر المقصود؛ فإنّ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 دلالتها علی اعتبار ثبوت الحسن فی المأمور به و عدم کفایة وجود الحسن فی نفس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المتّصف بالحسن و القبح لا یکون إلّا العنوان المقصود الملتفت إلیه دون العنوان المتحقّق فی ضمن عنوان مقصود من دون التفات، فإنّ إکرام زید إذا لم یلتفت الفاعل إلی تصحّبه لإکرام عمرو و لم یقصده لا یترتّب علیه مدح و لا ذمّ، بل لو تحقّق فإنّما یتحقّق من غیر اختیار فلا یتّصف بالحسن و القبح أصلا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أخیرا من أنّه لو لا دلیل الامتثال أشکل التمسک بالروایات من جهة المعارضة،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سعة من هذه المعارضة بدعوی</w:t>
      </w:r>
    </w:p>
    <w:p>
      <w:pPr>
        <w:pStyle w:val="BookText"/>
        <w:rPr/>
      </w:pPr>
      <w:r>
        <w:rPr>
          <w:rFonts w:ascii="IRNazanin" w:hAnsi="IRNazanin" w:eastAsia="IRNazanin"/>
          <w:color w:val="111111"/>
          <w:sz w:val="28"/>
          <w:sz w:val="28"/>
          <w:szCs w:val="28"/>
          <w:rtl w:val="true"/>
          <w:lang w:bidi="fa-IR"/>
        </w:rPr>
        <w:t>ظهور الأخبار فی نیّة الجمیع، فتکون هذه الأخبار حاکمة علی أصالة عدم التداخل کاشفة عن کون الأغسال المتعدّدة قابلة للتصادق فی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عمّمناه لصورة نیّة البعض لظهور أدلّة الأغسال و روایة الحقوق </w:t>
      </w:r>
      <w:r>
        <w:rPr>
          <w:rStyle w:val="FootnoteAnchor"/>
          <w:rtl w:val="true"/>
        </w:rPr>
        <w:footnoteReference w:id="499"/>
      </w:r>
      <w:r>
        <w:rPr>
          <w:rFonts w:ascii="IRNazanin" w:hAnsi="IRNazanin" w:eastAsia="IRNazanin"/>
          <w:color w:val="111111"/>
          <w:sz w:val="28"/>
          <w:sz w:val="28"/>
          <w:szCs w:val="28"/>
          <w:rtl w:val="true"/>
          <w:lang w:bidi="fa-IR"/>
        </w:rPr>
        <w:t xml:space="preserve">فی تعدّد التکلیف کشف أخبار التداخل </w:t>
      </w:r>
      <w:r>
        <w:rPr>
          <w:rStyle w:val="FootnoteAnchor"/>
          <w:rtl w:val="true"/>
        </w:rPr>
        <w:footnoteReference w:id="500"/>
      </w:r>
      <w:r>
        <w:rPr>
          <w:rFonts w:ascii="IRNazanin" w:hAnsi="IRNazanin" w:eastAsia="IRNazanin"/>
          <w:color w:val="111111"/>
          <w:sz w:val="28"/>
          <w:sz w:val="28"/>
          <w:szCs w:val="28"/>
          <w:rtl w:val="true"/>
          <w:lang w:bidi="fa-IR"/>
        </w:rPr>
        <w:t>الدالّة بالفرض علی کفایة نیّة البعض عن اتّحاد حقیقتها و حقیقة الأحداث الموجبة لها، لکن لا یبعد تقدیم أخبار التداخل و حکومتها علی تلک الأدلّة، و سیجی‌ء تفصیل الکلام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الظاهر عدم الحاجة إلی الوضوء؛ لأنّ غسل الجنابة یکفی عن الوضوء المسبّب عن أیّ سبب کان کما هو 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حیث إنّه تعالی فصّل بین الجنب و غیره،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یؤکّد الاستدلال بها ما رواه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الکوفة یروون أنّ علیّا علیه السلام کان یأمر بالوضوء قبل غسل الجنابة قال علیه السلام،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فإنّ الإمام علیه السلام استشهد بالآیة علی عدم وجوب الوضوء علی الجنب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الاستدلال بما ورد من أنّ غسل الجنابة لیس قبله و لا بعده وضوء </w:t>
      </w:r>
      <w:r>
        <w:rPr>
          <w:rStyle w:val="FootnoteAnchor"/>
          <w:rtl w:val="true"/>
        </w:rPr>
        <w:footnoteReference w:id="503"/>
      </w:r>
      <w:r>
        <w:rPr>
          <w:rFonts w:ascii="IRNazanin" w:hAnsi="IRNazanin" w:eastAsia="IRNazanin"/>
          <w:color w:val="111111"/>
          <w:sz w:val="28"/>
          <w:sz w:val="28"/>
          <w:szCs w:val="28"/>
          <w:rtl w:val="true"/>
          <w:lang w:bidi="fa-IR"/>
        </w:rPr>
        <w:t>بناء علی أنّ المنفی هو مطلق الوضوء الشامل للمسبّب عن أسباب</w:t>
      </w:r>
    </w:p>
    <w:p>
      <w:pPr>
        <w:pStyle w:val="BookText"/>
        <w:rPr/>
      </w:pPr>
      <w:r>
        <w:rPr>
          <w:rFonts w:ascii="IRNazanin" w:hAnsi="IRNazanin" w:eastAsia="IRNazanin"/>
          <w:color w:val="111111"/>
          <w:sz w:val="28"/>
          <w:sz w:val="28"/>
          <w:szCs w:val="28"/>
          <w:rtl w:val="true"/>
          <w:lang w:bidi="fa-IR"/>
        </w:rPr>
        <w:t>الغسل، لا مدخلیّة الوضوء فی رافعیة غسل الجنابة کما هو الظاهر حتی لا ینافی ثبوت الوضوء بأسبابه الأخر، و قال شارح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الإشکال فی سقوط الوضوء لو لا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قیل بأنّ کفایة غسل الجنابة لیس من جهة امتثال الجمیع بل لسقوط غیره به، کان عدم وجوب الوضوء ظاهرا من غیر مناقشة، کما لا یخفی </w:t>
      </w:r>
      <w:r>
        <w:rPr>
          <w:rStyle w:val="FootnoteAnchor"/>
          <w:rtl w:val="true"/>
        </w:rPr>
        <w:footnoteReference w:id="50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متّجه لو کان معنی سقوط غیره به ارتفاع الحدث الآخر به، أمّا لو أرید سقوط لیس غسل آخر به فلا ینافی بقاء وجوب الوضوء علیه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کلمات الأصحاب عدم الفرق فی کفایة غسل الجنابة عمّا عداه بین عدم الالتفات إلی ذلک الغسل و بین الالتفات إلیه و قصد سقوطه و بین قصد عدم سقوطه، و نوقش فی شرح الدروس و المفاتیح فی شمول الإجماع للصورة الأخیرة </w:t>
      </w:r>
      <w:r>
        <w:rPr>
          <w:rStyle w:val="FootnoteAnchor"/>
          <w:rtl w:val="true"/>
        </w:rPr>
        <w:footnoteReference w:id="505"/>
      </w:r>
      <w:r>
        <w:rPr>
          <w:rFonts w:ascii="IRNazanin" w:hAnsi="IRNazanin" w:eastAsia="IRNazanin"/>
          <w:color w:val="111111"/>
          <w:sz w:val="28"/>
          <w:sz w:val="28"/>
          <w:szCs w:val="28"/>
          <w:rtl w:val="true"/>
          <w:lang w:bidi="fa-IR"/>
        </w:rPr>
        <w:t xml:space="preserve">، و هو فی محلّه لو کان دلیل المسألة الإجماع المحقّق، أمّا الإجماع المدّعی فی السرائر و جامع المقاصد </w:t>
      </w:r>
      <w:r>
        <w:rPr>
          <w:rStyle w:val="FootnoteAnchor"/>
          <w:rtl w:val="true"/>
        </w:rPr>
        <w:footnoteReference w:id="506"/>
      </w:r>
      <w:r>
        <w:rPr>
          <w:rFonts w:ascii="IRNazanin" w:hAnsi="IRNazanin" w:eastAsia="IRNazanin"/>
          <w:color w:val="111111"/>
          <w:sz w:val="28"/>
          <w:sz w:val="28"/>
          <w:szCs w:val="28"/>
          <w:rtl w:val="true"/>
          <w:lang w:bidi="fa-IR"/>
        </w:rPr>
        <w:t xml:space="preserve">فهو مطلق کالأخبار علی تقدیر دلالتها، إلّا أن یدّعی انصراف المطلق فی معقد الإجماع و مورد النصّ إلی غیر هذه الصورة، لکنّ الأرجح فی النظر شمول فتوی المجمعین لهذه الصورة و إن کان إطلاقهم منصرفا إلی غیره؛ لأنّ ظاهرهم المصرّح به بعضهم </w:t>
      </w:r>
      <w:r>
        <w:rPr>
          <w:rStyle w:val="FootnoteAnchor"/>
          <w:rtl w:val="true"/>
        </w:rPr>
        <w:footnoteReference w:id="507"/>
      </w:r>
      <w:r>
        <w:rPr>
          <w:rFonts w:ascii="IRNazanin" w:hAnsi="IRNazanin" w:eastAsia="IRNazanin"/>
          <w:color w:val="111111"/>
          <w:sz w:val="28"/>
          <w:sz w:val="28"/>
          <w:szCs w:val="28"/>
          <w:rtl w:val="true"/>
          <w:lang w:bidi="fa-IR"/>
        </w:rPr>
        <w:t>کون غسل الجنابة رافعا لحدث الحیض، و الرفع</w:t>
      </w:r>
      <w:bookmarkStart w:id="123" w:name="pg13035_131633"/>
    </w:p>
    <w:p>
      <w:pPr>
        <w:pStyle w:val="BookText"/>
        <w:rPr/>
      </w:pPr>
      <w:bookmarkEnd w:id="123"/>
      <w:r>
        <w:rPr>
          <w:rFonts w:ascii="IRNazanin" w:hAnsi="IRNazanin" w:eastAsia="IRNazanin"/>
          <w:color w:val="111111"/>
          <w:sz w:val="28"/>
          <w:sz w:val="28"/>
          <w:szCs w:val="28"/>
          <w:rtl w:val="true"/>
          <w:lang w:bidi="fa-IR"/>
        </w:rPr>
        <w:t>غیر متوقّف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یشکل الأمر عند من استشکل ذلک فی </w:t>
      </w:r>
      <w:r>
        <w:rPr>
          <w:rStyle w:val="FootnoteAnchor"/>
          <w:rtl w:val="true"/>
        </w:rPr>
        <w:footnoteReference w:id="508"/>
      </w:r>
      <w:r>
        <w:rPr>
          <w:rFonts w:ascii="IRNazanin" w:hAnsi="IRNazanin" w:eastAsia="IRNazanin"/>
          <w:color w:val="111111"/>
          <w:sz w:val="28"/>
          <w:sz w:val="28"/>
          <w:szCs w:val="28"/>
          <w:rtl w:val="true"/>
          <w:lang w:bidi="fa-IR"/>
        </w:rPr>
        <w:t>الحدث الأصغر إذا نوی عدم ارتفاع بعض الأحداث</w:t>
      </w:r>
      <w:r>
        <w:rPr>
          <w:rFonts w:eastAsia="IRNazanin" w:cs="IRNazanin"/>
          <w:color w:val="111111"/>
          <w:sz w:val="28"/>
          <w:szCs w:val="28"/>
          <w:rtl w:val="true"/>
          <w:lang w:bidi="fa-IR"/>
        </w:rPr>
        <w:t>.</w:t>
      </w:r>
    </w:p>
    <w:p>
      <w:pPr>
        <w:pStyle w:val="Heading6"/>
        <w:numPr>
          <w:ilvl w:val="5"/>
          <w:numId w:val="1"/>
        </w:numPr>
        <w:rPr/>
      </w:pPr>
      <w:bookmarkStart w:id="124" w:name="__RefHeading___Toc6369946_3224264995"/>
      <w:bookmarkStart w:id="125" w:name="_Toc50"/>
      <w:bookmarkEnd w:id="124"/>
      <w:r>
        <w:rPr>
          <w:rtl w:val="true"/>
        </w:rPr>
        <w:t>الصورة الرابعة</w:t>
      </w:r>
      <w:r>
        <w:rPr>
          <w:rtl w:val="true"/>
        </w:rPr>
        <w:t xml:space="preserve">: </w:t>
      </w:r>
      <w:r>
        <w:rPr>
          <w:rtl w:val="true"/>
        </w:rPr>
        <w:t>أن یقصد ما عدا غسل الجنابة</w:t>
      </w:r>
      <w:bookmarkEnd w:id="125"/>
    </w:p>
    <w:p>
      <w:pPr>
        <w:pStyle w:val="BookText"/>
        <w:rPr/>
      </w:pPr>
      <w:r>
        <w:rPr>
          <w:rFonts w:ascii="IRNazanin" w:hAnsi="IRNazanin" w:eastAsia="IRNazanin"/>
          <w:color w:val="111111"/>
          <w:sz w:val="28"/>
          <w:sz w:val="28"/>
          <w:szCs w:val="28"/>
          <w:rtl w:val="true"/>
          <w:lang w:bidi="fa-IR"/>
        </w:rPr>
        <w:t>کغسل الحیض، و هو تارة یفرض مع غسل الجنابة، و اخری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هذا الغسل علی ما نواه، و فیه إشکال من حیث إطلاقات الأمر بذلک الغسل و اقتضاء الأمر للإجزاء،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و ممّا سیجی‌ء من عدم کفایته عن الجنابة، فارتفاع الأضعف مع بقاء الأقوی غیر معقول، و إطلاقات الأوامر غیر شاملة لما نحن فیه؛ لأنّ وجوب غسل الحیض هنا عینا خلاف الإجماع المنعقد علی جواز الاقتصار علی غسل الجنابة المتعیّن علیه؛ فإنّ تعیّن الشی‌ء علی المکلّف مع تعیین ما یسقطه علیه لغو، و تخییرا غیر معقول؛ إذ لا بدل له إلّا علی القول بعدم کفایة الجنابة مع قصد عدم ارتفاع حدث الحیض، و الإشکال وارد علی من لا یقول بذلک و هم الأکثر، و سیأتی فی المقام الثانی ما یدفع به هذا الإشکال و یظهر منه صحّة هذا الغسل بالنسبة إلی نفسه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کفایته عن غسل الجنابة، و اختاره المصنّف هنا و فی المعتبر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المحقّق الثانی </w:t>
      </w:r>
      <w:r>
        <w:rPr>
          <w:rStyle w:val="FootnoteAnchor"/>
          <w:rtl w:val="true"/>
        </w:rPr>
        <w:footnoteReference w:id="511"/>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512"/>
      </w:r>
      <w:r>
        <w:rPr>
          <w:rFonts w:ascii="IRNazanin" w:hAnsi="IRNazanin" w:eastAsia="IRNazanin"/>
          <w:color w:val="111111"/>
          <w:sz w:val="28"/>
          <w:sz w:val="28"/>
          <w:szCs w:val="28"/>
          <w:rtl w:val="true"/>
          <w:lang w:bidi="fa-IR"/>
        </w:rPr>
        <w:t>، و نسبه شارح الجعفریّة إلی</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513"/>
      </w:r>
      <w:r>
        <w:rPr>
          <w:rFonts w:ascii="IRNazanin" w:hAnsi="IRNazanin" w:eastAsia="IRNazanin"/>
          <w:color w:val="111111"/>
          <w:sz w:val="28"/>
          <w:sz w:val="28"/>
          <w:szCs w:val="28"/>
          <w:rtl w:val="true"/>
          <w:lang w:bidi="fa-IR"/>
        </w:rPr>
        <w:t>، و هو غیر ثابت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فی المعتبر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الغسل بنیّة خصوص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صحیح نوی به الاستباحة فیجزی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أوضحه فی جامع المقاصد بما تقدّم منه فی الاستدلال علی کفایة غسل الجنابة عن غیره من اتّحاد الحدث و إن تعدّد أسبابه، و زاد علی ذلک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الأخبار المتقدّمة،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الذی قرّره علی وجهین و جعل أوضحهما أنّه لو لم یجز غسل الحیض عن الجنابة عند وجوبهما امتنع وجوبه، و التالی واضح البطلان، 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الفعل یقتضی القطع بترتّب الإجزاء علی الإتیان به مشتملا علی جمیع وجوه الوجوب و سقوط الطلب عن المکلّف، و غسل الحیض علی ذلک التقدیر لا یترتّب علی فعله الإجزاء و لا سقوط الطلب، و إنّما یترتّب الإجزاء علی فعل الغسل المقارن له و هو الجنابة، و وجوده کعدمه فیکون التکلیف به تکلیفا بما لا یجزی، و هو ممتنع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الحیض علی تقدیر عدم إجزائه عن غسل الجنابة لیس أحد أقسام الوجوب فیجب انتفاؤه، 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ینقسم باعتبار الفعل إلی الحتمی و المرتّب و المخیّر، و وجوب غسل الحیض فی الفرض المذکور علی تقدیر عدم إجزائه عن الجنابة لیس واحدا منها، فینتفی وجوبه، و إذا انتفی وجوبه علی تقدیر عدم الإجزاء عن الجنابة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یجزی علی تقدیر الوجوب </w:t>
      </w:r>
      <w:r>
        <w:rPr>
          <w:rStyle w:val="FootnoteAnchor"/>
          <w:rtl w:val="true"/>
        </w:rPr>
        <w:footnoteReference w:id="514"/>
      </w:r>
      <w:r>
        <w:rPr>
          <w:rFonts w:ascii="IRNazanin" w:hAnsi="IRNazanin" w:eastAsia="IRNazanin"/>
          <w:color w:val="111111"/>
          <w:sz w:val="28"/>
          <w:sz w:val="28"/>
          <w:szCs w:val="28"/>
          <w:rtl w:val="true"/>
          <w:lang w:bidi="fa-IR"/>
        </w:rPr>
        <w:t>، و هو المطلوب، انتهی کلامه رفع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الکفایة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نوی غسل الجنابة أجزأ عن غیره، و إذا نوی </w:t>
      </w:r>
      <w:r>
        <w:rPr>
          <w:rStyle w:val="FootnoteAnchor"/>
          <w:rtl w:val="true"/>
        </w:rPr>
        <w:footnoteReference w:id="515"/>
      </w:r>
      <w:r>
        <w:rPr>
          <w:rFonts w:ascii="IRNazanin" w:hAnsi="IRNazanin" w:eastAsia="IRNazanin"/>
          <w:color w:val="111111"/>
          <w:sz w:val="28"/>
          <w:sz w:val="28"/>
          <w:szCs w:val="28"/>
          <w:rtl w:val="true"/>
          <w:lang w:bidi="fa-IR"/>
        </w:rPr>
        <w:t>غیره لم یجز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الشیخ </w:t>
      </w:r>
      <w:r>
        <w:rPr>
          <w:rStyle w:val="FootnoteAnchor"/>
          <w:rtl w:val="true"/>
        </w:rPr>
        <w:footnoteReference w:id="516"/>
      </w:r>
      <w:r>
        <w:rPr>
          <w:rFonts w:ascii="IRNazanin" w:hAnsi="IRNazanin" w:eastAsia="IRNazanin"/>
          <w:color w:val="111111"/>
          <w:sz w:val="28"/>
          <w:sz w:val="28"/>
          <w:szCs w:val="28"/>
          <w:rtl w:val="true"/>
          <w:lang w:bidi="fa-IR"/>
        </w:rPr>
        <w:t xml:space="preserve">، و هو صریح السرائر </w:t>
      </w:r>
      <w:r>
        <w:rPr>
          <w:rStyle w:val="FootnoteAnchor"/>
          <w:rtl w:val="true"/>
        </w:rPr>
        <w:footnoteReference w:id="517"/>
      </w:r>
      <w:r>
        <w:rPr>
          <w:rFonts w:ascii="IRNazanin" w:hAnsi="IRNazanin" w:eastAsia="IRNazanin"/>
          <w:color w:val="111111"/>
          <w:sz w:val="28"/>
          <w:sz w:val="28"/>
          <w:szCs w:val="28"/>
          <w:rtl w:val="true"/>
          <w:lang w:bidi="fa-IR"/>
        </w:rPr>
        <w:t xml:space="preserve">و الوسیلة </w:t>
      </w:r>
      <w:r>
        <w:rPr>
          <w:rStyle w:val="FootnoteAnchor"/>
          <w:rtl w:val="true"/>
        </w:rPr>
        <w:footnoteReference w:id="518"/>
      </w:r>
      <w:r>
        <w:rPr>
          <w:rFonts w:ascii="IRNazanin" w:hAnsi="IRNazanin" w:eastAsia="IRNazanin"/>
          <w:color w:val="111111"/>
          <w:sz w:val="28"/>
          <w:sz w:val="28"/>
          <w:szCs w:val="28"/>
          <w:rtl w:val="true"/>
          <w:lang w:bidi="fa-IR"/>
        </w:rPr>
        <w:t xml:space="preserve">و بعض کتب العلّامة </w:t>
      </w:r>
      <w:r>
        <w:rPr>
          <w:rStyle w:val="FootnoteAnchor"/>
          <w:rtl w:val="true"/>
        </w:rPr>
        <w:footnoteReference w:id="519"/>
      </w:r>
      <w:r>
        <w:rPr>
          <w:rFonts w:ascii="IRNazanin" w:hAnsi="IRNazanin" w:eastAsia="IRNazanin"/>
          <w:color w:val="111111"/>
          <w:sz w:val="28"/>
          <w:sz w:val="28"/>
          <w:szCs w:val="28"/>
          <w:rtl w:val="true"/>
          <w:lang w:bidi="fa-IR"/>
        </w:rPr>
        <w:t xml:space="preserve">و الإیضاح </w:t>
      </w:r>
      <w:r>
        <w:rPr>
          <w:rStyle w:val="FootnoteAnchor"/>
          <w:rtl w:val="true"/>
        </w:rPr>
        <w:footnoteReference w:id="520"/>
      </w:r>
      <w:r>
        <w:rPr>
          <w:rFonts w:ascii="IRNazanin" w:hAnsi="IRNazanin" w:eastAsia="IRNazanin"/>
          <w:color w:val="111111"/>
          <w:sz w:val="28"/>
          <w:sz w:val="28"/>
          <w:szCs w:val="28"/>
          <w:rtl w:val="true"/>
          <w:lang w:bidi="fa-IR"/>
        </w:rPr>
        <w:t xml:space="preserve">و الموجز </w:t>
      </w:r>
      <w:r>
        <w:rPr>
          <w:rStyle w:val="FootnoteAnchor"/>
          <w:rtl w:val="true"/>
        </w:rPr>
        <w:footnoteReference w:id="521"/>
      </w:r>
      <w:r>
        <w:rPr>
          <w:rFonts w:ascii="IRNazanin" w:hAnsi="IRNazanin" w:eastAsia="IRNazanin"/>
          <w:color w:val="111111"/>
          <w:sz w:val="28"/>
          <w:sz w:val="28"/>
          <w:szCs w:val="28"/>
          <w:rtl w:val="true"/>
          <w:lang w:bidi="fa-IR"/>
        </w:rPr>
        <w:t xml:space="preserve">و شرحه </w:t>
      </w:r>
      <w:r>
        <w:rPr>
          <w:rStyle w:val="FootnoteAnchor"/>
          <w:rtl w:val="true"/>
        </w:rPr>
        <w:footnoteReference w:id="522"/>
      </w:r>
      <w:r>
        <w:rPr>
          <w:rFonts w:ascii="IRNazanin" w:hAnsi="IRNazanin" w:eastAsia="IRNazanin"/>
          <w:color w:val="111111"/>
          <w:sz w:val="28"/>
          <w:sz w:val="28"/>
          <w:szCs w:val="28"/>
          <w:rtl w:val="true"/>
          <w:lang w:bidi="fa-IR"/>
        </w:rPr>
        <w:t>، بل أکثر من تعرّض للمسألة، بل ربما یستظهر من السرائر شمول الإجماع المدعی فیه علی کفایة غسل الجنابة؛ لعدم کفایة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المرأة حائضا ثمّ طهرت فقبل أن تغتسل جامعها زوجها فالواجب علیها أن تغتسل غسل الجنابة دون غسل الحیض؛ لأنّ غسل الجنابة له مزیّة و قوّة و ترجیح علی غسل الحیض؛ لأنّه لا خلاف فی أنّه یستباح بمجرّده الصلاة و لیس کذلک غسل الحیض؛ و أیضا غسل الجنابة عرف وجوبه من القرآن و غسل الحیض عرف وجوبه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ضعّف الوجه الأخیر بعدم الفرق بین ما ثبت من الکتاب و ما ثبت بالسنّة المتواترة،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المعتمد فی ذلک الإجماع </w:t>
      </w:r>
      <w:r>
        <w:rPr>
          <w:rStyle w:val="FootnoteAnchor"/>
          <w:rtl w:val="true"/>
        </w:rPr>
        <w:footnoteReference w:id="52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أنّ التعلیلین المذکورین لأجل مزیّة غسل الجنابة الکاشفة</w:t>
      </w:r>
    </w:p>
    <w:p>
      <w:pPr>
        <w:pStyle w:val="BookText"/>
        <w:rPr/>
      </w:pPr>
      <w:r>
        <w:rPr>
          <w:rFonts w:ascii="IRNazanin" w:hAnsi="IRNazanin" w:eastAsia="IRNazanin"/>
          <w:color w:val="111111"/>
          <w:sz w:val="28"/>
          <w:sz w:val="28"/>
          <w:szCs w:val="28"/>
          <w:rtl w:val="true"/>
          <w:lang w:bidi="fa-IR"/>
        </w:rPr>
        <w:t>عن عدم کفایة غیره عنه، و إلّا فکفایته عن غیره یکتفی فیه تساوی الغسلین و لا یحتاج إلی إثبات الترجیح، فالعدول عن کلا التعلیلین أو أحدهما إلی الإجماع ظاهر فی إرادة الإجماع علی الترجیح، فیثبت مرجوحیة غسل الحیض و عدم کفایته و هو المطلوب،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القول هو الأقوی؛ للأصل، و ضعف ما استدلوا به علی الکفایة؛ إذ لم یثبت اتّحاد الحدث و لا شاهد علیه بل الشاهد علی خلافه؛ فإنّ حدث الحیض یوجب حرمة الوطء أو کراهته بخلاف حدث الجنابة، و قد تقدّمت الأمارات الدالّة علی اختلاف حقائق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الإطلاقات، فقد عرفت ظهورها فی قصد الجمیع مع معارضتها بالموثّق، کالصحیح عن أبی عبد اللّٰه علیه السلام و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جامع امرأته فتحیض قبل أن تغتسل من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علیها واجب</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السرائر عن کتاب ابن محبوب </w:t>
      </w:r>
      <w:r>
        <w:rPr>
          <w:rStyle w:val="FootnoteAnchor"/>
          <w:rtl w:val="true"/>
        </w:rPr>
        <w:footnoteReference w:id="525"/>
      </w:r>
      <w:r>
        <w:rPr>
          <w:rFonts w:ascii="IRNazanin" w:hAnsi="IRNazanin" w:eastAsia="IRNazanin"/>
          <w:color w:val="111111"/>
          <w:sz w:val="28"/>
          <w:sz w:val="28"/>
          <w:szCs w:val="28"/>
          <w:rtl w:val="true"/>
          <w:lang w:bidi="fa-IR"/>
        </w:rPr>
        <w:t>، و ظاهرها عدم کفایة غسل الحیض عن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شرح الدروس من أنّ وجوب غسل الجنابة علیها لا ینافی سقوطه بغسل الحیض، و الثمرة تظهر فی استحقاق عقابین علی ترکهما </w:t>
      </w:r>
      <w:r>
        <w:rPr>
          <w:rStyle w:val="FootnoteAnchor"/>
          <w:rtl w:val="true"/>
        </w:rPr>
        <w:footnoteReference w:id="526"/>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ظاهرها وجوب الغسل علیها </w:t>
      </w:r>
      <w:r>
        <w:rPr>
          <w:rStyle w:val="FootnoteAnchor"/>
          <w:rtl w:val="true"/>
        </w:rPr>
        <w:footnoteReference w:id="527"/>
      </w:r>
      <w:r>
        <w:rPr>
          <w:rFonts w:ascii="Amiri" w:hAnsi="Amiri" w:eastAsia="Amiri" w:cs="Amiri"/>
          <w:color w:val="111111"/>
          <w:sz w:val="28"/>
          <w:sz w:val="28"/>
          <w:szCs w:val="28"/>
          <w:rtl w:val="true"/>
          <w:lang w:bidi="ar-SA"/>
        </w:rPr>
        <w:t>بعنوان أنّه غسل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جامع المقاصد أخیرا،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اجتماع وجوب غسل الحیض و الجنابة وجوب رفع الحدثین، و هو قد یتحقّق بغسل واحد منویّ به رفعهما أو خصوص الجنابة، و قد یتحقّق بفعل غسل الحیض أوّلا فیرتفع به حدث الحیض، و یترتّب علیه آثاره من ارتفاع حرمة الوطء أو کراهته و جمیع أحکام الطاهر من الحیض، و یبقی رفع الجنابة بغسل آخر، فغسل الحیض أحد فردی الواجب التخییری بالنسبة إلی أحد الواجبین، و هو رفع حدث الحیض، لا بالنسبة إلی وجوب رفع الحدث المطلق و استباحة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یترتّب علی غسل الحیض أثر لا یتوقّف علی غسل الجنابة أمکن دعوی لغویّة إیجاب غسل الحیض؛ إلّا أنّ ذلک یکون کاشفا عن اتّحاد حقیقة الحدثین فیرجع إلی الوجه الأوّل و هو ادّعاء اتّحاد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المطلب بما یظهر منه کون الحیض أعظم من الجنابة فیرتفع برافعه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الجنابة بالنسبة إلی الحدث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روایة سعید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تری الدم و هی جنب أ تغتسل من الجنابة؟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أتاها ما هو أعظم من ذلک</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یظهر منه کون کلّ من الحیض و الجنابة بمنزلة الآخر فی الحکم کصحیحة زرارة و محمد بن مسلم،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یدخلان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یدخلان المسجد إلّا مجتازین، إن اللّٰه تبارک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سَبِیلٍ حَتَّیٰ تَغْتَسِلُوا</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فإنّ الاستدلال</w:t>
      </w:r>
    </w:p>
    <w:p>
      <w:pPr>
        <w:pStyle w:val="BookText"/>
        <w:rPr/>
      </w:pPr>
      <w:r>
        <w:rPr>
          <w:rFonts w:ascii="IRNazanin" w:hAnsi="IRNazanin" w:eastAsia="IRNazanin"/>
          <w:color w:val="111111"/>
          <w:sz w:val="28"/>
          <w:sz w:val="28"/>
          <w:szCs w:val="28"/>
          <w:rtl w:val="true"/>
          <w:lang w:bidi="fa-IR"/>
        </w:rPr>
        <w:t>بآیة الجنب لحکم الحائض یدلّ علی اتّحاد حدثهما أو کون حدث الحیض أعظم، و علی أیّ تقدیر فیرتفع برفع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الاحتجاج فی حدیث الزندیق مع أبی عبد اللّٰه علیه السلام، 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علّة غسل الجنابة و قد أتی الحلال و لیس من الحلال تدنیس؟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الجنابة بمنزلة الحیض؛ و ذلک أنّ النطفة دم لم یستحکم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و الظاهر أنّ المراد بالدم هو الذی یستحیل إلیه النطفة و هی العلقة، و إلّا فالنطفة دم استحال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منه اتّحاد غسل الجنابة و الحیض کصحیحة ابن سنان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تحیض و هی جنب، هل علیها غسل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 الحیض واحد</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الجمیع نظر، أمّا فی الأوّل، فلأنّ الظاهر أنّ الأعظمیّة الصالحة أن یکون وجها لعدم وجوب غسل الجنابة علیه عدم قابلیّة الحیض للارتفاع فلا فائدة فی إیجاب غسل الجنابة علیه؛ لأنّه لا یجب إلّا للصلاة فهو مساوق لتعلیل عدم وجوب غسل الجنابة علی الحائض فی بعض الأخبار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جاءها ما یفسد الصلاة</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إذ المراد إفساد لا یقبل الإصلاح و إلّا لم یمنع من وجوب غسل الجنابة، مع أنّ الأعظمیّة لا تجدی لجواز ارتفاع الأقوی و بقاء الأضعف کالحیض بالنسبة إلی الحدث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فالاستشهاد بها من جهة أنّ کلّ ما یحرم علی الجنب یحرم علی الحائض، و لا یدلّ علی العکس و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الاحتجاج، فهی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الأخیرة، فظاهرها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السؤال عن وجوب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 الجنابة و الحیض الموجود منها فی الخارج یکون واحدا، لا أنّهما فی الشرع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فلم نظفر علی شی‌ء قابل للورود علی أصالة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استدلّ بعض القائلین بالتداخل بما تقدّم فی کفایة غسل الجنابة من صدق الامتثال </w:t>
      </w:r>
      <w:r>
        <w:rPr>
          <w:rStyle w:val="FootnoteAnchor"/>
          <w:rtl w:val="true"/>
        </w:rPr>
        <w:footnoteReference w:id="5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ظاهر المحقّق فی المعتبر </w:t>
      </w:r>
      <w:r>
        <w:rPr>
          <w:rStyle w:val="FootnoteAnchor"/>
          <w:rtl w:val="true"/>
        </w:rPr>
        <w:footnoteReference w:id="534"/>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نسب إلی غیرهما </w:t>
      </w:r>
      <w:r>
        <w:rPr>
          <w:rStyle w:val="FootnoteAnchor"/>
          <w:rtl w:val="true"/>
        </w:rPr>
        <w:footnoteReference w:id="536"/>
      </w:r>
      <w:r>
        <w:rPr>
          <w:rFonts w:ascii="IRNazanin" w:hAnsi="IRNazanin" w:eastAsia="IRNazanin"/>
          <w:color w:val="111111"/>
          <w:sz w:val="28"/>
          <w:sz w:val="28"/>
          <w:szCs w:val="28"/>
          <w:rtl w:val="true"/>
          <w:lang w:bidi="fa-IR"/>
        </w:rPr>
        <w:t>علی وجه یشعر بعدم ظهور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کفایة ما عدا غسل الجنابة عنه إنّما هو علی القول بعدم إغنائه عن الوضوء، أمّا علی القول بالإغناء فلا کلام و لا إشکال فی کفایة کلّ واحد عن الآخر، و لعلّ وجهه اتّحاد حقیقة الأغسال علی هذا القول و کفایة کلّ واحد فی إباحة الصلاة، و لا یخلو عن التأمّل لإمکان منع الملازمة؛ فإنّ اختلاف آثار الأحداث کجواز وطء الجنب من غیر کراهة، و کراهة وطء الحائض أو حرمته یدلّ علی اختلاف حقائقها، فرفع بعضها بارتفاع بعض آخر یحتاج إلی دلیل</w:t>
      </w:r>
      <w:r>
        <w:rPr>
          <w:rFonts w:eastAsia="IRNazanin" w:cs="IRNazanin"/>
          <w:color w:val="111111"/>
          <w:sz w:val="28"/>
          <w:szCs w:val="28"/>
          <w:rtl w:val="true"/>
          <w:lang w:bidi="fa-IR"/>
        </w:rPr>
        <w:t>.</w:t>
      </w:r>
      <w:bookmarkStart w:id="126" w:name="pg13035_131640"/>
    </w:p>
    <w:p>
      <w:pPr>
        <w:pStyle w:val="BookText"/>
        <w:rPr/>
      </w:pPr>
      <w:bookmarkEnd w:id="126"/>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الأغسال ما عدا غسل الجنابة لا دلیل علی اتّحاد حقائقها و إن اتّحدت من حیث الإغناء عن الوضوء أو عدمه، لکن شارح الدروس استظهر الإطباق علی کفایة بعضها عن بعض </w:t>
      </w:r>
      <w:r>
        <w:rPr>
          <w:rStyle w:val="FootnoteAnchor"/>
          <w:rtl w:val="true"/>
        </w:rPr>
        <w:footnoteReference w:id="537"/>
      </w:r>
      <w:r>
        <w:rPr>
          <w:rFonts w:ascii="IRNazanin" w:hAnsi="IRNazanin" w:eastAsia="IRNazanin"/>
          <w:color w:val="111111"/>
          <w:sz w:val="28"/>
          <w:sz w:val="28"/>
          <w:szCs w:val="28"/>
          <w:rtl w:val="true"/>
          <w:lang w:bidi="fa-IR"/>
        </w:rPr>
        <w:t>، و لعلّ منشأ استظهار الإطباق ما استظهرناه من الوجه ممّا ذکرنا عن المعتبر و المنتهی و غیرهما من کفایة بعض الأغسال عن بعض إذا اشترک الکلّ فی الإغناء عن الوضوء؛ فإنّ لازم ذلک الوجه اتّحاد حقائق ما عدا غسل الجنابة؛ لأنّها مشترکة إمّا فی الإغناء عن الوضوء و إمّا فی الحاجة إلیه، فالکلام فیه نظیر الکلام فی کفایة غیر غسل الجنابة عنه، و الأقوی عدمه إلّا أن یثبت ما استظهر من الإطباق أو ما ادّعوه فی الأخبار من الإطلاق</w:t>
      </w:r>
      <w:r>
        <w:rPr>
          <w:rFonts w:eastAsia="IRNazanin" w:cs="IRNazanin"/>
          <w:color w:val="111111"/>
          <w:sz w:val="28"/>
          <w:szCs w:val="28"/>
          <w:rtl w:val="true"/>
          <w:lang w:bidi="fa-IR"/>
        </w:rPr>
        <w:t>.</w:t>
      </w:r>
    </w:p>
    <w:p>
      <w:pPr>
        <w:pStyle w:val="Heading6"/>
        <w:numPr>
          <w:ilvl w:val="5"/>
          <w:numId w:val="1"/>
        </w:numPr>
        <w:rPr/>
      </w:pPr>
      <w:bookmarkStart w:id="127" w:name="__RefHeading___Toc6369948_3224264995"/>
      <w:bookmarkStart w:id="128" w:name="_Toc51"/>
      <w:bookmarkEnd w:id="127"/>
      <w:r>
        <w:rPr>
          <w:rtl w:val="true"/>
        </w:rPr>
        <w:t>الصورة الخامسة</w:t>
      </w:r>
      <w:r>
        <w:rPr>
          <w:rtl w:val="true"/>
        </w:rPr>
        <w:t xml:space="preserve">: </w:t>
      </w:r>
      <w:r>
        <w:rPr>
          <w:rtl w:val="true"/>
        </w:rPr>
        <w:t>أن یقصد غسلا مطلقا</w:t>
      </w:r>
      <w:bookmarkEnd w:id="128"/>
    </w:p>
    <w:p>
      <w:pPr>
        <w:pStyle w:val="BookText"/>
        <w:rPr/>
      </w:pPr>
      <w:r>
        <w:rPr>
          <w:rFonts w:ascii="IRNazanin" w:hAnsi="IRNazanin" w:eastAsia="IRNazanin"/>
          <w:color w:val="111111"/>
          <w:sz w:val="28"/>
          <w:sz w:val="28"/>
          <w:szCs w:val="28"/>
          <w:rtl w:val="true"/>
          <w:lang w:bidi="fa-IR"/>
        </w:rPr>
        <w:t>من دون إضافة إلی حدث و لا قصد استباحة الصلاة، و لا کلام فی فساده؛ بناء علی اعتبار رفع الحدث أو 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عدم اعتبارهما فالأقوی ذلک أیضا؛ لعدم العلم بکون أوامر الاغتسال یمتثل بذلک، لعدم ثبوت کونها حقیقة واحدة رافعة لحدث واحد نظیر الوضوء، فلعلّها متباینة کلّیة أو متصادقة یتوقّف امتثالها علی نیّة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إطلاق الأخبار لم یبعد القول بالصحة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ذکرناه فی اجتماع الأغسال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مع نیّة الجمیع أو نیّة خصوص الجنابة علی تأمّل فیما إذا قصد عدم ما عداه، فالاحتیاط فی ترک هذا القصد لاحتمال إخلاله بالغسل، و الأحوط أن یغتسل غسل الجنابة قاصدا لارتفاع ما عداه من الأحداث ثمّ الإتیان بالغسل الآخر احتیاطا</w:t>
      </w:r>
      <w:r>
        <w:rPr>
          <w:rFonts w:eastAsia="IRNazanin" w:cs="IRNazanin"/>
          <w:color w:val="111111"/>
          <w:sz w:val="28"/>
          <w:szCs w:val="28"/>
          <w:rtl w:val="true"/>
          <w:lang w:bidi="fa-IR"/>
        </w:rPr>
        <w:t>.</w:t>
      </w:r>
      <w:bookmarkStart w:id="129" w:name="pg13035_131641"/>
    </w:p>
    <w:p>
      <w:pPr>
        <w:pStyle w:val="Heading6"/>
        <w:numPr>
          <w:ilvl w:val="5"/>
          <w:numId w:val="1"/>
        </w:numPr>
        <w:rPr/>
      </w:pPr>
      <w:bookmarkStart w:id="130" w:name="__RefHeading___Toc6369950_3224264995"/>
      <w:bookmarkStart w:id="131" w:name="_Toc52"/>
      <w:bookmarkEnd w:id="129"/>
      <w:bookmarkEnd w:id="130"/>
      <w:r>
        <w:rPr>
          <w:rtl w:val="true"/>
        </w:rPr>
        <w:t>بقی هنا أمران</w:t>
      </w:r>
      <w:r>
        <w:rPr>
          <w:rtl w:val="true"/>
        </w:rPr>
        <w:t>:</w:t>
      </w:r>
      <w:bookmarkEnd w:id="131"/>
    </w:p>
    <w:p>
      <w:pPr>
        <w:pStyle w:val="Heading6"/>
        <w:numPr>
          <w:ilvl w:val="5"/>
          <w:numId w:val="1"/>
        </w:numPr>
        <w:rPr/>
      </w:pPr>
      <w:bookmarkStart w:id="132" w:name="__RefHeading___Toc6369952_3224264995"/>
      <w:bookmarkStart w:id="133" w:name="_Toc53"/>
      <w:bookmarkEnd w:id="132"/>
      <w:r>
        <w:rPr>
          <w:rtl w:val="true"/>
        </w:rPr>
        <w:t>الأوّل</w:t>
      </w:r>
      <w:r>
        <w:rPr>
          <w:rtl w:val="true"/>
        </w:rPr>
        <w:t>:</w:t>
      </w:r>
      <w:bookmarkEnd w:id="133"/>
    </w:p>
    <w:p>
      <w:pPr>
        <w:pStyle w:val="BookText"/>
        <w:rPr/>
      </w:pPr>
      <w:r>
        <w:rPr>
          <w:rFonts w:ascii="IRNazanin" w:hAnsi="IRNazanin" w:eastAsia="IRNazanin"/>
          <w:color w:val="111111"/>
          <w:sz w:val="28"/>
          <w:sz w:val="28"/>
          <w:szCs w:val="28"/>
          <w:rtl w:val="true"/>
          <w:lang w:bidi="fa-IR"/>
        </w:rPr>
        <w:t>أنّ التداخل فی مورد جوازه رخصة أو عزیمة؟</w:t>
      </w:r>
    </w:p>
    <w:p>
      <w:pPr>
        <w:pStyle w:val="BookText"/>
        <w:rPr/>
      </w:pPr>
      <w:r>
        <w:rPr>
          <w:rFonts w:ascii="IRNazanin" w:hAnsi="IRNazanin" w:eastAsia="IRNazanin"/>
          <w:color w:val="111111"/>
          <w:sz w:val="28"/>
          <w:sz w:val="28"/>
          <w:szCs w:val="28"/>
          <w:rtl w:val="true"/>
          <w:lang w:bidi="fa-IR"/>
        </w:rPr>
        <w:t xml:space="preserve">نسب غیر واحد من المعاصرین </w:t>
      </w:r>
      <w:r>
        <w:rPr>
          <w:rStyle w:val="FootnoteAnchor"/>
          <w:rtl w:val="true"/>
        </w:rPr>
        <w:footnoteReference w:id="538"/>
      </w:r>
      <w:r>
        <w:rPr>
          <w:rFonts w:ascii="IRNazanin" w:hAnsi="IRNazanin" w:eastAsia="IRNazanin"/>
          <w:color w:val="111111"/>
          <w:sz w:val="28"/>
          <w:sz w:val="28"/>
          <w:szCs w:val="28"/>
          <w:rtl w:val="true"/>
          <w:lang w:bidi="fa-IR"/>
        </w:rPr>
        <w:t xml:space="preserve">إلی ظاهر الأکثر الأوّل، بل نسبه الفاضل القمّی قدّس سرّه فی بعض مؤلفاته إلی ظاهر الأصحاب </w:t>
      </w:r>
      <w:r>
        <w:rPr>
          <w:rStyle w:val="FootnoteAnchor"/>
          <w:rtl w:val="true"/>
        </w:rPr>
        <w:footnoteReference w:id="539"/>
      </w:r>
      <w:r>
        <w:rPr>
          <w:rFonts w:ascii="IRNazanin" w:hAnsi="IRNazanin" w:eastAsia="IRNazanin"/>
          <w:color w:val="111111"/>
          <w:sz w:val="28"/>
          <w:sz w:val="28"/>
          <w:szCs w:val="28"/>
          <w:rtl w:val="true"/>
          <w:lang w:bidi="fa-IR"/>
        </w:rPr>
        <w:t xml:space="preserve">، مع اعترافه بعدم مصرّح به سوی المحقّق الأردبیلی قدّس سرّه، و الظاهر أنّ منشأ النسبة تعبیرهم بلفظ الإجزاء، لکنّ الذی یظهر بعد ملاحظة کلماتهم أنّ ظاهر الأکثر بل صریحهم </w:t>
      </w:r>
      <w:r>
        <w:rPr>
          <w:rStyle w:val="FootnoteAnchor"/>
          <w:rtl w:val="true"/>
        </w:rPr>
        <w:footnoteReference w:id="540"/>
      </w:r>
      <w:r>
        <w:rPr>
          <w:rFonts w:ascii="IRNazanin" w:hAnsi="IRNazanin" w:eastAsia="IRNazanin"/>
          <w:color w:val="111111"/>
          <w:sz w:val="28"/>
          <w:sz w:val="28"/>
          <w:szCs w:val="28"/>
          <w:rtl w:val="true"/>
          <w:lang w:bidi="fa-IR"/>
        </w:rPr>
        <w:t>هو الثانی، و أنّ أسباب الغسل کأسباب الوضوء؛ لأنّ القائلین بالتداخل بین من لا یری الوضوء فی غیر غسل الجنابة، و قد عرفت تصریح جماعة بعدم الإشکال فی التداخل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نشترط الوضوء مع غیر غسل الجنابة کفی الغسل الواحد بنیّة أیّها اتّفق </w:t>
      </w:r>
      <w:r>
        <w:rPr>
          <w:rStyle w:val="FootnoteAnchor"/>
          <w:rtl w:val="true"/>
        </w:rPr>
        <w:footnoteReference w:id="5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هذا الکلام عدم الحاجة إلی قصد التداخل و أنّ سقوط الآخر قهریّ، و قد عرفت أنّ منشأه اتّحاد حقیقة الأغسال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غیر هؤلاء کالمحقّقین و الشهید و غیرهم ممّن </w:t>
      </w:r>
      <w:r>
        <w:rPr>
          <w:rStyle w:val="FootnoteAnchor"/>
          <w:rtl w:val="true"/>
        </w:rPr>
        <w:footnoteReference w:id="542"/>
      </w:r>
      <w:r>
        <w:rPr>
          <w:rFonts w:ascii="IRNazanin" w:hAnsi="IRNazanin" w:eastAsia="IRNazanin"/>
          <w:color w:val="111111"/>
          <w:sz w:val="28"/>
          <w:sz w:val="28"/>
          <w:szCs w:val="28"/>
          <w:rtl w:val="true"/>
          <w:lang w:bidi="fa-IR"/>
        </w:rPr>
        <w:t xml:space="preserve">اکتفی بکلّ غسل واجب عن الآخر </w:t>
      </w:r>
      <w:r>
        <w:rPr>
          <w:rStyle w:val="FootnoteAnchor"/>
          <w:rtl w:val="true"/>
        </w:rPr>
        <w:footnoteReference w:id="543"/>
      </w:r>
      <w:r>
        <w:rPr>
          <w:rFonts w:ascii="IRNazanin" w:hAnsi="IRNazanin" w:eastAsia="IRNazanin"/>
          <w:color w:val="111111"/>
          <w:sz w:val="28"/>
          <w:sz w:val="28"/>
          <w:szCs w:val="28"/>
          <w:rtl w:val="true"/>
          <w:lang w:bidi="fa-IR"/>
        </w:rPr>
        <w:t>، فقد عرفت کلام الأوّلین فی المعتبر و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التصریح فی اتّحاد الحدث الأکبر کالأصغر، و کفایة کلّ واحد من الأغسال فی استباحة الصلاة، و کلام المصنّف هنا أیضا ظاهر فی العزیمة، حیث حکم بکفایة وضوء واحد عند اجتماع أسبابه، ثمّ عطف علیه الأغسال مؤذنا بأنّ معنی الکفایة فی المتعاطفین واحد و هو عدم مشروعیّة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بالکفایة هنا و بالإجزاء فی الأخبار للإشارة إلی أنّ الرخصة و التخفیف ملحوظ فی تشریع الحکم لا فی أداء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یستظهر ذلک من کلام الشهید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تتداخل موجبات الوضوء و کذا موجبات الأغسال علی الأقوی، و إجزاء غسل الجنابة عن غیره دون العکس تحکّم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القائلون بکفایة غسل الجنابة عن غیره دون العکس، فمن أنکر منهم أو استشکل فی شرعیّة غسل الحیض قبل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فی بعض کتبه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عدم التداخل عنده؛ لأنّه إن قدّم غسل الجنابة کفی قهرا غیره، کما یظهر من استدلالهم بأنّ غسل الجنابة أقوی، و إن قدّم غیره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قال بصحّة غسل غیر الجنابة کما قوّیناه أمکن کون التداخل عنده رخصة، بمعنی أنّ له أن یقدّم غیر غسل الجنابة؛ فیتعدّد الأغسال، و له أن یقدّم غسل الجنابة فیکتفی به قهرا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نوی غسل الجنابة لم یقل أحد بجواز غسل آخر بعده، و إن نوی غیره فالمحقّقان و الشهید </w:t>
      </w:r>
      <w:r>
        <w:rPr>
          <w:rStyle w:val="FootnoteAnchor"/>
          <w:rtl w:val="true"/>
        </w:rPr>
        <w:footnoteReference w:id="546"/>
      </w:r>
      <w:r>
        <w:rPr>
          <w:rFonts w:ascii="IRNazanin" w:hAnsi="IRNazanin" w:eastAsia="IRNazanin"/>
          <w:color w:val="111111"/>
          <w:sz w:val="28"/>
          <w:sz w:val="28"/>
          <w:szCs w:val="28"/>
          <w:rtl w:val="true"/>
          <w:lang w:bidi="fa-IR"/>
        </w:rPr>
        <w:t>بل المشهور کما فی</w:t>
      </w:r>
      <w:bookmarkStart w:id="134" w:name="pg13035_131643"/>
    </w:p>
    <w:p>
      <w:pPr>
        <w:pStyle w:val="BookText"/>
        <w:rPr/>
      </w:pPr>
      <w:bookmarkEnd w:id="134"/>
      <w:r>
        <w:rPr>
          <w:rFonts w:ascii="IRNazanin" w:hAnsi="IRNazanin" w:eastAsia="IRNazanin"/>
          <w:color w:val="111111"/>
          <w:sz w:val="28"/>
          <w:sz w:val="28"/>
          <w:szCs w:val="28"/>
          <w:rtl w:val="true"/>
          <w:lang w:bidi="fa-IR"/>
        </w:rPr>
        <w:t xml:space="preserve">شرح الجعفریة </w:t>
      </w:r>
      <w:r>
        <w:rPr>
          <w:rStyle w:val="FootnoteAnchor"/>
          <w:rtl w:val="true"/>
        </w:rPr>
        <w:footnoteReference w:id="547"/>
      </w:r>
      <w:r>
        <w:rPr>
          <w:rFonts w:ascii="IRNazanin" w:hAnsi="IRNazanin" w:eastAsia="IRNazanin"/>
          <w:color w:val="111111"/>
          <w:sz w:val="28"/>
          <w:sz w:val="28"/>
          <w:szCs w:val="28"/>
          <w:rtl w:val="true"/>
          <w:lang w:bidi="fa-IR"/>
        </w:rPr>
        <w:t>أنّه کذلک؛ بناء منهم علی کون أسباب الغسل کأسباب الوضوء موجبة لحدث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غیرهم، فإن لم یقل بصحّة ذلک الغسل عن نفسه فلا یتصوّر التعدّد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بصحّته أمکن تعدّد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الأکثر علی کون التداخل فی الأغسال کالتداخل فی أسباب الوضوء 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أنّ بناءهم فی الوضوء لیس علی العزیمة کان هناک کذلک</w:t>
      </w:r>
      <w:r>
        <w:rPr>
          <w:rFonts w:eastAsia="IRNazanin" w:cs="IRNazanin"/>
          <w:color w:val="111111"/>
          <w:sz w:val="28"/>
          <w:szCs w:val="28"/>
          <w:rtl w:val="true"/>
          <w:lang w:bidi="fa-IR"/>
        </w:rPr>
        <w:t>.</w:t>
      </w:r>
    </w:p>
    <w:p>
      <w:pPr>
        <w:pStyle w:val="Heading6"/>
        <w:numPr>
          <w:ilvl w:val="5"/>
          <w:numId w:val="1"/>
        </w:numPr>
        <w:rPr/>
      </w:pPr>
      <w:bookmarkStart w:id="135" w:name="__RefHeading___Toc6369954_3224264995"/>
      <w:bookmarkStart w:id="136" w:name="_Toc54"/>
      <w:bookmarkEnd w:id="135"/>
      <w:r>
        <w:rPr>
          <w:rtl w:val="true"/>
        </w:rPr>
        <w:t>الثانی</w:t>
      </w:r>
      <w:r>
        <w:rPr>
          <w:rtl w:val="true"/>
        </w:rPr>
        <w:t>:</w:t>
      </w:r>
      <w:bookmarkEnd w:id="136"/>
    </w:p>
    <w:p>
      <w:pPr>
        <w:pStyle w:val="BookText"/>
        <w:rPr/>
      </w:pPr>
      <w:r>
        <w:rPr>
          <w:rFonts w:ascii="IRNazanin" w:hAnsi="IRNazanin" w:eastAsia="IRNazanin"/>
          <w:color w:val="111111"/>
          <w:sz w:val="28"/>
          <w:sz w:val="28"/>
          <w:szCs w:val="28"/>
          <w:rtl w:val="true"/>
          <w:lang w:bidi="fa-IR"/>
        </w:rPr>
        <w:t>أنّ الغسل الواحد الکافی عن المتعدّد لا شکّ فی کونه من العبادة التی یستحقّ بها الثواب، و یشترط فیها قصد الامتثال و القربة، فلا بدّ فیه من أمر، و هو بناء علی أصالة التداخل فی الأسباب هو الأمر الواحد المتعلّق بذلک الغسل الواحد، و علی أصالة التداخل فی الامتثال هو کلّ من الأوامر المتعلّقة بکلّ واحد من الأغسال، فالغسل الواحد امتثال حقیقی للأوامر المتعدّدة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المختار من أصالة عدم التداخل و اقتضاء تعدّد الأوامر لتعدّد الامتثال فلا بدّ من جعل النصوص الواردة فی المسألة إمّا کاشفة عن وحدة حقیقة المأمور به فی تلک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هو مقتضی الأصل عند القائل بالتداخل فی تأثیر الأسباب فیجب حینئذ قصد غسل واحد لحدث واحد حاصل بأوّل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کاشفة عن کون الأوامر المتعدّدة بالأغسال المتعدّدة علی وجه یمکن تصادقها فی عنوان واحد کسائر المفاهیم</w:t>
      </w:r>
    </w:p>
    <w:p>
      <w:pPr>
        <w:pStyle w:val="BookText"/>
        <w:rPr/>
      </w:pPr>
      <w:r>
        <w:rPr>
          <w:rFonts w:ascii="IRNazanin" w:hAnsi="IRNazanin" w:eastAsia="IRNazanin"/>
          <w:color w:val="111111"/>
          <w:sz w:val="28"/>
          <w:sz w:val="28"/>
          <w:szCs w:val="28"/>
          <w:rtl w:val="true"/>
          <w:lang w:bidi="fa-IR"/>
        </w:rPr>
        <w:t>المغایرة المتصادقة فی بعض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هو مقتضی الأصل عند القائل بالتداخل 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قصد تحقّق جمیع الأغسال فی ضمن الغسل الواحد، و هذا أوفق بما ذکرنا من الأمارات الظاهرة فی تعدّد تلک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الاکتفاء بغسل الجنابة عن غیره فلیس فیه امتثال لأوامر غسل الحیض أصلا، خلافا لما تقدّم من شارح الدروس و قد عرفت ضعفه عقلا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استفدنا هذا الحکم من الأخبار بناء علی شمولها لصورة نیّة الجمیع و نیّة البعض فیکشف ذلک عن اتّحاد حقیقة الأحداث علی خلاف ما استفدناه من الأمارات المتقدّمة، و اللازم حینئذ بمقتضی إطلاق الأخبار کفایة ما عدا غسل الجنابة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قد استظهرنا اختصاص الأخبار بصورة نیّة الجمیع، و اخترنا عدم کفایة ما عدا غسل الجنابة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فالحکم بکفایة غسل الجنابة عمّا عداه لا یکون إلّا لأجل الإجماع و الشهرة و مرسلة جمیل المتقدّمة </w:t>
      </w:r>
      <w:r>
        <w:rPr>
          <w:rStyle w:val="FootnoteAnchor"/>
          <w:rtl w:val="true"/>
        </w:rPr>
        <w:footnoteReference w:id="548"/>
      </w:r>
      <w:r>
        <w:rPr>
          <w:rFonts w:ascii="IRNazanin" w:hAnsi="IRNazanin" w:eastAsia="IRNazanin"/>
          <w:color w:val="111111"/>
          <w:sz w:val="28"/>
          <w:sz w:val="28"/>
          <w:szCs w:val="28"/>
          <w:rtl w:val="true"/>
          <w:lang w:bidi="fa-IR"/>
        </w:rPr>
        <w:t>، و یجعل هذه کاشفة عن ارتفاع حدث الحیض مثلا بغسل الجنابة، فلا یبقی أمر بغسل الحیض حتّی یمتثل، نظیر ارتفاع حدث النوم قبل الجنابة بغسل الجنابة و سقوط امتثال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توضّأ</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bookmarkStart w:id="137" w:name="pg13035_131645"/>
    </w:p>
    <w:p>
      <w:pPr>
        <w:pStyle w:val="Heading6"/>
        <w:numPr>
          <w:ilvl w:val="5"/>
          <w:numId w:val="1"/>
        </w:numPr>
        <w:rPr/>
      </w:pPr>
      <w:bookmarkStart w:id="138" w:name="__RefHeading___Toc6369956_3224264995"/>
      <w:bookmarkStart w:id="139" w:name="_Toc55"/>
      <w:bookmarkEnd w:id="137"/>
      <w:bookmarkEnd w:id="138"/>
      <w:r>
        <w:rPr>
          <w:rtl w:val="true"/>
        </w:rPr>
        <w:t xml:space="preserve">المسألة الثانیة </w:t>
      </w:r>
      <w:r>
        <w:rPr>
          <w:rtl w:val="true"/>
        </w:rPr>
        <w:t>[</w:t>
      </w:r>
      <w:r>
        <w:rPr>
          <w:rtl w:val="true"/>
        </w:rPr>
        <w:t>اجتماع أغسال المستحبة مع نیة الجمیع</w:t>
      </w:r>
      <w:r>
        <w:rPr>
          <w:rtl w:val="true"/>
        </w:rPr>
        <w:t>]</w:t>
      </w:r>
      <w:bookmarkEnd w:id="139"/>
    </w:p>
    <w:p>
      <w:pPr>
        <w:pStyle w:val="BookText"/>
        <w:rPr/>
      </w:pPr>
      <w:r>
        <w:rPr>
          <w:rFonts w:ascii="IRNazanin" w:hAnsi="IRNazanin" w:eastAsia="IRNazanin"/>
          <w:color w:val="111111"/>
          <w:sz w:val="28"/>
          <w:sz w:val="28"/>
          <w:szCs w:val="28"/>
          <w:rtl w:val="true"/>
          <w:lang w:bidi="fa-IR"/>
        </w:rPr>
        <w:t xml:space="preserve">أنّ یجتمع أغسال مستحبّة، فإن نوی الجمیع بغسل واحد فالمشهور ظاهرا علی کفایته، و یظهر من الإرشاد عدمه </w:t>
      </w:r>
      <w:r>
        <w:rPr>
          <w:rStyle w:val="FootnoteAnchor"/>
          <w:rtl w:val="true"/>
        </w:rPr>
        <w:footnoteReference w:id="550"/>
      </w:r>
      <w:r>
        <w:rPr>
          <w:rFonts w:ascii="IRNazanin" w:hAnsi="IRNazanin" w:eastAsia="IRNazanin"/>
          <w:color w:val="111111"/>
          <w:sz w:val="28"/>
          <w:sz w:val="28"/>
          <w:szCs w:val="28"/>
          <w:rtl w:val="true"/>
          <w:lang w:bidi="fa-IR"/>
        </w:rPr>
        <w:t xml:space="preserve">، و هو و إن کان أوفق بالأصل إلّا أنّ ظاهر الصحیحة المتقدّمة المشتملة علی ذکر الحقوق </w:t>
      </w:r>
      <w:r>
        <w:rPr>
          <w:rStyle w:val="FootnoteAnchor"/>
          <w:rtl w:val="true"/>
        </w:rPr>
        <w:footnoteReference w:id="551"/>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بصورة وجود الغسل الواجب، مدفوع بأنّ الغسل الواجب إنّما ذکر فیها علی سبیل الفرض، یعنی أنّ الغسل الواحد مجز عن غسل الجنابة أو الحیض علی تقدیر وجودهما، لا أنّ المورد مختصّ بمن علیه غسل الجنابة أو الحیض کما لا یخفی علی المتأمّل، مع أنّه یکفی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اجتمعت للّٰه علیک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ثبوت الحقوق و هی الأغسال و لو علی وجه الاستحباب لا خصوص الواجبات؛ لأنّ مورد الروایة مشتمل علی الأغسال الواجبة و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یجعل الکلام فقرة مستقلّة غیر واردة فی مورد الفقرة السابقة،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إجزائه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کغسل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للأصل بعد ظهور الصحیحة المذکورة فی نیّة الجمیع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للإجزاء بقوله علیه السلام فی روایة عثمان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اغتسل بعد الفجر کفاه غسله إلی اللیل فی کلّ موضع یجب فیه الغسل، و من</w:t>
      </w:r>
    </w:p>
    <w:p>
      <w:pPr>
        <w:pStyle w:val="BookText"/>
        <w:rPr/>
      </w:pPr>
      <w:r>
        <w:rPr>
          <w:rFonts w:ascii="IRNazanin" w:hAnsi="IRNazanin" w:eastAsia="IRNazanin"/>
          <w:color w:val="111111"/>
          <w:sz w:val="28"/>
          <w:sz w:val="28"/>
          <w:szCs w:val="28"/>
          <w:rtl w:val="true"/>
          <w:lang w:bidi="fa-IR"/>
        </w:rPr>
        <w:t>اغتسل لیلا کفاه غسله إلی طلوع الفجر</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اعتنی جماعة بدلالتها و اهتمّ بعضهم بسندها حتّی نقل فی الحدائق عن بعض مشایخه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553"/>
      </w:r>
      <w:r>
        <w:rPr>
          <w:rFonts w:ascii="IRNazanin" w:hAnsi="IRNazanin" w:eastAsia="IRNazanin"/>
          <w:color w:val="111111"/>
          <w:sz w:val="28"/>
          <w:sz w:val="28"/>
          <w:szCs w:val="28"/>
          <w:rtl w:val="true"/>
          <w:lang w:bidi="fa-IR"/>
        </w:rPr>
        <w:t>، لکن الظاهر عدم دلالتها علی المطلوب رأسا، بل الظاهر منها أنّ کلّ موضع ثبت فیه الغسل لأجل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کدخول الحرم و المسجدین و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لأجل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کالزیارة و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لأجل تلک الغایة فی أوّل النهار کفاه ذلک إلی اللیل، و لم یحتج إلی إعادته لو تأخّر فعل تلک الغایة عنه، و کذا لو اغتسل له فی أوّل اللیل، کما ورد ذلک فی غیرها من الروایات </w:t>
      </w:r>
      <w:r>
        <w:rPr>
          <w:rStyle w:val="FootnoteAnchor"/>
          <w:rtl w:val="true"/>
        </w:rPr>
        <w:footnoteReference w:id="554"/>
      </w:r>
      <w:r>
        <w:rPr>
          <w:rFonts w:ascii="IRNazanin" w:hAnsi="IRNazanin" w:eastAsia="IRNazanin"/>
          <w:color w:val="111111"/>
          <w:sz w:val="28"/>
          <w:sz w:val="28"/>
          <w:szCs w:val="28"/>
          <w:rtl w:val="true"/>
          <w:lang w:bidi="fa-IR"/>
        </w:rPr>
        <w:t>، بل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یومک یجزیک للیلتک</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العجب من بعض مشایخنا قدّس سرّه </w:t>
      </w:r>
      <w:r>
        <w:rPr>
          <w:rStyle w:val="FootnoteAnchor"/>
          <w:rtl w:val="true"/>
        </w:rPr>
        <w:footnoteReference w:id="556"/>
      </w:r>
      <w:r>
        <w:rPr>
          <w:rFonts w:ascii="IRNazanin" w:hAnsi="IRNazanin" w:eastAsia="IRNazanin"/>
          <w:color w:val="111111"/>
          <w:sz w:val="28"/>
          <w:sz w:val="28"/>
          <w:szCs w:val="28"/>
          <w:rtl w:val="true"/>
          <w:lang w:bidi="fa-IR"/>
        </w:rPr>
        <w:t>حیث استدلّ بها أیضا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التداخل هنا فی صورة نیّة الجمیع رخصة أو عزیمة؟ الأقوی هو الأوّل؛ بناء علی أنّ الأخبار کاشفة عن تعدّد حقائق هذه الأغسال و تصادقها، فیجوز امتثال أوامرها بموادّ افتراقها کما یجوز بمادّة تصادقها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یعتبر فی نیّة الجمیع العلم بها تفصیلا، أو یکفی قصد کلّ غسل علیه فی الواقع و إن لم یعلم به أو اعتقد بعدمه؟ وجهان، 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bookmarkStart w:id="140" w:name="pg13035_131647"/>
    </w:p>
    <w:p>
      <w:pPr>
        <w:pStyle w:val="Heading6"/>
        <w:numPr>
          <w:ilvl w:val="5"/>
          <w:numId w:val="1"/>
        </w:numPr>
        <w:rPr/>
      </w:pPr>
      <w:bookmarkStart w:id="141" w:name="__RefHeading___Toc6369958_3224264995"/>
      <w:bookmarkStart w:id="142" w:name="_Toc56"/>
      <w:bookmarkEnd w:id="140"/>
      <w:bookmarkEnd w:id="141"/>
      <w:r>
        <w:rPr>
          <w:rtl w:val="true"/>
        </w:rPr>
        <w:t xml:space="preserve">المسألة الثالثة </w:t>
      </w:r>
      <w:r>
        <w:rPr>
          <w:rtl w:val="true"/>
        </w:rPr>
        <w:t>[</w:t>
      </w:r>
      <w:r>
        <w:rPr>
          <w:rtl w:val="true"/>
        </w:rPr>
        <w:t>إذا اجتمعت أغسال واجبة و مستحبة</w:t>
      </w:r>
      <w:r>
        <w:rPr>
          <w:rtl w:val="true"/>
        </w:rPr>
        <w:t>]</w:t>
      </w:r>
      <w:bookmarkEnd w:id="14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یجتمع أغسال بعضها واجب و بعضها مستحب، فإن نوی خصوص الواجب، فإن کان جنابة 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المستحبّ به، کما فی المبسوط و الخلاف </w:t>
      </w:r>
      <w:r>
        <w:rPr>
          <w:rStyle w:val="FootnoteAnchor"/>
          <w:rtl w:val="true"/>
        </w:rPr>
        <w:footnoteReference w:id="557"/>
      </w:r>
      <w:r>
        <w:rPr>
          <w:rFonts w:ascii="IRNazanin" w:hAnsi="IRNazanin" w:eastAsia="IRNazanin"/>
          <w:color w:val="111111"/>
          <w:sz w:val="28"/>
          <w:sz w:val="28"/>
          <w:szCs w:val="28"/>
          <w:rtl w:val="true"/>
          <w:lang w:bidi="fa-IR"/>
        </w:rPr>
        <w:t xml:space="preserve">و السرائر </w:t>
      </w:r>
      <w:r>
        <w:rPr>
          <w:rStyle w:val="FootnoteAnchor"/>
          <w:rtl w:val="true"/>
        </w:rPr>
        <w:footnoteReference w:id="558"/>
      </w:r>
      <w:r>
        <w:rPr>
          <w:rFonts w:ascii="IRNazanin" w:hAnsi="IRNazanin" w:eastAsia="IRNazanin"/>
          <w:color w:val="111111"/>
          <w:sz w:val="28"/>
          <w:sz w:val="28"/>
          <w:szCs w:val="28"/>
          <w:rtl w:val="true"/>
          <w:lang w:bidi="fa-IR"/>
        </w:rPr>
        <w:t xml:space="preserve">و محکیّ الجامع </w:t>
      </w:r>
      <w:r>
        <w:rPr>
          <w:rStyle w:val="FootnoteAnchor"/>
          <w:rtl w:val="true"/>
        </w:rPr>
        <w:footnoteReference w:id="559"/>
      </w:r>
      <w:r>
        <w:rPr>
          <w:rFonts w:ascii="IRNazanin" w:hAnsi="IRNazanin" w:eastAsia="IRNazanin"/>
          <w:color w:val="111111"/>
          <w:sz w:val="28"/>
          <w:sz w:val="28"/>
          <w:szCs w:val="28"/>
          <w:rtl w:val="true"/>
          <w:lang w:bidi="fa-IR"/>
        </w:rPr>
        <w:t xml:space="preserve">و ظاهر الوسیلة </w:t>
      </w:r>
      <w:r>
        <w:rPr>
          <w:rStyle w:val="FootnoteAnchor"/>
          <w:rtl w:val="true"/>
        </w:rPr>
        <w:footnoteReference w:id="560"/>
      </w:r>
      <w:r>
        <w:rPr>
          <w:rFonts w:ascii="IRNazanin" w:hAnsi="IRNazanin" w:eastAsia="IRNazanin"/>
          <w:color w:val="111111"/>
          <w:sz w:val="28"/>
          <w:sz w:val="28"/>
          <w:szCs w:val="28"/>
          <w:rtl w:val="true"/>
          <w:lang w:bidi="fa-IR"/>
        </w:rPr>
        <w:t xml:space="preserve">و البیان </w:t>
      </w:r>
      <w:r>
        <w:rPr>
          <w:rStyle w:val="FootnoteAnchor"/>
          <w:rtl w:val="true"/>
        </w:rPr>
        <w:footnoteReference w:id="561"/>
      </w:r>
      <w:r>
        <w:rPr>
          <w:rFonts w:ascii="IRNazanin" w:hAnsi="IRNazanin" w:eastAsia="IRNazanin"/>
          <w:color w:val="111111"/>
          <w:sz w:val="28"/>
          <w:sz w:val="28"/>
          <w:szCs w:val="28"/>
          <w:rtl w:val="true"/>
          <w:lang w:bidi="fa-IR"/>
        </w:rPr>
        <w:t xml:space="preserve">و محکی المسالک </w:t>
      </w:r>
      <w:r>
        <w:rPr>
          <w:rStyle w:val="FootnoteAnchor"/>
          <w:rtl w:val="true"/>
        </w:rPr>
        <w:footnoteReference w:id="562"/>
      </w:r>
      <w:r>
        <w:rPr>
          <w:rFonts w:ascii="Amiri" w:hAnsi="Amiri" w:eastAsia="Amiri" w:cs="Amiri"/>
          <w:color w:val="111111"/>
          <w:sz w:val="28"/>
          <w:sz w:val="28"/>
          <w:szCs w:val="28"/>
          <w:rtl w:val="true"/>
          <w:lang w:bidi="ar-SA"/>
        </w:rPr>
        <w:t xml:space="preserve">و جماعة ممّن تأخّر عنهم </w:t>
      </w:r>
      <w:r>
        <w:rPr>
          <w:rStyle w:val="FootnoteAnchor"/>
          <w:rtl w:val="true"/>
        </w:rPr>
        <w:footnoteReference w:id="563"/>
      </w:r>
      <w:r>
        <w:rPr>
          <w:rFonts w:ascii="IRNazanin" w:hAnsi="IRNazanin" w:eastAsia="IRNazanin"/>
          <w:color w:val="111111"/>
          <w:sz w:val="28"/>
          <w:sz w:val="28"/>
          <w:szCs w:val="28"/>
          <w:rtl w:val="true"/>
          <w:lang w:bidi="fa-IR"/>
        </w:rPr>
        <w:t xml:space="preserve">، بل عن غیر واحد </w:t>
      </w:r>
      <w:r>
        <w:rPr>
          <w:rStyle w:val="FootnoteAnchor"/>
          <w:rtl w:val="true"/>
        </w:rPr>
        <w:footnoteReference w:id="564"/>
      </w:r>
      <w:r>
        <w:rPr>
          <w:rFonts w:ascii="IRNazanin" w:hAnsi="IRNazanin" w:eastAsia="IRNazanin"/>
          <w:color w:val="111111"/>
          <w:sz w:val="28"/>
          <w:sz w:val="28"/>
          <w:szCs w:val="28"/>
          <w:rtl w:val="true"/>
          <w:lang w:bidi="fa-IR"/>
        </w:rPr>
        <w:t xml:space="preserve">حکایة الاتّفاق علیه، و هو الظاهر من السرائر </w:t>
      </w:r>
      <w:r>
        <w:rPr>
          <w:rStyle w:val="FootnoteAnchor"/>
          <w:rtl w:val="true"/>
        </w:rPr>
        <w:footnoteReference w:id="565"/>
      </w:r>
      <w:r>
        <w:rPr>
          <w:rFonts w:ascii="IRNazanin" w:hAnsi="IRNazanin" w:eastAsia="IRNazanin"/>
          <w:color w:val="111111"/>
          <w:sz w:val="28"/>
          <w:sz w:val="28"/>
          <w:szCs w:val="28"/>
          <w:rtl w:val="true"/>
          <w:lang w:bidi="fa-IR"/>
        </w:rPr>
        <w:t xml:space="preserve">لمرسلة جمیل </w:t>
      </w:r>
      <w:r>
        <w:rPr>
          <w:rStyle w:val="FootnoteAnchor"/>
          <w:rtl w:val="true"/>
        </w:rPr>
        <w:footnoteReference w:id="566"/>
      </w:r>
      <w:r>
        <w:rPr>
          <w:rFonts w:ascii="IRNazanin" w:hAnsi="IRNazanin" w:eastAsia="IRNazanin"/>
          <w:color w:val="111111"/>
          <w:sz w:val="28"/>
          <w:sz w:val="28"/>
          <w:szCs w:val="28"/>
          <w:rtl w:val="true"/>
          <w:lang w:bidi="fa-IR"/>
        </w:rPr>
        <w:t xml:space="preserve">، و فحوی ما رواه فی باب الصوم من الفقیه من کفایة غسل الجمعة لمن نسی غسل الجنابة </w:t>
      </w:r>
      <w:r>
        <w:rPr>
          <w:rStyle w:val="FootnoteAnchor"/>
          <w:rtl w:val="true"/>
        </w:rPr>
        <w:footnoteReference w:id="567"/>
      </w:r>
      <w:r>
        <w:rPr>
          <w:rFonts w:ascii="Amiri" w:hAnsi="Amiri" w:eastAsia="Amiri" w:cs="Amiri"/>
          <w:color w:val="111111"/>
          <w:sz w:val="28"/>
          <w:sz w:val="28"/>
          <w:szCs w:val="28"/>
          <w:rtl w:val="true"/>
          <w:lang w:bidi="ar-SA"/>
        </w:rPr>
        <w:t>المعتضدة بحصول المقصود من الغسل</w:t>
      </w:r>
    </w:p>
    <w:p>
      <w:pPr>
        <w:pStyle w:val="BookText"/>
        <w:rPr/>
      </w:pPr>
      <w:r>
        <w:rPr>
          <w:rFonts w:ascii="IRNazanin" w:hAnsi="IRNazanin" w:eastAsia="IRNazanin"/>
          <w:color w:val="111111"/>
          <w:sz w:val="28"/>
          <w:sz w:val="28"/>
          <w:szCs w:val="28"/>
          <w:rtl w:val="true"/>
          <w:lang w:bidi="fa-IR"/>
        </w:rPr>
        <w:t>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التعویل علی المرسلة سندا و دلالة فی مقابل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بنیّة</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أو المنجبر أو المؤیّد بأصالة عدم السقوط حتّی علی القول بالتداخل؛ لأنّ المسلّم منه إیجاد الفعل الواحد بقصد امتثال طلبین لا کفایة امتثال خصوص أحد الطلبین عن الآخر مع عدم قصد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الفحوی، ففی أصلها مع اختصاصه بالناسی منع، کدعوی حصول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اتّجه استشکال المحقّق فی المعتبر </w:t>
      </w:r>
      <w:r>
        <w:rPr>
          <w:rStyle w:val="FootnoteAnchor"/>
          <w:rtl w:val="true"/>
        </w:rPr>
        <w:footnoteReference w:id="570"/>
      </w:r>
      <w:r>
        <w:rPr>
          <w:rFonts w:ascii="Amiri" w:hAnsi="Amiri" w:eastAsia="Amiri" w:cs="Amiri"/>
          <w:color w:val="111111"/>
          <w:sz w:val="28"/>
          <w:sz w:val="28"/>
          <w:szCs w:val="28"/>
          <w:rtl w:val="true"/>
          <w:lang w:bidi="ar-SA"/>
        </w:rPr>
        <w:t xml:space="preserve">، بل منع العلّامة </w:t>
      </w:r>
      <w:r>
        <w:rPr>
          <w:rStyle w:val="FootnoteAnchor"/>
          <w:rtl w:val="true"/>
        </w:rPr>
        <w:footnoteReference w:id="57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572"/>
      </w:r>
      <w:r>
        <w:rPr>
          <w:rFonts w:ascii="IRNazanin" w:hAnsi="IRNazanin" w:eastAsia="IRNazanin"/>
          <w:color w:val="111111"/>
          <w:sz w:val="28"/>
          <w:sz w:val="28"/>
          <w:szCs w:val="28"/>
          <w:rtl w:val="true"/>
          <w:lang w:bidi="fa-IR"/>
        </w:rPr>
        <w:t xml:space="preserve">و غیرهما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 حکم غیر غسل الجنابة من الأغسال الواجبة، بل یعلم حکم ما إذا نوی خصوص المستحبّ و أنّه لا یجزی عن الواجب لعدم الدلیل علیه حتّی المرسلة عدا بعض الإطلاقات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دعوی ظهورها أو انصرافها إلی الغسل الواقع بنیّة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 من روایة الفقیه</w:t>
      </w:r>
    </w:p>
    <w:p>
      <w:pPr>
        <w:pStyle w:val="BookText"/>
        <w:rPr/>
      </w:pPr>
      <w:r>
        <w:rPr>
          <w:rFonts w:ascii="IRNazanin" w:hAnsi="IRNazanin" w:eastAsia="IRNazanin"/>
          <w:color w:val="111111"/>
          <w:sz w:val="28"/>
          <w:sz w:val="28"/>
          <w:szCs w:val="28"/>
          <w:rtl w:val="true"/>
          <w:lang w:bidi="fa-IR"/>
        </w:rPr>
        <w:t>المختصّة بالناسی الغیر المقاومة لمثلها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الظاهر صحّة ذلک الغسل؛ للإطلاقات، خلافا للشیخ فی المبسوط </w:t>
      </w:r>
      <w:r>
        <w:rPr>
          <w:rStyle w:val="FootnoteAnchor"/>
          <w:rtl w:val="true"/>
        </w:rPr>
        <w:footnoteReference w:id="574"/>
      </w:r>
      <w:r>
        <w:rPr>
          <w:rFonts w:ascii="IRNazanin" w:hAnsi="IRNazanin" w:eastAsia="IRNazanin"/>
          <w:color w:val="111111"/>
          <w:sz w:val="28"/>
          <w:sz w:val="28"/>
          <w:szCs w:val="28"/>
          <w:rtl w:val="true"/>
          <w:lang w:bidi="fa-IR"/>
        </w:rPr>
        <w:t>لأنّ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التنظیف، و هو کمال لا یحصل إلّا للمتطهر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Style w:val="FootnoteAnchor"/>
          <w:rtl w:val="true"/>
        </w:rPr>
        <w:footnoteReference w:id="575"/>
      </w:r>
      <w:r>
        <w:rPr>
          <w:rFonts w:ascii="IRNazanin" w:hAnsi="IRNazanin" w:eastAsia="IRNazanin"/>
          <w:color w:val="111111"/>
          <w:sz w:val="28"/>
          <w:sz w:val="28"/>
          <w:szCs w:val="28"/>
          <w:rtl w:val="true"/>
          <w:lang w:bidi="fa-IR"/>
        </w:rPr>
        <w:t>نهوض هذا الوجه لتقیید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بملاحظة ما ورد فی المستفیضة من استحباب غسل الإحرام للحائض </w:t>
      </w:r>
      <w:r>
        <w:rPr>
          <w:rStyle w:val="FootnoteAnchor"/>
          <w:rtl w:val="true"/>
        </w:rPr>
        <w:footnoteReference w:id="576"/>
      </w:r>
      <w:r>
        <w:rPr>
          <w:rFonts w:ascii="IRNazanin" w:hAnsi="IRNazanin" w:eastAsia="IRNazanin"/>
          <w:color w:val="111111"/>
          <w:sz w:val="28"/>
          <w:sz w:val="28"/>
          <w:szCs w:val="28"/>
          <w:rtl w:val="true"/>
          <w:lang w:bidi="fa-IR"/>
        </w:rPr>
        <w:t>، الکاشف عن معقولیّة حصول التنظیف للمحدث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واضح، فلا مانع عن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نوی الواجب و المستحبّ کلیهما، فظاهر المشهور الإجزاء عن کلیهما، بل فی الخلاف الإجماع علی إجزاء غسل واحد للجنابة و الجمعة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ما تقدّم من روایة الحقوق </w:t>
      </w:r>
      <w:r>
        <w:rPr>
          <w:rStyle w:val="FootnoteAnchor"/>
          <w:rtl w:val="true"/>
        </w:rPr>
        <w:footnoteReference w:id="578"/>
      </w:r>
      <w:r>
        <w:rPr>
          <w:rFonts w:ascii="IRNazanin" w:hAnsi="IRNazanin" w:eastAsia="IRNazanin"/>
          <w:color w:val="111111"/>
          <w:sz w:val="28"/>
          <w:sz w:val="28"/>
          <w:szCs w:val="28"/>
          <w:rtl w:val="true"/>
          <w:lang w:bidi="fa-IR"/>
        </w:rPr>
        <w:t xml:space="preserve">، و حیث دلّت تلک الروایة علی تعدد الحقوق و التکالیف و کفایة الواحد فی امتثال الجمیع کشفت </w:t>
      </w:r>
      <w:r>
        <w:rPr>
          <w:rStyle w:val="FootnoteAnchor"/>
          <w:rtl w:val="true"/>
        </w:rPr>
        <w:footnoteReference w:id="579"/>
      </w:r>
      <w:r>
        <w:rPr>
          <w:rFonts w:ascii="IRNazanin" w:hAnsi="IRNazanin" w:eastAsia="IRNazanin"/>
          <w:color w:val="111111"/>
          <w:sz w:val="28"/>
          <w:sz w:val="28"/>
          <w:szCs w:val="28"/>
          <w:rtl w:val="true"/>
          <w:lang w:bidi="fa-IR"/>
        </w:rPr>
        <w:t>عن کون حقائق تلک الأغسال قابلة للتصادق، و حینئذ فیجتمع فی الفرد الواحد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نظیر مصادیق عنوانی الواجب و المستحبّ فی الموارد الشرعیّة و العرفیّة، کما إذا أمر السیّد بإکرام زید وجوبا و إکرام عمرو</w:t>
      </w:r>
    </w:p>
    <w:p>
      <w:pPr>
        <w:pStyle w:val="BookText"/>
        <w:rPr/>
      </w:pPr>
      <w:r>
        <w:rPr>
          <w:rFonts w:ascii="IRNazanin" w:hAnsi="IRNazanin" w:eastAsia="IRNazanin"/>
          <w:color w:val="111111"/>
          <w:sz w:val="28"/>
          <w:sz w:val="28"/>
          <w:szCs w:val="28"/>
          <w:rtl w:val="true"/>
          <w:lang w:bidi="fa-IR"/>
        </w:rPr>
        <w:t>استحبابا فأکرم رجلا کان إکرامه إکراما لهما بقصد امتثال الأمرین، و لا یعدّ مثل ذلک من اجتماع الحکمین المتضادّین أعنی الوجوب و الاستحباب؛ لأنّ المجتمع هو جهتهما لا أنفسهما، کما إذا أتی بفرد واحد یکون مصداقا لواجبین؛ فإنّ المثلین کالضدّین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یشکل بناء علی اعتبار نیّة الوجه فی الواجبات و المستحبّات، فإنّ نیّة الأمرین هنا غیر ممکنة، و لهذا استشکل نیّة الجمیع فی المقام بعضهم و أبطلها آخرون، ففی محکی الجامع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نوی </w:t>
      </w:r>
      <w:r>
        <w:rPr>
          <w:rStyle w:val="FootnoteAnchor"/>
          <w:rtl w:val="true"/>
        </w:rPr>
        <w:footnoteReference w:id="580"/>
      </w:r>
      <w:r>
        <w:rPr>
          <w:rFonts w:ascii="IRNazanin" w:hAnsi="IRNazanin" w:eastAsia="IRNazanin"/>
          <w:color w:val="111111"/>
          <w:sz w:val="28"/>
          <w:sz w:val="28"/>
          <w:szCs w:val="28"/>
          <w:rtl w:val="true"/>
          <w:lang w:bidi="fa-IR"/>
        </w:rPr>
        <w:t>الواجب و المندوب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عنهما،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لأنّ الفعل الواحد لا یکون واجبا و ندبا </w:t>
      </w:r>
      <w:r>
        <w:rPr>
          <w:rStyle w:val="FootnoteAnchor"/>
          <w:rtl w:val="true"/>
        </w:rPr>
        <w:footnoteReference w:id="58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جزم العلّامة فی کثیر من کتبه بالبطلان </w:t>
      </w:r>
      <w:r>
        <w:rPr>
          <w:rStyle w:val="FootnoteAnchor"/>
          <w:rtl w:val="true"/>
        </w:rPr>
        <w:footnoteReference w:id="582"/>
      </w:r>
      <w:r>
        <w:rPr>
          <w:rFonts w:ascii="IRNazanin" w:hAnsi="IRNazanin" w:eastAsia="IRNazanin"/>
          <w:color w:val="111111"/>
          <w:sz w:val="28"/>
          <w:sz w:val="28"/>
          <w:szCs w:val="28"/>
          <w:rtl w:val="true"/>
          <w:lang w:bidi="fa-IR"/>
        </w:rPr>
        <w:t xml:space="preserve">، و علله فی المختلف بأنّه إن نوی الوجوب عن الجمعة و الجنابة لا یجزی </w:t>
      </w:r>
      <w:r>
        <w:rPr>
          <w:rStyle w:val="FootnoteAnchor"/>
          <w:rtl w:val="true"/>
        </w:rPr>
        <w:footnoteReference w:id="583"/>
      </w:r>
      <w:r>
        <w:rPr>
          <w:rFonts w:ascii="IRNazanin" w:hAnsi="IRNazanin" w:eastAsia="IRNazanin"/>
          <w:color w:val="111111"/>
          <w:sz w:val="28"/>
          <w:sz w:val="28"/>
          <w:szCs w:val="28"/>
          <w:rtl w:val="true"/>
          <w:lang w:bidi="fa-IR"/>
        </w:rPr>
        <w:t xml:space="preserve">لأنّه نوی الوجوب عما </w:t>
      </w:r>
      <w:r>
        <w:rPr>
          <w:rStyle w:val="FootnoteAnchor"/>
          <w:rtl w:val="true"/>
        </w:rPr>
        <w:footnoteReference w:id="584"/>
      </w:r>
      <w:r>
        <w:rPr>
          <w:rFonts w:ascii="IRNazanin" w:hAnsi="IRNazanin" w:eastAsia="IRNazanin"/>
          <w:color w:val="111111"/>
          <w:sz w:val="28"/>
          <w:sz w:val="28"/>
          <w:szCs w:val="28"/>
          <w:rtl w:val="true"/>
          <w:lang w:bidi="fa-IR"/>
        </w:rPr>
        <w:t xml:space="preserve">لیس بواجب، و إن نوی الندب لم یوقع غسل الجنابة علی وجهه، و إن نواهما معا کان الفعل الواحد قد نوی فیه </w:t>
      </w:r>
      <w:r>
        <w:rPr>
          <w:rStyle w:val="FootnoteAnchor"/>
          <w:rtl w:val="true"/>
        </w:rPr>
        <w:footnoteReference w:id="585"/>
      </w:r>
      <w:r>
        <w:rPr>
          <w:rFonts w:ascii="IRNazanin" w:hAnsi="IRNazanin" w:eastAsia="IRNazanin"/>
          <w:color w:val="111111"/>
          <w:sz w:val="28"/>
          <w:sz w:val="28"/>
          <w:szCs w:val="28"/>
          <w:rtl w:val="true"/>
          <w:lang w:bidi="fa-IR"/>
        </w:rPr>
        <w:t xml:space="preserve">الوجوب و الندب </w:t>
      </w:r>
      <w:r>
        <w:rPr>
          <w:rStyle w:val="FootnoteAnchor"/>
          <w:rtl w:val="true"/>
        </w:rPr>
        <w:footnoteReference w:id="586"/>
      </w:r>
      <w:r>
        <w:rPr>
          <w:rFonts w:ascii="IRNazanin" w:hAnsi="IRNazanin" w:eastAsia="IRNazanin"/>
          <w:color w:val="111111"/>
          <w:sz w:val="28"/>
          <w:sz w:val="28"/>
          <w:szCs w:val="28"/>
          <w:rtl w:val="true"/>
          <w:lang w:bidi="fa-IR"/>
        </w:rPr>
        <w:t xml:space="preserve">فلا یقع علیهما و لا علی أحدهما؛ لأنّه ترجیح بلا مرجّح </w:t>
      </w:r>
      <w:r>
        <w:rPr>
          <w:rStyle w:val="FootnoteAnchor"/>
          <w:rtl w:val="true"/>
        </w:rPr>
        <w:footnoteReference w:id="5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مشکل؛ لتضادّ وجهی الوجوب و الندب </w:t>
      </w:r>
      <w:r>
        <w:rPr>
          <w:rStyle w:val="FootnoteAnchor"/>
          <w:rtl w:val="true"/>
        </w:rPr>
        <w:footnoteReference w:id="588"/>
      </w:r>
      <w:r>
        <w:rPr>
          <w:rFonts w:ascii="IRNazanin" w:hAnsi="IRNazanin" w:eastAsia="IRNazanin"/>
          <w:color w:val="111111"/>
          <w:sz w:val="28"/>
          <w:sz w:val="28"/>
          <w:szCs w:val="28"/>
          <w:rtl w:val="true"/>
          <w:lang w:bidi="fa-IR"/>
        </w:rPr>
        <w:t>، و عن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نوی الجنابة و الجمعة بطل؛ لتنافی الفعلین </w:t>
      </w:r>
      <w:r>
        <w:rPr>
          <w:rStyle w:val="FootnoteAnchor"/>
          <w:rtl w:val="true"/>
        </w:rPr>
        <w:footnoteReference w:id="589"/>
      </w:r>
      <w:r>
        <w:rPr>
          <w:rFonts w:ascii="IRNazanin" w:hAnsi="IRNazanin" w:eastAsia="IRNazanin"/>
          <w:color w:val="111111"/>
          <w:sz w:val="28"/>
          <w:sz w:val="28"/>
          <w:szCs w:val="28"/>
          <w:rtl w:val="true"/>
          <w:lang w:bidi="fa-IR"/>
        </w:rPr>
        <w:t xml:space="preserve">، و ذکر فی الروض </w:t>
      </w:r>
      <w:r>
        <w:rPr>
          <w:rStyle w:val="FootnoteAnchor"/>
          <w:rtl w:val="true"/>
        </w:rPr>
        <w:footnoteReference w:id="590"/>
      </w:r>
      <w:r>
        <w:rPr>
          <w:rFonts w:ascii="IRNazanin" w:hAnsi="IRNazanin" w:eastAsia="IRNazanin"/>
          <w:color w:val="111111"/>
          <w:sz w:val="28"/>
          <w:sz w:val="28"/>
          <w:szCs w:val="28"/>
          <w:rtl w:val="true"/>
          <w:lang w:bidi="fa-IR"/>
        </w:rPr>
        <w:t>ما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تداخل الواجب و الندب إن کان الواجب غسل الجنابة للنصّ، و إلّا فلا؛ لتضادّ الأحکام </w:t>
      </w:r>
      <w:r>
        <w:rPr>
          <w:rStyle w:val="FootnoteAnchor"/>
          <w:rtl w:val="true"/>
        </w:rPr>
        <w:footnoteReference w:id="5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تصدّی جماعة من الأصحاب لدفع هذا الإشکال، فدفعه فی الذکری بأنّ نیّة الوجوب یستلزم نیّة الندب لاشتراکهما فی الترجیح، و لا یضرّ اعتقاد منع الترک؛ لأنّه مؤکّد للغایة، و مثله الصلاة علی جنازتی بالغ و صبیّ بل مطلق الصلاة الواجبة </w:t>
      </w:r>
      <w:r>
        <w:rPr>
          <w:rStyle w:val="FootnoteAnchor"/>
          <w:rtl w:val="true"/>
        </w:rPr>
        <w:footnoteReference w:id="5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الواجبة من حیث اشتمالها علی الأفعال المندوبة، کما سیجی‌ء من الروض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هنا قد اختاره فی الذکری فی مسألة الصلاة علی الموتی،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جواز الجمع بین من یجب علیه و من یستحبّ؛ لإطلاق الأخبار فی ذلک، فحینئذ یمکن الاکتفاء بنیّة الوجوب لزیادة الندب تأکیدا، و یمکن أن ینوی الوجهین معا بالتوزیع، قاله فی التذکرة؛ لعدم التنافی</w:t>
      </w:r>
    </w:p>
    <w:p>
      <w:pPr>
        <w:pStyle w:val="BookText"/>
        <w:rPr/>
      </w:pPr>
      <w:r>
        <w:rPr>
          <w:rFonts w:ascii="IRNazanin" w:hAnsi="IRNazanin" w:eastAsia="IRNazanin"/>
          <w:color w:val="111111"/>
          <w:sz w:val="28"/>
          <w:sz w:val="28"/>
          <w:szCs w:val="28"/>
          <w:rtl w:val="true"/>
          <w:lang w:bidi="fa-IR"/>
        </w:rPr>
        <w:t>لاختلاف الاعتبارین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یشکل بأنّه فعل واحد عن مکلّف واحد فکیف یقع علی وجهین </w:t>
      </w:r>
      <w:r>
        <w:rPr>
          <w:rStyle w:val="FootnoteAnchor"/>
          <w:rtl w:val="true"/>
        </w:rPr>
        <w:footnoteReference w:id="59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بما فی التذکرة إلی قول العلّامة فیها فی الصلاة الواحدة علی المتعدّد من الأموات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کانوا مختلفین فی الحکم بأن وجب علی بعضهم و استحبّ علی آخر لم یجز جمعهم بنیّة متّحدة الوجه، و لو قیل بإجزاء الواحدة المشتملة علی الوجهین بالتقسیط أمکن </w:t>
      </w:r>
      <w:r>
        <w:rPr>
          <w:rStyle w:val="FootnoteAnchor"/>
          <w:rtl w:val="true"/>
        </w:rPr>
        <w:footnoteReference w:id="59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قواعد الشهید بعد ما تقدّم من الحکم بالبطلان </w:t>
      </w:r>
      <w:r>
        <w:rPr>
          <w:rStyle w:val="FootnoteAnchor"/>
          <w:rtl w:val="true"/>
        </w:rPr>
        <w:footnoteReference w:id="596"/>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الإجزاء؛ لأنّ نیّة الوجوب هی المقصودة فتلغو نیّة الندب،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یقعان؛ فإنّ غایة غسل الجنابة رفع الحدث و غایة غسل الجمعة النظافة، فهو کضمّ التبرّد إلی التقرّب </w:t>
      </w:r>
      <w:r>
        <w:rPr>
          <w:rStyle w:val="FootnoteAnchor"/>
          <w:rtl w:val="true"/>
        </w:rPr>
        <w:footnoteReference w:id="59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نیّة الوجوب هی المقصودة یحتمل رجوعه إلی ما فی الذکری، و یحتمل کونه وجها ثالثا فی رفع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الروض بعد تقویة اعتبار نیّة السبب فی الغسل المندوب قال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سقوط اعتبار السبب هنا و دخوله تحت الوجوب کما فی الأذکار المندوبة خلال الصلاة الواجبة، و الصلاة علی جنازتی من زاد علی الستّ و من نقص </w:t>
      </w:r>
      <w:r>
        <w:rPr>
          <w:rStyle w:val="FootnoteAnchor"/>
          <w:rtl w:val="true"/>
        </w:rPr>
        <w:footnoteReference w:id="59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الإشکال هنا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الفعل الواحد محکوما بالوجوب و الاستحباب و إن لم یعتبر نیّة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نیّة الوجوب و الندب معا فی الفعل الواحد، و منشأ التنافی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تقرّر فی موضعه عدم اجتماع حکمین فعلیین علی فعل واحد، سواء کانا متضادّین کالوجوب و غیره أم متماثلین کوجوبین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اتّصاف غسل واحد بالوجوب و الاستحباب الفعلیین لا یجوز فکذا لا یجوز اتّصافه بوجوبین، و کما یمکن اجتماع جهتی وجوبین فی فعل واحد بأن یکون عنوانا لکلّیین واجبین کذلک یمکن اجتماع جهتی وجوب و ندب فیه، کإطاعة الوالد و إجابة الصدیق المجتمعین فی فعل واحد، و لا ریب أنّ غسل الجمعة و غسل الجنابة إذا قلنا بکونهما مفهومین متصادقین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روایة الحقوق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مصداقهما مجمعا لجهتی الوجوب و الندب لا لنفس الوجوب و الندب الفعلیین، بل الفعل متّصف فعلا بالوجوب دون الاستحباب؛ لأنّ وجود الجهة المانعة من الترک لا یزاحمه وجود جهة أخری غیر مانعة من الترک بخلاف العکس، و حینئذ فإن اعتبرنا فی العبادة نیّة الوجوب أو الندب لم ینو هنا إلّا الوجوب، و لو اکتفینا بنیّة وجههما بالمعنی المتقدّم فی مسائل النیّة نواهما معا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تطبیق ما ذکرنا علی جمیع ما ذکره الشهید، فإنّ مراده من لغویة نیّة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الفائدة فیه؛ لأنّ الفعل غیر متّصف بالفعل</w:t>
      </w:r>
    </w:p>
    <w:p>
      <w:pPr>
        <w:pStyle w:val="BookText"/>
        <w:rPr/>
      </w:pPr>
      <w:r>
        <w:rPr>
          <w:rFonts w:ascii="IRNazanin" w:hAnsi="IRNazanin" w:eastAsia="IRNazanin"/>
          <w:color w:val="111111"/>
          <w:sz w:val="28"/>
          <w:sz w:val="28"/>
          <w:szCs w:val="28"/>
          <w:rtl w:val="true"/>
          <w:lang w:bidi="fa-IR"/>
        </w:rPr>
        <w:t>إلّا بالوجوب، و إن کان الجهة النادبة موجودة فیه، و مراده من وقوعهما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الغایتین المقصودتین من الواجب و المندوب، و مراده من تأکّد الوجوب بالندب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جهته، من حیث إنّ الرجحان یصیر آکد من دون معارضة المصلحة؛ إذ الندب یحتاج إلی مصلحة غیر مانعة من الترک أو مجوّزة للفعل من جهته لا من جمیع الجهات حتّی یعارض الجهة الموجبة؛ و لذا یسقط الاستحباب بمجرّد طریان سبب الوجوب الأصلیّ بسبب النذر أو المقدّمی بسبب صیرورته مقدّمة 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مراد العلّامة رحمه اللّٰه فی التذکرة من نیّة الوجهین فی الصلاة الواحدة علی البالغ ستّا و الناقص عنها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یتأتّی علی مذهب من جوّز اجتماع الحکمین المتضادّین فی فعل واحد من جهتین نیّة الوجوب و الندب الفعلیین، و لهذا تفصّی بعضهم عن هذا الإشکال، لکن الظاهر أنّ العلّامة لا یقول بذلک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فی الروض من التمثیل بالصلاة الواجبة المشتملة علی الأذکار المندوبة </w:t>
      </w:r>
      <w:r>
        <w:rPr>
          <w:rStyle w:val="FootnoteAnchor"/>
          <w:rtl w:val="true"/>
        </w:rPr>
        <w:footnoteReference w:id="601"/>
      </w:r>
      <w:r>
        <w:rPr>
          <w:rFonts w:ascii="IRNazanin" w:hAnsi="IRNazanin" w:eastAsia="IRNazanin"/>
          <w:color w:val="111111"/>
          <w:sz w:val="28"/>
          <w:sz w:val="28"/>
          <w:szCs w:val="28"/>
          <w:rtl w:val="true"/>
          <w:lang w:bidi="fa-IR"/>
        </w:rPr>
        <w:t xml:space="preserve">من حیث إنّ تلک الصلاة فرد من مطلق الصلاة فیجب و مشتملة علی المندوب فیکون مندوبة لجواز ترکها لا إلی بدل فإنّ المقتصر فیها علی الواجب هو بدل عن مجموع الأجزاء الواجبة الموجودة فی الفرد المشتمل علی المندوب لا عن مجموع الواجب و المندوب، و </w:t>
      </w:r>
      <w:r>
        <w:rPr>
          <w:rStyle w:val="FootnoteAnchor"/>
          <w:rtl w:val="true"/>
        </w:rPr>
        <w:footnoteReference w:id="602"/>
      </w:r>
      <w:r>
        <w:rPr>
          <w:rFonts w:ascii="IRNazanin" w:hAnsi="IRNazanin" w:eastAsia="IRNazanin"/>
          <w:color w:val="111111"/>
          <w:sz w:val="28"/>
          <w:sz w:val="28"/>
          <w:szCs w:val="28"/>
          <w:rtl w:val="true"/>
          <w:lang w:bidi="fa-IR"/>
        </w:rPr>
        <w:t>یمکن أن یرید أنّ المقصود أصالة هو الواجب، و المندوب إنّما یؤتی به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الاحتمال الأوّل أنسب فعطف </w:t>
      </w:r>
      <w:r>
        <w:rPr>
          <w:rStyle w:val="FootnoteAnchor"/>
          <w:rtl w:val="true"/>
        </w:rPr>
        <w:footnoteReference w:id="603"/>
      </w:r>
      <w:r>
        <w:rPr>
          <w:rFonts w:ascii="IRNazanin" w:hAnsi="IRNazanin" w:eastAsia="IRNazanin"/>
          <w:color w:val="111111"/>
          <w:sz w:val="28"/>
          <w:sz w:val="28"/>
          <w:szCs w:val="28"/>
          <w:rtl w:val="true"/>
          <w:lang w:bidi="fa-IR"/>
        </w:rPr>
        <w:t xml:space="preserve">هذا المثال علی مثال الصلاة علی بالغ و غیره، و الثانی هو الذی صرّح به فی القواعد، حیث علّل الاکتفاء بنیّة الوجوب بأنّ المندوب فی حکم التابع </w:t>
      </w:r>
      <w:r>
        <w:rPr>
          <w:rStyle w:val="FootnoteAnchor"/>
          <w:rtl w:val="true"/>
        </w:rPr>
        <w:footnoteReference w:id="604"/>
      </w:r>
      <w:r>
        <w:rPr>
          <w:rFonts w:ascii="IRNazanin" w:hAnsi="IRNazanin" w:eastAsia="IRNazanin"/>
          <w:color w:val="111111"/>
          <w:sz w:val="28"/>
          <w:sz w:val="28"/>
          <w:szCs w:val="28"/>
          <w:rtl w:val="true"/>
          <w:lang w:bidi="fa-IR"/>
        </w:rPr>
        <w:t xml:space="preserve">و نیّة المتبوع تغنی عن نیّة التابع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المحکی عن صاحب الذخیرة أنّه تفصّی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لمّا دلّ علی الاجتزاء بغسل واحد عن الغسلین یلزم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الوظیفتین تتأدّی بالأخری، بمعنی أنّه یحصل له ثوابها و إن لم یکن من أفرادها حقیقة، کما تتأدّی صلاة التحیّة بالفریضة و الصوم المستحبّ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علی استحباب غسل الجمعة مخصّص بصورة لا یحصل سبب الوجوب، و المراد من کونه مستحبّا أنّه مستحبّ من حیث نفسه مع قطع النظر عن طریان العارض المقتضی للوجوب </w:t>
      </w:r>
      <w:r>
        <w:rPr>
          <w:rStyle w:val="FootnoteAnchor"/>
          <w:rtl w:val="true"/>
        </w:rPr>
        <w:footnoteReference w:id="60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الأوّل إلی وجوب قصد خصوص الجنابة لا کلیهما، و الإشکال مفروض فی الثانی دون الأوّل، و أمّا الثانی فإن أرید به وجوب غسل الجمعة لعارض فهو بعید جدّا، و إن أرید وجوبه من حیث مصادقته مع عنوان واجب فالإشکال فی أنّه محکوم بالاستحباب المضادّ للوجوب أوّلا، فلا یجوز قصده و المفروض قصد الغسلین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الوجهین ما ذکره بعض المعاصرین </w:t>
      </w:r>
      <w:r>
        <w:rPr>
          <w:rStyle w:val="FootnoteAnchor"/>
          <w:rtl w:val="true"/>
        </w:rPr>
        <w:footnoteReference w:id="607"/>
      </w:r>
      <w:r>
        <w:rPr>
          <w:rFonts w:ascii="IRNazanin" w:hAnsi="IRNazanin" w:eastAsia="IRNazanin"/>
          <w:color w:val="111111"/>
          <w:sz w:val="28"/>
          <w:sz w:val="28"/>
          <w:szCs w:val="28"/>
          <w:rtl w:val="true"/>
          <w:lang w:bidi="fa-IR"/>
        </w:rPr>
        <w:t>و هو أنّ هذا الفرد لیس مصداقا للکلّیین حتّی یلزم الإشکال، بل هو أمر خارج عنهما، فهو من قبیل فرد لکلّی آخر اجتزأ الشارع به عن الواجب و المندوب، لکن لمّا شابههما فی الصورة سمّی بالتداخل، و إلّا فهو لیس غسل جنابة و غسل جمعة لیرد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الغسل واجب أو مستحبّ أو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حیث یقوم مقام الأغسال الواجبة فهو أحد فردی الواجب المخیّر، بمعنی أنّ المکلّف مخیّر بین أن یأتی بالفعلین أو بالفعل الواحد المجزی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یقوم مقام الواجب و المندوب فهو مندوب محضا؛ لأنّه یجوز ترکه لا إلی بدل؛ لأنّ بدله الواجب و المستحبّ جمیعا یجوز ترکه و الاقتصار </w:t>
      </w:r>
      <w:r>
        <w:rPr>
          <w:rStyle w:val="FootnoteAnchor"/>
          <w:rtl w:val="true"/>
        </w:rPr>
        <w:footnoteReference w:id="608"/>
      </w:r>
      <w:r>
        <w:rPr>
          <w:rFonts w:ascii="IRNazanin" w:hAnsi="IRNazanin" w:eastAsia="IRNazanin"/>
          <w:color w:val="111111"/>
          <w:sz w:val="28"/>
          <w:sz w:val="28"/>
          <w:szCs w:val="28"/>
          <w:rtl w:val="true"/>
          <w:lang w:bidi="fa-IR"/>
        </w:rPr>
        <w:t>علی الواجب فقط، و هو لیس بدلا عنه فیجوز ترکه لا إلی بدل فلا یکون واجبا، فینوی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اشتراط نیّة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الندب فیه مع نیّة الاجتزاء به عن الواجب و المندوب، و علی عدم الاشتراط ینوی القربة مع نیّة الاجتزاء به عن الجمیع </w:t>
      </w:r>
      <w:r>
        <w:rPr>
          <w:rStyle w:val="FootnoteAnchor"/>
          <w:rtl w:val="true"/>
        </w:rPr>
        <w:footnoteReference w:id="60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الامتثال المقصود </w:t>
      </w:r>
      <w:r>
        <w:rPr>
          <w:rStyle w:val="FootnoteAnchor"/>
          <w:rtl w:val="true"/>
        </w:rPr>
        <w:footnoteReference w:id="610"/>
      </w:r>
      <w:r>
        <w:rPr>
          <w:rFonts w:ascii="IRNazanin" w:hAnsi="IRNazanin" w:eastAsia="IRNazanin"/>
          <w:color w:val="111111"/>
          <w:sz w:val="28"/>
          <w:sz w:val="28"/>
          <w:szCs w:val="28"/>
          <w:rtl w:val="true"/>
          <w:lang w:bidi="fa-IR"/>
        </w:rPr>
        <w:t>فی العبادات لا یکون إلّا بعد تعلّق الأمر بها، و الأمر بهذا الفعل الخارج عن مصداق الفعلین المأمور بکلّ</w:t>
      </w:r>
    </w:p>
    <w:p>
      <w:pPr>
        <w:pStyle w:val="BookText"/>
        <w:rPr/>
      </w:pPr>
      <w:r>
        <w:rPr>
          <w:rFonts w:ascii="IRNazanin" w:hAnsi="IRNazanin" w:eastAsia="IRNazanin"/>
          <w:color w:val="111111"/>
          <w:sz w:val="28"/>
          <w:sz w:val="28"/>
          <w:szCs w:val="28"/>
          <w:rtl w:val="true"/>
          <w:lang w:bidi="fa-IR"/>
        </w:rPr>
        <w:t>منهما بأمر مستقلّ لیس إلّا ما کشف عنه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أجزأک عنها غسل واحد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إذ لیس بعد قطع النظر عن الأمر بغسل الجنابة و الأمر بغسل الجمعة سوی ذلک، فإذا فرض تعلّق الأمر به فهذا الفعل الثالث قد اشترک مع کلّ من الغسلین فی تحقّق مصلحتهما به، فلا محالة یکون کلّ من الأمرین المتعلّق بخصوص کلّ من الغسلین أمرا تخییریا، و هذا الأمر الثالث المستفاد من حدیث التداخل أمرا تخییریا آخر، فیرجع الأمر إلی أنّ مطلوب الشارع من الجنب فی یوم الجمعة هو أحد الفردین من الغسل المنوی به خصوص الجنابة المطابق لأوامر غسل الجنابة، و من الغسل الثالث المنوی به الاجتزاء عن الجمیع المطابق للأمر المستفاد من حدیث التداخل، و أنّ مطلوب الشارع من الجنب المذکور استحبابا هو أحد الفردین من الغسل المأمور به خصوص الجمعة المطابق لأوامر غسل الجمعة، و من الغسل الثالث المنویّ به الاجتزاء عن الجمیع المطابق للأمر المستفاد من دلیل التداخل، فیرجع الأمر بالآخر إلی صیرورة هذا الفرد الثالث أحد فردی المطلوب وجوبا من الجنب المدرک لیوم الجمعة، و أحد فردی المطلوب منه ندبا، فعاد المحذور من اجتماع الحکمین المتضادّین فی فعل واحد علی وجه أشنع؛ لأنّ التخییر العقلی فی الواجب و المستحبّ یمکن القول باجتماع فردین منه فی مصداق واحد بخلاف التخییر الشرعیّ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ما عرفت سابقا من أنّ أدلّة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روایة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عن کون مفاهیم الأغسال متصادقة، فإشکال اجتماع الواجب و المستحبّ فی مصداق واحد لا محیص عنه، و طریق الدفع ما ذکره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w:t>
      </w:r>
      <w:r>
        <w:rPr>
          <w:rStyle w:val="FootnoteAnchor"/>
          <w:rtl w:val="true"/>
        </w:rPr>
        <w:footnoteReference w:id="612"/>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613"/>
      </w:r>
      <w:r>
        <w:rPr>
          <w:rFonts w:ascii="IRNazanin" w:hAnsi="IRNazanin" w:eastAsia="IRNazanin"/>
          <w:color w:val="111111"/>
          <w:sz w:val="28"/>
          <w:sz w:val="28"/>
          <w:szCs w:val="28"/>
          <w:rtl w:val="true"/>
          <w:lang w:bidi="fa-IR"/>
        </w:rPr>
        <w:t xml:space="preserve">، أو المراد اجتماع الحکمین المتضادّین کما التزمه بعض المحقّقین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bookmarkStart w:id="143" w:name="pg13035_131659"/>
    </w:p>
    <w:p>
      <w:pPr>
        <w:pStyle w:val="Heading6"/>
        <w:numPr>
          <w:ilvl w:val="5"/>
          <w:numId w:val="1"/>
        </w:numPr>
        <w:rPr/>
      </w:pPr>
      <w:bookmarkStart w:id="144" w:name="__RefHeading___Toc6369960_3224264995"/>
      <w:bookmarkStart w:id="145" w:name="_Toc57"/>
      <w:bookmarkEnd w:id="143"/>
      <w:bookmarkEnd w:id="144"/>
      <w:r>
        <w:rPr>
          <w:rtl w:val="true"/>
        </w:rPr>
        <w:t>[</w:t>
      </w:r>
      <w:r>
        <w:rPr>
          <w:rtl w:val="true"/>
        </w:rPr>
        <w:t>الفرض الثانی</w:t>
      </w:r>
      <w:r>
        <w:rPr>
          <w:rtl w:val="true"/>
        </w:rPr>
        <w:t xml:space="preserve">: </w:t>
      </w:r>
      <w:r>
        <w:rPr>
          <w:rtl w:val="true"/>
        </w:rPr>
        <w:t>غسل الوجه</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ظاهر بعضهم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یواجه به، و عن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 ذلک </w:t>
      </w:r>
      <w:r>
        <w:rPr>
          <w:rStyle w:val="FootnoteAnchor"/>
          <w:rtl w:val="true"/>
        </w:rPr>
        <w:footnoteReference w:id="616"/>
      </w:r>
      <w:r>
        <w:rPr>
          <w:rFonts w:ascii="IRNazanin" w:hAnsi="IRNazanin" w:eastAsia="IRNazanin"/>
          <w:color w:val="111111"/>
          <w:sz w:val="28"/>
          <w:sz w:val="28"/>
          <w:szCs w:val="28"/>
          <w:rtl w:val="true"/>
          <w:lang w:bidi="fa-IR"/>
        </w:rPr>
        <w:t>، و عن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مستقبل کلّ شی‌ء </w:t>
      </w:r>
      <w:r>
        <w:rPr>
          <w:rStyle w:val="FootnoteAnchor"/>
          <w:rtl w:val="true"/>
        </w:rPr>
        <w:footnoteReference w:id="617"/>
      </w:r>
      <w:r>
        <w:rPr>
          <w:rFonts w:ascii="IRNazanin" w:hAnsi="IRNazanin" w:eastAsia="IRNazanin"/>
          <w:color w:val="111111"/>
          <w:sz w:val="28"/>
          <w:sz w:val="28"/>
          <w:szCs w:val="28"/>
          <w:rtl w:val="true"/>
          <w:lang w:bidi="fa-IR"/>
        </w:rPr>
        <w:t xml:space="preserve">، و المراد به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منابت الشعر فی مقدم الرأس إلی طرف الذقن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و لا إشکال، بل نسبه فی المعتبر </w:t>
      </w:r>
      <w:r>
        <w:rPr>
          <w:rStyle w:val="FootnoteAnchor"/>
          <w:rtl w:val="true"/>
        </w:rPr>
        <w:footnoteReference w:id="618"/>
      </w:r>
      <w:r>
        <w:rPr>
          <w:rFonts w:ascii="IRNazanin" w:hAnsi="IRNazanin" w:eastAsia="IRNazanin"/>
          <w:color w:val="111111"/>
          <w:sz w:val="28"/>
          <w:sz w:val="28"/>
          <w:szCs w:val="28"/>
          <w:rtl w:val="true"/>
          <w:lang w:bidi="fa-IR"/>
        </w:rPr>
        <w:t xml:space="preserve">و المنتهی </w:t>
      </w:r>
      <w:r>
        <w:rPr>
          <w:rStyle w:val="FootnoteAnchor"/>
          <w:rtl w:val="true"/>
        </w:rPr>
        <w:footnoteReference w:id="619"/>
      </w:r>
      <w:r>
        <w:rPr>
          <w:rFonts w:ascii="IRNazanin" w:hAnsi="IRNazanin" w:eastAsia="IRNazanin"/>
          <w:color w:val="111111"/>
          <w:sz w:val="28"/>
          <w:sz w:val="28"/>
          <w:szCs w:val="28"/>
          <w:rtl w:val="true"/>
          <w:lang w:bidi="fa-IR"/>
        </w:rPr>
        <w:t xml:space="preserve">إلی مذهب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اشتملت علیه الإبهام و الوسطی عرضا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التحدید هو المعروف، بل الظاهر المصرّح به فی کلام بعضهم </w:t>
      </w:r>
      <w:r>
        <w:rPr>
          <w:rStyle w:val="FootnoteAnchor"/>
          <w:rtl w:val="true"/>
        </w:rPr>
        <w:footnoteReference w:id="620"/>
      </w:r>
      <w:r>
        <w:rPr>
          <w:rFonts w:ascii="IRNazanin" w:hAnsi="IRNazanin" w:eastAsia="IRNazanin"/>
          <w:color w:val="111111"/>
          <w:sz w:val="28"/>
          <w:sz w:val="28"/>
          <w:szCs w:val="28"/>
          <w:rtl w:val="true"/>
          <w:lang w:bidi="fa-IR"/>
        </w:rPr>
        <w:t>عدم الخلاف فی ذلک، و المستند فی ذلک صحیحة زرارة عن أبی جعفر علیه السلام، حیث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عن الوجه الذی ینبغی أن یتوضّأ الذی قال اللّٰه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أمر اللّٰه بغسله الذی لا ینبغی لأحد أن یزید علیه و لا ینقص عنه، إن زاد علیه لم یوجر و إن نقص عنه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دارت علیه الإبهام و الوسطی من قصاص الشعر إلی الذقن، و ما جرت علیه الإصبعان مستدیرا فهو من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سوی ذلک </w:t>
      </w:r>
      <w:r>
        <w:rPr>
          <w:rStyle w:val="FootnoteAnchor"/>
          <w:rtl w:val="true"/>
        </w:rPr>
        <w:footnoteReference w:id="622"/>
      </w:r>
      <w:r>
        <w:rPr>
          <w:rFonts w:ascii="IRNazanin" w:hAnsi="IRNazanin" w:eastAsia="IRNazanin"/>
          <w:color w:val="111111"/>
          <w:sz w:val="28"/>
          <w:sz w:val="28"/>
          <w:szCs w:val="28"/>
          <w:rtl w:val="true"/>
          <w:lang w:bidi="fa-IR"/>
        </w:rPr>
        <w:t>فلیس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المراد بدوران الإصبعین إحاطتهما، و لذا عبّر فی المبسوط بما بین الإبهام و الوسطی </w:t>
      </w:r>
      <w:r>
        <w:rPr>
          <w:rStyle w:val="FootnoteAnchor"/>
          <w:rtl w:val="true"/>
        </w:rPr>
        <w:footnoteReference w:id="624"/>
      </w:r>
      <w:r>
        <w:rPr>
          <w:rFonts w:ascii="IRNazanin" w:hAnsi="IRNazanin" w:eastAsia="IRNazanin"/>
          <w:color w:val="111111"/>
          <w:sz w:val="28"/>
          <w:sz w:val="28"/>
          <w:szCs w:val="28"/>
          <w:rtl w:val="true"/>
          <w:lang w:bidi="fa-IR"/>
        </w:rPr>
        <w:t>، و یمکن تصویر شبه دائرة من مجموع الإصبعین بأن یوضع طرفاهما منضمین علی وسط الناصیة، ثمّ تفرّقا و یجری الإبهام من الیمین و الوسطی من الیسار إلی أن یجتمعا ثانیا، فی آخر الذقن، و المراد بالقصاص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منبت الشعر من 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الفقرة بیان لمجموع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جرت علیه الإصبعان فهو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للخط الطولی الفاصل بین الوجه و غیره، فهو فی قوّة التأکید لما قبله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شیخنا البهائی قدّس سرّه علی هذا التفسیر بلزوم دخول النزعتین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و هما البیاضان المکتنفان بالناصیة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بالقصاص لیس مطلق منتهی منبت الشعر الذی یأخذ من کلمة من الناصیة </w:t>
      </w:r>
      <w:r>
        <w:rPr>
          <w:rStyle w:val="FootnoteAnchor"/>
          <w:rtl w:val="true"/>
        </w:rPr>
        <w:footnoteReference w:id="626"/>
      </w:r>
      <w:r>
        <w:rPr>
          <w:rFonts w:ascii="IRNazanin" w:hAnsi="IRNazanin" w:eastAsia="IRNazanin"/>
          <w:color w:val="111111"/>
          <w:sz w:val="28"/>
          <w:sz w:val="28"/>
          <w:szCs w:val="28"/>
          <w:rtl w:val="true"/>
          <w:lang w:bidi="fa-IR"/>
        </w:rPr>
        <w:t>و یرتفع عن النزعة ثمّ ینحدر إلی مواضع التحذیف و یمرّ فوق الصدغ حتّی یتّصل بالعذار، بل المراد منتهی الناصیة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أیضا بلزوم دخول الصدغین مع نصّ الروایة علی خروجهما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الصدغ خارج عن </w:t>
      </w:r>
      <w:r>
        <w:rPr>
          <w:rStyle w:val="FootnoteAnchor"/>
          <w:rtl w:val="true"/>
        </w:rPr>
        <w:footnoteReference w:id="627"/>
      </w:r>
      <w:r>
        <w:rPr>
          <w:rFonts w:ascii="IRNazanin" w:hAnsi="IRNazanin" w:eastAsia="IRNazanin"/>
          <w:color w:val="111111"/>
          <w:sz w:val="28"/>
          <w:sz w:val="28"/>
          <w:szCs w:val="28"/>
          <w:rtl w:val="true"/>
          <w:lang w:bidi="fa-IR"/>
        </w:rPr>
        <w:t xml:space="preserve">التفسیر المذکور فی المنتهی </w:t>
      </w:r>
      <w:r>
        <w:rPr>
          <w:rStyle w:val="FootnoteAnchor"/>
          <w:rtl w:val="true"/>
        </w:rPr>
        <w:footnoteReference w:id="628"/>
      </w:r>
      <w:r>
        <w:rPr>
          <w:rFonts w:ascii="IRNazanin" w:hAnsi="IRNazanin" w:eastAsia="IRNazanin"/>
          <w:color w:val="111111"/>
          <w:sz w:val="28"/>
          <w:sz w:val="28"/>
          <w:szCs w:val="28"/>
          <w:rtl w:val="true"/>
          <w:lang w:bidi="fa-IR"/>
        </w:rPr>
        <w:t xml:space="preserve">المنسوب </w:t>
      </w:r>
      <w:r>
        <w:rPr>
          <w:rStyle w:val="FootnoteAnchor"/>
          <w:rtl w:val="true"/>
        </w:rPr>
        <w:footnoteReference w:id="629"/>
      </w:r>
      <w:r>
        <w:rPr>
          <w:rFonts w:ascii="IRNazanin" w:hAnsi="IRNazanin" w:eastAsia="IRNazanin"/>
          <w:color w:val="111111"/>
          <w:sz w:val="28"/>
          <w:sz w:val="28"/>
          <w:szCs w:val="28"/>
          <w:rtl w:val="true"/>
          <w:lang w:bidi="fa-IR"/>
        </w:rPr>
        <w:t>إلی الفقهاء، و هو الشعر الذی بعد انتهاء العذار المحاذی لرأس الأذن و ینزل عن رأسها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المصرّح به فی الصحاح </w:t>
      </w:r>
      <w:r>
        <w:rPr>
          <w:rStyle w:val="FootnoteAnchor"/>
          <w:rtl w:val="true"/>
        </w:rPr>
        <w:footnoteReference w:id="630"/>
      </w:r>
      <w:r>
        <w:rPr>
          <w:rFonts w:ascii="IRNazanin" w:hAnsi="IRNazanin" w:eastAsia="IRNazanin"/>
          <w:color w:val="111111"/>
          <w:sz w:val="28"/>
          <w:sz w:val="28"/>
          <w:szCs w:val="28"/>
          <w:rtl w:val="true"/>
          <w:lang w:bidi="fa-IR"/>
        </w:rPr>
        <w:t xml:space="preserve">کما عن غیره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بین العین و الاذن، و أنّه یسمّی الشعر المتدلّی علیه صدغا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التصریح فی الصحیحة علی خروج الصدغ و ظهوره فی خروجه عن الحدّ لا إخراجه عن حکم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الصدغ فیها علی المعنی الأخیر المذکور فی اللغة، و هو الشعر المتدلّی؛ بناء علی أنّ الشعر المذکور متدلّ غالبا علی ما یحاذی منتهی العذار لا علی مجموع ما بین العین و الاذن؛ لأنّه غیر متعارف، فالصدغ فی کلام الفقهاء</w:t>
      </w:r>
    </w:p>
    <w:p>
      <w:pPr>
        <w:pStyle w:val="BookText"/>
        <w:rPr/>
      </w:pPr>
      <w:r>
        <w:rPr>
          <w:rFonts w:ascii="IRNazanin" w:hAnsi="IRNazanin" w:eastAsia="IRNazanin"/>
          <w:color w:val="111111"/>
          <w:sz w:val="28"/>
          <w:sz w:val="28"/>
          <w:szCs w:val="28"/>
          <w:rtl w:val="true"/>
          <w:lang w:bidi="fa-IR"/>
        </w:rPr>
        <w:t>یراد به و لو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الشعر المذکور و متدلّاه، و هذا مع مخالفته لظاهر النصّ و الفتوی هو الوجه الجامع بین کلمات الفقهاء و أهل اللغة؛ ضرورة عدم ثبوت حقیقة اصطلاحیة للصدغ لم یعرفه أهل اللغة، و لو لا تصریحهم بخروج الصدغ بجمیع أجزائه عن حدّ الوجه أمکن حمل الروایة علی نفی کون مجموعه من الوجه المجامع </w:t>
      </w:r>
      <w:r>
        <w:rPr>
          <w:rStyle w:val="FootnoteAnchor"/>
          <w:rtl w:val="true"/>
        </w:rPr>
        <w:footnoteReference w:id="632"/>
      </w:r>
      <w:r>
        <w:rPr>
          <w:rFonts w:ascii="IRNazanin" w:hAnsi="IRNazanin" w:eastAsia="IRNazanin"/>
          <w:color w:val="111111"/>
          <w:sz w:val="28"/>
          <w:sz w:val="28"/>
          <w:szCs w:val="28"/>
          <w:rtl w:val="true"/>
          <w:lang w:bidi="fa-IR"/>
        </w:rPr>
        <w:t>لکون بعضه منه؛ لکنّه خلاف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النابت علی العظم الناتئ أی المرتفع الذی هو سمت الصماخ، الذی یتّصل أعلاه بالصدغ و أسفله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کما فی الحدائق </w:t>
      </w:r>
      <w:r>
        <w:rPr>
          <w:rStyle w:val="FootnoteAnchor"/>
          <w:rtl w:val="true"/>
        </w:rPr>
        <w:footnoteReference w:id="633"/>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علی العظم الذی یحاذی وتد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الوجه عندنا، خلافا للشافعی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حمله علی مجموع العذار؛ لأنّه قال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غسل ما بین الاذن و العذار من البیاض، ثمّ قال تبعا للمعتبر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 خرج عن الإصبعین من العذار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التبعیض، و لو أراد البیان لقال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له کلام آخر </w:t>
      </w:r>
      <w:r>
        <w:rPr>
          <w:rStyle w:val="FootnoteAnchor"/>
          <w:rtl w:val="true"/>
        </w:rPr>
        <w:footnoteReference w:id="637"/>
      </w:r>
      <w:r>
        <w:rPr>
          <w:rFonts w:ascii="IRNazanin" w:hAnsi="IRNazanin" w:eastAsia="IRNazanin"/>
          <w:color w:val="111111"/>
          <w:sz w:val="28"/>
          <w:sz w:val="28"/>
          <w:szCs w:val="28"/>
          <w:rtl w:val="true"/>
          <w:lang w:bidi="fa-IR"/>
        </w:rPr>
        <w:t>ظاهر فی إرادة خروج کلّه کما أنّ</w:t>
      </w:r>
    </w:p>
    <w:p>
      <w:pPr>
        <w:pStyle w:val="BookText"/>
        <w:rPr/>
      </w:pPr>
      <w:r>
        <w:rPr>
          <w:rFonts w:ascii="IRNazanin" w:hAnsi="IRNazanin" w:eastAsia="IRNazanin"/>
          <w:color w:val="111111"/>
          <w:sz w:val="28"/>
          <w:sz w:val="28"/>
          <w:szCs w:val="28"/>
          <w:rtl w:val="true"/>
          <w:lang w:bidi="fa-IR"/>
        </w:rPr>
        <w:t xml:space="preserve">للمعتبر کلاما ظاهرا فی دخول کلّه </w:t>
      </w:r>
      <w:r>
        <w:rPr>
          <w:rStyle w:val="FootnoteAnchor"/>
          <w:rtl w:val="true"/>
        </w:rPr>
        <w:footnoteReference w:id="63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 المبسوط </w:t>
      </w:r>
      <w:r>
        <w:rPr>
          <w:rStyle w:val="FootnoteAnchor"/>
          <w:rtl w:val="true"/>
        </w:rPr>
        <w:footnoteReference w:id="639"/>
      </w:r>
      <w:r>
        <w:rPr>
          <w:rFonts w:ascii="IRNazanin" w:hAnsi="IRNazanin" w:eastAsia="IRNazanin"/>
          <w:color w:val="111111"/>
          <w:sz w:val="28"/>
          <w:sz w:val="28"/>
          <w:szCs w:val="28"/>
          <w:rtl w:val="true"/>
          <w:lang w:bidi="fa-IR"/>
        </w:rPr>
        <w:t xml:space="preserve">و الخلاف </w:t>
      </w:r>
      <w:r>
        <w:rPr>
          <w:rStyle w:val="FootnoteAnchor"/>
          <w:rtl w:val="true"/>
        </w:rPr>
        <w:footnoteReference w:id="640"/>
      </w:r>
      <w:r>
        <w:rPr>
          <w:rFonts w:ascii="IRNazanin" w:hAnsi="IRNazanin" w:eastAsia="IRNazanin"/>
          <w:color w:val="111111"/>
          <w:sz w:val="28"/>
          <w:sz w:val="28"/>
          <w:szCs w:val="28"/>
          <w:rtl w:val="true"/>
          <w:lang w:bidi="fa-IR"/>
        </w:rPr>
        <w:t xml:space="preserve">و المحکی عن الإسکافی </w:t>
      </w:r>
      <w:r>
        <w:rPr>
          <w:rStyle w:val="FootnoteAnchor"/>
          <w:rtl w:val="true"/>
        </w:rPr>
        <w:footnoteReference w:id="641"/>
      </w:r>
      <w:r>
        <w:rPr>
          <w:rFonts w:ascii="IRNazanin" w:hAnsi="IRNazanin" w:eastAsia="IRNazanin"/>
          <w:color w:val="111111"/>
          <w:sz w:val="28"/>
          <w:sz w:val="28"/>
          <w:szCs w:val="28"/>
          <w:rtl w:val="true"/>
          <w:lang w:bidi="fa-IR"/>
        </w:rPr>
        <w:t xml:space="preserve">الدخول، و کذا صریح المرتضی قدّس سرّه و جدّه الناصر، حیث حکی فی الناصریات عن الناصر وجوب غسل العذار بعد نباتها؛ لوجوبه قبل نباتها، ثمّ ردّه بأنّ حکمه حکم اللحیة، و الشعر إذا علا البشرة انتقل الفرض إلیه </w:t>
      </w:r>
      <w:r>
        <w:rPr>
          <w:rStyle w:val="FootnoteAnchor"/>
          <w:rtl w:val="true"/>
        </w:rPr>
        <w:footnoteReference w:id="642"/>
      </w:r>
      <w:r>
        <w:rPr>
          <w:rFonts w:ascii="IRNazanin" w:hAnsi="IRNazanin" w:eastAsia="IRNazanin"/>
          <w:color w:val="111111"/>
          <w:sz w:val="28"/>
          <w:sz w:val="28"/>
          <w:szCs w:val="28"/>
          <w:rtl w:val="true"/>
          <w:lang w:bidi="fa-IR"/>
        </w:rPr>
        <w:t xml:space="preserve">، و کذا الشهید و المحقّق الثانیین </w:t>
      </w:r>
      <w:r>
        <w:rPr>
          <w:rStyle w:val="FootnoteAnchor"/>
          <w:rtl w:val="true"/>
        </w:rPr>
        <w:footnoteReference w:id="643"/>
      </w:r>
      <w:r>
        <w:rPr>
          <w:rFonts w:ascii="IRNazanin" w:hAnsi="IRNazanin" w:eastAsia="IRNazanin"/>
          <w:color w:val="111111"/>
          <w:sz w:val="28"/>
          <w:sz w:val="28"/>
          <w:szCs w:val="28"/>
          <w:rtl w:val="true"/>
          <w:lang w:bidi="fa-IR"/>
        </w:rPr>
        <w:t>، و لعلّهما یریدان بعضه الغیر المحاذی للصدغ الذی صرّحا بخروجه، لکنّ الظاهر خروج أزید منه؛ لأنّ ما حوته الإصبعان عند کون الید علی ما یقابل الصدغین أزید منه عند کونها علی ما یقابل العذارین لمکان نتوء الأنف، فإذا کانت الید مقابلة لرأس الأنف ربما خرج کلّه، فلاحظها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العارضان، و هو ما نزل عن العذارین من الشعر، فصرّح فی المنتهی بخروجهما </w:t>
      </w:r>
      <w:r>
        <w:rPr>
          <w:rStyle w:val="FootnoteAnchor"/>
          <w:rtl w:val="true"/>
        </w:rPr>
        <w:footnoteReference w:id="644"/>
      </w:r>
      <w:r>
        <w:rPr>
          <w:rFonts w:ascii="IRNazanin" w:hAnsi="IRNazanin" w:eastAsia="IRNazanin"/>
          <w:color w:val="111111"/>
          <w:sz w:val="28"/>
          <w:sz w:val="28"/>
          <w:szCs w:val="28"/>
          <w:rtl w:val="true"/>
          <w:lang w:bidi="fa-IR"/>
        </w:rPr>
        <w:t xml:space="preserve">و الشهید و المحقّق الثانیان بدخولهما </w:t>
      </w:r>
      <w:r>
        <w:rPr>
          <w:rStyle w:val="FootnoteAnchor"/>
          <w:rtl w:val="true"/>
        </w:rPr>
        <w:footnoteReference w:id="645"/>
      </w:r>
      <w:r>
        <w:rPr>
          <w:rFonts w:ascii="IRNazanin" w:hAnsi="IRNazanin" w:eastAsia="IRNazanin"/>
          <w:color w:val="111111"/>
          <w:sz w:val="28"/>
          <w:sz w:val="28"/>
          <w:szCs w:val="28"/>
          <w:rtl w:val="true"/>
          <w:lang w:bidi="fa-IR"/>
        </w:rPr>
        <w:t>، بل عن أوّلهما</w:t>
      </w:r>
    </w:p>
    <w:p>
      <w:pPr>
        <w:pStyle w:val="BookText"/>
        <w:rPr/>
      </w:pPr>
      <w:r>
        <w:rPr>
          <w:rFonts w:ascii="IRNazanin" w:hAnsi="IRNazanin" w:eastAsia="IRNazanin"/>
          <w:color w:val="111111"/>
          <w:sz w:val="28"/>
          <w:sz w:val="28"/>
          <w:szCs w:val="28"/>
          <w:rtl w:val="true"/>
          <w:lang w:bidi="fa-IR"/>
        </w:rPr>
        <w:t xml:space="preserve">الاتّفاق علیه، و یشکل دخول ما قابل الاذن منه و ما یقرب منه؛ لعدم وصول الإصبعین إلیه، و لا إشکال فی دخول أکثره، فتنزیل القولین علی التبعیض کما قطع به بعض </w:t>
      </w:r>
      <w:r>
        <w:rPr>
          <w:rStyle w:val="FootnoteAnchor"/>
          <w:rtl w:val="true"/>
        </w:rPr>
        <w:footnoteReference w:id="646"/>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المدارک لمّا لا حظ أنّ الید إذا وضعت علی ما یقرب الذقن فیتجاوز ما بین الإصبعین عن العارضین ألجأه ذلک إلی دعوی أنّ تحدید العرض بما بین الإصبعین مختصّ بوسط تدویر الوجه </w:t>
      </w:r>
      <w:r>
        <w:rPr>
          <w:rStyle w:val="FootnoteAnchor"/>
          <w:rtl w:val="true"/>
        </w:rPr>
        <w:footnoteReference w:id="647"/>
      </w:r>
      <w:r>
        <w:rPr>
          <w:rFonts w:ascii="IRNazanin" w:hAnsi="IRNazanin" w:eastAsia="IRNazanin"/>
          <w:color w:val="111111"/>
          <w:sz w:val="28"/>
          <w:sz w:val="28"/>
          <w:szCs w:val="28"/>
          <w:rtl w:val="true"/>
          <w:lang w:bidi="fa-IR"/>
        </w:rPr>
        <w:t>لا لکلّ خط عرضی منه ما بین القصاص و الذقن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منافاته لکلمات الأصحاب، حیث یعلّلون الخروج و الدخول فی الصدغ و العذار و مواضع التحذیف بوصول الإصبعین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مناف لظاهر الصحیحة </w:t>
      </w:r>
      <w:r>
        <w:rPr>
          <w:rStyle w:val="FootnoteAnchor"/>
          <w:rtl w:val="true"/>
        </w:rPr>
        <w:footnoteReference w:id="648"/>
      </w:r>
      <w:r>
        <w:rPr>
          <w:rFonts w:ascii="IRNazanin" w:hAnsi="IRNazanin" w:eastAsia="IRNazanin"/>
          <w:color w:val="111111"/>
          <w:sz w:val="28"/>
          <w:sz w:val="28"/>
          <w:szCs w:val="28"/>
          <w:rtl w:val="true"/>
          <w:lang w:bidi="fa-IR"/>
        </w:rPr>
        <w:t>، و ما ذکره لا یصلح للصارف؛ لأنّ التحدید بذلک بالنسبة إلی ما یمکن توهّم دخوله فی الوجه کالصدغ و العذار و البیاض الفاصل بین العذار و الاذن و بعض العذار، لا بالنسبة إلی ما یقطع بخروجه عنه کالجزء من الرقبة ممّا یلی العارضین قریبا من الذقن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المراد من القصاص هو منتهی الشعر من الناصیة لا مطلقه فیشمل منتهاه المارّ علی أعلی النزعتین؛ إذ لا یتوهّم دخولهما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فالمراد من الصحیحة هو التحدید المذکور بالنسبة إلی ما یمکن توهّم دخوله أو قال بعض العامّة بدخوله، و إن کان مقتضی مفهومه منطبقا علی معنی یوجب دخول معلوم الخروج کالنزعتین و ما یتجاوز من</w:t>
      </w:r>
    </w:p>
    <w:p>
      <w:pPr>
        <w:pStyle w:val="BookText"/>
        <w:rPr/>
      </w:pPr>
      <w:r>
        <w:rPr>
          <w:rFonts w:ascii="IRNazanin" w:hAnsi="IRNazanin" w:eastAsia="IRNazanin"/>
          <w:color w:val="111111"/>
          <w:sz w:val="28"/>
          <w:sz w:val="28"/>
          <w:szCs w:val="28"/>
          <w:rtl w:val="true"/>
          <w:lang w:bidi="fa-IR"/>
        </w:rPr>
        <w:t>العارضین إلی الرقبة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ذکرنا یظهر أنّ ما دقّق النظر </w:t>
      </w:r>
      <w:r>
        <w:rPr>
          <w:rStyle w:val="FootnoteAnchor"/>
          <w:rtl w:val="true"/>
        </w:rPr>
        <w:footnoteReference w:id="649"/>
      </w:r>
      <w:r>
        <w:rPr>
          <w:rFonts w:ascii="IRNazanin" w:hAnsi="IRNazanin" w:eastAsia="IRNazanin"/>
          <w:color w:val="111111"/>
          <w:sz w:val="28"/>
          <w:sz w:val="28"/>
          <w:szCs w:val="28"/>
          <w:rtl w:val="true"/>
          <w:lang w:bidi="fa-IR"/>
        </w:rPr>
        <w:t xml:space="preserve">فیه شیخنا البهائی قدّس سرّه و ارتضاه المحدث الکاشانی قدّس سرّه </w:t>
      </w:r>
      <w:r>
        <w:rPr>
          <w:rStyle w:val="FootnoteAnchor"/>
          <w:rtl w:val="true"/>
        </w:rPr>
        <w:footnoteReference w:id="650"/>
      </w:r>
      <w:r>
        <w:rPr>
          <w:rFonts w:ascii="IRNazanin" w:hAnsi="IRNazanin" w:eastAsia="IRNazanin"/>
          <w:color w:val="111111"/>
          <w:sz w:val="28"/>
          <w:sz w:val="28"/>
          <w:szCs w:val="28"/>
          <w:rtl w:val="true"/>
          <w:lang w:bidi="fa-IR"/>
        </w:rPr>
        <w:t>طاعنا علی تفسیر المشهور بدخول ما هو خارج بالاتّفاق أعنی النزعتین و الصدغین، بعید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 فی أربعینه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من الروایة أنّ کلّا من طول الوجه و عرضه هو ما اشتمل علیه الإصبعان، بمعنی أنّ الخط المتوهّم من القصاص إلی طرف الذقن و هو الذی یشتمل علیه الإصبعان غالبا إذا ثبت وسطه و أدیر علی نفسه حتّی یحصل شبه دائرة فذلک القدر هو الذی یجب غسله،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قصاص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حال من الخبر، و إمّا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الدوران یبتدئ من قصاص الشعر منتهیا إلی الذقن، و لا ریب أنّه إذا اعتبرت الدوران علی هذه الصفة للوسطی اعتبر للإبهام عکسه و بالعکس تتمیما للدائرة المستفادة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فاکتفی علیه السلام بذکر أحدهما عن الآخر، و أوضحه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جرت علیه الإصبعان مستدیرا فهو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و هذا صریح فی أنّ کلّا من طول الوجه و عرضه شی‌ء واحد هو ما اشتمل علیه الإصبعان عند دورانهما کما ذکرناه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فیستقیم التحدید، و لا یدخل فیه مواضع التحذیف و لا الصدغان؛ لأنّ أغلب الناس إذا طبّق الخطّ المتوهّم من انفراج ما بین الإبهام و الوسطی</w:t>
      </w:r>
    </w:p>
    <w:p>
      <w:pPr>
        <w:pStyle w:val="BookText"/>
        <w:rPr/>
      </w:pPr>
      <w:r>
        <w:rPr>
          <w:rFonts w:ascii="IRNazanin" w:hAnsi="IRNazanin" w:eastAsia="IRNazanin"/>
          <w:color w:val="111111"/>
          <w:sz w:val="28"/>
          <w:sz w:val="28"/>
          <w:szCs w:val="28"/>
          <w:rtl w:val="true"/>
          <w:lang w:bidi="fa-IR"/>
        </w:rPr>
        <w:t xml:space="preserve">ما بین قصاص ناصیته إلی طرف ذقنه و أداره مثبتا وسطه لیحصل شبه </w:t>
      </w:r>
      <w:r>
        <w:rPr>
          <w:rStyle w:val="FootnoteAnchor"/>
          <w:rtl w:val="true"/>
        </w:rPr>
        <w:footnoteReference w:id="652"/>
      </w:r>
      <w:r>
        <w:rPr>
          <w:rFonts w:ascii="IRNazanin" w:hAnsi="IRNazanin" w:eastAsia="IRNazanin"/>
          <w:color w:val="111111"/>
          <w:sz w:val="28"/>
          <w:sz w:val="28"/>
          <w:szCs w:val="28"/>
          <w:rtl w:val="true"/>
          <w:lang w:bidi="fa-IR"/>
        </w:rPr>
        <w:t xml:space="preserve">الدائرة وقعت مواقع التحذیف و الصدغان خارجة عنها، فالتحدید المشهور یزید علی ما فهمنا من الروایة بنصف تفاضل ما بین مربع معمول علی دائرة قطرها انفراج الإصبعین، و تلک الدائرة، أعنی </w:t>
      </w:r>
      <w:r>
        <w:rPr>
          <w:rStyle w:val="FootnoteAnchor"/>
          <w:rtl w:val="true"/>
        </w:rPr>
        <w:footnoteReference w:id="653"/>
      </w:r>
      <w:r>
        <w:rPr>
          <w:rFonts w:ascii="IRNazanin" w:hAnsi="IRNazanin" w:eastAsia="IRNazanin"/>
          <w:color w:val="111111"/>
          <w:sz w:val="28"/>
          <w:sz w:val="28"/>
          <w:szCs w:val="28"/>
          <w:rtl w:val="true"/>
          <w:lang w:bidi="fa-IR"/>
        </w:rPr>
        <w:t xml:space="preserve">مثلّثین یحیط بکلّ منهما خطّان مستقیمان و قوس من تلک الدائرة، و مواضع التحذیف و الصدغان واقعان فی هذین المثلّثین </w:t>
      </w:r>
      <w:r>
        <w:rPr>
          <w:rStyle w:val="FootnoteAnchor"/>
          <w:rtl w:val="true"/>
        </w:rPr>
        <w:footnoteReference w:id="654"/>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 التفاوت بینه و بین المشهور نصف التفاضل؛ لأنّ النصف الآخر من تحت الدائرة خارج من الوجه علی کلّ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المربّع المعمول علی الدائرة له أربع زوایا ثنتان من فوق و ثنتان من تحت، و مجموع تفاضل المربع علی الدائرة بأربع زوایا و أربع مثلّثات و نصفه مثلّثان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یرد علی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بعده عن فهم العرف، الذی هو الملحوظ للشارع و أمنائه علیهم السلام فی بیان الأحکام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کلّ من الطول و العرض شیئا واحدا هو انفراج ما بین الإصبعین غیر صحیح غالبا؛ لأنّ الغالب أنّ ما بین القصاص إلی الذقن یقصر عمّا بین الإصبعین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یقرب من انفراج ما بین السبّابة و الإبهام المقتصر علیه فی الصحیحة علی روایة العیّاشی، و إلّا فالموجود فی الکتب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أو مع السبّابة، و حینئذ</w:t>
      </w:r>
    </w:p>
    <w:p>
      <w:pPr>
        <w:pStyle w:val="BookText"/>
        <w:rPr/>
      </w:pPr>
      <w:r>
        <w:rPr>
          <w:rFonts w:ascii="IRNazanin" w:hAnsi="IRNazanin" w:eastAsia="IRNazanin"/>
          <w:color w:val="111111"/>
          <w:sz w:val="28"/>
          <w:sz w:val="28"/>
          <w:szCs w:val="28"/>
          <w:rtl w:val="true"/>
          <w:lang w:bidi="fa-IR"/>
        </w:rPr>
        <w:t>فإطلاق الطول علی ما بین القصاص و الذقن مع کونه أقصر من عرض الوجه باعتبار قامة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الدائرة التی تثبت وسطها فی وسط الخطّ الواصل بین القصاص و الذقن یوجب خروج جزء من الجبهة و الجبینین؛ لأنّ خطّ الجبهة مستقیم أو منحدب أقلّ من انحداب القوس المتوهّم علیه من الدائرة المذکورة، بل یوجب خروج شی‌ء من اللحیین کما صرّح به فی الذخیرة </w:t>
      </w:r>
      <w:r>
        <w:rPr>
          <w:rStyle w:val="FootnoteAnchor"/>
          <w:rtl w:val="true"/>
        </w:rPr>
        <w:footnoteReference w:id="655"/>
      </w:r>
      <w:r>
        <w:rPr>
          <w:rFonts w:ascii="IRNazanin" w:hAnsi="IRNazanin" w:eastAsia="IRNazanin"/>
          <w:color w:val="111111"/>
          <w:sz w:val="28"/>
          <w:sz w:val="28"/>
          <w:szCs w:val="28"/>
          <w:rtl w:val="true"/>
          <w:lang w:bidi="fa-IR"/>
        </w:rPr>
        <w:t xml:space="preserve">و تبعه غیر واحد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قرّبه من خروج الصدغین إن أراد بهما مجموع ما بین العین و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صرّح به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فخروجه مخالف للإجماع، و إن أراد ما تقدّم عن المنتهی و غیره فهو خارج علی التفسیر المشهور، و أمّا النزعتان فلا یدخلان فی تحدید المشهور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من جعل الدوران مبتدئا من القصاص منتهیا إلی الذقن، إن أراد به دوران أحد الإصبعین، فهو خلاف ظاهر الروایة، بل ظاهرها إمّا دوران المجموع، أو دوران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دوران المجموع فهو لا یبتدئ من القصاص و لا ینتهی إلی الذقن؛ لأنّ دور کلّ منهما من حیث المبدأ و المنتهی عکس الآخر کما اعترف به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صفة لمصدر محذوف، أی جریانا</w:t>
      </w:r>
    </w:p>
    <w:p>
      <w:pPr>
        <w:pStyle w:val="BookText"/>
        <w:rPr/>
      </w:pPr>
      <w:r>
        <w:rPr>
          <w:rFonts w:ascii="IRNazanin" w:hAnsi="IRNazanin" w:eastAsia="IRNazanin"/>
          <w:color w:val="111111"/>
          <w:sz w:val="28"/>
          <w:sz w:val="28"/>
          <w:szCs w:val="28"/>
          <w:rtl w:val="true"/>
          <w:lang w:bidi="fa-IR"/>
        </w:rPr>
        <w:t>مستدیرا؛ لأنّ الإصبعین یجریان من القصاص إلی الذقن علی وجه الاستدارة لاستدارة الوجه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أظنّ فی ما ذکره المشهور شیئا من القصور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عبرة بالأنزع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انحسر شعره عن القصاص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الأغمّ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علی بعض جبهته الشعر، بل یغسلان من القصاص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الوجه هو العضو المخصوص المعلوم صغیرا أو کبیرا کأسامی سائر الأعضاء، و أمّا الإصبع الواقع ضابطا لحدّه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الإصبع المتعارف لأوساط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تجاوز </w:t>
      </w:r>
      <w:r>
        <w:rPr>
          <w:rStyle w:val="FootnoteAnchor"/>
          <w:rtl w:val="true"/>
        </w:rPr>
        <w:footnoteReference w:id="658"/>
      </w:r>
      <w:r>
        <w:rPr>
          <w:rFonts w:ascii="IRNazanin" w:hAnsi="IRNazanin" w:eastAsia="IRNazanin"/>
          <w:color w:val="111111"/>
          <w:sz w:val="28"/>
          <w:sz w:val="28"/>
          <w:szCs w:val="28"/>
          <w:rtl w:val="true"/>
          <w:lang w:bidi="fa-IR"/>
        </w:rPr>
        <w:t>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المقدار الواجب غسله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العذار أو قصرت عنه، بل یرجع کلّ منهما </w:t>
      </w:r>
      <w:r>
        <w:rPr>
          <w:rStyle w:val="FootnoteAnchor"/>
          <w:rtl w:val="true"/>
        </w:rPr>
        <w:footnoteReference w:id="659"/>
      </w:r>
      <w:r>
        <w:rPr>
          <w:rFonts w:ascii="IRNazanin" w:hAnsi="IRNazanin" w:eastAsia="IRNazanin"/>
          <w:color w:val="111111"/>
          <w:sz w:val="28"/>
          <w:sz w:val="28"/>
          <w:szCs w:val="28"/>
          <w:rtl w:val="true"/>
          <w:lang w:bidi="fa-IR"/>
        </w:rPr>
        <w:t xml:space="preserve">إلی مستوی الخلقة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لانصراف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الواقع میزانا و ضابطا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المتعارف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یجری هذا الانصراف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المفروض إضافته إلی المکلّف و وجه کلّ مکلّف أمر واحد شخصی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قدّر شیئا بمقدار الوجه انصرف إلی المتعارف، کما أنّه لو کلّف کلّ أحد بغسل مفهوم ما اشتمل علیه الإصبعان ممّا یواجه به وجب مراعاة مقدار الإصبع زاد علی العضو المعلوم أو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قدّره لکلّ مکلّف بإصبعه روعی ذلک وجهه </w:t>
      </w:r>
      <w:r>
        <w:rPr>
          <w:rStyle w:val="FootnoteAnchor"/>
          <w:rtl w:val="true"/>
        </w:rPr>
        <w:footnoteReference w:id="661"/>
      </w:r>
      <w:r>
        <w:rPr>
          <w:rFonts w:ascii="IRNazanin" w:hAnsi="IRNazanin" w:eastAsia="IRNazanin"/>
          <w:color w:val="111111"/>
          <w:sz w:val="28"/>
          <w:sz w:val="28"/>
          <w:szCs w:val="28"/>
          <w:rtl w:val="true"/>
          <w:lang w:bidi="fa-IR"/>
        </w:rPr>
        <w:t>صغیرا أو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حدّد الوجه المضاف إلی المکلّف بمقدار إصبعه المضاف أیضا بأن حدّ وجه کلّ أحد بما اشتمل علیه إصبعاه، فإن علم إرادة مفهوم فی الحدّ فالمتّبع هذا الإصبع الشخصی کما أنّه لو علم إرادة مفهوم الوجه، و إنّما ذکر الإصبع میزانا فیحمل التحدید علی اختصاصه بالأفراد المتعارفة من المکلّفین، و إلّا وقع التعارض بین ظاهر الحدّ و المحدود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المشهور المحکیّ عن بعض حواشی الألفیة الاتّفاق علیه </w:t>
      </w:r>
      <w:r>
        <w:rPr>
          <w:rStyle w:val="FootnoteAnchor"/>
          <w:rtl w:val="true"/>
        </w:rPr>
        <w:footnoteReference w:id="662"/>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یغسل من أعلی الوجه إلی الذقن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للوضوءات البیانیّة </w:t>
      </w:r>
      <w:r>
        <w:rPr>
          <w:rStyle w:val="FootnoteAnchor"/>
          <w:rtl w:val="true"/>
        </w:rPr>
        <w:footnoteReference w:id="664"/>
      </w:r>
      <w:r>
        <w:rPr>
          <w:rFonts w:ascii="IRNazanin" w:hAnsi="IRNazanin" w:eastAsia="IRNazanin"/>
          <w:color w:val="111111"/>
          <w:sz w:val="28"/>
          <w:sz w:val="28"/>
          <w:szCs w:val="28"/>
          <w:rtl w:val="true"/>
          <w:lang w:bidi="fa-IR"/>
        </w:rPr>
        <w:t>، و لما أرسله فی المعتبر و المنتهی و الذکری من قوله علیه السلام و قد أکمل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بمثله، و أرسله الصدوق عن النبیّ صلّی اللّٰه علیه و آله و سلّم أو عن الصادق علیه السلام </w:t>
      </w:r>
      <w:r>
        <w:rPr>
          <w:rStyle w:val="FootnoteAnchor"/>
          <w:rtl w:val="true"/>
        </w:rPr>
        <w:footnoteReference w:id="666"/>
      </w:r>
      <w:r>
        <w:rPr>
          <w:rFonts w:ascii="IRNazanin" w:hAnsi="IRNazanin" w:eastAsia="IRNazanin"/>
          <w:color w:val="111111"/>
          <w:sz w:val="28"/>
          <w:sz w:val="28"/>
          <w:szCs w:val="28"/>
          <w:rtl w:val="true"/>
          <w:lang w:bidi="fa-IR"/>
        </w:rPr>
        <w:t>بناء علی أنّه صلّی اللّٰه علیه و آله و سلّم لم ینکس فی الغسل قطعا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للمرویّ فی قرب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أتوضّأ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تعمق فی الوضوء و لا تلطم وجهک بالماء لطما،</w:t>
      </w:r>
    </w:p>
    <w:p>
      <w:pPr>
        <w:pStyle w:val="BookText"/>
        <w:rPr/>
      </w:pPr>
      <w:r>
        <w:rPr>
          <w:rFonts w:ascii="IRNazanin" w:hAnsi="IRNazanin" w:eastAsia="IRNazanin"/>
          <w:color w:val="111111"/>
          <w:sz w:val="28"/>
          <w:sz w:val="28"/>
          <w:szCs w:val="28"/>
          <w:rtl w:val="true"/>
          <w:lang w:bidi="fa-IR"/>
        </w:rPr>
        <w:t>و لکن اغسله من أعلی وجهک إلی أسفله بالماء مسحا</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الوضوءات البیانیّة مشتملة علی مندوبات، مع أنّ إثبات الوجوب بها مشکل، مع أنّ المشتمل علی الغسل من الأعلی لیس فیه أنّه وضوء 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قرب الإسناد، فالأمر فیه محمول علی الاستحباب قطعا؛ لتقییده بکونه علی وجه المسح فی مقابل اللطم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المرسلة، فهی مجملة باعتبار المشار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نوع الوضوء؟ فمدلوله اشتراط الصلاة بالوضوء، أو شخص الوضوء باعتبار جمیع مشخّصاته؟ فیلزم تخصیص الأکثر الموجب لهذریة الکلام أو بعض مشخّصاته، فالمتیقّن ما علم وجوبه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المرسلة کالمقیّد المجمل لمطلقات الکتاب و السنّة؛ فإنّ المرسلة لو بقیت علی عمومها الدالّ علی وجوب المماثلة من جمیع الجهات إلّا ما خرج، کان مقیّدا للإطلاقات قطعا، و إلّا کان الشکّ فی أصل التقیید بما زاد علی المتیقّن، فافهم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فیتّجه ما حکی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السیّد </w:t>
      </w:r>
      <w:r>
        <w:rPr>
          <w:rStyle w:val="FootnoteAnchor"/>
          <w:rtl w:val="true"/>
        </w:rPr>
        <w:footnoteReference w:id="668"/>
      </w:r>
      <w:r>
        <w:rPr>
          <w:rFonts w:ascii="IRNazanin" w:hAnsi="IRNazanin" w:eastAsia="IRNazanin"/>
          <w:color w:val="111111"/>
          <w:sz w:val="28"/>
          <w:sz w:val="28"/>
          <w:szCs w:val="28"/>
          <w:rtl w:val="true"/>
          <w:lang w:bidi="fa-IR"/>
        </w:rPr>
        <w:t xml:space="preserve">و ابنی سعید و إدریس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العکس، و قال به أو مال جماعة </w:t>
      </w:r>
      <w:r>
        <w:rPr>
          <w:rStyle w:val="FootnoteAnchor"/>
          <w:rtl w:val="true"/>
        </w:rPr>
        <w:footnoteReference w:id="670"/>
      </w:r>
      <w:r>
        <w:rPr>
          <w:rFonts w:ascii="IRNazanin" w:hAnsi="IRNazanin" w:eastAsia="IRNazanin"/>
          <w:color w:val="111111"/>
          <w:sz w:val="28"/>
          <w:sz w:val="28"/>
          <w:szCs w:val="28"/>
          <w:rtl w:val="true"/>
          <w:lang w:bidi="fa-IR"/>
        </w:rPr>
        <w:t xml:space="preserve">تبعا لصاحب المعالم </w:t>
      </w:r>
      <w:r>
        <w:rPr>
          <w:rStyle w:val="FootnoteAnchor"/>
          <w:rtl w:val="true"/>
        </w:rPr>
        <w:footnoteReference w:id="671"/>
      </w:r>
      <w:r>
        <w:rPr>
          <w:rFonts w:ascii="IRNazanin" w:hAnsi="IRNazanin" w:eastAsia="IRNazanin"/>
          <w:color w:val="111111"/>
          <w:sz w:val="28"/>
          <w:sz w:val="28"/>
          <w:szCs w:val="28"/>
          <w:rtl w:val="true"/>
          <w:lang w:bidi="fa-IR"/>
        </w:rPr>
        <w:t>و شیخنا</w:t>
      </w:r>
    </w:p>
    <w:p>
      <w:pPr>
        <w:pStyle w:val="BookText"/>
        <w:rPr/>
      </w:pPr>
      <w:r>
        <w:rPr>
          <w:rFonts w:ascii="IRNazanin" w:hAnsi="IRNazanin" w:eastAsia="IRNazanin"/>
          <w:color w:val="111111"/>
          <w:sz w:val="28"/>
          <w:sz w:val="28"/>
          <w:szCs w:val="28"/>
          <w:rtl w:val="true"/>
          <w:lang w:bidi="fa-IR"/>
        </w:rPr>
        <w:t xml:space="preserve">البهائی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یمنع اعتبار الإطلاقات، لا لانصرافها إلی المتعارف، و هو الابتداء من الأعلی، لمنع تعارف الابتداء من الأعلی، بل هو نادر، فإنّ الغسل المتعارف هو صبّ الماء علی الجانب الأعلی لا من خصوص القصاص، بل لورودها کأکثر الإطلاقات الواردة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کمسح الوجه و الأیدی فی التیمّم و 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إیجاب أصل العبادة لا بیان کیفیّتها؛ و حینئذ فیرجع إلی الأصول، فإن قلنا بأصالة الاشتغال فی هذا المقام فهو، و إلّا لم یجد جریان أصالة البراءة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الدالّ علی وجوب إحراز الطهور المراد به الرافع و </w:t>
      </w:r>
      <w:r>
        <w:rPr>
          <w:rStyle w:val="FootnoteAnchor"/>
          <w:rtl w:val="true"/>
        </w:rPr>
        <w:footnoteReference w:id="674"/>
      </w:r>
      <w:r>
        <w:rPr>
          <w:rFonts w:ascii="IRNazanin" w:hAnsi="IRNazanin" w:eastAsia="IRNazanin"/>
          <w:color w:val="111111"/>
          <w:sz w:val="28"/>
          <w:sz w:val="28"/>
          <w:szCs w:val="28"/>
          <w:rtl w:val="true"/>
          <w:lang w:bidi="fa-IR"/>
        </w:rPr>
        <w:t>المبیح، فیشکّ فی حصوله بغیر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المسألة محلّ إشکال، و ما علیه المشهور أحوط، بل أقوی بملاحظة ما سیجی‌ء فی غسل الید، بعد عدم القول بالفصل بینه و بین غسل الوجه کما هو ظاهر الفاضلین </w:t>
      </w:r>
      <w:r>
        <w:rPr>
          <w:rStyle w:val="FootnoteAnchor"/>
          <w:rtl w:val="true"/>
        </w:rPr>
        <w:footnoteReference w:id="675"/>
      </w:r>
      <w:r>
        <w:rPr>
          <w:rFonts w:ascii="IRNazanin" w:hAnsi="IRNazanin" w:eastAsia="IRNazanin"/>
          <w:color w:val="111111"/>
          <w:sz w:val="28"/>
          <w:sz w:val="28"/>
          <w:szCs w:val="28"/>
          <w:rtl w:val="true"/>
          <w:lang w:bidi="fa-IR"/>
        </w:rPr>
        <w:t xml:space="preserve">و الشهید </w:t>
      </w:r>
      <w:r>
        <w:rPr>
          <w:rStyle w:val="FootnoteAnchor"/>
          <w:rtl w:val="true"/>
        </w:rPr>
        <w:footnoteReference w:id="676"/>
      </w:r>
      <w:r>
        <w:rPr>
          <w:rFonts w:ascii="Amiri" w:hAnsi="Amiri" w:eastAsia="Amiri" w:cs="Amiri"/>
          <w:color w:val="111111"/>
          <w:sz w:val="28"/>
          <w:sz w:val="28"/>
          <w:szCs w:val="28"/>
          <w:rtl w:val="true"/>
          <w:lang w:bidi="ar-SA"/>
        </w:rPr>
        <w:t xml:space="preserve">و جماعة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فهل یجب غسل الأعلی فالأعلی، أم یکفی الابتداء منه؟ ظاهر</w:t>
      </w:r>
    </w:p>
    <w:p>
      <w:pPr>
        <w:pStyle w:val="BookText"/>
        <w:rPr/>
      </w:pPr>
      <w:r>
        <w:rPr>
          <w:rFonts w:ascii="Amiri" w:hAnsi="Amiri" w:eastAsia="Amiri" w:cs="Amiri"/>
          <w:color w:val="111111"/>
          <w:sz w:val="28"/>
          <w:sz w:val="28"/>
          <w:szCs w:val="28"/>
          <w:rtl w:val="true"/>
          <w:lang w:bidi="ar-SA"/>
        </w:rPr>
        <w:t xml:space="preserve">المتن الأوّل، و هو ظاهر المقنعة </w:t>
      </w:r>
      <w:r>
        <w:rPr>
          <w:rStyle w:val="FootnoteAnchor"/>
          <w:rtl w:val="true"/>
        </w:rPr>
        <w:footnoteReference w:id="678"/>
      </w:r>
      <w:r>
        <w:rPr>
          <w:rFonts w:ascii="IRNazanin" w:hAnsi="IRNazanin" w:eastAsia="IRNazanin"/>
          <w:color w:val="111111"/>
          <w:sz w:val="28"/>
          <w:sz w:val="28"/>
          <w:szCs w:val="28"/>
          <w:rtl w:val="true"/>
          <w:lang w:bidi="fa-IR"/>
        </w:rPr>
        <w:t xml:space="preserve">و المبسوط </w:t>
      </w:r>
      <w:r>
        <w:rPr>
          <w:rStyle w:val="FootnoteAnchor"/>
          <w:rtl w:val="true"/>
        </w:rPr>
        <w:footnoteReference w:id="679"/>
      </w:r>
      <w:r>
        <w:rPr>
          <w:rFonts w:ascii="IRNazanin" w:hAnsi="IRNazanin" w:eastAsia="IRNazanin"/>
          <w:color w:val="111111"/>
          <w:sz w:val="28"/>
          <w:sz w:val="28"/>
          <w:szCs w:val="28"/>
          <w:rtl w:val="true"/>
          <w:lang w:bidi="fa-IR"/>
        </w:rPr>
        <w:t xml:space="preserve">و الوسیلة </w:t>
      </w:r>
      <w:r>
        <w:rPr>
          <w:rStyle w:val="FootnoteAnchor"/>
          <w:rtl w:val="true"/>
        </w:rPr>
        <w:footnoteReference w:id="680"/>
      </w:r>
      <w:r>
        <w:rPr>
          <w:rFonts w:ascii="IRNazanin" w:hAnsi="IRNazanin" w:eastAsia="IRNazanin"/>
          <w:color w:val="111111"/>
          <w:sz w:val="28"/>
          <w:sz w:val="28"/>
          <w:szCs w:val="28"/>
          <w:rtl w:val="true"/>
          <w:lang w:bidi="fa-IR"/>
        </w:rPr>
        <w:t xml:space="preserve">، حیث منعوا من استقبال الشعر فی غسل الیدین؛ بناء علی أنّ وجه المنع هو النکس کما فهمه فی المنتهی </w:t>
      </w:r>
      <w:r>
        <w:rPr>
          <w:rStyle w:val="FootnoteAnchor"/>
          <w:rtl w:val="true"/>
        </w:rPr>
        <w:footnoteReference w:id="681"/>
      </w:r>
      <w:r>
        <w:rPr>
          <w:rFonts w:ascii="IRNazanin" w:hAnsi="IRNazanin" w:eastAsia="IRNazanin"/>
          <w:color w:val="111111"/>
          <w:sz w:val="28"/>
          <w:sz w:val="28"/>
          <w:szCs w:val="28"/>
          <w:rtl w:val="true"/>
          <w:lang w:bidi="fa-IR"/>
        </w:rPr>
        <w:t>لکن هذا إنّما یدلّ علی عدم جواز غسل جزء قبل الأعلی المسامت له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العلّامة فی المختلف فی مسألة غسل اللمعة المنسیة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أوجب الترتیب منع من غسل الأسفل قبل الأعلی و لو لم یسامته، بل ظاهر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بوجوب الابتداء بالأعلی ملازم للترتیب علی هذا الوجه، قال فی مسألة من نسی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أوجب غسل جمیع ذلک العضو، بل من الموضع المتروک إلی آخره إن أوجبنا الابتداء من موضع بعینه </w:t>
      </w:r>
      <w:r>
        <w:rPr>
          <w:rStyle w:val="FootnoteAnchor"/>
          <w:rtl w:val="true"/>
        </w:rPr>
        <w:footnoteReference w:id="682"/>
      </w:r>
      <w:r>
        <w:rPr>
          <w:rFonts w:ascii="IRNazanin" w:hAnsi="IRNazanin" w:eastAsia="IRNazanin"/>
          <w:color w:val="111111"/>
          <w:sz w:val="28"/>
          <w:sz w:val="28"/>
          <w:szCs w:val="28"/>
          <w:rtl w:val="true"/>
          <w:lang w:bidi="fa-IR"/>
        </w:rPr>
        <w:t xml:space="preserve">، و الموضع خاصّة إن سوّغنا العکس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لکن الغسل علی هذا الترتیب حقیقة محال عقلا علی القول بعدم الجزء الذی لا یتجزّأ، و عادة علی القول بوجوده، إلّا أن یرمس عضوه تحت الماء فینوی انغساله جزءا فجزءا علی الترتیب المذکور، و أمّا الغسل کذلک عرضا بحیث یغسل عضوه عرضا إلی آخره علی أدقّ ما یمکن من الخطوط العرضیة فهو حرج بنفسه أو له نفسه، و علی الوجه المیسور یدفعه ما یظهر</w:t>
      </w:r>
    </w:p>
    <w:p>
      <w:pPr>
        <w:pStyle w:val="BookText"/>
        <w:rPr/>
      </w:pPr>
      <w:r>
        <w:rPr>
          <w:rFonts w:ascii="IRNazanin" w:hAnsi="IRNazanin" w:eastAsia="IRNazanin"/>
          <w:color w:val="111111"/>
          <w:sz w:val="28"/>
          <w:sz w:val="28"/>
          <w:szCs w:val="28"/>
          <w:rtl w:val="true"/>
          <w:lang w:bidi="fa-IR"/>
        </w:rPr>
        <w:t xml:space="preserve">من الوضوءات الحاکیة لوضوء رسول اللّٰه صلّی اللّٰه علیه و آله حیث إنّه علیه السلام وضع الماء علی جبینه فأسد له علی أطراف لحیته ثمّ أمرّ یده علی وجهه، و إنّه وضع الماء علی مرفقه الیمنی فأمرّ کفّه علی ساعده حتّی جری الماء علی أطراف أصابعه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 العضو عرضا خلاف المتعارف بین المتشرّعة المتلقی من فعل صاحب الشریعة خلفا عن سلف، بل التزام الأعلی فالأعلی بالنسبة إلی خصوص الأجزاء المسامتة حرج أیضا و إن کان دون الأوّل، و لذا استوجهه فی المقاصد العلیّة بعد ردّ الترتیب الحقیقی علی الوجه الأوّل بعدم الإمکان و اختیار العرفی علی ذلک 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الاکتفاء فیه بکون کلّ جزء من العضو لا یغسل قبل ما فوقه علی خطّه و إن غسل ذلک الجزء قبل الأعلی من غیر جهته وجه وجیه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ما تقدّم من المختلف فی ردّ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الابتداء واجب من موضع بعینه </w:t>
      </w:r>
      <w:r>
        <w:rPr>
          <w:rStyle w:val="FootnoteAnchor"/>
          <w:rtl w:val="true"/>
        </w:rPr>
        <w:footnoteReference w:id="686"/>
      </w:r>
      <w:r>
        <w:rPr>
          <w:rFonts w:ascii="IRNazanin" w:hAnsi="IRNazanin" w:eastAsia="IRNazanin"/>
          <w:color w:val="111111"/>
          <w:sz w:val="28"/>
          <w:sz w:val="28"/>
          <w:szCs w:val="28"/>
          <w:rtl w:val="true"/>
          <w:lang w:bidi="fa-IR"/>
        </w:rPr>
        <w:t xml:space="preserve">و لا یلزم غسله و غسل ما بعده إذا کان قد حصل الابتداء؛ للزوم ترتّب أجزاء العضو فی الغسل، فلا یغسل لاحقا قبل سابقه، و فیه عسر منفی بالآیة </w:t>
      </w:r>
      <w:r>
        <w:rPr>
          <w:rStyle w:val="FootnoteAnchor"/>
          <w:rtl w:val="true"/>
        </w:rPr>
        <w:footnoteReference w:id="6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جیّد جدّا؛ فإنّ الأدلّة التی ذکروها لوجوب الابتداء</w:t>
      </w:r>
    </w:p>
    <w:p>
      <w:pPr>
        <w:pStyle w:val="BookText"/>
        <w:rPr/>
      </w:pPr>
      <w:r>
        <w:rPr>
          <w:rFonts w:ascii="IRNazanin" w:hAnsi="IRNazanin" w:eastAsia="IRNazanin"/>
          <w:color w:val="111111"/>
          <w:sz w:val="28"/>
          <w:sz w:val="28"/>
          <w:szCs w:val="28"/>
          <w:rtl w:val="true"/>
          <w:lang w:bidi="fa-IR"/>
        </w:rPr>
        <w:t>بالأعلی لا یدلّ علی الترتیب بین الأعضاء، بل خلوّ الوضوءات البیانیة عن التعرّض لما عدا المنع عن استقبال شعر الیدین و ردّ الید إلی المرفق مشعر بل ظاهر فی عدم وجوب أزید من العکس فی الغسل بعد الابتداء بالأعلی، فلا یبقی علی تقدیر عدم الاعتناء بالإطلاقات إلّا قاعدة الاحتیاط المقتضیة للزوم إحراز الطهور بمقتضی ما تقدّم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هی لا تقاوم أدلّة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بکفایة الترتیب بین معظم الأجزاء، بحیث یصدق عرفا الترتیب و لو ادّعاء من باب المسامحة فی الجزء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کثیر من المفاهیم التی یکتفی فیها بالتقریب دون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قوّة و إن کان مقتضی الأصول اللفظیة البناء علی التحقیق فی مقام الصدق و عدم الاکتفاء بالمسامحة و التقریب، لکن قد یصیر تعسّر التحقیق کتعذّره قرینة علی کفایة التقریب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علی عدم وجوب الترتیب بین أجزاء العضو بما رواه فی العیون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یبقی من وجهه إذا توضّأ موضع لم یصبه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أن یبلّه من بعض جسده</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بناء علی أنّه و إن سلّم ظهورها فیما یبقی الموضع بعد الفراغ، إلّا أنّه لمخالفة الإجماع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w:t>
      </w:r>
      <w:r>
        <w:rPr>
          <w:rStyle w:val="FootnoteAnchor"/>
          <w:rtl w:val="true"/>
        </w:rPr>
        <w:footnoteReference w:id="690"/>
      </w:r>
      <w:r>
        <w:rPr>
          <w:rFonts w:ascii="IRNazanin" w:hAnsi="IRNazanin" w:eastAsia="IRNazanin"/>
          <w:color w:val="111111"/>
          <w:sz w:val="28"/>
          <w:sz w:val="28"/>
          <w:szCs w:val="28"/>
          <w:rtl w:val="true"/>
          <w:lang w:bidi="fa-IR"/>
        </w:rPr>
        <w:t>إذا اشتغل بالوضوء، فیحمل علی ما إذا لم یفت</w:t>
      </w:r>
    </w:p>
    <w:p>
      <w:pPr>
        <w:pStyle w:val="BookText"/>
        <w:rPr/>
      </w:pPr>
      <w:r>
        <w:rPr>
          <w:rFonts w:ascii="IRNazanin" w:hAnsi="IRNazanin" w:eastAsia="IRNazanin"/>
          <w:color w:val="111111"/>
          <w:sz w:val="28"/>
          <w:sz w:val="28"/>
          <w:szCs w:val="28"/>
          <w:rtl w:val="true"/>
          <w:lang w:bidi="fa-IR"/>
        </w:rPr>
        <w:t>معه الترتیب بین الأعضاء، فسکوته عن بلّ ما بعده من أجزاء العضو ظاهر فی عدم الوجوب،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وجوب الابتداء بالأعلی عدم جواز المقارنة بین الأجزاء لا المنع عن النکس فقط، نعم لا یفرّعون علی ذلک إلّا المنع عن النکس، و فی شهادته علی إرادة خصوص ذلک نظر؛ و المسألة محلّ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غسل ما استرسل من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بیننا؛ لخروجه عن حدّ الوجه المأمور بغسله فی النصّ المحدّد له بالذقن </w:t>
      </w:r>
      <w:r>
        <w:rPr>
          <w:rStyle w:val="FootnoteAnchor"/>
          <w:rtl w:val="true"/>
        </w:rPr>
        <w:footnoteReference w:id="691"/>
      </w:r>
      <w:r>
        <w:rPr>
          <w:rFonts w:ascii="IRNazanin" w:hAnsi="IRNazanin" w:eastAsia="IRNazanin"/>
          <w:color w:val="111111"/>
          <w:sz w:val="28"/>
          <w:sz w:val="28"/>
          <w:szCs w:val="28"/>
          <w:rtl w:val="true"/>
          <w:lang w:bidi="fa-IR"/>
        </w:rPr>
        <w:t>، مع کون الأغلب خروج اللحیة عن حدّه، و عدم کون السؤال عن نفس الوجه مع قطع النظر عن اللحیة و العارض، و من هنا لا یلتفت إلی کون منبته فی المحدود علی ما سیجی‌ء فی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اتّفق الوجه قلیل العرض أو الطول فلا یتمّ من اللحیة و العارض لوجوب إرجاعه إلی مستوی الخلقة، فلا یزید علی ما یغسله المستوی، و المشهور ظاهرا عدم استثنائه </w:t>
      </w:r>
      <w:r>
        <w:rPr>
          <w:rStyle w:val="FootnoteAnchor"/>
          <w:rtl w:val="true"/>
        </w:rPr>
        <w:footnoteReference w:id="692"/>
      </w:r>
      <w:r>
        <w:rPr>
          <w:rFonts w:ascii="IRNazanin" w:hAnsi="IRNazanin" w:eastAsia="IRNazanin"/>
          <w:color w:val="111111"/>
          <w:sz w:val="28"/>
          <w:sz w:val="28"/>
          <w:szCs w:val="28"/>
          <w:rtl w:val="true"/>
          <w:lang w:bidi="fa-IR"/>
        </w:rPr>
        <w:t>للدلیل،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زاد علیه لم یؤجر</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الإسکافی استحبابه، و لعلّه لقوله علیه السلام فی بعض الوضوءات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أسدله علی أطراف لحیته</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 و إطلاق الأخبار الآمرة بأخذ الماء من اللحیة عند الجفاف </w:t>
      </w:r>
      <w:r>
        <w:rPr>
          <w:rStyle w:val="FootnoteAnchor"/>
          <w:rtl w:val="true"/>
        </w:rPr>
        <w:footnoteReference w:id="695"/>
      </w:r>
      <w:r>
        <w:rPr>
          <w:rFonts w:ascii="IRNazanin" w:hAnsi="IRNazanin" w:eastAsia="IRNazanin"/>
          <w:color w:val="111111"/>
          <w:sz w:val="28"/>
          <w:sz w:val="28"/>
          <w:szCs w:val="28"/>
          <w:rtl w:val="true"/>
          <w:lang w:bidi="fa-IR"/>
        </w:rPr>
        <w:t>، مضافا إلی التسامح فی أدلّة السنن، لکن لا یثبت بذلک</w:t>
      </w:r>
    </w:p>
    <w:p>
      <w:pPr>
        <w:pStyle w:val="BookText"/>
        <w:rPr/>
      </w:pPr>
      <w:r>
        <w:rPr>
          <w:rFonts w:ascii="IRNazanin" w:hAnsi="IRNazanin" w:eastAsia="IRNazanin"/>
          <w:color w:val="111111"/>
          <w:sz w:val="28"/>
          <w:sz w:val="28"/>
          <w:szCs w:val="28"/>
          <w:rtl w:val="true"/>
          <w:lang w:bidi="fa-IR"/>
        </w:rPr>
        <w:t>کون مائه ماء الوضوء حتّی یجوز المسح به؛ فإنّه و إن ثبت استحباب الهیئة المرکّبة من سائر الأفعال و غسل المسترسل إلّا أنّه لا یثبت کون غسله من أجزاء الوضوء، و صیرورته أفضل فردی الوضوء باعتبار اشتماله علی هذا الفعل، لا باعتبار ترکّبه منه و من غیره، فهو قید له لا جزء، و التقیید داخل و القید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اللحیة و إیصال الماء فی خلالها </w:t>
      </w:r>
      <w:r>
        <w:rPr>
          <w:rStyle w:val="FootnoteAnchor"/>
          <w:rtl w:val="true"/>
        </w:rPr>
        <w:footnoteReference w:id="696"/>
      </w:r>
      <w:r>
        <w:rPr>
          <w:rFonts w:ascii="IRNazanin" w:hAnsi="IRNazanin" w:eastAsia="IRNazanin"/>
          <w:color w:val="111111"/>
          <w:sz w:val="28"/>
          <w:sz w:val="28"/>
          <w:szCs w:val="28"/>
          <w:rtl w:val="true"/>
          <w:lang w:bidi="fa-IR"/>
        </w:rPr>
        <w:t xml:space="preserve">لغسل ما سترته من البشرة و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شعر علیه أو المبیّن فی خلال ذلک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الشعر إمّا کثیف و إمّا خفیف، و الکثیف ما لا یری البشرة من خلاله، و لا إشکال فی عدم وجوب تخلیله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قیل باستحبابه </w:t>
      </w:r>
      <w:r>
        <w:rPr>
          <w:rStyle w:val="FootnoteAnchor"/>
          <w:rtl w:val="true"/>
        </w:rPr>
        <w:footnoteReference w:id="697"/>
      </w:r>
      <w:r>
        <w:rPr>
          <w:rFonts w:ascii="IRNazanin" w:hAnsi="IRNazanin" w:eastAsia="IRNazanin"/>
          <w:color w:val="111111"/>
          <w:sz w:val="28"/>
          <w:sz w:val="28"/>
          <w:szCs w:val="28"/>
          <w:rtl w:val="true"/>
          <w:lang w:bidi="fa-IR"/>
        </w:rPr>
        <w:t xml:space="preserve">، و سیجی‌ء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الخفیف، فقد اضطرب فیه کلمات المتأخرین فی إثبات الخلاف فیه و عدمه، و فی تعیین محلّ الخلاف علی تقدیر ثبوته، فنقدّم أوّلا بعض کلمات من عثرنا علیه أو علی حکایته، فنقول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أحاط به الشعر و ستره من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شعر العارضین و الشارب و العنفقة و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علی الإنسان إیصال الماء إلیه بالتخلیل، و إنّما أجری </w:t>
      </w:r>
      <w:r>
        <w:rPr>
          <w:rStyle w:val="FootnoteAnchor"/>
          <w:rtl w:val="true"/>
        </w:rPr>
        <w:footnoteReference w:id="699"/>
      </w:r>
      <w:r>
        <w:rPr>
          <w:rFonts w:ascii="IRNazanin" w:hAnsi="IRNazanin" w:eastAsia="IRNazanin"/>
          <w:color w:val="111111"/>
          <w:sz w:val="28"/>
          <w:sz w:val="28"/>
          <w:szCs w:val="28"/>
          <w:rtl w:val="true"/>
          <w:lang w:bidi="fa-IR"/>
        </w:rPr>
        <w:t>الماء علی الوجه و الساتر له من الشعر،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خرجت اللحیة و لم تکثر فتواری بنباتها البشرة من الوجه، فعلی المتوضّی غسل البشرة کما کان قبل إنبات الشعر حتّی یستیقن وصول الماء إلی البشرة التی یقع علیها حسّ البصر إمّا بالتخلیل أو غیره؛ لأنّ الشعر إذا ستر البشرة قام مقامها، فإذا لم یسترها کان علی المتطهّر إیصال الماء إلیها </w:t>
      </w:r>
      <w:r>
        <w:rPr>
          <w:rStyle w:val="FootnoteAnchor"/>
          <w:rtl w:val="true"/>
        </w:rPr>
        <w:footnoteReference w:id="7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خرجت اللحیة و لم تکثر فعلی المتوضّی غسل الوجه حتّی یستیقن وصول الماء إلی بشرته؛ لأنّها لم تستر مواضعها </w:t>
      </w:r>
      <w:r>
        <w:rPr>
          <w:rStyle w:val="FootnoteAnchor"/>
          <w:rtl w:val="true"/>
        </w:rPr>
        <w:footnoteReference w:id="70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ذا لحیة کثیفة یغطّی بشرة وجهه فالواجب علیه غسل ما ظهر من بشرة وجهه، و ما لا یظهر ممّا یغطّیه اللحیة لا یلزم إیصال الماء إلیه، و یجزیه إجراء الماء علی اللحیة من غیر إیصال إلی البشرة المستورة، ثمّ حکی عن الناصر </w:t>
      </w:r>
      <w:r>
        <w:rPr>
          <w:rStyle w:val="FootnoteAnchor"/>
          <w:rtl w:val="true"/>
        </w:rPr>
        <w:footnoteReference w:id="702"/>
      </w:r>
      <w:r>
        <w:rPr>
          <w:rFonts w:ascii="IRNazanin" w:hAnsi="IRNazanin" w:eastAsia="IRNazanin"/>
          <w:color w:val="111111"/>
          <w:sz w:val="28"/>
          <w:sz w:val="28"/>
          <w:szCs w:val="28"/>
          <w:rtl w:val="true"/>
          <w:lang w:bidi="fa-IR"/>
        </w:rPr>
        <w:t>وجوب غسل العذار بعد نبات اللحیة کوجوبه قبل نباتها،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صحیح، و الکلام فیه ما قدّمناه فی تخلیل اللحیة، فإنّا بیّنا أنّ الشعر إذا علا البشرة انتقل الفرض إلیه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إیصال الماء إلی ما یستره شعر اللحیة و لا تخلیلها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بالأصل و إجماع الفرقة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صریح المبسوط </w:t>
      </w:r>
      <w:r>
        <w:rPr>
          <w:rStyle w:val="FootnoteAnchor"/>
          <w:rtl w:val="true"/>
        </w:rPr>
        <w:footnoteReference w:id="705"/>
      </w:r>
      <w:r>
        <w:rPr>
          <w:rFonts w:ascii="IRNazanin" w:hAnsi="IRNazanin" w:eastAsia="IRNazanin"/>
          <w:color w:val="111111"/>
          <w:sz w:val="28"/>
          <w:sz w:val="28"/>
          <w:szCs w:val="28"/>
          <w:rtl w:val="true"/>
          <w:lang w:bidi="fa-IR"/>
        </w:rPr>
        <w:t xml:space="preserve">و المعتبر </w:t>
      </w:r>
      <w:r>
        <w:rPr>
          <w:rStyle w:val="FootnoteAnchor"/>
          <w:rtl w:val="true"/>
        </w:rPr>
        <w:footnoteReference w:id="706"/>
      </w:r>
      <w:r>
        <w:rPr>
          <w:rFonts w:ascii="IRNazanin" w:hAnsi="IRNazanin" w:eastAsia="IRNazanin"/>
          <w:color w:val="111111"/>
          <w:sz w:val="28"/>
          <w:sz w:val="28"/>
          <w:szCs w:val="28"/>
          <w:rtl w:val="true"/>
          <w:lang w:bidi="fa-IR"/>
        </w:rPr>
        <w:t>، 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الذکری </w:t>
      </w:r>
      <w:r>
        <w:rPr>
          <w:rStyle w:val="FootnoteAnchor"/>
          <w:rtl w:val="true"/>
        </w:rPr>
        <w:footnoteReference w:id="70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تخلیل الشعر کثیفا کان أو خفیفا، و ردّ فی التذکرة و المختلف قول الشیخ، و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الشعر خفیفا لا یستر البشرة فالأقوی عندی غسل ما تحته و إیصال الماء إلیه، و به قال ابن أبی عقیل؛ لأنّها بشرة ظاهرة من الوجه،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تخلیلها کالکثیفة، و الفرق ظاهر </w:t>
      </w:r>
      <w:r>
        <w:rPr>
          <w:rStyle w:val="FootnoteAnchor"/>
          <w:rtl w:val="true"/>
        </w:rPr>
        <w:footnoteReference w:id="70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المختلف محتجّا لمذهب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اختیاره و استظهار موافقته للسیّد فی مقابل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غسل الوجه، و إنّما انتقل إلی اللحیة النابتة لانتقال الاسم إلیها؛ لأنّ الوجه اسم لما یقع به المواجهة، و إنّما یحصل لها ذلک مع الستر، و مع عدمه فلا؛ فإنّ الوجه مرئیّ و هو المواجهة به </w:t>
      </w:r>
      <w:r>
        <w:rPr>
          <w:rStyle w:val="FootnoteAnchor"/>
          <w:rtl w:val="true"/>
        </w:rPr>
        <w:footnoteReference w:id="709"/>
      </w:r>
      <w:r>
        <w:rPr>
          <w:rFonts w:ascii="IRNazanin" w:hAnsi="IRNazanin" w:eastAsia="IRNazanin"/>
          <w:color w:val="111111"/>
          <w:sz w:val="28"/>
          <w:sz w:val="28"/>
          <w:szCs w:val="28"/>
          <w:rtl w:val="true"/>
          <w:lang w:bidi="fa-IR"/>
        </w:rPr>
        <w:t xml:space="preserve">دون اللحیة؛ لأنّها لم تستره فلا ینتقل الاسم إلیها، ثمّ احتجّ للشیخ بروایة تبطین اللحیة </w:t>
      </w:r>
      <w:r>
        <w:rPr>
          <w:rStyle w:val="FootnoteAnchor"/>
          <w:rtl w:val="true"/>
        </w:rPr>
        <w:footnoteReference w:id="710"/>
      </w:r>
      <w:r>
        <w:rPr>
          <w:rFonts w:ascii="IRNazanin" w:hAnsi="IRNazanin" w:eastAsia="IRNazanin"/>
          <w:color w:val="111111"/>
          <w:sz w:val="28"/>
          <w:sz w:val="28"/>
          <w:szCs w:val="28"/>
          <w:rtl w:val="true"/>
          <w:lang w:bidi="fa-IR"/>
        </w:rPr>
        <w:t xml:space="preserve">، و أجاب عنه بحمله علی الساتر دون غیره </w:t>
      </w:r>
      <w:r>
        <w:rPr>
          <w:rStyle w:val="FootnoteAnchor"/>
          <w:rtl w:val="true"/>
        </w:rPr>
        <w:footnoteReference w:id="71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عکس فی المنتهی، فاختار قول الشیخ بعد مقابلته لقول ابن أبی عقیل</w:t>
      </w:r>
    </w:p>
    <w:p>
      <w:pPr>
        <w:pStyle w:val="BookText"/>
        <w:rPr/>
      </w:pPr>
      <w:r>
        <w:rPr>
          <w:rFonts w:ascii="IRNazanin" w:hAnsi="IRNazanin" w:eastAsia="IRNazanin"/>
          <w:color w:val="111111"/>
          <w:sz w:val="28"/>
          <w:sz w:val="28"/>
          <w:szCs w:val="28"/>
          <w:rtl w:val="true"/>
          <w:lang w:bidi="fa-IR"/>
        </w:rPr>
        <w:t>تبعا للمعتبر،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فقد الشعر وجب غسل موضعه، و إن وجد فالواجب إمرار الماء علی ظاهر الشعر، و احتجّ لذلک بعد الاختیار بأنّه شعر تستر ما تحته بالعادة فوجب انتقال الفرض إلیه قیاسا علی شعر الرأس </w:t>
      </w:r>
      <w:r>
        <w:rPr>
          <w:rStyle w:val="FootnoteAnchor"/>
          <w:rtl w:val="true"/>
        </w:rPr>
        <w:footnoteReference w:id="71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 فی المعتبر بأنّ الوجه اسم لما ظهر فلا یتبع المغایر </w:t>
      </w:r>
      <w:r>
        <w:rPr>
          <w:rStyle w:val="FootnoteAnchor"/>
          <w:rtl w:val="true"/>
        </w:rPr>
        <w:footnoteReference w:id="713"/>
      </w:r>
      <w:r>
        <w:rPr>
          <w:rFonts w:ascii="IRNazanin" w:hAnsi="IRNazanin" w:eastAsia="IRNazanin"/>
          <w:color w:val="111111"/>
          <w:sz w:val="28"/>
          <w:sz w:val="28"/>
          <w:szCs w:val="28"/>
          <w:rtl w:val="true"/>
          <w:lang w:bidi="fa-IR"/>
        </w:rPr>
        <w:t xml:space="preserve">، انتهی، و هو قدّس سرّه أوّل من أثبت الخلاف فی هذه المسألة دون العلّامة کما زعمه صاحب الحدائق و طعن علیه بأنّ مقتضی التأمّل عدم الخلاف و النزاع رأسا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الفاضلین وجود الخلاف فی المسألة، و احتمل الشهید فی الذکری فی کلام من أوجب غسل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البشرة التی لا شعر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یخالف الشیخ و الجماعة </w:t>
      </w:r>
      <w:r>
        <w:rPr>
          <w:rStyle w:val="FootnoteAnchor"/>
          <w:rtl w:val="true"/>
        </w:rPr>
        <w:footnoteReference w:id="715"/>
      </w:r>
      <w:r>
        <w:rPr>
          <w:rFonts w:ascii="IRNazanin" w:hAnsi="IRNazanin" w:eastAsia="IRNazanin"/>
          <w:color w:val="111111"/>
          <w:sz w:val="28"/>
          <w:sz w:val="28"/>
          <w:szCs w:val="28"/>
          <w:rtl w:val="true"/>
          <w:lang w:bidi="fa-IR"/>
        </w:rPr>
        <w:t>، و جزم ذلک المحقّق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البعض و إن أشعرت بوجوب تخلیل الخفیف إلّا أنّها عند التحقیق تفید خلافه کما علیه الباقون، و قال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ما تقدّم من المختلف من منع انتقال الاسم إلی اللحیة مع عدم سترها للبشرة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فیما تستره من البشرة؛ فإنّ کلّ شعرة تستر ما تحتها قطعا، و أمّا ما بین الشعر فلا کلام فی وجوب غسله </w:t>
      </w:r>
      <w:r>
        <w:rPr>
          <w:rStyle w:val="FootnoteAnchor"/>
          <w:rtl w:val="true"/>
        </w:rPr>
        <w:footnoteReference w:id="71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احتمله الشهید و جزم به جامع المقاصد یکون قول العلّامة بوجوب تخلیل الخفیف مخالفا للکلّ، و تبعه فیما جزم به،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w:t>
      </w:r>
      <w:r>
        <w:rPr>
          <w:rStyle w:val="FootnoteAnchor"/>
          <w:rtl w:val="true"/>
        </w:rPr>
        <w:footnoteReference w:id="717"/>
      </w:r>
      <w:r>
        <w:rPr>
          <w:rFonts w:ascii="IRNazanin" w:hAnsi="IRNazanin" w:eastAsia="IRNazanin"/>
          <w:color w:val="111111"/>
          <w:sz w:val="28"/>
          <w:sz w:val="28"/>
          <w:szCs w:val="28"/>
          <w:rtl w:val="true"/>
          <w:lang w:bidi="fa-IR"/>
        </w:rPr>
        <w:t>للمسالک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التخلیل عبارة عن إیصال الماء إلی البشرة المستورة، و إیصاله إلی الظاهر لا یسمّی تخلیلا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الثانی فی 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میله إلی قول المشهور خلافا للمتن، مستدلّا علیه قبل الأخبار بأنّ الوجه اسم لما یواجه به ظاهرا فلا یتبع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الخلاف فی غسل بشرة الخفیف إنّما هو فی المستور منها کما بیّناه، لا فی البشرة الظاهرة خلال الشعر علی کلّ حال، فإنّه یجب غسلها إجماعا؛ لعدم انتقال اسم الوجه عنها و عدم إحاطة الشعر بها، فعلی هذا لا بدّ فی خفیف الشعر من إدخال الماء إلی البشرة التی بین شعره و غسل ما ظهر و حینئذ فتقلّ 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فی ذلک </w:t>
      </w:r>
      <w:r>
        <w:rPr>
          <w:rStyle w:val="FootnoteAnchor"/>
          <w:rtl w:val="true"/>
        </w:rPr>
        <w:footnoteReference w:id="72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فی تقلیل الفائدة فی المدارک </w:t>
      </w:r>
      <w:r>
        <w:rPr>
          <w:rStyle w:val="FootnoteAnchor"/>
          <w:rtl w:val="true"/>
        </w:rPr>
        <w:footnoteReference w:id="721"/>
      </w:r>
      <w:r>
        <w:rPr>
          <w:rFonts w:ascii="IRNazanin" w:hAnsi="IRNazanin" w:eastAsia="IRNazanin"/>
          <w:color w:val="111111"/>
          <w:sz w:val="28"/>
          <w:sz w:val="28"/>
          <w:szCs w:val="28"/>
          <w:rtl w:val="true"/>
          <w:lang w:bidi="fa-IR"/>
        </w:rPr>
        <w:t>، و غرضه أنّ غسل البشرة الظاهرة یتوقّف غالبا علی غسل المستورة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عکس شارح الدروس، فنفی الریب عن عدم الخلاف فی المستورة بالشعر الخفیف، و أنّ الشیخ و المحقّق فی المعتبر و العلّامة فی المنتهی نافون لذلک فی المستورة، و انحصار الخلاف فی الظاهرة خلال الشعر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ذلک</w:t>
      </w:r>
    </w:p>
    <w:p>
      <w:pPr>
        <w:pStyle w:val="BookText"/>
        <w:rPr/>
      </w:pPr>
      <w:r>
        <w:rPr>
          <w:rFonts w:ascii="IRNazanin" w:hAnsi="IRNazanin" w:eastAsia="IRNazanin"/>
          <w:color w:val="111111"/>
          <w:sz w:val="28"/>
          <w:sz w:val="28"/>
          <w:szCs w:val="28"/>
          <w:rtl w:val="true"/>
          <w:lang w:bidi="fa-IR"/>
        </w:rPr>
        <w:t xml:space="preserve">ولده قدّس سرّه فی حاشیة الروضة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مناف لاستدلال الشیخ بإجماع الفرقة علی عدم وجوب إیصال الماء إلی ما تستره شعر اللحیة </w:t>
      </w:r>
      <w:r>
        <w:rPr>
          <w:rStyle w:val="FootnoteAnchor"/>
          <w:rtl w:val="true"/>
        </w:rPr>
        <w:footnoteReference w:id="724"/>
      </w:r>
      <w:r>
        <w:rPr>
          <w:rFonts w:ascii="IRNazanin" w:hAnsi="IRNazanin" w:eastAsia="IRNazanin"/>
          <w:color w:val="111111"/>
          <w:sz w:val="28"/>
          <w:sz w:val="28"/>
          <w:szCs w:val="28"/>
          <w:rtl w:val="true"/>
          <w:lang w:bidi="fa-IR"/>
        </w:rPr>
        <w:t xml:space="preserve">، و استدلال المنتهی باستحالة إیصال الماء إلی ما تحت الشعر بغرفة واحدة، و بأنّه شعر ستر ما تحته بالعادة، و </w:t>
      </w:r>
      <w:r>
        <w:rPr>
          <w:rStyle w:val="FootnoteAnchor"/>
          <w:rtl w:val="true"/>
        </w:rPr>
        <w:footnoteReference w:id="725"/>
      </w:r>
      <w:r>
        <w:rPr>
          <w:rFonts w:ascii="IRNazanin" w:hAnsi="IRNazanin" w:eastAsia="IRNazanin"/>
          <w:color w:val="111111"/>
          <w:sz w:val="28"/>
          <w:sz w:val="28"/>
          <w:szCs w:val="28"/>
          <w:rtl w:val="true"/>
          <w:lang w:bidi="fa-IR"/>
        </w:rPr>
        <w:t xml:space="preserve">وجب انتقال الفرض إلیه قیاسا علی شعر الرأس </w:t>
      </w:r>
      <w:r>
        <w:rPr>
          <w:rStyle w:val="FootnoteAnchor"/>
          <w:rtl w:val="true"/>
        </w:rPr>
        <w:footnoteReference w:id="726"/>
      </w:r>
      <w:r>
        <w:rPr>
          <w:rFonts w:ascii="IRNazanin" w:hAnsi="IRNazanin" w:eastAsia="IRNazanin"/>
          <w:color w:val="111111"/>
          <w:sz w:val="28"/>
          <w:sz w:val="28"/>
          <w:szCs w:val="28"/>
          <w:rtl w:val="true"/>
          <w:lang w:bidi="fa-IR"/>
        </w:rPr>
        <w:t>، و بالأخبار الخاصّة خصوصا الحصر فی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یغسل ما ظهر</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و کذا استدلال المعتبر قبل ذکر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الوجه اسم لما ظهر فلا یتبع غیره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العجب أنّ شارح الدروس لم یذکر من هذه المنافیات سوی دلیل المعتبر، و اعترف بأنّه استدلّ به المحقّق علی نقیض </w:t>
      </w:r>
      <w:r>
        <w:rPr>
          <w:rStyle w:val="FootnoteAnchor"/>
          <w:rtl w:val="true"/>
        </w:rPr>
        <w:footnoteReference w:id="729"/>
      </w:r>
      <w:r>
        <w:rPr>
          <w:rFonts w:ascii="IRNazanin" w:hAnsi="IRNazanin" w:eastAsia="IRNazanin"/>
          <w:color w:val="111111"/>
          <w:sz w:val="28"/>
          <w:sz w:val="28"/>
          <w:szCs w:val="28"/>
          <w:rtl w:val="true"/>
          <w:lang w:bidi="fa-IR"/>
        </w:rPr>
        <w:t xml:space="preserve">مدّعاه و هو نفی التخلیل فی الکثیف، و ادّعی أنّه استدلّ علی تمام مطلبه بالأخبار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 ما عن حبل المتین من عدم الخلاف فی وجوب غسل الظاهر و فی عدم وجوب غسل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قال بعض</w:t>
      </w:r>
    </w:p>
    <w:p>
      <w:pPr>
        <w:pStyle w:val="BookText"/>
        <w:rPr/>
      </w:pPr>
      <w:r>
        <w:rPr>
          <w:rFonts w:ascii="IRNazanin" w:hAnsi="IRNazanin" w:eastAsia="IRNazanin"/>
          <w:color w:val="111111"/>
          <w:sz w:val="28"/>
          <w:sz w:val="28"/>
          <w:szCs w:val="28"/>
          <w:rtl w:val="true"/>
          <w:lang w:bidi="fa-IR"/>
        </w:rPr>
        <w:t xml:space="preserve">مشایخنا، إنّ النزاع فی هذه المسألة قلیل الجدوی </w:t>
      </w:r>
      <w:r>
        <w:rPr>
          <w:rStyle w:val="FootnoteAnchor"/>
          <w:rtl w:val="true"/>
        </w:rPr>
        <w:footnoteReference w:id="7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ذلک عن بعض من تأخّر عنه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حینئذ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الوحید البهبهانی قدّس سرّه فی شرحه علی المفاتیح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قلیل الجدوی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الحبل أیضا احتمال أن یکون الخلاف فی الخفیف بمعنی ما یستر فی بعض الأحوال دون بعض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العلّامة الطباطبائی أنّه فصّل فی الخفیف بین ما یکون حائلا حاکیا کالثوب الرقیق فلا یجب غسله، أمّا البشرة التی فی خلاله ممّا لا شعر علیها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حوالیها و لیس علیها، أو دار علیها و هی فی وسطه کاللمعة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یجب غسلها، و ینزّل علی ذلک کلمات الأصحاب و إجماعاتهم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أنکر ذلک کلّه کاشف اللثام و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سیأتی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ما یکون مستورا دائما تحت الخفیف أو مکشوفا، بل کلّ جزء ممّا إحاطة تستر أحیانا و تکشف أحیانا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یظهر بالتتبّع وقوع الخلاف فی کلّ من الظاهر و المستور کما ستعرف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ظاهر کلام العلّامة </w:t>
      </w:r>
      <w:r>
        <w:rPr>
          <w:rStyle w:val="FootnoteAnchor"/>
          <w:rtl w:val="true"/>
        </w:rPr>
        <w:footnoteReference w:id="737"/>
      </w:r>
      <w:r>
        <w:rPr>
          <w:rFonts w:ascii="Amiri" w:hAnsi="Amiri" w:eastAsia="Amiri" w:cs="Amiri"/>
          <w:color w:val="111111"/>
          <w:sz w:val="28"/>
          <w:sz w:val="28"/>
          <w:szCs w:val="28"/>
          <w:rtl w:val="true"/>
          <w:lang w:bidi="ar-SA"/>
        </w:rPr>
        <w:t xml:space="preserve">و جماعة </w:t>
      </w:r>
      <w:r>
        <w:rPr>
          <w:rStyle w:val="FootnoteAnchor"/>
          <w:rtl w:val="true"/>
        </w:rPr>
        <w:footnoteReference w:id="738"/>
      </w:r>
      <w:r>
        <w:rPr>
          <w:rFonts w:ascii="IRNazanin" w:hAnsi="IRNazanin" w:eastAsia="IRNazanin"/>
          <w:color w:val="111111"/>
          <w:sz w:val="28"/>
          <w:sz w:val="28"/>
          <w:szCs w:val="28"/>
          <w:rtl w:val="true"/>
          <w:lang w:bidi="fa-IR"/>
        </w:rPr>
        <w:t xml:space="preserve">ممّن تبعه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البشرة من خلاله، و هو الظاهر من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السیّد </w:t>
      </w:r>
      <w:r>
        <w:rPr>
          <w:rStyle w:val="FootnoteAnchor"/>
          <w:rtl w:val="true"/>
        </w:rPr>
        <w:footnoteReference w:id="739"/>
      </w:r>
      <w:r>
        <w:rPr>
          <w:rFonts w:ascii="IRNazanin" w:hAnsi="IRNazanin" w:eastAsia="IRNazanin"/>
          <w:color w:val="111111"/>
          <w:sz w:val="28"/>
          <w:sz w:val="28"/>
          <w:szCs w:val="28"/>
          <w:rtl w:val="true"/>
          <w:lang w:bidi="fa-IR"/>
        </w:rPr>
        <w:t xml:space="preserve">و القدیمین </w:t>
      </w:r>
      <w:r>
        <w:rPr>
          <w:rStyle w:val="FootnoteAnchor"/>
          <w:rtl w:val="true"/>
        </w:rPr>
        <w:footnoteReference w:id="740"/>
      </w:r>
      <w:r>
        <w:rPr>
          <w:rFonts w:ascii="IRNazanin" w:hAnsi="IRNazanin" w:eastAsia="IRNazanin"/>
          <w:color w:val="111111"/>
          <w:sz w:val="28"/>
          <w:sz w:val="28"/>
          <w:szCs w:val="28"/>
          <w:rtl w:val="true"/>
          <w:lang w:bidi="fa-IR"/>
        </w:rPr>
        <w:t xml:space="preserve">بکونه یغطّی بشرة الوجه و یواری البشرة أو مواضع الشعر، لکن لم یعلم أنّ العبرة فی الستر و الظهور بمجلس التخاطب کما فی المقاصد العلیة </w:t>
      </w:r>
      <w:r>
        <w:rPr>
          <w:rStyle w:val="FootnoteAnchor"/>
          <w:rtl w:val="true"/>
        </w:rPr>
        <w:footnoteReference w:id="741"/>
      </w:r>
      <w:r>
        <w:rPr>
          <w:rFonts w:ascii="IRNazanin" w:hAnsi="IRNazanin" w:eastAsia="IRNazanin"/>
          <w:color w:val="111111"/>
          <w:sz w:val="28"/>
          <w:sz w:val="28"/>
          <w:szCs w:val="28"/>
          <w:rtl w:val="true"/>
          <w:lang w:bidi="fa-IR"/>
        </w:rPr>
        <w:t>، أو المعتبر فی الستر أو فی الظهور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المراد الستر بجمیع الأحوال کما هو ظاهر کلام السید و القدیمین، أو العبرة فی الظهور بجمیع الأحوال فی الستر بکثرة الشعر فی المحلّ المستور، أو بما یعمّ الاسترسال إلیه من موضع آخر معدود عرفا من أحوال الشعر و مواضعه، أو لا یشترط ذلک؟</w:t>
      </w:r>
    </w:p>
    <w:p>
      <w:pPr>
        <w:pStyle w:val="BookText"/>
        <w:rPr/>
      </w:pPr>
      <w:r>
        <w:rPr>
          <w:rFonts w:ascii="IRNazanin" w:hAnsi="IRNazanin" w:eastAsia="IRNazanin"/>
          <w:color w:val="111111"/>
          <w:sz w:val="28"/>
          <w:sz w:val="28"/>
          <w:szCs w:val="28"/>
          <w:rtl w:val="true"/>
          <w:lang w:bidi="fa-IR"/>
        </w:rPr>
        <w:t>و حیث اختلف کلمات العلماء فی ثبوت أصل الخلاف ثمّ فی تعیین محلّه ثمّ فی مناط الستر و الظهور، فالواجب تفصیل الکلام فی أقسام الشعر و بیان أحکامها علی حسب ما یقتضیه الأدلّة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مستعینا </w:t>
      </w:r>
      <w:r>
        <w:rPr>
          <w:rStyle w:val="FootnoteAnchor"/>
          <w:rtl w:val="true"/>
        </w:rPr>
        <w:footnoteReference w:id="742"/>
      </w:r>
      <w:r>
        <w:rPr>
          <w:rFonts w:ascii="IRNazanin" w:hAnsi="IRNazanin" w:eastAsia="IRNazanin"/>
          <w:color w:val="111111"/>
          <w:sz w:val="28"/>
          <w:sz w:val="28"/>
          <w:szCs w:val="28"/>
          <w:rtl w:val="true"/>
          <w:lang w:bidi="fa-IR"/>
        </w:rPr>
        <w:t>باللّه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لفظ الوجه موضوع للعضو المخصوص و لو کان محاطا بالشعر الکثیف، فکلّ ما لم یثبت</w:t>
      </w:r>
    </w:p>
    <w:p>
      <w:pPr>
        <w:pStyle w:val="BookText"/>
        <w:rPr/>
      </w:pPr>
      <w:r>
        <w:rPr>
          <w:rFonts w:ascii="IRNazanin" w:hAnsi="IRNazanin" w:eastAsia="IRNazanin"/>
          <w:color w:val="111111"/>
          <w:sz w:val="28"/>
          <w:sz w:val="28"/>
          <w:szCs w:val="28"/>
          <w:rtl w:val="true"/>
          <w:lang w:bidi="fa-IR"/>
        </w:rPr>
        <w:t>خروجه بالدلیل فیجب غسله،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الشعر إذا کان ساترا فی جمیع الأحوال بکثافته و کثرته فلا إشکال فی قیامه مقام الوجه بالإجماع و الأخبار، ففی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ما کان تحت الشعر، فقال </w:t>
      </w:r>
      <w:r>
        <w:rPr>
          <w:rStyle w:val="FootnoteAnchor"/>
          <w:rtl w:val="true"/>
        </w:rPr>
        <w:footnoteReference w:id="743"/>
      </w:r>
      <w:r>
        <w:rPr>
          <w:rFonts w:ascii="IRNazanin" w:hAnsi="IRNazanin" w:eastAsia="IRNazanin"/>
          <w:color w:val="111111"/>
          <w:sz w:val="28"/>
          <w:sz w:val="28"/>
          <w:szCs w:val="28"/>
          <w:rtl w:val="true"/>
          <w:lang w:bidi="fa-IR"/>
        </w:rPr>
        <w:t xml:space="preserve">کلّ ما أحاط به الشعر فلیس علی العباد أن یغسلوه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کان ساترا دائما بالاسترسال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الاسترسال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کشعری </w:t>
      </w:r>
      <w:r>
        <w:rPr>
          <w:rStyle w:val="FootnoteAnchor"/>
          <w:rtl w:val="true"/>
        </w:rPr>
        <w:footnoteReference w:id="745"/>
      </w:r>
      <w:r>
        <w:rPr>
          <w:rFonts w:ascii="IRNazanin" w:hAnsi="IRNazanin" w:eastAsia="IRNazanin"/>
          <w:color w:val="111111"/>
          <w:sz w:val="28"/>
          <w:sz w:val="28"/>
          <w:szCs w:val="28"/>
          <w:rtl w:val="true"/>
          <w:lang w:bidi="fa-IR"/>
        </w:rPr>
        <w:t>الشارب و العنفقة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یستر ما تحته دائما فلا یبعد عدم وجوب غسله؛ لصدق الإحاطة و کونه داخلا فی معقد إجماع الخلاف </w:t>
      </w:r>
      <w:r>
        <w:rPr>
          <w:rStyle w:val="FootnoteAnchor"/>
          <w:rtl w:val="true"/>
        </w:rPr>
        <w:footnoteReference w:id="746"/>
      </w:r>
      <w:r>
        <w:rPr>
          <w:rFonts w:ascii="IRNazanin" w:hAnsi="IRNazanin" w:eastAsia="IRNazanin"/>
          <w:color w:val="111111"/>
          <w:sz w:val="28"/>
          <w:sz w:val="28"/>
          <w:szCs w:val="28"/>
          <w:rtl w:val="true"/>
          <w:lang w:bidi="fa-IR"/>
        </w:rPr>
        <w:t>و صدق ما تحت الشعر و إن کان الاسترسال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منبته خارجا عن حدّ الوجه فاسترسل إلیه قلیلا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الاسترسال کثیرا، فالظاهر وجوب غسل ما تحته؛ لصدق الوجه علیه، و دعوی اعتبار المواجهة الشخصیة فی صدقه ممنوعة، و لا أقلّ من الشکّ فیه و دوران الأمر بینه و بین غسل ظاهر ذلک الشعر، فیجب الاحتیاط لکونه من دوران الأمر بین المتباینین،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غسل الشعر ثابت قطعا؛ لأنّه من توابعه کالشعر فی الید، فالشکّ فی وجوب غسل البشرة و عدمه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الستر بملاحظة بعض الأحوال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کالشعر الخفیف الذی یستر بعض المواضع فی حال و یستر بعض الآخر فی حال</w:t>
      </w:r>
    </w:p>
    <w:p>
      <w:pPr>
        <w:pStyle w:val="BookText"/>
        <w:rPr/>
      </w:pPr>
      <w:r>
        <w:rPr>
          <w:rFonts w:ascii="IRNazanin" w:hAnsi="IRNazanin" w:eastAsia="IRNazanin"/>
          <w:color w:val="111111"/>
          <w:sz w:val="28"/>
          <w:sz w:val="28"/>
          <w:szCs w:val="28"/>
          <w:rtl w:val="true"/>
          <w:lang w:bidi="fa-IR"/>
        </w:rPr>
        <w:t>فیمکن رؤیة البشرة بتمامها منه و لو باختلاف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الشعر قائما غیر ملتفّ بعضه ببعض فالظاهر وجوب غسل ما تحته، و إن کان ملتفّا بعضه ببعض فصار کالثوب الحاکی لسعة منافذه، ففی وجوب غسل البشرة إشکال، أقواه الوجوب مع الظهور فی مجلس التخاطب و المواجهة المتعارفة؛ لعدم صدق الإحاطة التی فهم منه العلماء الستر و التغطیة و المنع من وقوع حسّ البصر علیه، مضافا إلی صدق الوجه علیه کما ذکر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الروایة أنّ البحث و النقر غیر واجب و إنّما الواجب إجراء الماء علی الوجه، فالمحتاج فی غسله إلی أزید من الإجراء بالید من تنقیر و إدخال الأنملة و نحو ذلک لا یجب </w:t>
      </w:r>
      <w:r>
        <w:rPr>
          <w:rStyle w:val="FootnoteAnchor"/>
          <w:rtl w:val="true"/>
        </w:rPr>
        <w:footnoteReference w:id="747"/>
      </w: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تبیّن أنّ الشعر الخفیف الذی یکون ساترا لبعض الموضع و غیر ساتر للبعض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المحقّق الثانی من أنّ کلّ شعرة تستر ما تحتها من البشرة قطعا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یتصوّر إلّا أنّ یرید الستر فی بعض الأحوال، أو یرید الساتر بامتداده علی الموضع أو استرساله علیه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تفسیر الخفیف بما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یخفی أنّ الشعر إذا خفّ کان من شأنه ستر أجزائه لجمیع ما تحتها و خلالها من البشرة بالتناوب باختلاف أوضاع الرائی و المرئی، فلا یخلو شی‌ء منه من الاستتار تحتها فی بعض الأحیان لبعض الأوضاع، و من الانکشاف فی بعض الأحیان؛ فلا جهة لتحیّر المتأخّرین </w:t>
      </w:r>
      <w:r>
        <w:rPr>
          <w:rStyle w:val="FootnoteAnchor"/>
          <w:rtl w:val="true"/>
        </w:rPr>
        <w:footnoteReference w:id="749"/>
      </w:r>
      <w:r>
        <w:rPr>
          <w:rFonts w:ascii="IRNazanin" w:hAnsi="IRNazanin" w:eastAsia="IRNazanin"/>
          <w:color w:val="111111"/>
          <w:sz w:val="28"/>
          <w:sz w:val="28"/>
          <w:szCs w:val="28"/>
          <w:rtl w:val="true"/>
          <w:lang w:bidi="fa-IR"/>
        </w:rPr>
        <w:t>فی البشرة المستورة أو المنکشفة خلاله، و دعوی</w:t>
      </w:r>
    </w:p>
    <w:p>
      <w:pPr>
        <w:pStyle w:val="BookText"/>
        <w:rPr/>
      </w:pPr>
      <w:r>
        <w:rPr>
          <w:rFonts w:ascii="IRNazanin" w:hAnsi="IRNazanin" w:eastAsia="IRNazanin"/>
          <w:color w:val="111111"/>
          <w:sz w:val="28"/>
          <w:sz w:val="28"/>
          <w:szCs w:val="28"/>
          <w:rtl w:val="true"/>
          <w:lang w:bidi="fa-IR"/>
        </w:rPr>
        <w:t xml:space="preserve">بعضهم الإجماع علی وجوب غسل المکشوفة و قصره الخلاف علی المستورة </w:t>
      </w:r>
      <w:r>
        <w:rPr>
          <w:rStyle w:val="FootnoteAnchor"/>
          <w:rtl w:val="true"/>
        </w:rPr>
        <w:footnoteReference w:id="7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هو قدّس سرّه الوجوب، و هو حسن علی ما فرضه من عدم الستر دائما خلاف </w:t>
      </w:r>
      <w:r>
        <w:rPr>
          <w:rStyle w:val="FootnoteAnchor"/>
          <w:rtl w:val="true"/>
        </w:rPr>
        <w:footnoteReference w:id="751"/>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فرق فیما ذکرنا بین شعر اللحیة و غیرها، و لا بین الرجل و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نبت للمرأة لحیة لم یجب تخلیلها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التفصیل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یکفی </w:t>
      </w:r>
      <w:r>
        <w:rPr>
          <w:rStyle w:val="FootnoteAnchor"/>
          <w:rtl w:val="true"/>
        </w:rPr>
        <w:footnoteReference w:id="752"/>
      </w:r>
      <w:r>
        <w:rPr>
          <w:rFonts w:ascii="IRNazanin" w:hAnsi="IRNazanin" w:eastAsia="IRNazanin"/>
          <w:color w:val="111111"/>
          <w:sz w:val="28"/>
          <w:sz w:val="28"/>
          <w:szCs w:val="28"/>
          <w:rtl w:val="true"/>
          <w:lang w:bidi="fa-IR"/>
        </w:rPr>
        <w:t>إفاضة الماء علی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تبطین، حتّی لو غسل البشرة لم یجز</w:t>
      </w:r>
      <w:r>
        <w:rPr>
          <w:rFonts w:eastAsia="IRNazanin" w:cs="IRNazanin"/>
          <w:color w:val="111111"/>
          <w:sz w:val="28"/>
          <w:szCs w:val="28"/>
          <w:rtl w:val="true"/>
          <w:lang w:bidi="fa-IR"/>
        </w:rPr>
        <w:t>.</w:t>
      </w:r>
      <w:bookmarkStart w:id="146" w:name="pg13035_131687"/>
    </w:p>
    <w:p>
      <w:pPr>
        <w:pStyle w:val="Heading6"/>
        <w:numPr>
          <w:ilvl w:val="5"/>
          <w:numId w:val="1"/>
        </w:numPr>
        <w:rPr/>
      </w:pPr>
      <w:bookmarkStart w:id="147" w:name="__RefHeading___Toc6369962_3224264995"/>
      <w:bookmarkStart w:id="148" w:name="_Toc58"/>
      <w:bookmarkEnd w:id="146"/>
      <w:bookmarkEnd w:id="147"/>
      <w:r>
        <w:rPr>
          <w:rtl w:val="true"/>
        </w:rPr>
        <w:t>[</w:t>
      </w:r>
      <w:r>
        <w:rPr>
          <w:rtl w:val="true"/>
        </w:rPr>
        <w:t>الفرض الثالث غسل الیدین</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فروض الوضوء الثابتة بالکتاب، بل السنّة و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بالأدلّة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المرفقین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Style w:val="FootnoteAnchor"/>
          <w:rtl w:val="true"/>
        </w:rPr>
        <w:footnoteReference w:id="754"/>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غیر عزیز فی الاستعمال، و إلّا فیکفی السنّة و الإجماع المستفیضان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روایة الهیثم بن عروة التمیمی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 مسحت من ظهر کفّی إلی المرفق،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تنزیلها، إنّما هی فَاغْسِلُوا وُجُوهَکُمْ وَ أَیْدِیَکُمْ من الْمَرٰافِقِ، ثمّ أمرّ یده من مرفقه إلی أصابعه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الحاکی لوضوء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الماء علی مرفقه فأمرّ کفّه علی ساعده</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فغرف بها غرفة فأفرغ علی ذراعه الیمنی، فغسل بها ذراعه من المرفق إلی الکفّ لا یردّها إلی المرفق</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عن الأئمة علیهم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القطع بالثبوت کدعوی التواتر أو الإجماع، فلا یقصر هذا المرسل عن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معظم الفتاوی کمعاقد الإجماعات هو وجوب غسل المرفق أصالة، ففی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المرفقین واجب مع الیدین، و به قال جمیع الفقهاء إلّا زفر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غسل الیدین مع المرفقین، ثمّ استدلّ علی دخول المرفق بأنّ علیه الإجماع من عدا زفر و من لا عبرة بخلافه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أهل العلم علی وجوب إدخال المرفقین، خلافا لبعض أصحاب مالک و داود و زفر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کشف اللثام دعوی الإجماع علی الإدخال إلّا من زفر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عباراتهم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ظاهر الشهید فی الذکری </w:t>
      </w:r>
      <w:r>
        <w:rPr>
          <w:rStyle w:val="FootnoteAnchor"/>
          <w:rtl w:val="true"/>
        </w:rPr>
        <w:footnoteReference w:id="763"/>
      </w:r>
      <w:r>
        <w:rPr>
          <w:rFonts w:ascii="IRNazanin" w:hAnsi="IRNazanin" w:eastAsia="IRNazanin"/>
          <w:color w:val="111111"/>
          <w:sz w:val="28"/>
          <w:sz w:val="28"/>
          <w:szCs w:val="28"/>
          <w:rtl w:val="true"/>
          <w:lang w:bidi="fa-IR"/>
        </w:rPr>
        <w:t>و صریح جماعة ممّن تأخّر عنه</w:t>
      </w:r>
    </w:p>
    <w:p>
      <w:pPr>
        <w:pStyle w:val="BookText"/>
        <w:rPr/>
      </w:pPr>
      <w:r>
        <w:rPr>
          <w:rFonts w:ascii="IRNazanin" w:hAnsi="IRNazanin" w:eastAsia="IRNazanin"/>
          <w:color w:val="111111"/>
          <w:sz w:val="28"/>
          <w:sz w:val="28"/>
          <w:szCs w:val="28"/>
          <w:rtl w:val="true"/>
          <w:lang w:bidi="fa-IR"/>
        </w:rPr>
        <w:t xml:space="preserve">کالمقداد </w:t>
      </w:r>
      <w:r>
        <w:rPr>
          <w:rStyle w:val="FootnoteAnchor"/>
          <w:rtl w:val="true"/>
        </w:rPr>
        <w:footnoteReference w:id="764"/>
      </w:r>
      <w:r>
        <w:rPr>
          <w:rFonts w:ascii="IRNazanin" w:hAnsi="IRNazanin" w:eastAsia="IRNazanin"/>
          <w:color w:val="111111"/>
          <w:sz w:val="28"/>
          <w:sz w:val="28"/>
          <w:szCs w:val="28"/>
          <w:rtl w:val="true"/>
          <w:lang w:bidi="fa-IR"/>
        </w:rPr>
        <w:t xml:space="preserve">و المحقّق و الشهید الثانیین </w:t>
      </w:r>
      <w:r>
        <w:rPr>
          <w:rStyle w:val="FootnoteAnchor"/>
          <w:rtl w:val="true"/>
        </w:rPr>
        <w:footnoteReference w:id="765"/>
      </w:r>
      <w:r>
        <w:rPr>
          <w:rFonts w:ascii="IRNazanin" w:hAnsi="IRNazanin" w:eastAsia="IRNazanin"/>
          <w:color w:val="111111"/>
          <w:sz w:val="28"/>
          <w:sz w:val="28"/>
          <w:szCs w:val="28"/>
          <w:rtl w:val="true"/>
          <w:lang w:bidi="fa-IR"/>
        </w:rPr>
        <w:t xml:space="preserve">و غیرهم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الخلاف فی أنّ وجوب غسل المرفقین أصلی أو مقدّمی؟</w:t>
      </w:r>
    </w:p>
    <w:p>
      <w:pPr>
        <w:pStyle w:val="BookText"/>
        <w:rPr/>
      </w:pPr>
      <w:r>
        <w:rPr>
          <w:rFonts w:ascii="IRNazanin" w:hAnsi="IRNazanin" w:eastAsia="IRNazanin"/>
          <w:color w:val="111111"/>
          <w:sz w:val="28"/>
          <w:sz w:val="28"/>
          <w:szCs w:val="28"/>
          <w:rtl w:val="true"/>
          <w:lang w:bidi="fa-IR"/>
        </w:rPr>
        <w:t xml:space="preserve">و منشأ ذلک أنّ جماعة من أساطین المدّعین للإجماع علی وجوب غسل المرفق الظاهر فی وجوبه أصالة کالفاضلین و الشهید أفتوا فی المعتبر </w:t>
      </w:r>
      <w:r>
        <w:rPr>
          <w:rStyle w:val="FootnoteAnchor"/>
          <w:rtl w:val="true"/>
        </w:rPr>
        <w:footnoteReference w:id="767"/>
      </w:r>
      <w:r>
        <w:rPr>
          <w:rFonts w:ascii="IRNazanin" w:hAnsi="IRNazanin" w:eastAsia="IRNazanin"/>
          <w:color w:val="111111"/>
          <w:sz w:val="28"/>
          <w:sz w:val="28"/>
          <w:szCs w:val="28"/>
          <w:rtl w:val="true"/>
          <w:lang w:bidi="fa-IR"/>
        </w:rPr>
        <w:t xml:space="preserve">و المنتهی </w:t>
      </w:r>
      <w:r>
        <w:rPr>
          <w:rStyle w:val="FootnoteAnchor"/>
          <w:rtl w:val="true"/>
        </w:rPr>
        <w:footnoteReference w:id="768"/>
      </w:r>
      <w:r>
        <w:rPr>
          <w:rFonts w:ascii="IRNazanin" w:hAnsi="IRNazanin" w:eastAsia="IRNazanin"/>
          <w:color w:val="111111"/>
          <w:sz w:val="28"/>
          <w:sz w:val="28"/>
          <w:szCs w:val="28"/>
          <w:rtl w:val="true"/>
          <w:lang w:bidi="fa-IR"/>
        </w:rPr>
        <w:t xml:space="preserve">و الإرشاد </w:t>
      </w:r>
      <w:r>
        <w:rPr>
          <w:rStyle w:val="FootnoteAnchor"/>
          <w:rtl w:val="true"/>
        </w:rPr>
        <w:footnoteReference w:id="769"/>
      </w:r>
      <w:r>
        <w:rPr>
          <w:rFonts w:ascii="Amiri" w:hAnsi="Amiri" w:eastAsia="Amiri" w:cs="Amiri"/>
          <w:color w:val="111111"/>
          <w:sz w:val="28"/>
          <w:sz w:val="28"/>
          <w:szCs w:val="28"/>
          <w:rtl w:val="true"/>
          <w:lang w:bidi="ar-SA"/>
        </w:rPr>
        <w:t xml:space="preserve">و النفلیّة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غسل طرف </w:t>
      </w:r>
      <w:r>
        <w:rPr>
          <w:rStyle w:val="FootnoteAnchor"/>
          <w:rtl w:val="true"/>
        </w:rPr>
        <w:footnoteReference w:id="771"/>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تعلیل سقوط غسل الید فی الأقطع من المرفق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فرض غسلها بفوات محلّها، و للشافعی فی غسل العظم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طرف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أصحّهما الوجوب؛ لأنّ غسل العظمین المتلاقیین من العضد و المرفق واجب فإذا زال أحدهما غسل الآخر،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وجب غسل طرف العضد توصّلا إلی غسل المرفق و مع سقوط الأصل انتفی الوجوب </w:t>
      </w:r>
      <w:r>
        <w:rPr>
          <w:rStyle w:val="FootnoteAnchor"/>
          <w:rtl w:val="true"/>
        </w:rPr>
        <w:footnoteReference w:id="77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فی النفلیّة باستحباب غسل ما بقی من المرفق </w:t>
      </w:r>
      <w:r>
        <w:rPr>
          <w:rStyle w:val="FootnoteAnchor"/>
          <w:rtl w:val="true"/>
        </w:rPr>
        <w:footnoteReference w:id="773"/>
      </w:r>
      <w:r>
        <w:rPr>
          <w:rFonts w:ascii="IRNazanin" w:hAnsi="IRNazanin" w:eastAsia="IRNazanin"/>
          <w:color w:val="111111"/>
          <w:sz w:val="28"/>
          <w:sz w:val="28"/>
          <w:szCs w:val="28"/>
          <w:rtl w:val="true"/>
          <w:lang w:bidi="fa-IR"/>
        </w:rPr>
        <w:t xml:space="preserve">فبناه الشارح علی وجوب غسل المرفق مقدّمة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 الوجوب فی الذکری أقرب </w:t>
      </w:r>
      <w:r>
        <w:rPr>
          <w:rStyle w:val="FootnoteAnchor"/>
          <w:rtl w:val="true"/>
        </w:rPr>
        <w:footnoteReference w:id="775"/>
      </w:r>
      <w:r>
        <w:rPr>
          <w:rFonts w:ascii="IRNazanin" w:hAnsi="IRNazanin" w:eastAsia="IRNazanin"/>
          <w:color w:val="111111"/>
          <w:sz w:val="28"/>
          <w:sz w:val="28"/>
          <w:szCs w:val="28"/>
          <w:rtl w:val="true"/>
          <w:lang w:bidi="fa-IR"/>
        </w:rPr>
        <w:t>، و لذا استظهرنا منه ثبوت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ذکره المتأخّرون یکون 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الأصلی، و المقدّمی، و عدم الوجوب رأسا المنسوب إلی زفر و من تبعه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الأقوال الثلاثة لا تأتی فی المرفق بمعنی واحد، فلا بدّ إمّا من </w:t>
      </w:r>
      <w:r>
        <w:rPr>
          <w:rStyle w:val="FootnoteAnchor"/>
          <w:rtl w:val="true"/>
        </w:rPr>
        <w:footnoteReference w:id="776"/>
      </w:r>
      <w:r>
        <w:rPr>
          <w:rFonts w:ascii="IRNazanin" w:hAnsi="IRNazanin" w:eastAsia="IRNazanin"/>
          <w:color w:val="111111"/>
          <w:sz w:val="28"/>
          <w:sz w:val="28"/>
          <w:szCs w:val="28"/>
          <w:rtl w:val="true"/>
          <w:lang w:bidi="fa-IR"/>
        </w:rPr>
        <w:t xml:space="preserve">تثنیة الأقوال و جعل محلّ الخلاف فی الوجوب الأصلیّ، و إمّا من بناء الخلاف فی وجوب الدخول أصلا أو مقدّمة و عدمه رأسا علی الخلاف فی معنی المرفق کما سیجی‌ء، و إنّ من یقول بعدم الوجوب رأسا یکون المرفق عنده مجموع العظمین المتداخلین من الذراع و العضد کما فسّره به فی الروض </w:t>
      </w:r>
      <w:r>
        <w:rPr>
          <w:rStyle w:val="FootnoteAnchor"/>
          <w:rtl w:val="true"/>
        </w:rPr>
        <w:footnoteReference w:id="777"/>
      </w:r>
      <w:r>
        <w:rPr>
          <w:rFonts w:ascii="IRNazanin" w:hAnsi="IRNazanin" w:eastAsia="IRNazanin"/>
          <w:color w:val="111111"/>
          <w:sz w:val="28"/>
          <w:sz w:val="28"/>
          <w:szCs w:val="28"/>
          <w:rtl w:val="true"/>
          <w:lang w:bidi="fa-IR"/>
        </w:rPr>
        <w:t xml:space="preserve">مستفیدا إیّاه من تفسیره فی التذکرة بأنّه مجمع عظمی الذراع و العضد </w:t>
      </w:r>
      <w:r>
        <w:rPr>
          <w:rStyle w:val="FootnoteAnchor"/>
          <w:rtl w:val="true"/>
        </w:rPr>
        <w:footnoteReference w:id="778"/>
      </w:r>
      <w:r>
        <w:rPr>
          <w:rFonts w:ascii="IRNazanin" w:hAnsi="IRNazanin" w:eastAsia="IRNazanin"/>
          <w:color w:val="111111"/>
          <w:sz w:val="28"/>
          <w:sz w:val="28"/>
          <w:szCs w:val="28"/>
          <w:rtl w:val="true"/>
          <w:lang w:bidi="fa-IR"/>
        </w:rPr>
        <w:t>، فإنّ مجموع المقدار المتداخل من العظمین یمکن نفی وجوبه أصلا؛ لعدم الدلیل علیه بناء علی ظاهر الآیة، و لیس مقدّمة لغسل الذراع، و إنّما المقدّمة جزء من طرف 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الحدّ المشترک الذی لا وجود له إلّا بطرفی الذراع و العضد، و لا دلیل علی وجوب غسله أصالة، و لیست قابلة للمقدّمیة، بل لو فرض وجوبه أصالة لا بدّ من إرجاع وجوبه إلی وجوب غسل طرفی الذراع و العضد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أنّ الإجماع منعقد علی وجوب غسل المرفق أصالة، إلّا أنّ وجوب غسل طرف العضد أصالة مبنیّ علی دخوله فی المرفق، فمن قال بدخوله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فی التذکرة </w:t>
      </w:r>
      <w:r>
        <w:rPr>
          <w:rStyle w:val="FootnoteAnchor"/>
          <w:rtl w:val="true"/>
        </w:rPr>
        <w:footnoteReference w:id="779"/>
      </w:r>
      <w:r>
        <w:rPr>
          <w:rFonts w:ascii="IRNazanin" w:hAnsi="IRNazanin" w:eastAsia="IRNazanin"/>
          <w:color w:val="111111"/>
          <w:sz w:val="28"/>
          <w:sz w:val="28"/>
          <w:szCs w:val="28"/>
          <w:rtl w:val="true"/>
          <w:lang w:bidi="fa-IR"/>
        </w:rPr>
        <w:t xml:space="preserve">و الشهید فی الذکری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بوجوبه، و من قال بخروجه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فیما تقدّم من المنتهی </w:t>
      </w:r>
      <w:r>
        <w:rPr>
          <w:rStyle w:val="FootnoteAnchor"/>
          <w:rtl w:val="true"/>
        </w:rPr>
        <w:footnoteReference w:id="781"/>
      </w:r>
      <w:r>
        <w:rPr>
          <w:rFonts w:ascii="IRNazanin" w:hAnsi="IRNazanin" w:eastAsia="IRNazanin"/>
          <w:color w:val="111111"/>
          <w:sz w:val="28"/>
          <w:sz w:val="28"/>
          <w:szCs w:val="28"/>
          <w:rtl w:val="true"/>
          <w:lang w:bidi="fa-IR"/>
        </w:rPr>
        <w:t>، حیث قرّر قول الشافعی الصریح فی خروج طرف العضد عن المرفق، و إنّما أنکر وجوب غسله مقدّمة لغسل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بعدم وجوب غسله، و لذا حمل الشهید قدّس سرّه فی الذکری فتوی المحقّق قدّس سرّه تارة بابتنائه علی دخول المرفق مقدّمة، و اخری علی کون المرفق طرف الساعد، و جعل القول بالمقدّمیة مبنیّا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للانتهاء لا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 و قد صرّح فی المعتبر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یجب غسل الیدین مع المرفقین </w:t>
      </w:r>
      <w:r>
        <w:rPr>
          <w:rStyle w:val="FootnoteAnchor"/>
          <w:rtl w:val="true"/>
        </w:rPr>
        <w:footnoteReference w:id="783"/>
      </w:r>
      <w:r>
        <w:rPr>
          <w:rFonts w:ascii="IRNazanin" w:hAnsi="IRNazanin" w:eastAsia="IRNazanin"/>
          <w:color w:val="111111"/>
          <w:sz w:val="28"/>
          <w:sz w:val="28"/>
          <w:szCs w:val="28"/>
          <w:rtl w:val="true"/>
          <w:lang w:bidi="fa-IR"/>
        </w:rPr>
        <w:t>، فتعیّن أن یکون مبناه هو جعل المرفق طرف الساعد وفاقا للمنتهی و الشافعی، أو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عبارة النفلیة </w:t>
      </w:r>
      <w:r>
        <w:rPr>
          <w:rStyle w:val="FootnoteAnchor"/>
          <w:rtl w:val="true"/>
        </w:rPr>
        <w:footnoteReference w:id="784"/>
      </w:r>
      <w:r>
        <w:rPr>
          <w:rFonts w:ascii="IRNazanin" w:hAnsi="IRNazanin" w:eastAsia="IRNazanin"/>
          <w:color w:val="111111"/>
          <w:sz w:val="28"/>
          <w:sz w:val="28"/>
          <w:szCs w:val="28"/>
          <w:rtl w:val="true"/>
          <w:lang w:bidi="fa-IR"/>
        </w:rPr>
        <w:t>، فیمکن أن یراد ممّا بقی من المرفق أحد طرفیه المقوّمین له، لا جزئه؛ بناء علی أنّه هو المفصل و هو الحدّ المشترک الذی لا یقوم إلا بطرفین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فالخلاف فی مسألة الأقطع مبنیّ علی الخلاف فی تفسیر المرفق، لا فی وجوبه أصالة أو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مراد من أثبت الخلاف فی وجوب المرفق أصالة أو مقدّمة إرادة المرفق بالمعنی المختار عنده و هو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معنی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مجمع عظمی الذراع و العضد </w:t>
      </w:r>
      <w:r>
        <w:rPr>
          <w:rStyle w:val="FootnoteAnchor"/>
          <w:rtl w:val="true"/>
        </w:rPr>
        <w:footnoteReference w:id="785"/>
      </w:r>
      <w:r>
        <w:rPr>
          <w:rFonts w:ascii="IRNazanin" w:hAnsi="IRNazanin" w:eastAsia="IRNazanin"/>
          <w:color w:val="111111"/>
          <w:sz w:val="28"/>
          <w:sz w:val="28"/>
          <w:szCs w:val="28"/>
          <w:rtl w:val="true"/>
          <w:lang w:bidi="fa-IR"/>
        </w:rPr>
        <w:t>، 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یجتمع فیه العظمان فیتداخلان، و ظاهره إرادة المجموع؛ و لذا عبّر به فی الذکری </w:t>
      </w:r>
      <w:r>
        <w:rPr>
          <w:rStyle w:val="FootnoteAnchor"/>
          <w:rtl w:val="true"/>
        </w:rPr>
        <w:footnoteReference w:id="787"/>
      </w:r>
      <w:r>
        <w:rPr>
          <w:rFonts w:ascii="IRNazanin" w:hAnsi="IRNazanin" w:eastAsia="IRNazanin"/>
          <w:color w:val="111111"/>
          <w:sz w:val="28"/>
          <w:sz w:val="28"/>
          <w:szCs w:val="28"/>
          <w:rtl w:val="true"/>
          <w:lang w:bidi="fa-IR"/>
        </w:rPr>
        <w:t xml:space="preserve">و المجمع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یراد به موضع اجتماعهما، أی انضمام أحدهما إلی الآخر، فیکون تمام المقدار المتداخل من العظمین، و یشهد له تعبیر الروض بأنّه العظمان المتداخلان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الذی یتلاقیان و یتواصلان فیه فیتداخلان، فیکون مرکّبا من طرفی العظمین من جمیع الجوانب، و عن جماعة من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موصل العضد بالساعد کما عن المغرب </w:t>
      </w:r>
      <w:r>
        <w:rPr>
          <w:rStyle w:val="FootnoteAnchor"/>
          <w:rtl w:val="true"/>
        </w:rPr>
        <w:footnoteReference w:id="791"/>
      </w:r>
      <w:r>
        <w:rPr>
          <w:rFonts w:ascii="IRNazanin" w:hAnsi="IRNazanin" w:eastAsia="IRNazanin"/>
          <w:color w:val="111111"/>
          <w:sz w:val="28"/>
          <w:sz w:val="28"/>
          <w:szCs w:val="28"/>
          <w:rtl w:val="true"/>
          <w:lang w:bidi="fa-IR"/>
        </w:rPr>
        <w:t xml:space="preserve">، أو موصل الذراع فی العضد کما عن الصحاح </w:t>
      </w:r>
      <w:r>
        <w:rPr>
          <w:rStyle w:val="FootnoteAnchor"/>
          <w:rtl w:val="true"/>
        </w:rPr>
        <w:footnoteReference w:id="792"/>
      </w:r>
      <w:r>
        <w:rPr>
          <w:rFonts w:ascii="IRNazanin" w:hAnsi="IRNazanin" w:eastAsia="IRNazanin"/>
          <w:color w:val="111111"/>
          <w:sz w:val="28"/>
          <w:sz w:val="28"/>
          <w:szCs w:val="28"/>
          <w:rtl w:val="true"/>
          <w:lang w:bidi="fa-IR"/>
        </w:rPr>
        <w:t xml:space="preserve">و القاموس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بموصل الذراع فی العضد یحتمل أن یکون محلّ تواصلهما، أی المحلّ الذی یتواصلان فیه، فرجع إلی المجموع بمعنییه؛ لأنّ الوصل و الجمع بمعنی الضمّ مرجعهما إلی واحد؛ و لذا جعل شارح الدروس تفسیر التذکرة قریبا من هذا التفسیر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یراد من موصل الذراع فی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الذراع الواصل بالعضد، أو فیه، و هو الذی یحتمله ما تقدّم من عبارة المعتبر و المنتهی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یراد به الحدّ المشترک الذی یطلق علیه الموصل باعتبار و المفصل باعتبار، کما استظهره شارح الدروس من الموصل، و لذا حکی عن بعضهم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المشهور کما فی الحدائق، بل ظاهر اللغویین کما عن بعض آخر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المفصل، 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المرفق کمنبر و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و هو</w:t>
      </w:r>
    </w:p>
    <w:p>
      <w:pPr>
        <w:pStyle w:val="BookText"/>
        <w:rPr/>
      </w:pPr>
      <w:r>
        <w:rPr>
          <w:rFonts w:ascii="IRNazanin" w:hAnsi="IRNazanin" w:eastAsia="IRNazanin"/>
          <w:color w:val="111111"/>
          <w:sz w:val="28"/>
          <w:sz w:val="28"/>
          <w:szCs w:val="28"/>
          <w:rtl w:val="true"/>
          <w:lang w:bidi="fa-IR"/>
        </w:rPr>
        <w:t xml:space="preserve">رأس عظمی الذراع و العضد کما هو المشهور، أو مجمع عظمی الذراع و العضد، فعلی هذا شی‌ء منه داخل فی الذراع و شی‌ء منه داخل فی العضد </w:t>
      </w:r>
      <w:r>
        <w:rPr>
          <w:rStyle w:val="FootnoteAnchor"/>
          <w:rtl w:val="true"/>
        </w:rPr>
        <w:footnoteReference w:id="79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اتّحاد المفصل و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بعضهم کالروضة </w:t>
      </w:r>
      <w:r>
        <w:rPr>
          <w:rStyle w:val="FootnoteAnchor"/>
          <w:rtl w:val="true"/>
        </w:rPr>
        <w:footnoteReference w:id="799"/>
      </w:r>
      <w:r>
        <w:rPr>
          <w:rFonts w:ascii="IRNazanin" w:hAnsi="IRNazanin" w:eastAsia="IRNazanin"/>
          <w:color w:val="111111"/>
          <w:sz w:val="28"/>
          <w:sz w:val="28"/>
          <w:szCs w:val="28"/>
          <w:rtl w:val="true"/>
          <w:lang w:bidi="fa-IR"/>
        </w:rPr>
        <w:t xml:space="preserve">و غیرها </w:t>
      </w:r>
      <w:r>
        <w:rPr>
          <w:rStyle w:val="FootnoteAnchor"/>
          <w:rtl w:val="true"/>
        </w:rPr>
        <w:footnoteReference w:id="800"/>
      </w:r>
      <w:r>
        <w:rPr>
          <w:rFonts w:ascii="IRNazanin" w:hAnsi="IRNazanin" w:eastAsia="IRNazanin"/>
          <w:color w:val="111111"/>
          <w:sz w:val="28"/>
          <w:sz w:val="28"/>
          <w:szCs w:val="28"/>
          <w:rtl w:val="true"/>
          <w:lang w:bidi="fa-IR"/>
        </w:rPr>
        <w:t>القول بالموصل، مع أنّه هو المصرّح به فی کلام جماعة من أهل اللغة، بل المعروف منهم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شرح الدروس اتّحاد الثلاثة؛ لأنّه ذکر أوّلا تفسیر أهل اللغة بالموصل،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ما فی التذکرة،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أیضا بالمفصل، و هو مثل الأوّل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فالظاهر من کلّ من نصّ علی وجوب إدخال المرفقین فی الغسل هو إرادة المجمع؛ إذ مرجع وجوب غسل الحدّ المشترک إلی وجوب غسل الذراع أصالة و جزء من العضد مقدّمة؛ لأنّ الحدّ المشترک لیس أمرا خارجا عنهما علی القول بعدم الجزء الذی لا یتجزّی، و هذا ممّا لا یحتاج إلی التعبیر عنه بمثل العبارة المذکورة، بل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وجوب غسل جزء من الرأس مقدّمه لغسل الوجه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صحّة الاستدلال بما تقدّم عن الخلاف من أنّه ثبت من الأئمة علیهم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فإنّ ظاهر ذلک کون المرفق</w:t>
      </w:r>
    </w:p>
    <w:p>
      <w:pPr>
        <w:pStyle w:val="BookText"/>
        <w:rPr/>
      </w:pPr>
      <w:r>
        <w:rPr>
          <w:rFonts w:ascii="IRNazanin" w:hAnsi="IRNazanin" w:eastAsia="IRNazanin"/>
          <w:color w:val="111111"/>
          <w:sz w:val="28"/>
          <w:sz w:val="28"/>
          <w:szCs w:val="28"/>
          <w:rtl w:val="true"/>
          <w:lang w:bidi="fa-IR"/>
        </w:rPr>
        <w:t>جزءا خارجا مغایرا للذراع، و لا یکون ذلک إلّا مع إرادة المجمع، فیکون مغایرته للذراع باعتبار اشتماله علی جزء خارج منه و هو طرف 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 الإجماع ما عرفت من أنّ جماعة من هؤلاء المصرّحین بالحکم المذکور المدّعین للإجماع علیه لم یوجبوا غسل جزء من العضد عند قطع الید من المرفق علی ما تقدّم </w:t>
      </w:r>
      <w:r>
        <w:rPr>
          <w:rStyle w:val="FootnoteAnchor"/>
          <w:rtl w:val="true"/>
        </w:rPr>
        <w:footnoteReference w:id="803"/>
      </w:r>
      <w:r>
        <w:rPr>
          <w:rFonts w:ascii="IRNazanin" w:hAnsi="IRNazanin" w:eastAsia="IRNazanin"/>
          <w:color w:val="111111"/>
          <w:sz w:val="28"/>
          <w:sz w:val="28"/>
          <w:szCs w:val="28"/>
          <w:rtl w:val="true"/>
          <w:lang w:bidi="fa-IR"/>
        </w:rPr>
        <w:t>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ممّا ذکر الاستدلال بما سیجی‌ء من وجوب غسل من قطع من المرفق ما بقی من عضده؛ بناء علی الإجماع علی عدم وجوب الزائد عن المرفق أصالة، و سیتّضح ذلک فی مسألة الأقطع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الدلیل علی کونه هو المجمع و إن ضعف إلّا أنّ کونه نفس المفصل أیضا لم یثبت؛ لأنّ کلام اللغویین علی تقدیر صحّته مع عدم إفادة القطع یمکن الإرجاع إلی المجمع، و لیس نصّا بل و لا ظاهرا فی إرادة الحدّ المشترک، خصوصا مع معارضته بما یظهر من جماعة من العلماء بل من الکلّ بناء علی ما عرفت، فالمسألة محلّ توقّف، و المرجع إلی أصالة البراءة لو لا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الدالّ علی وجوب إحراز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بما یظهر منه الاقتصار علی غسل الذراع فلا یخلو عن نظر، و الاحتیاط مطلوب علی کلّ حال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البداءة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بالأعلی علی الوجه المتقدّم فی غسل الوجه کما عن أحد قولی السیّد </w:t>
      </w:r>
      <w:r>
        <w:rPr>
          <w:rStyle w:val="FootnoteAnchor"/>
          <w:rtl w:val="true"/>
        </w:rPr>
        <w:footnoteReference w:id="805"/>
      </w:r>
      <w:r>
        <w:rPr>
          <w:rFonts w:ascii="IRNazanin" w:hAnsi="IRNazanin" w:eastAsia="IRNazanin"/>
          <w:color w:val="111111"/>
          <w:sz w:val="28"/>
          <w:sz w:val="28"/>
          <w:szCs w:val="28"/>
          <w:rtl w:val="true"/>
          <w:lang w:bidi="fa-IR"/>
        </w:rPr>
        <w:t>لما مرّ فی غسل الوجه، و المرویّ عن إرشاد المفید بسنده</w:t>
      </w:r>
    </w:p>
    <w:p>
      <w:pPr>
        <w:pStyle w:val="BookText"/>
        <w:rPr/>
      </w:pPr>
      <w:r>
        <w:rPr>
          <w:rFonts w:ascii="IRNazanin" w:hAnsi="IRNazanin" w:eastAsia="IRNazanin"/>
          <w:color w:val="111111"/>
          <w:sz w:val="28"/>
          <w:sz w:val="28"/>
          <w:szCs w:val="28"/>
          <w:rtl w:val="true"/>
          <w:lang w:bidi="fa-IR"/>
        </w:rPr>
        <w:t>عن علیّ بن یقطین أنّه کتب علیه السلام إلی علیّ بن یقطین بعد ارتفاع التهمة عنه و صلاح حاله عند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توضّأ کما أمر اللّٰه، اغسل وجهک مرّة واحدة فریضة و اخری إسباغا، و اغسل یدیک من المرفقین کذلک، و امسح بمقدّم رأسک و ظاهر قدمیک من فضل نداوة وضوئک، فقد زال ما کنّا نخاف منه علیک </w:t>
      </w:r>
      <w:r>
        <w:rPr>
          <w:rStyle w:val="FootnoteAnchor"/>
          <w:rtl w:val="true"/>
        </w:rPr>
        <w:footnoteReference w:id="806"/>
      </w:r>
      <w:r>
        <w:rPr>
          <w:rFonts w:ascii="IRNazanin" w:hAnsi="IRNazanin" w:eastAsia="IRNazanin"/>
          <w:color w:val="111111"/>
          <w:sz w:val="28"/>
          <w:sz w:val="28"/>
          <w:szCs w:val="28"/>
          <w:rtl w:val="true"/>
          <w:lang w:bidi="fa-IR"/>
        </w:rPr>
        <w:t xml:space="preserve">و السلام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المحکیّ عن کشف الغمّة عن کتاب علیّ بن إبراهیم فی حدیث النبی صلّی اللّٰه علیه و آله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جبرئیل الوضوء علی الوجه و الیدین من المرفق، و مسح الرأس و الرجلین إلی الکعبین</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تفسیر العیّاشی عن صفوان فی حدیث غسل الید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یرد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عنده آخر و إلّا فلا</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و المراد حضور من یتّقی منه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غسل منکوسا لم یجز لما مرّ من روایة ابن عروة التمیمی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یده من المرفق إلی أطراف أصابعه</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 و الوضوءات البیانیة </w:t>
      </w:r>
      <w:r>
        <w:rPr>
          <w:rStyle w:val="FootnoteAnchor"/>
          <w:rtl w:val="true"/>
        </w:rPr>
        <w:footnoteReference w:id="811"/>
      </w:r>
      <w:r>
        <w:rPr>
          <w:rFonts w:ascii="IRNazanin" w:hAnsi="IRNazanin" w:eastAsia="IRNazanin"/>
          <w:color w:val="111111"/>
          <w:sz w:val="28"/>
          <w:sz w:val="28"/>
          <w:szCs w:val="28"/>
          <w:rtl w:val="true"/>
          <w:lang w:bidi="fa-IR"/>
        </w:rPr>
        <w:t>، خصوصا</w:t>
      </w:r>
    </w:p>
    <w:p>
      <w:pPr>
        <w:pStyle w:val="BookText"/>
        <w:rPr/>
      </w:pPr>
      <w:r>
        <w:rPr>
          <w:rFonts w:ascii="IRNazanin" w:hAnsi="IRNazanin" w:eastAsia="IRNazanin"/>
          <w:color w:val="111111"/>
          <w:sz w:val="28"/>
          <w:sz w:val="28"/>
          <w:szCs w:val="28"/>
          <w:rtl w:val="true"/>
          <w:lang w:bidi="fa-IR"/>
        </w:rPr>
        <w:t xml:space="preserve">المتعرّضة فی غسل کلا الیدین لعدم ردّ الماء إلی المرفق کما فی صحیحة زرارة و بکیر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قول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البداءة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تعرّضه بعد ذلک لوجوب الترتیب لم یعلم له وجه ظاهر إلّا دفع توهّم کون غسل الیدین فعلا واحدا کما فی مسح الرجلین؛ لظاهر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فیکون الترتیب الآتی مختصّا بأفعال الوضوء لا أجزاء فعل واحد،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قطع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الفرض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Style w:val="FootnoteAnchor"/>
          <w:rtl w:val="true"/>
        </w:rPr>
        <w:footnoteReference w:id="814"/>
      </w:r>
      <w:r>
        <w:rPr>
          <w:rFonts w:ascii="IRNazanin" w:hAnsi="IRNazanin" w:eastAsia="IRNazanin"/>
          <w:color w:val="111111"/>
          <w:sz w:val="28"/>
          <w:sz w:val="28"/>
          <w:szCs w:val="28"/>
          <w:rtl w:val="true"/>
          <w:lang w:bidi="fa-IR"/>
        </w:rPr>
        <w:t>غسل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مبتدئا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و عن المنتهی نسبته إلی أهل العلم </w:t>
      </w:r>
      <w:r>
        <w:rPr>
          <w:rStyle w:val="FootnoteAnchor"/>
          <w:rtl w:val="true"/>
        </w:rPr>
        <w:footnoteReference w:id="815"/>
      </w:r>
      <w:r>
        <w:rPr>
          <w:rFonts w:ascii="IRNazanin" w:hAnsi="IRNazanin" w:eastAsia="IRNazanin"/>
          <w:color w:val="111111"/>
          <w:sz w:val="28"/>
          <w:sz w:val="28"/>
          <w:szCs w:val="28"/>
          <w:rtl w:val="true"/>
          <w:lang w:bidi="fa-IR"/>
        </w:rPr>
        <w:t>للأصل بمعنی الاستصحاب، بناء علی جریانه فی المقام کما قرّر فی الأصول، أو بمعنی أصالة الاشتغال إذا أرید إثبات وجوبه فی الجملة، و إن وجب التیمّم أیضا تحصیلا للیقین بإباحة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لروایتی رفاعة المسئول فی إحداهما عن الأقطع و فی الأخری عن الأقطع الید و الرجل، ففی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ما قطع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الأخیرة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ذلک عن المکان الذی قطع منه</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فی الأقطع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الأقطع الید و الرجل،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یغسلهما</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و الضمیر إمّا مفرد أو مثنّی راجع إلی الیدین، أو المراد بالغسل الأعمّ من المسح، أو یحمل علی التقیّة فی خصوص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المستفادة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یناقش فی جریان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الإغماض عمّا ذکره شارح الدروس </w:t>
      </w:r>
      <w:r>
        <w:rPr>
          <w:rStyle w:val="FootnoteAnchor"/>
          <w:rtl w:val="true"/>
        </w:rPr>
        <w:footnoteReference w:id="821"/>
      </w:r>
      <w:r>
        <w:rPr>
          <w:rFonts w:ascii="IRNazanin" w:hAnsi="IRNazanin" w:eastAsia="IRNazanin"/>
          <w:color w:val="111111"/>
          <w:sz w:val="28"/>
          <w:sz w:val="28"/>
          <w:szCs w:val="28"/>
          <w:rtl w:val="true"/>
          <w:lang w:bidi="fa-IR"/>
        </w:rPr>
        <w:t xml:space="preserve">و غیره </w:t>
      </w:r>
      <w:r>
        <w:rPr>
          <w:rStyle w:val="FootnoteAnchor"/>
          <w:rtl w:val="true"/>
        </w:rPr>
        <w:footnoteReference w:id="822"/>
      </w:r>
      <w:r>
        <w:rPr>
          <w:rFonts w:ascii="IRNazanin" w:hAnsi="IRNazanin" w:eastAsia="IRNazanin"/>
          <w:color w:val="111111"/>
          <w:sz w:val="28"/>
          <w:sz w:val="28"/>
          <w:szCs w:val="28"/>
          <w:rtl w:val="true"/>
          <w:lang w:bidi="fa-IR"/>
        </w:rPr>
        <w:t>من الخدشة فی دلالتها و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الوضوء إنّما هو لرفع الحدث و إباحة الصلاة، نظیر غسل الثوب مرّتین لإزالة الخبث، فالواجب حقیقة هو الطهر، و لیس مرکّبا ذا أجزاء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عموم القاعدة لهذا المقام یکشف عن حصول الغرض المقصود من الکلّ و هو الطهر بالأجزاء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من الخارج عدم حصوله بها فلا مجال لجریان هذه القاعدة، کما فی مثال الغسل مرّتین؛ فإنّا نعلم أنّ الواجب و هو الطهر لا یحصل بها، فلا یجوز التمسّک بهذه القاعدة لوجوب المرّة مع الاعتراف بعدم حصول الطهارة، کما تقدّم نظیره فی</w:t>
      </w:r>
    </w:p>
    <w:p>
      <w:pPr>
        <w:pStyle w:val="BookText"/>
        <w:rPr/>
      </w:pPr>
      <w:r>
        <w:rPr>
          <w:rFonts w:ascii="IRNazanin" w:hAnsi="IRNazanin" w:eastAsia="IRNazanin"/>
          <w:color w:val="111111"/>
          <w:sz w:val="28"/>
          <w:sz w:val="28"/>
          <w:szCs w:val="28"/>
          <w:rtl w:val="true"/>
          <w:lang w:bidi="fa-IR"/>
        </w:rPr>
        <w:t>وجوب إزالة العین عن المخرج إذا لم یمکن التطهیر بإزالة العین و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المشترک، فإن فسّرنا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 غسلها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بفوات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فسّرناه بمجموع العظمین، وجب غسل ما بقی منه من العضد؛ للقاعدة المتقدّمة، بل الإجماع علی تقدیر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قطع من فوق الحدّ المشترک، بأن قطع جزء من العضد سقط الوجوب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توقّفنا فی تفسیر المرفق رجع إلی الاحتیاط من جهة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 و إن کان مقتضی الأصل البراءة بعد إجمال الید؛ لإجمال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یتمسّک بالعمومات المتقدّمة، و صحیحة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قطعت یده من المرفق کیف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بقی من عضده</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بل یجعل هذه دلیلا علی کون المرفق بمعنی المجموع؛ إذ لا یجب غسل ما زاد علی المرفق أصالة إجماعا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مبنی الاستدلال علی إرادة القطع من الحدّ المشترک و بقاء العضد بتمامه، و حینئذ فلا بدّ من التصرّف فی الجواب إمّا بإرادة غسل ما بقی من المرفق من عضده، بمعنی أنّه یغسل من عضده ما بقی من المرفق، و إمّا بالحمل علی الاستحباب، و لا شکّ فی أولویّة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العمومات المتقدّمة فالظاهر منها بحکم الغلبة هو الأقطع ممّا دون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السیّد فی المدارک حمل کلام المحقّق علی قطع رأس العضد بقرینة تصریح المصنّف قدّس سرّه بوجوب غسل المرفق أصالة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المحقّق الثانی فی حاشیة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فسّر المرفق بالمفصل و رأس عظمی الذراع و العضد، و أنّه یجب غسل المرفق 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حینئذ غسل جزء من العضد من باب المقدّمة،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الماتن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قطعت من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أنّ المرفق قطع حقیقة؛ بناء علی وجوب غسله بالأصالة، و لو قلنا بوجوبه من باب المقدّمة سقط غسل ما بقی منه إذا قطعت الذراع </w:t>
      </w:r>
      <w:r>
        <w:rPr>
          <w:rStyle w:val="FootnoteAnchor"/>
          <w:rtl w:val="true"/>
        </w:rPr>
        <w:footnoteReference w:id="8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فیما ذکره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ذراعان دون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علم زیادة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لحم 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جزء ممّا دون المرفق،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الشعر و الظفر و إن طالا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غسل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خلاف فی ذلک علی الظاهر، و استظهر شارح الدروس الإجماع علیه </w:t>
      </w:r>
      <w:r>
        <w:rPr>
          <w:rStyle w:val="FootnoteAnchor"/>
          <w:rtl w:val="true"/>
        </w:rPr>
        <w:footnoteReference w:id="828"/>
      </w:r>
      <w:r>
        <w:rPr>
          <w:rFonts w:ascii="IRNazanin" w:hAnsi="IRNazanin" w:eastAsia="IRNazanin"/>
          <w:color w:val="111111"/>
          <w:sz w:val="28"/>
          <w:sz w:val="28"/>
          <w:szCs w:val="28"/>
          <w:rtl w:val="true"/>
          <w:lang w:bidi="fa-IR"/>
        </w:rPr>
        <w:t xml:space="preserve">، و نفی الریب عنه فی المدارک </w:t>
      </w:r>
      <w:r>
        <w:rPr>
          <w:rStyle w:val="FootnoteAnchor"/>
          <w:rtl w:val="true"/>
        </w:rPr>
        <w:footnoteReference w:id="829"/>
      </w:r>
      <w:r>
        <w:rPr>
          <w:rFonts w:ascii="IRNazanin" w:hAnsi="IRNazanin" w:eastAsia="IRNazanin"/>
          <w:color w:val="111111"/>
          <w:sz w:val="28"/>
          <w:sz w:val="28"/>
          <w:szCs w:val="28"/>
          <w:rtl w:val="true"/>
          <w:lang w:bidi="fa-IR"/>
        </w:rPr>
        <w:t>إمّا لکونه معدودا جزءا من الید کالإصبع الزائدة، و إمّا لکونه تابعا یفهم من الأمر بغسل الید من المرفق إلی الأصابع غسل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وجوب غسل البشرة المستورة خلال الشعر؛ لیشمل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جلدک الماء فحسبک</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 و لأنّه الید حقیقة دون الشعر، و إنّما خرج ما تحت شعر الوجه بما مرّ من الدلیل الغیر الجاری هنا؛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إحاطة اللّٰه به الشعر فلیس للعباد أن یطلبوه و لا أن یبحثوا عنه</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مختصّ بشعر الوجه بقرینة قوله علیه السلام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یجری علیه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غیره فیجب اتّفاقا غسل نفسه و ما تحته من الشعور المستورة بالشعر الظاهر المحاطة به، فالموصول للعهد، نظیر الموصول فی مورد السؤال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ما أحاط به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یغسل ما ظهر</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فی نفی وجوب المضمضة و الاستنشاق، فالمراد به مقابل الجوف و الباطن لا المستور خصوصا تحت الشعور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المرفق لم یجب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کونه یدا مستقلّة لیدخل فی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 و عدم عدّه جزءا أو تابعا لمحلّ الفرض من الید الواجب غسلها، و لذا حکم فی البیان بأنّ الجلدة</w:t>
      </w:r>
    </w:p>
    <w:p>
      <w:pPr>
        <w:pStyle w:val="BookText"/>
        <w:rPr/>
      </w:pPr>
      <w:r>
        <w:rPr>
          <w:rFonts w:ascii="IRNazanin" w:hAnsi="IRNazanin" w:eastAsia="IRNazanin"/>
          <w:color w:val="111111"/>
          <w:sz w:val="28"/>
          <w:sz w:val="28"/>
          <w:szCs w:val="28"/>
          <w:rtl w:val="true"/>
          <w:lang w:bidi="fa-IR"/>
        </w:rPr>
        <w:t xml:space="preserve">المتدلّیة من محلّ الفرض إلی غیره یسقط غسله </w:t>
      </w:r>
      <w:r>
        <w:rPr>
          <w:rStyle w:val="FootnoteAnchor"/>
          <w:rtl w:val="true"/>
        </w:rPr>
        <w:footnoteReference w:id="834"/>
      </w:r>
      <w:r>
        <w:rPr>
          <w:rFonts w:ascii="IRNazanin" w:hAnsi="IRNazanin" w:eastAsia="IRNazanin"/>
          <w:color w:val="111111"/>
          <w:sz w:val="28"/>
          <w:sz w:val="28"/>
          <w:szCs w:val="28"/>
          <w:rtl w:val="true"/>
          <w:lang w:bidi="fa-IR"/>
        </w:rPr>
        <w:t xml:space="preserve">، و نفی عنه الخلاف فی المنتهی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یشتبه معنی العبارة فی بادئ النظر، فیتوهّم أنّ المراد ما تدلّی رأسه علی غیر محلّ الفرض، و لا ریب فی وجوب غسل ذلک؛ لأنّه کالنابت فی المحلّ، لکنّ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أنّ الجلدة المعلّقة لا تتدلّی علی ما فوق محلّ انقلاعه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ینکشط الجلدة من محلّ الفرض انکشاطا مستمرّا إلی غیر محلّ الفرض بحیث کان مبدأ تدلّیه منه و لو کان انتهاؤه إلیه أیضا، فلو کان مبدأ تدلّیها من محلّ الفرض وجب غسلها، و إن کان مبدأ انقلاعه من غیر محلّ الفرض کما صرّح به فی البیان </w:t>
      </w:r>
      <w:r>
        <w:rPr>
          <w:rStyle w:val="FootnoteAnchor"/>
          <w:rtl w:val="true"/>
        </w:rPr>
        <w:footnoteReference w:id="836"/>
      </w:r>
      <w:r>
        <w:rPr>
          <w:rFonts w:ascii="IRNazanin" w:hAnsi="IRNazanin" w:eastAsia="IRNazanin"/>
          <w:color w:val="111111"/>
          <w:sz w:val="28"/>
          <w:sz w:val="28"/>
          <w:szCs w:val="28"/>
          <w:rtl w:val="true"/>
          <w:lang w:bidi="fa-IR"/>
        </w:rPr>
        <w:t xml:space="preserve">تبعا للمعتبر </w:t>
      </w:r>
      <w:r>
        <w:rPr>
          <w:rStyle w:val="FootnoteAnchor"/>
          <w:rtl w:val="true"/>
        </w:rPr>
        <w:footnoteReference w:id="837"/>
      </w:r>
      <w:r>
        <w:rPr>
          <w:rFonts w:ascii="IRNazanin" w:hAnsi="IRNazanin" w:eastAsia="IRNazanin"/>
          <w:color w:val="111111"/>
          <w:sz w:val="28"/>
          <w:sz w:val="28"/>
          <w:szCs w:val="28"/>
          <w:rtl w:val="true"/>
          <w:lang w:bidi="fa-IR"/>
        </w:rPr>
        <w:t xml:space="preserve">و کتب العلّامة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یحتمل هنا عدم وجوب الزائد من المقدار المنقلع عن محلّ الفرض دون الفاضل؛ إبقاء لکلّ منهما علی حکمه السابق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عبارة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علّق وجوب الغسل بکونها دون المرفق، فیظهر منه أنّ الشرطیة الثانیة فی قوّة النقیض لها دون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کان من هذه الأشیاء محاذیا للمرفق لم یجب غسله </w:t>
      </w:r>
      <w:r>
        <w:rPr>
          <w:rStyle w:val="FootnoteAnchor"/>
          <w:rtl w:val="true"/>
        </w:rPr>
        <w:footnoteReference w:id="839"/>
      </w:r>
      <w:r>
        <w:rPr>
          <w:rFonts w:ascii="IRNazanin" w:hAnsi="IRNazanin" w:eastAsia="IRNazanin"/>
          <w:color w:val="111111"/>
          <w:sz w:val="28"/>
          <w:sz w:val="28"/>
          <w:szCs w:val="28"/>
          <w:rtl w:val="true"/>
          <w:lang w:bidi="fa-IR"/>
        </w:rPr>
        <w:t>، و هو کذلک بناء علی أنّه مجموع العظمین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حکم أبعاض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مستقلة مشتملة علی المرفق أو محلّه نابتة </w:t>
      </w:r>
      <w:r>
        <w:rPr>
          <w:rStyle w:val="FootnoteAnchor"/>
          <w:rtl w:val="true"/>
        </w:rPr>
        <w:footnoteReference w:id="840"/>
      </w:r>
      <w:r>
        <w:rPr>
          <w:rFonts w:ascii="IRNazanin" w:hAnsi="IRNazanin" w:eastAsia="IRNazanin"/>
          <w:color w:val="111111"/>
          <w:sz w:val="28"/>
          <w:sz w:val="28"/>
          <w:szCs w:val="28"/>
          <w:rtl w:val="true"/>
          <w:lang w:bidi="fa-IR"/>
        </w:rPr>
        <w:t>من المنکب أو من بعض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کانت بعض ید کذراع أو کفّ، دخل فی المسألة الاولی، و لذا لم یفصّل هنا بین کونه فوق المرفق أو تحته؛ لاختصاص الموضوع هنا بالید المستقلّة و بالجملة، فالکلام فی المسألة الأولی فی أبعاض الید کالذراع و الکفّ و الإصبع من حیث جزئیتها أو تبعیّتها للید الواجب غسلها، و هنا فی بعض مصادیق الید من حیث شمول الید فی الآیة لها أو خروجها عن مصادیق الید فی الآیة لاختصاصها بالأصلیّة دون الزائدة، و من ذلک یظهر وجه عدم تفصیل المصنّف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أصلیّة وجب غسلها؛ لصدق الید علیه کما لو کان له وجهان، و 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غسلها عند جماعة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کانت تحت المرفق وجب غسلها للتبعیة لا للصدق؛ لانصراف الأدلّة إلی الأصلیة، و هو لا یخلو عن تأمّل أو منع؛ لصدق الید علیها، و عدم صحّة سلبه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الانصراف الخطوری من دون تصدیق الذهن بعدم الإرادة غیر قادح، و إلّا سقط جلّ الإطلاقات بل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الانصراف لو سلّم قدحه فلیس فی المقام علی وجه یوجب ظهور المطلق فی الأصلیة لتحتاج إرادة الأعمّ من الزائد إلی القرینة، غایة الأمر صیرورته فی خصوص الأصلیّة بمنزلة المجاز المشهور، فیتوقّف فی الشمول و عدمه، فیرجع إلی الاحتیاط</w:t>
      </w:r>
    </w:p>
    <w:p>
      <w:pPr>
        <w:pStyle w:val="BookText"/>
        <w:rPr/>
      </w:pPr>
      <w:r>
        <w:rPr>
          <w:rFonts w:ascii="IRNazanin" w:hAnsi="IRNazanin" w:eastAsia="IRNazanin"/>
          <w:color w:val="111111"/>
          <w:sz w:val="28"/>
          <w:sz w:val="28"/>
          <w:szCs w:val="28"/>
          <w:rtl w:val="true"/>
          <w:lang w:bidi="fa-IR"/>
        </w:rPr>
        <w:t>اللازم من جهة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أصالة البراءة من جهة الشکّ فی الجزئیة، فالقول بوجوب غسلها کما فی المختلف </w:t>
      </w:r>
      <w:r>
        <w:rPr>
          <w:rStyle w:val="FootnoteAnchor"/>
          <w:rtl w:val="true"/>
        </w:rPr>
        <w:footnoteReference w:id="842"/>
      </w:r>
      <w:r>
        <w:rPr>
          <w:rFonts w:ascii="IRNazanin" w:hAnsi="IRNazanin" w:eastAsia="IRNazanin"/>
          <w:color w:val="111111"/>
          <w:sz w:val="28"/>
          <w:sz w:val="28"/>
          <w:szCs w:val="28"/>
          <w:rtl w:val="true"/>
          <w:lang w:bidi="fa-IR"/>
        </w:rPr>
        <w:t>تبعا للمصنّف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أنّه لو کانت مشتبهة بالأصلیّة بحیث لم یتمیز عنها بالأمارات التی ذکروها، مثل التساوی فی البطش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غسلها</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أصالة بالطریق الأولی؛ لأنّ مثلها ممّا لا یجترئ علی الحکم بخروجه عن المطلقات بعد کونه علی وجه تساوی الأصلیّة فی أکثر خواصّها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بعدم وجوب الزائدة غسلت مع الاشتباه من باب المقدّمة، و یجب المسح بکلّ منهما مقدّمة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الید الزائدة بین أن یکون لها مرفق و أن لا یکون إذا کان لها محلّ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المدارک من أنّ الید الزائدة لو لم یکن لها مرفق لم یجب غسلها قطعا </w:t>
      </w:r>
      <w:r>
        <w:rPr>
          <w:rStyle w:val="FootnoteAnchor"/>
          <w:rtl w:val="true"/>
        </w:rPr>
        <w:footnoteReference w:id="844"/>
      </w:r>
      <w:r>
        <w:rPr>
          <w:rFonts w:ascii="IRNazanin" w:hAnsi="IRNazanin" w:eastAsia="IRNazanin"/>
          <w:color w:val="111111"/>
          <w:sz w:val="28"/>
          <w:sz w:val="28"/>
          <w:szCs w:val="28"/>
          <w:rtl w:val="true"/>
          <w:lang w:bidi="fa-IR"/>
        </w:rPr>
        <w:t>فلعلّ مراده خصوص الذراع و الکفّ، و لا إشکال فی عدم وجوب غسلها إلّا إذا کانت دون المرفق لأجل التبعیّة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الید التامّة فمجرّد عدم اشتمالها علی المرفق لا تسقط غسلها لو کان واجبا علی تقدیر المرفق کما لو کانت الأصلیّة بلا مرفق</w:t>
      </w:r>
      <w:r>
        <w:rPr>
          <w:rFonts w:eastAsia="IRNazanin" w:cs="IRNazanin"/>
          <w:color w:val="111111"/>
          <w:sz w:val="28"/>
          <w:szCs w:val="28"/>
          <w:rtl w:val="true"/>
          <w:lang w:bidi="fa-IR"/>
        </w:rPr>
        <w:t>.</w:t>
      </w:r>
      <w:bookmarkStart w:id="149" w:name="pg13035_131705"/>
    </w:p>
    <w:p>
      <w:pPr>
        <w:pStyle w:val="Heading6"/>
        <w:numPr>
          <w:ilvl w:val="5"/>
          <w:numId w:val="1"/>
        </w:numPr>
        <w:rPr/>
      </w:pPr>
      <w:bookmarkStart w:id="150" w:name="__RefHeading___Toc6369964_3224264995"/>
      <w:bookmarkStart w:id="151" w:name="_Toc59"/>
      <w:bookmarkEnd w:id="149"/>
      <w:bookmarkEnd w:id="150"/>
      <w:r>
        <w:rPr>
          <w:rtl w:val="true"/>
        </w:rPr>
        <w:t>[</w:t>
      </w:r>
      <w:r>
        <w:rPr>
          <w:rtl w:val="true"/>
        </w:rPr>
        <w:t>الفرض الرابع مسح بعض الرأس</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فروض الوضوء الثابتة بالکتاب و لو بإعلام الإمام علیه السلام بکونه دالّا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 بناء علی النصّ الوارد عن أبی جعفر علیه السلام بإفادة الباء فی الآیة للتبعیض، فروی زرارة فی الصحیح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تخبرنی من أین علمت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ببعض الرأس و بعض الرجلین؟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قاله رسول اللّٰه صلّی اللّٰه علیه و آله، و نزل به الکتاب من اللّٰه؛ لأنّ اللّٰه تعالی یقول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w:t>
      </w:r>
      <w:r>
        <w:rPr>
          <w:rStyle w:val="FootnoteAnchor"/>
          <w:rtl w:val="true"/>
        </w:rPr>
        <w:footnoteReference w:id="847"/>
      </w:r>
      <w:r>
        <w:rPr>
          <w:rFonts w:ascii="Amiri" w:hAnsi="Amiri" w:eastAsia="Amiri" w:cs="Amiri"/>
          <w:color w:val="111111"/>
          <w:sz w:val="28"/>
          <w:sz w:val="28"/>
          <w:szCs w:val="28"/>
          <w:rtl w:val="true"/>
          <w:lang w:bidi="ar-SA"/>
        </w:rPr>
        <w:t xml:space="preserve">أنّ الوجه کلّه ینبغی أن یغسل،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فوصل الیدین إلی المرفقین بالوجه فعرفنا أنّه ینبغی لهما أن یغسلا إلی المرفقین</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ثمّ فصّل بین</w:t>
      </w:r>
    </w:p>
    <w:p>
      <w:pPr>
        <w:pStyle w:val="BookText"/>
        <w:rPr/>
      </w:pPr>
      <w:r>
        <w:rPr>
          <w:rFonts w:ascii="Amiri" w:hAnsi="Amiri" w:eastAsia="Amiri" w:cs="Amiri"/>
          <w:color w:val="111111"/>
          <w:sz w:val="28"/>
          <w:sz w:val="28"/>
          <w:szCs w:val="28"/>
          <w:rtl w:val="true"/>
          <w:lang w:bidi="ar-SA"/>
        </w:rPr>
        <w:t xml:space="preserve">الکلامین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ببعض الرأس لمکان الباء، ثمّ وصل الرجلین بالرأس کما وصل الیدین بالوجه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w:t>
      </w:r>
      <w:r>
        <w:rPr>
          <w:rStyle w:val="FootnoteAnchor"/>
          <w:rtl w:val="true"/>
        </w:rPr>
        <w:footnoteReference w:id="849"/>
      </w:r>
      <w:r>
        <w:rPr>
          <w:rFonts w:ascii="IRNazanin" w:hAnsi="IRNazanin" w:eastAsia="IRNazanin"/>
          <w:color w:val="111111"/>
          <w:sz w:val="28"/>
          <w:sz w:val="28"/>
          <w:szCs w:val="28"/>
          <w:rtl w:val="true"/>
          <w:lang w:bidi="fa-IR"/>
        </w:rPr>
        <w:t xml:space="preserve">حین وصلهما بالرأس أنّ المسح ببعضهما </w:t>
      </w:r>
      <w:r>
        <w:rPr>
          <w:rStyle w:val="FootnoteAnchor"/>
          <w:rtl w:val="true"/>
        </w:rPr>
        <w:footnoteReference w:id="850"/>
      </w:r>
      <w:r>
        <w:rPr>
          <w:rFonts w:ascii="Amiri" w:hAnsi="Amiri" w:eastAsia="Amiri" w:cs="Amiri"/>
          <w:color w:val="111111"/>
          <w:sz w:val="28"/>
          <w:sz w:val="28"/>
          <w:szCs w:val="28"/>
          <w:rtl w:val="true"/>
          <w:lang w:bidi="ar-SA"/>
        </w:rPr>
        <w:t xml:space="preserve">، ثمّ فسّره </w:t>
      </w:r>
      <w:r>
        <w:rPr>
          <w:rStyle w:val="FootnoteAnchor"/>
          <w:rtl w:val="true"/>
        </w:rPr>
        <w:footnoteReference w:id="851"/>
      </w:r>
      <w:r>
        <w:rPr>
          <w:rFonts w:ascii="Amiri" w:hAnsi="Amiri" w:eastAsia="Amiri" w:cs="Amiri"/>
          <w:color w:val="111111"/>
          <w:sz w:val="28"/>
          <w:sz w:val="28"/>
          <w:szCs w:val="28"/>
          <w:rtl w:val="true"/>
          <w:lang w:bidi="ar-SA"/>
        </w:rPr>
        <w:t>رسول اللّٰه صلّی اللّٰه علیه و آله للناس فضیّعوه، الخبر</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فسّره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رسول اللّٰه صلّی اللّٰه علیه و آله البعض الواجب فی المسح، و المراد إمّا تضییع الناس للمفسر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مسح الجمیع، و إمّا تضییع التفسیر و قولهم بعدم تعیین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به التصریح منه صلّی اللّٰه علیه و آله بمقتضی الآیة و عدم اکتفائه بما یستفاد من ظاهر الآیة حتّی یمکن الاشتباه فیه أو الغفلة کما اتّفقت لزرارة حتّی سأل الإمام علیه السلام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لکنّ الانصاف تعسّر إثبات التبعیض من الآیة لو لا تفسیر أهل الذکر علیهم السلام؛ لأنّ الباء لو سلّم مجیئه للتبعیض إلّا أنّه لا یتعیّن هنا لذلک بل یحتمل الإلصاق و غیره کما فی قوله علیه السلام فی صحیحة أخری لزرارة و بکیر فی المسح الحاکیة لوضوء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w:t>
      </w:r>
    </w:p>
    <w:p>
      <w:pPr>
        <w:pStyle w:val="BookText"/>
        <w:rPr/>
      </w:pP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مسح بشی‌ء من رأسه أو بشی‌ء من قدمیه </w:t>
      </w:r>
      <w:r>
        <w:rPr>
          <w:rStyle w:val="FootnoteAnchor"/>
          <w:rtl w:val="true"/>
        </w:rPr>
        <w:footnoteReference w:id="853"/>
      </w:r>
      <w:r>
        <w:rPr>
          <w:rFonts w:ascii="IRNazanin" w:hAnsi="IRNazanin" w:eastAsia="IRNazanin"/>
          <w:color w:val="111111"/>
          <w:sz w:val="28"/>
          <w:sz w:val="28"/>
          <w:szCs w:val="28"/>
          <w:rtl w:val="true"/>
          <w:lang w:bidi="fa-IR"/>
        </w:rPr>
        <w:t xml:space="preserve">ما بین الکعبین إلی أطراف الأصابع أجزأه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و لا یخفی أنّ الباء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بشی‌ء من رأسک أو بشی‌ء من قدمیک لیس للتبعیض لأنّ الممسوح شی‌ء منهما إذ لیس المراد بعض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إرادته للمبالغة فی کفایة المسمّی، بأن یراد </w:t>
      </w:r>
      <w:r>
        <w:rPr>
          <w:rStyle w:val="FootnoteAnchor"/>
          <w:rtl w:val="true"/>
        </w:rPr>
        <w:footnoteReference w:id="855"/>
      </w:r>
      <w:r>
        <w:rPr>
          <w:rFonts w:ascii="IRNazanin" w:hAnsi="IRNazanin" w:eastAsia="IRNazanin"/>
          <w:color w:val="111111"/>
          <w:sz w:val="28"/>
          <w:sz w:val="28"/>
          <w:szCs w:val="28"/>
          <w:rtl w:val="true"/>
          <w:lang w:bidi="fa-IR"/>
        </w:rPr>
        <w:t>أنّ أیّ بعض فرض من الرأس یکفی بعضه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فعدم تفطّن زرارة لدلالة الآیة فی محله، قال فی 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الخلاف فی الباء فی الآیة و حکایة إنکار مجی‌ء الباء للتبعیض عن 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تضمین الفعل معنی الإلصاق،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ألصقوا المسح برءوسکم، و ذلک لا یقتضی الاستیعاب و عدمه </w:t>
      </w:r>
      <w:r>
        <w:rPr>
          <w:rStyle w:val="FootnoteAnchor"/>
          <w:rtl w:val="true"/>
        </w:rPr>
        <w:footnoteReference w:id="8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لا یخلو عن قرب؛ فإنّ المسح کما یتعدّی إلی مفعوله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لتضمّن معنی الإمرار علیه کذلک لا بأس بتعدّیه إلیه بالباء لتضمّن معنی مرور الید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مسحت یدی برأس الیتیم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فیه</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طولا و 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مسحا</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المشهور، و عن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مذهبنا </w:t>
      </w:r>
      <w:r>
        <w:rPr>
          <w:rStyle w:val="FootnoteAnchor"/>
          <w:rtl w:val="true"/>
        </w:rPr>
        <w:footnoteReference w:id="859"/>
      </w:r>
      <w:r>
        <w:rPr>
          <w:rFonts w:ascii="IRNazanin" w:hAnsi="IRNazanin" w:eastAsia="IRNazanin"/>
          <w:color w:val="111111"/>
          <w:sz w:val="28"/>
          <w:sz w:val="28"/>
          <w:szCs w:val="28"/>
          <w:rtl w:val="true"/>
          <w:lang w:bidi="fa-IR"/>
        </w:rPr>
        <w:t xml:space="preserve">، و عن مجمع البیان </w:t>
      </w:r>
      <w:r>
        <w:rPr>
          <w:rStyle w:val="FootnoteAnchor"/>
          <w:rtl w:val="true"/>
        </w:rPr>
        <w:footnoteReference w:id="860"/>
      </w:r>
      <w:r>
        <w:rPr>
          <w:rFonts w:ascii="IRNazanin" w:hAnsi="IRNazanin" w:eastAsia="IRNazanin"/>
          <w:color w:val="111111"/>
          <w:sz w:val="28"/>
          <w:sz w:val="28"/>
          <w:szCs w:val="28"/>
          <w:rtl w:val="true"/>
          <w:lang w:bidi="fa-IR"/>
        </w:rPr>
        <w:t xml:space="preserve">و ظاهر المحقّق الأردبیلی قدّس سرّه فی آیات الأحکام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لکن عن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الشیخ فی النهایة و الصدوق قدّس سرّهما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لروایتی زرارة المتقدّمتین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للمحکی عن ظاهر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تجزی إصبع عند الخوف من کشف الرأس، و لا یجزی أقلّ من ثلاث أصابع مضمومة للمختار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مسح الرأس أن یمسح بثلاث أصابع مضمومة من مقدّم الرأس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المحکیّ فی المعتبر عن مسائل الخلاف للسیّد قدّس سرّه أنّه أوجب الثلاث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لهذا القول روایة معمّر بن عمر </w:t>
      </w:r>
      <w:r>
        <w:rPr>
          <w:rStyle w:val="FootnoteAnchor"/>
          <w:rtl w:val="true"/>
        </w:rPr>
        <w:footnoteReference w:id="867"/>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المسح علی الرأس موضع ثلاث أصابع، و کذا القدمین</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صحیحة 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یجزیها من مسح الرأس أن تمسح مقدّمه قدر ثلاث أصابع، و لا تلقی عنها خمارها</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 بناء علی الإجماع علی عدم الفرق بین الرجل و المرأة، و عدم الاعتناء بما فی الذکری </w:t>
      </w:r>
      <w:r>
        <w:rPr>
          <w:rStyle w:val="FootnoteAnchor"/>
          <w:rtl w:val="true"/>
        </w:rPr>
        <w:footnoteReference w:id="870"/>
      </w:r>
      <w:r>
        <w:rPr>
          <w:rFonts w:ascii="IRNazanin" w:hAnsi="IRNazanin" w:eastAsia="IRNazanin"/>
          <w:color w:val="111111"/>
          <w:sz w:val="28"/>
          <w:sz w:val="28"/>
          <w:szCs w:val="28"/>
          <w:rtl w:val="true"/>
          <w:lang w:bidi="fa-IR"/>
        </w:rPr>
        <w:t>عن الإسکافی من الفرق بینهما و کفایة الإصبع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لحریز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کم یجزیک أن تمسح من شعر رأسک فی وضوئک،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ثلاث أصابع، و أشار إلی السبّابة و الوسطی و الثالثة، و کان یونس یذکر عنه فقها کثیرا</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و الظاهر أنّ مثل حریز لا یفتی فی الشرعیّات إلّا بما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مستند تفصیل النهایة الجمع بین الأخبار بشهادة روایة حمّاد عن الحسین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توضّأ و هو متعمّم </w:t>
      </w:r>
      <w:r>
        <w:rPr>
          <w:rStyle w:val="FootnoteAnchor"/>
          <w:rtl w:val="true"/>
        </w:rPr>
        <w:footnoteReference w:id="872"/>
      </w:r>
      <w:r>
        <w:rPr>
          <w:rFonts w:ascii="IRNazanin" w:hAnsi="IRNazanin" w:eastAsia="IRNazanin"/>
          <w:color w:val="111111"/>
          <w:sz w:val="28"/>
          <w:sz w:val="28"/>
          <w:szCs w:val="28"/>
          <w:rtl w:val="true"/>
          <w:lang w:bidi="fa-IR"/>
        </w:rPr>
        <w:t>فثقل علیه نزع العمامة لمکان البرد،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إصبعه</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ضعیفة السند بل قاصرة الدلالة من حیث إلحاق الرجلین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غیر واحد تبعا للمقاصد</w:t>
      </w:r>
    </w:p>
    <w:p>
      <w:pPr>
        <w:pStyle w:val="BookText"/>
        <w:rPr/>
      </w:pPr>
      <w:r>
        <w:rPr>
          <w:rFonts w:ascii="IRNazanin" w:hAnsi="IRNazanin" w:eastAsia="IRNazanin"/>
          <w:color w:val="111111"/>
          <w:sz w:val="28"/>
          <w:sz w:val="28"/>
          <w:szCs w:val="28"/>
          <w:rtl w:val="true"/>
          <w:lang w:bidi="fa-IR"/>
        </w:rPr>
        <w:t xml:space="preserve">العلیّة أنّ الاکتفاء به فی الرجلین بأقلّ من الثلاث </w:t>
      </w:r>
      <w:r>
        <w:rPr>
          <w:rStyle w:val="FootnoteAnchor"/>
          <w:rtl w:val="true"/>
        </w:rPr>
        <w:footnoteReference w:id="874"/>
      </w:r>
      <w:r>
        <w:rPr>
          <w:rFonts w:ascii="IRNazanin" w:hAnsi="IRNazanin" w:eastAsia="IRNazanin"/>
          <w:color w:val="111111"/>
          <w:sz w:val="28"/>
          <w:sz w:val="28"/>
          <w:szCs w:val="28"/>
          <w:rtl w:val="true"/>
          <w:lang w:bidi="fa-IR"/>
        </w:rPr>
        <w:t xml:space="preserve">موضع وفاق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یرده تصریح التذکرة بأنّ وجوب الثلاث قول بعض علمائنا </w:t>
      </w:r>
      <w:r>
        <w:rPr>
          <w:rStyle w:val="FootnoteAnchor"/>
          <w:rtl w:val="true"/>
        </w:rPr>
        <w:footnoteReference w:id="876"/>
      </w:r>
      <w:r>
        <w:rPr>
          <w:rFonts w:ascii="IRNazanin" w:hAnsi="IRNazanin" w:eastAsia="IRNazanin"/>
          <w:color w:val="111111"/>
          <w:sz w:val="28"/>
          <w:sz w:val="28"/>
          <w:szCs w:val="28"/>
          <w:rtl w:val="true"/>
          <w:lang w:bidi="fa-IR"/>
        </w:rPr>
        <w:t xml:space="preserve">، و ظاهر المختلف </w:t>
      </w:r>
      <w:r>
        <w:rPr>
          <w:rStyle w:val="FootnoteAnchor"/>
          <w:rtl w:val="true"/>
        </w:rPr>
        <w:footnoteReference w:id="877"/>
      </w:r>
      <w:r>
        <w:rPr>
          <w:rFonts w:ascii="IRNazanin" w:hAnsi="IRNazanin" w:eastAsia="IRNazanin"/>
          <w:color w:val="111111"/>
          <w:sz w:val="28"/>
          <w:sz w:val="28"/>
          <w:szCs w:val="28"/>
          <w:rtl w:val="true"/>
          <w:lang w:bidi="fa-IR"/>
        </w:rPr>
        <w:t>أیضا عدم التفصیل بینه و بین الرجل؛ لأنّه لم یستدلّ لوجوب الثلاث فی الرأس إلّا بصحیحة البزنطی عن 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المسح علی القدمین کیف هو؟ فوضع کفّه علی أصابعه فمسحها إلی الکعبین </w:t>
      </w:r>
      <w:r>
        <w:rPr>
          <w:rStyle w:val="FootnoteAnchor"/>
          <w:rtl w:val="true"/>
        </w:rPr>
        <w:footnoteReference w:id="878"/>
      </w:r>
      <w:r>
        <w:rPr>
          <w:rFonts w:ascii="IRNazanin" w:hAnsi="IRNazanin" w:eastAsia="IRNazanin"/>
          <w:color w:val="111111"/>
          <w:sz w:val="28"/>
          <w:sz w:val="28"/>
          <w:szCs w:val="28"/>
          <w:rtl w:val="true"/>
          <w:lang w:bidi="fa-IR"/>
        </w:rPr>
        <w:t>إلی ظاهر القدم،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أنّ رجلا قال بإصبعین من أصابعه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بکفّه</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یخفی مخالفة ظاهر الروایة للقول بکفایة الثلاث، فلا مناص من حمله علی الاستحباب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رجوع الأجزاء إلی مسح مقدار الثلاث باعتبار قیده و هو عدم إلقاء الخمار، کما یومئ إلیه روایة الحسین بن زید بن علی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تمسح المرأة بالرأس کما یمسح الرجال، إنّما المرأة إذا أصبحت مسحت رأسها و تضع الخمار عنها، فإذا کان الظهر و العصر و المغرب و العشاء تمسح بناصیتها</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فتوی حریز، فلعلّها مستنبطة اجتهادا من ظواهر روایات الثلاث بزعم خلوّها عن المعارض أو رجحانها علیه، أو البناء علیها للاحتیاط فی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روایة حمّاد </w:t>
      </w:r>
      <w:r>
        <w:rPr>
          <w:rStyle w:val="FootnoteAnchor"/>
          <w:rtl w:val="true"/>
        </w:rPr>
        <w:footnoteReference w:id="881"/>
      </w:r>
      <w:r>
        <w:rPr>
          <w:rFonts w:ascii="IRNazanin" w:hAnsi="IRNazanin" w:eastAsia="IRNazanin"/>
          <w:color w:val="111111"/>
          <w:sz w:val="28"/>
          <w:sz w:val="28"/>
          <w:szCs w:val="28"/>
          <w:rtl w:val="true"/>
          <w:lang w:bidi="fa-IR"/>
        </w:rPr>
        <w:t>، فلا دلالة فیها علی الاضطرار، مع أنّ مسح مقدار الثلاث یحصل بإدخال الثلاث، فلا شهادة فیه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بین الأخبار، فیمکن بحمل الثلاث علی الاستحباب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جماعة أنّ کلّ من نفی وجوب الثلاث اکتفی بالمسمّی، و لیس اعتبار خصوص مقدار الإصبع قولا ثالثا فی المسألة، و لذا نسب فی المختلف إلی المشهور الاکتفاء بإصبع واحد </w:t>
      </w:r>
      <w:r>
        <w:rPr>
          <w:rStyle w:val="FootnoteAnchor"/>
          <w:rtl w:val="true"/>
        </w:rPr>
        <w:footnoteReference w:id="882"/>
      </w:r>
      <w:r>
        <w:rPr>
          <w:rFonts w:ascii="IRNazanin" w:hAnsi="IRNazanin" w:eastAsia="IRNazanin"/>
          <w:color w:val="111111"/>
          <w:sz w:val="28"/>
          <w:sz w:val="28"/>
          <w:szCs w:val="28"/>
          <w:rtl w:val="true"/>
          <w:lang w:bidi="fa-IR"/>
        </w:rPr>
        <w:t xml:space="preserve">، و استدلّ لهم کالخلاف </w:t>
      </w:r>
      <w:r>
        <w:rPr>
          <w:rStyle w:val="FootnoteAnchor"/>
          <w:rtl w:val="true"/>
        </w:rPr>
        <w:footnoteReference w:id="883"/>
      </w:r>
      <w:r>
        <w:rPr>
          <w:rFonts w:ascii="IRNazanin" w:hAnsi="IRNazanin" w:eastAsia="IRNazanin"/>
          <w:color w:val="111111"/>
          <w:sz w:val="28"/>
          <w:sz w:val="28"/>
          <w:szCs w:val="28"/>
          <w:rtl w:val="true"/>
          <w:lang w:bidi="fa-IR"/>
        </w:rPr>
        <w:t xml:space="preserve">و المعتبر </w:t>
      </w:r>
      <w:r>
        <w:rPr>
          <w:rStyle w:val="FootnoteAnchor"/>
          <w:rtl w:val="true"/>
        </w:rPr>
        <w:footnoteReference w:id="884"/>
      </w:r>
      <w:r>
        <w:rPr>
          <w:rFonts w:ascii="IRNazanin" w:hAnsi="IRNazanin" w:eastAsia="IRNazanin"/>
          <w:color w:val="111111"/>
          <w:sz w:val="28"/>
          <w:sz w:val="28"/>
          <w:szCs w:val="28"/>
          <w:rtl w:val="true"/>
          <w:lang w:bidi="fa-IR"/>
        </w:rPr>
        <w:t xml:space="preserve">بأخبار کفایة المسمّی، و عبّر فی المقنعة </w:t>
      </w:r>
      <w:r>
        <w:rPr>
          <w:rStyle w:val="FootnoteAnchor"/>
          <w:rtl w:val="true"/>
        </w:rPr>
        <w:footnoteReference w:id="885"/>
      </w:r>
      <w:r>
        <w:rPr>
          <w:rFonts w:ascii="IRNazanin" w:hAnsi="IRNazanin" w:eastAsia="IRNazanin"/>
          <w:color w:val="111111"/>
          <w:sz w:val="28"/>
          <w:sz w:val="28"/>
          <w:szCs w:val="28"/>
          <w:rtl w:val="true"/>
          <w:lang w:bidi="fa-IR"/>
        </w:rPr>
        <w:t xml:space="preserve">فی مسح الرأس بالإصبع و فی مسح القدمین برأس المسبّحة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 قال فی مسألة مسح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و لو مقدار الإصبع؛ مستدلا بأخبار المسمّی،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عدم وجوب الاستیعاب، و أنّه یکفی لو مسحه قدر أنملة من رءوس الأصابع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الأنملة و رأس المسبحة أقلّ من عرض الإصبع؛ و لذا</w:t>
      </w:r>
    </w:p>
    <w:p>
      <w:pPr>
        <w:pStyle w:val="BookText"/>
        <w:rPr/>
      </w:pPr>
      <w:r>
        <w:rPr>
          <w:rFonts w:ascii="IRNazanin" w:hAnsi="IRNazanin" w:eastAsia="IRNazanin"/>
          <w:color w:val="111111"/>
          <w:sz w:val="28"/>
          <w:sz w:val="28"/>
          <w:szCs w:val="28"/>
          <w:rtl w:val="true"/>
          <w:lang w:bidi="fa-IR"/>
        </w:rPr>
        <w:t xml:space="preserve">ذکر فی الروض أنّ التعبیر بالإصبع لبیان آلة المسح </w:t>
      </w:r>
      <w:r>
        <w:rPr>
          <w:rStyle w:val="FootnoteAnchor"/>
          <w:rtl w:val="true"/>
        </w:rPr>
        <w:footnoteReference w:id="888"/>
      </w:r>
      <w:r>
        <w:rPr>
          <w:rFonts w:ascii="IRNazanin" w:hAnsi="IRNazanin" w:eastAsia="IRNazanin"/>
          <w:color w:val="111111"/>
          <w:sz w:val="28"/>
          <w:sz w:val="28"/>
          <w:szCs w:val="28"/>
          <w:rtl w:val="true"/>
          <w:lang w:bidi="fa-IR"/>
        </w:rPr>
        <w:t>،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یوجّه الاتّحاد بأنّ التحدید بالإصبع لأجل غلبة تحقّق المسمّی به لا بدونه، أو لغلبة التعبیر عن الأقلّ بذلک نظیر تحدید الافتراق المسقط لخیار المجلس بالخطوة، إلّا أنّه ربما ینافی ذلک کلّه تصریح جماعة بعدم کفایة الأقلّ من الإصبع، قال قدّس سرّه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الاستدلال علی ما فی المقنعة من کفایة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 الآیة، و لا یلزم علی ذلک ما دون الإصبع، لأنّا لو خلّینا و الظاهر لقلنا بجواز ذلک، لکنّ السنّة منعت من ذلک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أنّ الواجب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یجزی أقلّ من إصبع، قاله الراوندی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مقدّم الرأس بمسمّاه و لا یجزی أقلّ من إصبع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إجزاء أقلّ من الإصبع نظر </w:t>
      </w:r>
      <w:r>
        <w:rPr>
          <w:rStyle w:val="FootnoteAnchor"/>
          <w:rtl w:val="true"/>
        </w:rPr>
        <w:footnoteReference w:id="8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فلا دلیل علی خصوص مقدار الإصبع یعتدّ به فی تقیید المطلقات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ادّعی فی التهذیب ورود السنّة بذلک </w:t>
      </w:r>
      <w:r>
        <w:rPr>
          <w:rStyle w:val="FootnoteAnchor"/>
          <w:rtl w:val="true"/>
        </w:rPr>
        <w:footnoteReference w:id="893"/>
      </w:r>
      <w:r>
        <w:rPr>
          <w:rFonts w:ascii="Amiri" w:hAnsi="Amiri" w:eastAsia="Amiri" w:cs="Amiri"/>
          <w:color w:val="111111"/>
          <w:sz w:val="28"/>
          <w:sz w:val="28"/>
          <w:szCs w:val="28"/>
          <w:rtl w:val="true"/>
          <w:lang w:bidi="ar-SA"/>
        </w:rPr>
        <w:t>إلّا أنّا لم نعثر فی</w:t>
      </w:r>
    </w:p>
    <w:p>
      <w:pPr>
        <w:pStyle w:val="BookText"/>
        <w:rPr/>
      </w:pPr>
      <w:r>
        <w:rPr>
          <w:rFonts w:ascii="IRNazanin" w:hAnsi="IRNazanin" w:eastAsia="IRNazanin"/>
          <w:color w:val="111111"/>
          <w:sz w:val="28"/>
          <w:sz w:val="28"/>
          <w:szCs w:val="28"/>
          <w:rtl w:val="true"/>
          <w:lang w:bidi="fa-IR"/>
        </w:rPr>
        <w:t>السنّة إلّا علی التحدید بالثلاث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ثلاث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مضمومة کما صرّح به جماعة </w:t>
      </w:r>
      <w:r>
        <w:rPr>
          <w:rStyle w:val="FootnoteAnchor"/>
          <w:rtl w:val="true"/>
        </w:rPr>
        <w:footnoteReference w:id="894"/>
      </w:r>
      <w:r>
        <w:rPr>
          <w:rFonts w:ascii="IRNazanin" w:hAnsi="IRNazanin" w:eastAsia="IRNazanin"/>
          <w:color w:val="111111"/>
          <w:sz w:val="28"/>
          <w:sz w:val="28"/>
          <w:szCs w:val="28"/>
          <w:rtl w:val="true"/>
          <w:lang w:bidi="fa-IR"/>
        </w:rPr>
        <w:t xml:space="preserve">، 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المقدّم، أو مأخوذا ذلک المقدار من عرض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فهو کغیره ساکت عن مقدار الإمرار، فیکفی مسمّی إمرار الأصابع الموضوعة، و هذا هو الظاهر من غیره، ففی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إصبع یضعها علیه عرضا و الثلاث أسبغ </w:t>
      </w:r>
      <w:r>
        <w:rPr>
          <w:rStyle w:val="FootnoteAnchor"/>
          <w:rtl w:val="true"/>
        </w:rPr>
        <w:footnoteReference w:id="895"/>
      </w:r>
      <w:r>
        <w:rPr>
          <w:rFonts w:ascii="IRNazanin" w:hAnsi="IRNazanin" w:eastAsia="IRNazanin"/>
          <w:color w:val="111111"/>
          <w:sz w:val="28"/>
          <w:sz w:val="28"/>
          <w:szCs w:val="28"/>
          <w:rtl w:val="true"/>
          <w:lang w:bidi="fa-IR"/>
        </w:rPr>
        <w:t>، انتهی، یعنی أنّ وضع الثلاث لأجل الإمرار المحقّق لمعنی المسح أسبغ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التذکرة عن بعض العامّة فی الاکتفاء بالمسمّی قولا بکفایة شعرة، و عن آخر ثلاث شعرات </w:t>
      </w:r>
      <w:r>
        <w:rPr>
          <w:rStyle w:val="FootnoteAnchor"/>
          <w:rtl w:val="true"/>
        </w:rPr>
        <w:footnoteReference w:id="896"/>
      </w:r>
      <w:r>
        <w:rPr>
          <w:rFonts w:ascii="IRNazanin" w:hAnsi="IRNazanin" w:eastAsia="IRNazanin"/>
          <w:color w:val="111111"/>
          <w:sz w:val="28"/>
          <w:sz w:val="28"/>
          <w:szCs w:val="28"/>
          <w:rtl w:val="true"/>
          <w:lang w:bidi="fa-IR"/>
        </w:rPr>
        <w:t>، و لا یخفی صراحة ذلک فی أنّ محلّ الکلام فی عرض الرأس لا فی مقدار الإمرار علی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النفلیة، عدّ من جملة المستحبّات المسح بثلاث أصابع عرضا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أو صریح فی إرادة عرض الرأس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الرأس و القدم فی کفایة المسمّی و الإصبع و استحباب الزائد علی ذلک، و من المعلوم أنّ هذا التقدیر فی القدم من حیث العرض لا من حیث مقدار الإمرار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یعلم صراحة روایة معمّر بن عمر </w:t>
      </w:r>
      <w:r>
        <w:rPr>
          <w:rStyle w:val="FootnoteAnchor"/>
          <w:rtl w:val="true"/>
        </w:rPr>
        <w:footnoteReference w:id="898"/>
      </w:r>
      <w:r>
        <w:rPr>
          <w:rFonts w:ascii="IRNazanin" w:hAnsi="IRNazanin" w:eastAsia="IRNazanin"/>
          <w:color w:val="111111"/>
          <w:sz w:val="28"/>
          <w:sz w:val="28"/>
          <w:szCs w:val="28"/>
          <w:rtl w:val="true"/>
          <w:lang w:bidi="fa-IR"/>
        </w:rPr>
        <w:t xml:space="preserve">الجامعة بین الرأس و الرجلین فی مسح الثلاث فیما ذکرنا، و هی عمدة أدلّة الاستحباب، و یتلوه فی الوضوح ما تقدّم عن حریز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للشیخ علی کفایة إدخال الإصبع تحت العمامة لخائف البرد؛ إذ لو أرید الإمرار مقدار ثلاث لحصل بإدخال الإصبع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بثلاث أصابع فی عرض الرأس أمّا فی طوله فیکفی ما یسمّی به ماسحا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لمسح الرأس تقدیرین فی طوله و عرضه، أمّا فی الطول، فما به یتحقّق صدق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تقدیره، و أمّا فی العرض</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فما صدق علیه إلی عرض ثلاث أصابع </w:t>
      </w:r>
      <w:r>
        <w:rPr>
          <w:rStyle w:val="FootnoteAnchor"/>
          <w:rtl w:val="true"/>
        </w:rPr>
        <w:footnoteReference w:id="9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هو ظاهر أکثر النصوص و الفتاوی، بل ظاهر المحکیّ عن شرح الدروس الوفاق، حیث جعل محلّ النزاع بین القائلین بوجوب الثلاث و الأکثر بالنسبة إلی عرض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بالنسبة إلی طوله فالظاهر أنّه یکفی الإمرار فی الجملة </w:t>
      </w:r>
      <w:r>
        <w:rPr>
          <w:rStyle w:val="FootnoteAnchor"/>
          <w:rtl w:val="true"/>
        </w:rPr>
        <w:footnoteReference w:id="90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الشهید الثانی فی شرح 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الشهید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المسح</w:t>
      </w:r>
    </w:p>
    <w:p>
      <w:pPr>
        <w:pStyle w:val="BookText"/>
        <w:rPr/>
      </w:pPr>
      <w:r>
        <w:rPr>
          <w:rFonts w:ascii="IRNazanin" w:hAnsi="IRNazanin" w:eastAsia="IRNazanin"/>
          <w:color w:val="111111"/>
          <w:sz w:val="28"/>
          <w:sz w:val="28"/>
          <w:szCs w:val="28"/>
          <w:rtl w:val="true"/>
          <w:lang w:bidi="fa-IR"/>
        </w:rPr>
        <w:t>بثلاث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مضمومة عرضا، أی فی عرض الرأس خروجا عن خلاف </w:t>
      </w:r>
      <w:r>
        <w:rPr>
          <w:rStyle w:val="FootnoteAnchor"/>
          <w:rtl w:val="true"/>
        </w:rPr>
        <w:footnoteReference w:id="904"/>
      </w:r>
      <w:r>
        <w:rPr>
          <w:rFonts w:ascii="IRNazanin" w:hAnsi="IRNazanin" w:eastAsia="IRNazanin"/>
          <w:color w:val="111111"/>
          <w:sz w:val="28"/>
          <w:sz w:val="28"/>
          <w:szCs w:val="28"/>
          <w:rtl w:val="true"/>
          <w:lang w:bidi="fa-IR"/>
        </w:rPr>
        <w:t>، لکن قال فی المسالک فی شرح العبارة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الأصابع، و المراد مرور الماسح علی الرأس بهذا المقدار، لا کون آلة المسح ثلاث أصابع مع مرورها أقلّ من مقدار الثلاث، و معنی </w:t>
      </w:r>
      <w:r>
        <w:rPr>
          <w:rStyle w:val="FootnoteAnchor"/>
          <w:rtl w:val="true"/>
        </w:rPr>
        <w:footnoteReference w:id="905"/>
      </w:r>
      <w:r>
        <w:rPr>
          <w:rFonts w:ascii="IRNazanin" w:hAnsi="IRNazanin" w:eastAsia="IRNazanin"/>
          <w:color w:val="111111"/>
          <w:sz w:val="28"/>
          <w:sz w:val="28"/>
          <w:szCs w:val="28"/>
          <w:rtl w:val="true"/>
          <w:lang w:bidi="fa-IR"/>
        </w:rPr>
        <w:t xml:space="preserve">استحباب مسحه بهذا المقدار و کونه أفضل الفردین إن أوقعه دفعة و إن کان ذلک نادرا، و لو کان علی التدریج کما هو الغالب فالظاهر أن الزائد علی المسمّی موصوف بالاستحباب </w:t>
      </w:r>
      <w:r>
        <w:rPr>
          <w:rStyle w:val="FootnoteAnchor"/>
          <w:rtl w:val="true"/>
        </w:rPr>
        <w:footnoteReference w:id="90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الاعتراف بما تقدّم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الخبر أنّ المعتبر فی الثلاث کونها </w:t>
      </w:r>
      <w:r>
        <w:rPr>
          <w:rStyle w:val="FootnoteAnchor"/>
          <w:rtl w:val="true"/>
        </w:rPr>
        <w:footnoteReference w:id="907"/>
      </w:r>
      <w:r>
        <w:rPr>
          <w:rFonts w:ascii="IRNazanin" w:hAnsi="IRNazanin" w:eastAsia="IRNazanin"/>
          <w:color w:val="111111"/>
          <w:sz w:val="28"/>
          <w:sz w:val="28"/>
          <w:szCs w:val="28"/>
          <w:rtl w:val="true"/>
          <w:lang w:bidi="fa-IR"/>
        </w:rPr>
        <w:t xml:space="preserve">فی طول الرأس، بأن یمرّ منه علی مقدار ثلاث أصابع و لو بإصبع </w:t>
      </w:r>
      <w:r>
        <w:rPr>
          <w:rStyle w:val="FootnoteAnchor"/>
          <w:rtl w:val="true"/>
        </w:rPr>
        <w:footnoteReference w:id="90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عمدة أدلّة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حکی عن السیّد </w:t>
      </w:r>
      <w:r>
        <w:rPr>
          <w:rStyle w:val="FootnoteAnchor"/>
          <w:rtl w:val="true"/>
        </w:rPr>
        <w:footnoteReference w:id="909"/>
      </w:r>
      <w:r>
        <w:rPr>
          <w:rFonts w:ascii="IRNazanin" w:hAnsi="IRNazanin" w:eastAsia="IRNazanin"/>
          <w:color w:val="111111"/>
          <w:sz w:val="28"/>
          <w:sz w:val="28"/>
          <w:szCs w:val="28"/>
          <w:rtl w:val="true"/>
          <w:lang w:bidi="fa-IR"/>
        </w:rPr>
        <w:t>الاقتصار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معمّر بن عمر </w:t>
      </w:r>
      <w:r>
        <w:rPr>
          <w:rStyle w:val="FootnoteAnchor"/>
          <w:rtl w:val="true"/>
        </w:rPr>
        <w:footnoteReference w:id="910"/>
      </w:r>
      <w:r>
        <w:rPr>
          <w:rFonts w:ascii="IRNazanin" w:hAnsi="IRNazanin" w:eastAsia="IRNazanin"/>
          <w:color w:val="111111"/>
          <w:sz w:val="28"/>
          <w:sz w:val="28"/>
          <w:szCs w:val="28"/>
          <w:rtl w:val="true"/>
          <w:lang w:bidi="fa-IR"/>
        </w:rPr>
        <w:t>، و هی بقرینة إلحاق الرجل لا یراد منها إلّا عرض الممسوح، لا مسافة الإمرار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 هو الإمرار،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منه ما یسمّی مسحا</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 یعنی إمرارا،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 مقدار ثلاث أصابع</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یعنی الإمرار بهذا المقدار؛ فالمقصود فی تحدید الواجب و المستحبّ مقدار الإمرار لا موضعه، فإرادة مسح المقدار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المسح إمرار الماسح، فتحدید أقلّه بما یسمّی مسحا ظاهر فی إرادة ذلک من حیث کلّ واحد من الید و الرأس و الإمرار، فإذا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مقدار ثلاث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یراد منه إلّا هذا المقدار من الرأس، فإن جعلنا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للمقدار الممسوح تعیّن ما صرّح به المحقّق الثانی </w:t>
      </w:r>
      <w:r>
        <w:rPr>
          <w:rStyle w:val="FootnoteAnchor"/>
          <w:rtl w:val="true"/>
        </w:rPr>
        <w:footnoteReference w:id="913"/>
      </w:r>
      <w:r>
        <w:rPr>
          <w:rFonts w:ascii="IRNazanin" w:hAnsi="IRNazanin" w:eastAsia="IRNazanin"/>
          <w:color w:val="111111"/>
          <w:sz w:val="28"/>
          <w:sz w:val="28"/>
          <w:szCs w:val="28"/>
          <w:rtl w:val="true"/>
          <w:lang w:bidi="fa-IR"/>
        </w:rPr>
        <w:t>تبعا لظاهر الأکثر، و إن جعلناه للأصابع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فی المسالک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ساکتا عن کون الممسوح و هو مقدار عرض الأصابع عرض الرأس، بأن یضع ثلاث أصابع أو مقدارها من واحدة علی العرض فیمرّها فی الجملة، أو طوله بأن یضع إصبعا واحدة و یمرّها بمقدار ثلاث، فیتأدّی السنّة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فالعبارة إمّا ظاهرة فی خلاف ما استظهره، و إمّا ساکتة عنه من حیث الخصوص فیعمّه و غیره، لکن ظاهر غیرها من العبارات کما قدّمنا ما ذکرنا، و کذلک بعض النصوص</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فالاحتمالات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هذا القدر فی العرض، و ملاحظته فی</w:t>
      </w:r>
    </w:p>
    <w:p>
      <w:pPr>
        <w:pStyle w:val="BookText"/>
        <w:rPr/>
      </w:pPr>
      <w:r>
        <w:rPr>
          <w:rFonts w:ascii="IRNazanin" w:hAnsi="IRNazanin" w:eastAsia="IRNazanin"/>
          <w:color w:val="111111"/>
          <w:sz w:val="28"/>
          <w:sz w:val="28"/>
          <w:szCs w:val="28"/>
          <w:rtl w:val="true"/>
          <w:lang w:bidi="fa-IR"/>
        </w:rPr>
        <w:t>الطول، و ملاحظته بأحدهما، و تأدّی السنّة بأیهما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 رابع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التقدیر من حیث موضع الأصابع، بأن یکون عرضه مقدار عرض الثلاث، و طوله مقدار طولها الذی هو طول إصبع، سواء کان مقدار عرضها من عرض الرأس، و طولها من طوله أم بالعکس، و لعلّه لظاهر قوله علیه السلام فی روایة معمّر بن عمر </w:t>
      </w:r>
      <w:r>
        <w:rPr>
          <w:rStyle w:val="FootnoteAnchor"/>
          <w:rtl w:val="true"/>
        </w:rPr>
        <w:footnoteReference w:id="915"/>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ثلاث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الإصبع ظاهر فی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هو من خصوص العرض بقرینة إلحاق الرجل بها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المحدّث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الروایات أن یکون الممسوح من عرض الرأس </w:t>
      </w:r>
      <w:r>
        <w:rPr>
          <w:rStyle w:val="FootnoteAnchor"/>
          <w:rtl w:val="true"/>
        </w:rPr>
        <w:footnoteReference w:id="916"/>
      </w:r>
      <w:r>
        <w:rPr>
          <w:rFonts w:ascii="IRNazanin" w:hAnsi="IRNazanin" w:eastAsia="IRNazanin"/>
          <w:color w:val="111111"/>
          <w:sz w:val="28"/>
          <w:sz w:val="28"/>
          <w:szCs w:val="28"/>
          <w:rtl w:val="true"/>
          <w:lang w:bidi="fa-IR"/>
        </w:rPr>
        <w:t>بقدر طول إصبع و من طوله بقدر ثلاث أصابع مضمومة، و من الروایات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المشتملة 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تمسح ببلّة یمناک ناصیتک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المتبادر مسحها کلّها،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یجزیها من مسح الرأس أن تمسح مقدّمه قدر ثلاث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روایة معمّر بن عمر </w:t>
      </w:r>
      <w:r>
        <w:rPr>
          <w:rStyle w:val="FootnoteAnchor"/>
          <w:rtl w:val="true"/>
        </w:rPr>
        <w:footnoteReference w:id="917"/>
      </w:r>
      <w:r>
        <w:rPr>
          <w:rStyle w:val="FootnoteAnchor"/>
          <w:rtl w:val="true"/>
        </w:rPr>
        <w:footnoteReference w:id="918"/>
      </w:r>
      <w:r>
        <w:rPr>
          <w:rFonts w:ascii="IRNazanin" w:hAnsi="IRNazanin" w:eastAsia="IRNazanin"/>
          <w:color w:val="111111"/>
          <w:sz w:val="28"/>
          <w:sz w:val="28"/>
          <w:szCs w:val="28"/>
          <w:rtl w:val="true"/>
          <w:lang w:bidi="fa-IR"/>
        </w:rPr>
        <w:t>، انتهی، و فی ظهور ما استظهره من الروایات نظر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تحقّق مسح هذا المقدار ملحوظا من حیث الطول یکون دفعة،</w:t>
      </w:r>
    </w:p>
    <w:p>
      <w:pPr>
        <w:pStyle w:val="BookText"/>
        <w:rPr/>
      </w:pPr>
      <w:r>
        <w:rPr>
          <w:rFonts w:ascii="IRNazanin" w:hAnsi="IRNazanin" w:eastAsia="IRNazanin"/>
          <w:color w:val="111111"/>
          <w:sz w:val="28"/>
          <w:sz w:val="28"/>
          <w:szCs w:val="28"/>
          <w:rtl w:val="true"/>
          <w:lang w:bidi="fa-IR"/>
        </w:rPr>
        <w:t xml:space="preserve">و یکون تدریجا، أمّا الثانی فظاهر، و أمّا الأوّل فبأن یضع مقدار الثلاث من الإصبع أو الأصابع علی طول الرأس فیمرّها فی الجملة؛ فإنّ کلّ جزء من محل الأصابع ممسوح دفعة واحدة، و کلاهما کثیر الوقوع و إن کان التدریج أغلب، لکن ذکر فی المسالک و المدارک </w:t>
      </w:r>
      <w:r>
        <w:rPr>
          <w:rStyle w:val="FootnoteAnchor"/>
          <w:rtl w:val="true"/>
        </w:rPr>
        <w:footnoteReference w:id="919"/>
      </w:r>
      <w:r>
        <w:rPr>
          <w:rFonts w:ascii="IRNazanin" w:hAnsi="IRNazanin" w:eastAsia="IRNazanin"/>
          <w:color w:val="111111"/>
          <w:sz w:val="28"/>
          <w:sz w:val="28"/>
          <w:szCs w:val="28"/>
          <w:rtl w:val="true"/>
          <w:lang w:bidi="fa-IR"/>
        </w:rPr>
        <w:t>أنّه نادر، و ظاهر هما ندرته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مسح المقدار المذکور من حیث العرض فالدفعی منه واضح، و أمّا التدریجی منه فیمکن هکذا بأن یضع مقدار إصبعین و زیادة لا یبلغ واحدة علی الرأس معوجا فیمسح مورّبا إلی أن یحصل مربّع مؤرّب یکون الخطّ الذی یقطعه مثلّثین فی عرض الرأس علی الاستقامة مقدار ثلاث أصابع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مسح مقدار الثلاث مع کونه دفعة أفضل الفردین، و الکلام فی اجتماع الوجوب و الاستحباب الفعلیین فیه محرّر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التدریج ففی کون الزائد مستحبا محضا خلاف، و الأقوی أنّه جزء للفرد الواجب الذی هو أفضل الفردین لحکم العرف علی مجموع المقدار بکونه فردا واحدا للمسح، ألا تری أنّه لو فرض عدم استحباب الزیادة علی المسمّی لم یعدّ عرفا من اللغو، بل عدوا المشتغل به مشتغلا بالإطاعة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النصّ و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مجموع الثلاث، فیعلم أنّه أفضل الفردین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ثبت من الأدلّة استحباب إتمام المسمّی ثلاثا لیکون حکما حادثا بعد امتثال الواجب تعیّن اتّصاف الزائد بالاستحباب، و یختصّ آلة المسح بباطن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بمقدّم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مسح المؤخّر أو أحد الجانبین بلا خلاف؛ للأخبار المستفیضة المقیّدة لإطلاقات مسح بعض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من جواز مسح المؤخّر مؤوّل أو محمول علی التقیّة فی العمل أو فی البیان، و لا إشکال و لا خلاف فی شی‌ء من ذلک إنّما الإشکال فی أنّ ظاهر بعض النصوص کبعض الفتاوی وجوب مسح الناصیة، ففی صحیحة زرارة ثمّ تمسح ببلّة یمناک ناصیتک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المقنعة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فیمسح من مقدّم رأسه مقدار ثلاث أصابع مضمومة من ناصیته إلی قصاص شعر رأسه مرّة واحدة </w:t>
      </w:r>
      <w:r>
        <w:rPr>
          <w:rStyle w:val="FootnoteAnchor"/>
          <w:rtl w:val="true"/>
        </w:rPr>
        <w:footnoteReference w:id="92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أقلّ ما یجزی فی مسح الناصیة ما وقع علیه اسم المسح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المعتبر </w:t>
      </w:r>
      <w:r>
        <w:rPr>
          <w:rStyle w:val="FootnoteAnchor"/>
          <w:rtl w:val="true"/>
        </w:rPr>
        <w:footnoteReference w:id="923"/>
      </w:r>
      <w:r>
        <w:rPr>
          <w:rFonts w:ascii="IRNazanin" w:hAnsi="IRNazanin" w:eastAsia="IRNazanin"/>
          <w:color w:val="111111"/>
          <w:sz w:val="28"/>
          <w:sz w:val="28"/>
          <w:szCs w:val="28"/>
          <w:rtl w:val="true"/>
          <w:lang w:bidi="fa-IR"/>
        </w:rPr>
        <w:t xml:space="preserve">و التذکرة </w:t>
      </w:r>
      <w:r>
        <w:rPr>
          <w:rStyle w:val="FootnoteAnchor"/>
          <w:rtl w:val="true"/>
        </w:rPr>
        <w:footnoteReference w:id="924"/>
      </w:r>
      <w:r>
        <w:rPr>
          <w:rFonts w:ascii="IRNazanin" w:hAnsi="IRNazanin" w:eastAsia="IRNazanin"/>
          <w:color w:val="111111"/>
          <w:sz w:val="28"/>
          <w:sz w:val="28"/>
          <w:szCs w:val="28"/>
          <w:rtl w:val="true"/>
          <w:lang w:bidi="fa-IR"/>
        </w:rPr>
        <w:t>استدلّ علی وجوب مسح المقدّم بأنّ النبیّ صلّی اللّٰه علیه و آله مسح بناصیته، و فعله فی مقام البیان فیجب اتّباعه، فإنّ ظاهر هذا الاستدلال إرادة الناصیة من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المسح بکلّ من البشرة و الشعر المختصّ بالمقدّم لصدق الناصیة علیهما </w:t>
      </w:r>
      <w:r>
        <w:rPr>
          <w:rStyle w:val="FootnoteAnchor"/>
          <w:rtl w:val="true"/>
        </w:rPr>
        <w:footnoteReference w:id="9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الناصیة ما بین النزعتین، و هو أقلّ من نصف الربع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عن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النزعتین هما البیاضان المکتنفان بالناصیة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باقی النصوص </w:t>
      </w:r>
      <w:r>
        <w:rPr>
          <w:rStyle w:val="FootnoteAnchor"/>
          <w:rtl w:val="true"/>
        </w:rPr>
        <w:footnoteReference w:id="928"/>
      </w:r>
      <w:r>
        <w:rPr>
          <w:rFonts w:ascii="IRNazanin" w:hAnsi="IRNazanin" w:eastAsia="IRNazanin"/>
          <w:color w:val="111111"/>
          <w:sz w:val="28"/>
          <w:sz w:val="28"/>
          <w:szCs w:val="28"/>
          <w:rtl w:val="true"/>
          <w:lang w:bidi="fa-IR"/>
        </w:rPr>
        <w:t xml:space="preserve">و الفتاوی أطلق فیها المقدّم، و الظاهر منه ضدّ المؤخر، لکن عن القاموس </w:t>
      </w:r>
      <w:r>
        <w:rPr>
          <w:rStyle w:val="FootnoteAnchor"/>
          <w:rtl w:val="true"/>
        </w:rPr>
        <w:footnoteReference w:id="929"/>
      </w:r>
      <w:r>
        <w:rPr>
          <w:rFonts w:ascii="IRNazanin" w:hAnsi="IRNazanin" w:eastAsia="IRNazanin"/>
          <w:color w:val="111111"/>
          <w:sz w:val="28"/>
          <w:sz w:val="28"/>
          <w:szCs w:val="28"/>
          <w:rtl w:val="true"/>
          <w:lang w:bidi="fa-IR"/>
        </w:rPr>
        <w:t xml:space="preserve">عدّ الناصیة أحد معانیه، فهل المراد بهما </w:t>
      </w:r>
      <w:r>
        <w:rPr>
          <w:rStyle w:val="FootnoteAnchor"/>
          <w:rtl w:val="true"/>
        </w:rPr>
        <w:footnoteReference w:id="930"/>
      </w:r>
      <w:r>
        <w:rPr>
          <w:rFonts w:ascii="IRNazanin" w:hAnsi="IRNazanin" w:eastAsia="IRNazanin"/>
          <w:color w:val="111111"/>
          <w:sz w:val="28"/>
          <w:sz w:val="28"/>
          <w:szCs w:val="28"/>
          <w:rtl w:val="true"/>
          <w:lang w:bidi="fa-IR"/>
        </w:rPr>
        <w:t xml:space="preserve">واحد بإرادة المقدّم من الناصیة کما جزم به فی محکیّ المصباح </w:t>
      </w:r>
      <w:r>
        <w:rPr>
          <w:rStyle w:val="FootnoteAnchor"/>
          <w:rtl w:val="true"/>
        </w:rPr>
        <w:footnoteReference w:id="931"/>
      </w:r>
      <w:r>
        <w:rPr>
          <w:rFonts w:ascii="IRNazanin" w:hAnsi="IRNazanin" w:eastAsia="IRNazanin"/>
          <w:color w:val="111111"/>
          <w:sz w:val="28"/>
          <w:sz w:val="28"/>
          <w:szCs w:val="28"/>
          <w:rtl w:val="true"/>
          <w:lang w:bidi="fa-IR"/>
        </w:rPr>
        <w:t xml:space="preserve">، و یقرب منه تحدید الناصیة بربع الرأس فی کلام البیضاوی </w:t>
      </w:r>
      <w:r>
        <w:rPr>
          <w:rStyle w:val="FootnoteAnchor"/>
          <w:rtl w:val="true"/>
        </w:rPr>
        <w:footnoteReference w:id="932"/>
      </w:r>
      <w:r>
        <w:rPr>
          <w:rFonts w:ascii="IRNazanin" w:hAnsi="IRNazanin" w:eastAsia="IRNazanin"/>
          <w:color w:val="111111"/>
          <w:sz w:val="28"/>
          <w:sz w:val="28"/>
          <w:szCs w:val="28"/>
          <w:rtl w:val="true"/>
          <w:lang w:bidi="fa-IR"/>
        </w:rPr>
        <w:t xml:space="preserve">، و تفسیر الناصیة بشعر مقدّم الرأس فی کلام غیره </w:t>
      </w:r>
      <w:r>
        <w:rPr>
          <w:rStyle w:val="FootnoteAnchor"/>
          <w:rtl w:val="true"/>
        </w:rPr>
        <w:footnoteReference w:id="933"/>
      </w:r>
      <w:r>
        <w:rPr>
          <w:rFonts w:ascii="IRNazanin" w:hAnsi="IRNazanin" w:eastAsia="IRNazanin"/>
          <w:color w:val="111111"/>
          <w:sz w:val="28"/>
          <w:sz w:val="28"/>
          <w:szCs w:val="28"/>
          <w:rtl w:val="true"/>
          <w:lang w:bidi="fa-IR"/>
        </w:rPr>
        <w:t xml:space="preserve">، أو العکس کما تقدّم عن القاموس و حکاه فی الحدائق عن بعض معاصریه مدّعیا علیه الاتّفاق ممّن عدا الشهید الثانی و بعض من تبعه </w:t>
      </w:r>
      <w:r>
        <w:rPr>
          <w:rStyle w:val="FootnoteAnchor"/>
          <w:rtl w:val="true"/>
        </w:rPr>
        <w:footnoteReference w:id="934"/>
      </w:r>
      <w:r>
        <w:rPr>
          <w:rFonts w:ascii="IRNazanin" w:hAnsi="IRNazanin" w:eastAsia="IRNazanin"/>
          <w:color w:val="111111"/>
          <w:sz w:val="28"/>
          <w:sz w:val="28"/>
          <w:szCs w:val="28"/>
          <w:rtl w:val="true"/>
          <w:lang w:bidi="fa-IR"/>
        </w:rPr>
        <w:t>، أو المقدّم أعمّ من الناصیة؟ و علیه فهل یحمل علی المقیّد</w:t>
      </w:r>
    </w:p>
    <w:p>
      <w:pPr>
        <w:pStyle w:val="BookText"/>
        <w:rPr/>
      </w:pPr>
      <w:r>
        <w:rPr>
          <w:rFonts w:ascii="IRNazanin" w:hAnsi="IRNazanin" w:eastAsia="IRNazanin"/>
          <w:color w:val="111111"/>
          <w:sz w:val="28"/>
          <w:sz w:val="28"/>
          <w:szCs w:val="28"/>
          <w:rtl w:val="true"/>
          <w:lang w:bidi="fa-IR"/>
        </w:rPr>
        <w:t>أو ینزل المقیّد علی ما لا ینافیه؟ وجوه، 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أعنی إرادة المقدّم من الناصیة فی صحیحة زرارة و کلمات من تقدم، کما یظهر بالتأمّل فی سائر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کون المقدّم أعمّ فلا دلیل علی تقییده بالناصیة؛ لعدم ذکرها فی شی‌ء من الأخبار المبیّنة للوضوء قولا و فعلا عدا الصحیحة المذکورة، و ما ورد فی أنّ المرأة تضع الخمار فی الصبح و المغرب و تمسح بناصیتها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لکنّهما لا تنهضان للتقیید؛ لوجوب حملهما علی الاستحباب؛ لأنّ ظاهر الاولی مسح جمیع الناصیة، و هو لیس بواجب إجماعا فیحمل علی الاستحباب، و لا إجماع علی عدم استحباب مسح جمیع الناصیة، و الأظهر من ذلک جعل التخصیص بالناصیة؛ لأنّ الغالب فی مسح المقدّم مسحها و إنّما یرفع العمامة و القناع لمسح ما فوقها علی خلاف العادة لداع و أمّا الثانیة، فمحمولة علی الاستحباب علی المشهور من عدم وجوب وضع القناع، و الأحوط الاقتصار علی الناصیة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یختصّ الممسوح بمقدّم الرأس کذلک یختصّ الماسح بالید، بلا خلاف نصّا و فتوی، و فی حسنة ابن أذینة فی حدیث المعراج الحاکی لخطاب النبیّ صلّی اللّٰه علیه و آله و سلّم بالوضوء،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امسح رأسک ممّا بقی </w:t>
      </w:r>
      <w:r>
        <w:rPr>
          <w:rStyle w:val="FootnoteAnchor"/>
          <w:rtl w:val="true"/>
        </w:rPr>
        <w:footnoteReference w:id="936"/>
      </w:r>
      <w:r>
        <w:rPr>
          <w:rFonts w:ascii="IRNazanin" w:hAnsi="IRNazanin" w:eastAsia="IRNazanin"/>
          <w:color w:val="111111"/>
          <w:sz w:val="28"/>
          <w:sz w:val="28"/>
          <w:szCs w:val="28"/>
          <w:rtl w:val="true"/>
          <w:lang w:bidi="fa-IR"/>
        </w:rPr>
        <w:t xml:space="preserve">فی یدیک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ما بقی فی یدک من الماء الذی غسلت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یشترط أن یکون بالکفّ، یعنی ما دون الزند؟ المحکی عن </w:t>
      </w:r>
      <w:r>
        <w:rPr>
          <w:rStyle w:val="FootnoteAnchor"/>
          <w:rtl w:val="true"/>
        </w:rPr>
        <w:footnoteReference w:id="939"/>
      </w:r>
      <w:r>
        <w:rPr>
          <w:rFonts w:ascii="IRNazanin" w:hAnsi="IRNazanin" w:eastAsia="IRNazanin"/>
          <w:color w:val="111111"/>
          <w:sz w:val="28"/>
          <w:sz w:val="28"/>
          <w:szCs w:val="28"/>
          <w:rtl w:val="true"/>
          <w:lang w:bidi="fa-IR"/>
        </w:rPr>
        <w:t xml:space="preserve">جماعة ذلک </w:t>
      </w:r>
      <w:r>
        <w:rPr>
          <w:rStyle w:val="FootnoteAnchor"/>
          <w:rtl w:val="true"/>
        </w:rPr>
        <w:footnoteReference w:id="940"/>
      </w:r>
      <w:r>
        <w:rPr>
          <w:rFonts w:ascii="IRNazanin" w:hAnsi="IRNazanin" w:eastAsia="IRNazanin"/>
          <w:color w:val="111111"/>
          <w:sz w:val="28"/>
          <w:sz w:val="28"/>
          <w:szCs w:val="28"/>
          <w:rtl w:val="true"/>
          <w:lang w:bidi="fa-IR"/>
        </w:rPr>
        <w:t>،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تعذر المسح بالکفّ فالأقرب جوازه بالذراع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لتبادر ذلک من أدلّة المسح؛ لأجل الغلبة، و لبعض الوضوءات البیانیة، مثل ما رواه زرارة و بکیر عن فعل الباقر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ببلل کفّه</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 کفّه</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و التبادر لأجل غلبة الوجود، فهو مجرّد خطور الفرد الغالب فی الذهن لا علی أنّه المراد؛ و لذا لا یعتمد علیه فی غسل الوجه و الیدین، و لا بالنسبة إلی باطن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غلبة الوجود بالنسبة إلی إطلاق الآیة ممنوعة جدّا، و فی الوضوءات البیانیّة ما مرّ من قصور الدلالة، فالتمسّک بالإطلاقات غیر بعید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شکّ فی الإطلاقات من حیث کون الغلبة موجبة لإجمالها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المجاز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الرجوع إلی الاحتیاط اللازم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یتعیّن بباطن الکفّ؟ فیه نظر، ممّا ذکر من التبادر و ظاهر الوضوءات البیانیة، و جعله فی الذکری أولی </w:t>
      </w:r>
      <w:r>
        <w:rPr>
          <w:rStyle w:val="FootnoteAnchor"/>
          <w:rtl w:val="true"/>
        </w:rPr>
        <w:footnoteReference w:id="944"/>
      </w:r>
      <w:r>
        <w:rPr>
          <w:rFonts w:ascii="IRNazanin" w:hAnsi="IRNazanin" w:eastAsia="IRNazanin"/>
          <w:color w:val="111111"/>
          <w:sz w:val="28"/>
          <w:sz w:val="28"/>
          <w:szCs w:val="28"/>
          <w:rtl w:val="true"/>
          <w:lang w:bidi="fa-IR"/>
        </w:rPr>
        <w:t>، و هذا أیضا یکشف عن عدم التزامهم بالنادر المذکور فی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ذلک؛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أن یکون بالیمنی؟ 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تمسح ببلّة یمناک ناصیتک</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و هو ظاهر الإسکافی </w:t>
      </w:r>
      <w:r>
        <w:rPr>
          <w:rStyle w:val="FootnoteAnchor"/>
          <w:rtl w:val="true"/>
        </w:rPr>
        <w:footnoteReference w:id="946"/>
      </w:r>
      <w:r>
        <w:rPr>
          <w:rFonts w:ascii="IRNazanin" w:hAnsi="IRNazanin" w:eastAsia="IRNazanin"/>
          <w:color w:val="111111"/>
          <w:sz w:val="28"/>
          <w:sz w:val="28"/>
          <w:szCs w:val="28"/>
          <w:rtl w:val="true"/>
          <w:lang w:bidi="fa-IR"/>
        </w:rPr>
        <w:t xml:space="preserve">و حکی عن بعض متأخّری المتأخّرین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أنّ حمله علی الاستحباب أو علی إرادة المعتاد عند المتشرّعة أولی من تقیید المطلقات الکثیرة الواردة فی مقام البیان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حکایة بعض الوضوءات البیانیّة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مقدّم رأسه و ظاهر قدمیه ببلّة یساره و بقیّة بلّة یمناه</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فإنّ عدم تعرّض الحاکی للترتیب یدلّ علی فهمه عدم الاعتناء به علی سبیل الوجوب،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المشهور بل </w:t>
      </w:r>
      <w:r>
        <w:rPr>
          <w:rStyle w:val="FootnoteAnchor"/>
          <w:rtl w:val="true"/>
        </w:rPr>
        <w:footnoteReference w:id="949"/>
      </w:r>
      <w:r>
        <w:rPr>
          <w:rFonts w:ascii="IRNazanin" w:hAnsi="IRNazanin" w:eastAsia="IRNazanin"/>
          <w:color w:val="111111"/>
          <w:sz w:val="28"/>
          <w:sz w:val="28"/>
          <w:szCs w:val="28"/>
          <w:rtl w:val="true"/>
          <w:lang w:bidi="fa-IR"/>
        </w:rPr>
        <w:t>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ظاهرهم الاتّفاق علیه </w:t>
      </w:r>
      <w:r>
        <w:rPr>
          <w:rStyle w:val="FootnoteAnchor"/>
          <w:rtl w:val="true"/>
        </w:rPr>
        <w:footnoteReference w:id="950"/>
      </w:r>
      <w:r>
        <w:rPr>
          <w:rFonts w:ascii="IRNazanin" w:hAnsi="IRNazanin" w:eastAsia="IRNazanin"/>
          <w:color w:val="111111"/>
          <w:sz w:val="28"/>
          <w:sz w:val="28"/>
          <w:szCs w:val="28"/>
          <w:rtl w:val="true"/>
          <w:lang w:bidi="fa-IR"/>
        </w:rPr>
        <w:t xml:space="preserve">، و الاحتیاط لا ینبغی ترکه، و حکی فی الحدائق عن جملة من الأصحاب اختصاص المسح بالأصابع </w:t>
      </w:r>
      <w:r>
        <w:rPr>
          <w:rStyle w:val="FootnoteAnchor"/>
          <w:rtl w:val="true"/>
        </w:rPr>
        <w:footnoteReference w:id="951"/>
      </w:r>
      <w:r>
        <w:rPr>
          <w:rFonts w:ascii="IRNazanin" w:hAnsi="IRNazanin" w:eastAsia="IRNazanin"/>
          <w:color w:val="111111"/>
          <w:sz w:val="28"/>
          <w:sz w:val="28"/>
          <w:szCs w:val="28"/>
          <w:rtl w:val="true"/>
          <w:lang w:bidi="fa-IR"/>
        </w:rPr>
        <w:t xml:space="preserve">، و هو أشکل من سابقه و إن کان ظاهرا من بعض العبائر المذکورة فی تحدید مقدار الممسوح بالإصبع و الأصابع </w:t>
      </w:r>
      <w:r>
        <w:rPr>
          <w:rStyle w:val="FootnoteAnchor"/>
          <w:rtl w:val="true"/>
        </w:rPr>
        <w:footnoteReference w:id="952"/>
      </w:r>
      <w:r>
        <w:rPr>
          <w:rFonts w:ascii="IRNazanin" w:hAnsi="IRNazanin" w:eastAsia="IRNazanin"/>
          <w:color w:val="111111"/>
          <w:sz w:val="28"/>
          <w:sz w:val="28"/>
          <w:szCs w:val="28"/>
          <w:rtl w:val="true"/>
          <w:lang w:bidi="fa-IR"/>
        </w:rPr>
        <w:t>، و 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تعذّر المسح بباطن أصابع الید الیمنی؛ بناء علی وجوب ذلک، فمقتضی ظاهر النصّ </w:t>
      </w:r>
      <w:r>
        <w:rPr>
          <w:rStyle w:val="FootnoteAnchor"/>
          <w:rtl w:val="true"/>
        </w:rPr>
        <w:footnoteReference w:id="953"/>
      </w:r>
      <w:r>
        <w:rPr>
          <w:rFonts w:ascii="IRNazanin" w:hAnsi="IRNazanin" w:eastAsia="IRNazanin"/>
          <w:color w:val="111111"/>
          <w:sz w:val="28"/>
          <w:sz w:val="28"/>
          <w:szCs w:val="28"/>
          <w:rtl w:val="true"/>
          <w:lang w:bidi="fa-IR"/>
        </w:rPr>
        <w:t>التخییر بین الأفراد الفاقدة لبعض هذه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الفرق بین ما ثبت من القیود بانصراف المطلقات، و بین ما ثبت بالوضوءات البیانیّة، و بین ما ثبت بالتقیید الخارجی، ففاقد الأول کالعدم، و فاقد الثانی یؤخذ به؛ عملا بالإطلاقات السلیمة عن التقیید، لاختصاصه بالمختار </w:t>
      </w:r>
      <w:r>
        <w:rPr>
          <w:rStyle w:val="FootnoteAnchor"/>
          <w:rtl w:val="true"/>
        </w:rPr>
        <w:footnoteReference w:id="954"/>
      </w:r>
      <w:r>
        <w:rPr>
          <w:rFonts w:ascii="IRNazanin" w:hAnsi="IRNazanin" w:eastAsia="IRNazanin"/>
          <w:color w:val="111111"/>
          <w:sz w:val="28"/>
          <w:sz w:val="28"/>
          <w:szCs w:val="28"/>
          <w:rtl w:val="true"/>
          <w:lang w:bidi="fa-IR"/>
        </w:rPr>
        <w:t>، و فاقد الثالث یبنی علی کیفیة ورود المقیّد؛ فإن استظهرنا منه الورود فی مقام بیان المطلقات إمّا لدلالة المقیّد علی ذلک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 و نظیره ما ذکرنا فی قوله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الرأس علی المقدّم، و إمّا للقول بکون تقیید المطلق تجوّزا فیه و استعمالا</w:t>
      </w:r>
    </w:p>
    <w:p>
      <w:pPr>
        <w:pStyle w:val="BookText"/>
        <w:rPr/>
      </w:pPr>
      <w:r>
        <w:rPr>
          <w:rFonts w:ascii="IRNazanin" w:hAnsi="IRNazanin" w:eastAsia="IRNazanin"/>
          <w:color w:val="111111"/>
          <w:sz w:val="28"/>
          <w:sz w:val="28"/>
          <w:szCs w:val="28"/>
          <w:rtl w:val="true"/>
          <w:lang w:bidi="fa-IR"/>
        </w:rPr>
        <w:t>له فی المقیّد، فکالأوّل، و إن کان الظاهر منه التکلیف المستقل بالمقیّد فهو کالثانی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فالذی استقرّ علیه المذهب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المعتبر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المستعمل وجوبا أو استحبابا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ممّن عدا الإسکافی </w:t>
      </w:r>
      <w:r>
        <w:rPr>
          <w:rStyle w:val="FootnoteAnchor"/>
          <w:rtl w:val="true"/>
        </w:rPr>
        <w:footnoteReference w:id="958"/>
      </w:r>
      <w:r>
        <w:rPr>
          <w:rFonts w:ascii="IRNazanin" w:hAnsi="IRNazanin" w:eastAsia="IRNazanin"/>
          <w:color w:val="111111"/>
          <w:sz w:val="28"/>
          <w:sz w:val="28"/>
          <w:szCs w:val="28"/>
          <w:rtl w:val="true"/>
          <w:lang w:bidi="fa-IR"/>
        </w:rPr>
        <w:t xml:space="preserve">، بل عن الشیخ </w:t>
      </w:r>
      <w:r>
        <w:rPr>
          <w:rStyle w:val="FootnoteAnchor"/>
          <w:rtl w:val="true"/>
        </w:rPr>
        <w:footnoteReference w:id="959"/>
      </w:r>
      <w:r>
        <w:rPr>
          <w:rFonts w:ascii="Amiri" w:hAnsi="Amiri" w:eastAsia="Amiri" w:cs="Amiri"/>
          <w:color w:val="111111"/>
          <w:sz w:val="28"/>
          <w:sz w:val="28"/>
          <w:szCs w:val="28"/>
          <w:rtl w:val="true"/>
          <w:lang w:bidi="ar-SA"/>
        </w:rPr>
        <w:t xml:space="preserve">و السیّدین </w:t>
      </w:r>
      <w:r>
        <w:rPr>
          <w:rStyle w:val="FootnoteAnchor"/>
          <w:rtl w:val="true"/>
        </w:rPr>
        <w:footnoteReference w:id="960"/>
      </w:r>
      <w:r>
        <w:rPr>
          <w:rFonts w:ascii="IRNazanin" w:hAnsi="IRNazanin" w:eastAsia="IRNazanin"/>
          <w:color w:val="111111"/>
          <w:sz w:val="28"/>
          <w:sz w:val="28"/>
          <w:szCs w:val="28"/>
          <w:rtl w:val="true"/>
          <w:lang w:bidi="fa-IR"/>
        </w:rPr>
        <w:t>دعوی الإجماع علیه،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عبارة الإسکافی لا تدلّ علی الخلاف؛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یده نداوة یستبقیها من غسل یدیه مسح بیمینه رأسه و رجله الیمنی، و بیده الیسری رجله الیسری، و لو لم یستبق ذلک أخذ ماء جدیدا لرأسه و رجلیه، انتهی </w:t>
      </w:r>
      <w:r>
        <w:rPr>
          <w:rStyle w:val="FootnoteAnchor"/>
          <w:rtl w:val="true"/>
        </w:rPr>
        <w:footnoteReference w:id="961"/>
      </w:r>
      <w:r>
        <w:rPr>
          <w:rFonts w:ascii="IRNazanin" w:hAnsi="IRNazanin" w:eastAsia="IRNazanin"/>
          <w:color w:val="111111"/>
          <w:sz w:val="28"/>
          <w:sz w:val="28"/>
          <w:szCs w:val="28"/>
          <w:rtl w:val="true"/>
          <w:lang w:bidi="fa-IR"/>
        </w:rPr>
        <w:t>إمّا لاحتمال الماء الجدید لما یأخذه من لحیته و نحوها، و إمّا لاحتمال إرادة عدم إمکان الاستبقاء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کلامه کفایة جفاف الید فی الاستیناف، و ظاهر الذکری </w:t>
      </w:r>
      <w:r>
        <w:rPr>
          <w:rStyle w:val="FootnoteAnchor"/>
          <w:rtl w:val="true"/>
        </w:rPr>
        <w:footnoteReference w:id="962"/>
      </w:r>
      <w:r>
        <w:rPr>
          <w:rFonts w:ascii="IRNazanin" w:hAnsi="IRNazanin" w:eastAsia="IRNazanin"/>
          <w:color w:val="111111"/>
          <w:sz w:val="28"/>
          <w:sz w:val="28"/>
          <w:szCs w:val="28"/>
          <w:rtl w:val="true"/>
          <w:lang w:bidi="fa-IR"/>
        </w:rPr>
        <w:t xml:space="preserve">و </w:t>
      </w:r>
      <w:r>
        <w:rPr>
          <w:rStyle w:val="FootnoteAnchor"/>
          <w:rtl w:val="true"/>
        </w:rPr>
        <w:footnoteReference w:id="963"/>
      </w:r>
      <w:r>
        <w:rPr>
          <w:rFonts w:ascii="IRNazanin" w:hAnsi="IRNazanin" w:eastAsia="IRNazanin"/>
          <w:color w:val="111111"/>
          <w:sz w:val="28"/>
          <w:sz w:val="28"/>
          <w:szCs w:val="28"/>
          <w:rtl w:val="true"/>
          <w:lang w:bidi="fa-IR"/>
        </w:rPr>
        <w:t xml:space="preserve">تصریح بعض آخر </w:t>
      </w:r>
      <w:r>
        <w:rPr>
          <w:rStyle w:val="FootnoteAnchor"/>
          <w:rtl w:val="true"/>
        </w:rPr>
        <w:footnoteReference w:id="964"/>
      </w:r>
      <w:r>
        <w:rPr>
          <w:rFonts w:ascii="IRNazanin" w:hAnsi="IRNazanin" w:eastAsia="IRNazanin"/>
          <w:color w:val="111111"/>
          <w:sz w:val="28"/>
          <w:sz w:val="28"/>
          <w:szCs w:val="28"/>
          <w:rtl w:val="true"/>
          <w:lang w:bidi="fa-IR"/>
        </w:rPr>
        <w:t>اشتراطه بعدم البلل علی عضو من أعضاء الوضوء قابل للأخذ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شارح الموجز حکی عن الإسکافی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تعذّر بقاء البلل للمسح جاز الاستئناف للضرورة و نفی الحرج </w:t>
      </w:r>
      <w:r>
        <w:rPr>
          <w:rStyle w:val="FootnoteAnchor"/>
          <w:rtl w:val="true"/>
        </w:rPr>
        <w:footnoteReference w:id="965"/>
      </w:r>
      <w:r>
        <w:rPr>
          <w:rFonts w:ascii="IRNazanin" w:hAnsi="IRNazanin" w:eastAsia="IRNazanin"/>
          <w:color w:val="111111"/>
          <w:sz w:val="28"/>
          <w:sz w:val="28"/>
          <w:szCs w:val="28"/>
          <w:rtl w:val="true"/>
          <w:lang w:bidi="fa-IR"/>
        </w:rPr>
        <w:t>، انتهی، و هذا إمّا رجوع و إمّا قرینة علی ما احتملناه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یعتد بخلافه علی تقدیر المخالفة، و إن فرض قدحه فی الإجماع؛ للنصوص الکثیرة الواردة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المفید فی إرشاده عن محمّد بن إسماعیل عن محمّد بن الفضل عن علیّ بن یقطین،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أمر علیّ بن یقطین بالوضوء علی وجه التقیّة و فعل ابن یقطین کما أمره علیه السلام و صلاح حاله عند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 السلام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توضّأ کما أمر اللّٰه تعالی اغسل وجهک مرّة واحدة فریضة و اخری إسباغا، و اغسل یدیک من المرفقین، و امسح بمقدّم رأسک و ظاهر قدمیک من فضل نداوة وضوئک، فقد زال ما کنّا نخاف علیک</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عن الکافی و العلل المتضمّن لقصّة أمر النبیّ صلّی اللّٰه علیه و آله و سلّم الوضوء لیلة المعراج،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امسح رأسک بفضل ما بقی فی یدک من الماء و رجلیک إلی الکعبین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ناسی المسح من أنّه یأخذ من بلّة لحیته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یبق علیه بلل الوضوء أعاده، کمرسلة الصدوق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نسیت مسح رأسک فامسح علیه و علی رجلیک من بلّة وضوئک، فإن لم یبق </w:t>
      </w:r>
      <w:r>
        <w:rPr>
          <w:rStyle w:val="FootnoteAnchor"/>
          <w:rtl w:val="true"/>
        </w:rPr>
        <w:footnoteReference w:id="970"/>
      </w:r>
      <w:r>
        <w:rPr>
          <w:rFonts w:ascii="IRNazanin" w:hAnsi="IRNazanin" w:eastAsia="IRNazanin"/>
          <w:color w:val="111111"/>
          <w:sz w:val="28"/>
          <w:sz w:val="28"/>
          <w:szCs w:val="28"/>
          <w:rtl w:val="true"/>
          <w:lang w:bidi="fa-IR"/>
        </w:rPr>
        <w:t xml:space="preserve">فی یدک من نداوة وضوئک شی‌ء فخذ مما بقی منه فی لحیتک </w:t>
      </w:r>
      <w:r>
        <w:rPr>
          <w:rStyle w:val="FootnoteAnchor"/>
          <w:rtl w:val="true"/>
        </w:rPr>
        <w:footnoteReference w:id="971"/>
      </w:r>
      <w:r>
        <w:rPr>
          <w:rFonts w:ascii="IRNazanin" w:hAnsi="IRNazanin" w:eastAsia="IRNazanin"/>
          <w:color w:val="111111"/>
          <w:sz w:val="28"/>
          <w:sz w:val="28"/>
          <w:szCs w:val="28"/>
          <w:rtl w:val="true"/>
          <w:lang w:bidi="fa-IR"/>
        </w:rPr>
        <w:t xml:space="preserve">و امسح به رأسک و رجلیک، فإن لم یکن لک لحیة فخذ من حاجبیک </w:t>
      </w:r>
      <w:r>
        <w:rPr>
          <w:rStyle w:val="FootnoteAnchor"/>
          <w:rtl w:val="true"/>
        </w:rPr>
        <w:footnoteReference w:id="972"/>
      </w:r>
      <w:r>
        <w:rPr>
          <w:rFonts w:ascii="IRNazanin" w:hAnsi="IRNazanin" w:eastAsia="IRNazanin"/>
          <w:color w:val="111111"/>
          <w:sz w:val="28"/>
          <w:sz w:val="28"/>
          <w:szCs w:val="28"/>
          <w:rtl w:val="true"/>
          <w:lang w:bidi="fa-IR"/>
        </w:rPr>
        <w:t xml:space="preserve">، فإن لم یکن بقی من بلّة وضوئک شی‌ء فأعد </w:t>
      </w:r>
      <w:r>
        <w:rPr>
          <w:rStyle w:val="FootnoteAnchor"/>
          <w:rtl w:val="true"/>
        </w:rPr>
        <w:footnoteReference w:id="973"/>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مالک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فی لحیته بلل فلیأخذ منه و لیمسح رأسه، و إن لم یکن فی لحیته بلل فلینصرف و لیعد الوضوء</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الخدشة فیها باحتمال کون الأمر بالإعادة لفوات الموالاة بالجفاف، مدفوعة بأنّ عدم بقاء بلل قابل للأخذ لا یستلزم الجفاف المفوّت للموالاة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الأخبار الحاکیة للوضوءات البیانیة الناصّة فی غیر واحد بعدم استئناف الماء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یمکن الخدشة فی الأخبار البیانیة بما مرّ غیر مرّة، مضافا إلی اختصاصها بصورة وجود النداوة فی الید، و کذلک روایة المعراج قضیة </w:t>
      </w:r>
      <w:r>
        <w:rPr>
          <w:rStyle w:val="FootnoteAnchor"/>
          <w:rtl w:val="true"/>
        </w:rPr>
        <w:footnoteReference w:id="977"/>
      </w:r>
      <w:r>
        <w:rPr>
          <w:rFonts w:ascii="IRNazanin" w:hAnsi="IRNazanin" w:eastAsia="IRNazanin"/>
          <w:color w:val="111111"/>
          <w:sz w:val="28"/>
          <w:sz w:val="28"/>
          <w:szCs w:val="28"/>
          <w:rtl w:val="true"/>
          <w:lang w:bidi="fa-IR"/>
        </w:rPr>
        <w:t>فی واقعة مجملة بل ظاهرة فی بقاء البلل، و روایة ابن یقطین محمولة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یستدلّ الإسکافی </w:t>
      </w:r>
      <w:r>
        <w:rPr>
          <w:rStyle w:val="FootnoteAnchor"/>
          <w:rtl w:val="true"/>
        </w:rPr>
        <w:footnoteReference w:id="978"/>
      </w:r>
      <w:r>
        <w:rPr>
          <w:rFonts w:ascii="IRNazanin" w:hAnsi="IRNazanin" w:eastAsia="IRNazanin"/>
          <w:color w:val="111111"/>
          <w:sz w:val="28"/>
          <w:sz w:val="28"/>
          <w:szCs w:val="28"/>
          <w:rtl w:val="true"/>
          <w:lang w:bidi="fa-IR"/>
        </w:rPr>
        <w:t xml:space="preserve">بروایات أبی بصیر </w:t>
      </w:r>
      <w:r>
        <w:rPr>
          <w:rStyle w:val="FootnoteAnchor"/>
          <w:rtl w:val="true"/>
        </w:rPr>
        <w:footnoteReference w:id="979"/>
      </w:r>
      <w:r>
        <w:rPr>
          <w:rFonts w:ascii="Amiri" w:hAnsi="Amiri" w:eastAsia="Amiri" w:cs="Amiri"/>
          <w:color w:val="111111"/>
          <w:sz w:val="28"/>
          <w:sz w:val="28"/>
          <w:szCs w:val="28"/>
          <w:rtl w:val="true"/>
          <w:lang w:bidi="ar-SA"/>
        </w:rPr>
        <w:t xml:space="preserve">و معمّر بن خلّاد </w:t>
      </w:r>
      <w:r>
        <w:rPr>
          <w:rStyle w:val="FootnoteAnchor"/>
          <w:rtl w:val="true"/>
        </w:rPr>
        <w:footnoteReference w:id="980"/>
      </w:r>
      <w:r>
        <w:rPr>
          <w:rFonts w:ascii="IRNazanin" w:hAnsi="IRNazanin" w:eastAsia="IRNazanin"/>
          <w:color w:val="111111"/>
          <w:sz w:val="28"/>
          <w:sz w:val="28"/>
          <w:szCs w:val="28"/>
          <w:rtl w:val="true"/>
          <w:lang w:bidi="fa-IR"/>
        </w:rPr>
        <w:t xml:space="preserve">و عمارة بن أبی عمارة </w:t>
      </w:r>
      <w:r>
        <w:rPr>
          <w:rStyle w:val="FootnoteAnchor"/>
          <w:rtl w:val="true"/>
        </w:rPr>
        <w:footnoteReference w:id="981"/>
      </w:r>
      <w:r>
        <w:rPr>
          <w:rFonts w:ascii="IRNazanin" w:hAnsi="IRNazanin" w:eastAsia="IRNazanin"/>
          <w:color w:val="111111"/>
          <w:sz w:val="28"/>
          <w:sz w:val="28"/>
          <w:szCs w:val="28"/>
          <w:rtl w:val="true"/>
          <w:lang w:bidi="fa-IR"/>
        </w:rPr>
        <w:t>الظاهرة فی تعیین المسح بماء جدید مع التمکّن من المسح ببقیّة البلل و المنع عنه، و حملها حینئذ علی التقیّة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له </w:t>
      </w:r>
      <w:r>
        <w:rPr>
          <w:rStyle w:val="FootnoteAnchor"/>
          <w:rtl w:val="true"/>
        </w:rPr>
        <w:footnoteReference w:id="982"/>
      </w:r>
      <w:r>
        <w:rPr>
          <w:rFonts w:ascii="IRNazanin" w:hAnsi="IRNazanin" w:eastAsia="IRNazanin"/>
          <w:color w:val="111111"/>
          <w:sz w:val="28"/>
          <w:sz w:val="28"/>
          <w:szCs w:val="28"/>
          <w:rtl w:val="true"/>
          <w:lang w:bidi="fa-IR"/>
        </w:rPr>
        <w:t xml:space="preserve">بخبر منصور عن أبی عبد اللّٰه علیه السلام فی من نسی مسح رأسه حتّی قام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و یمسح رأسه و رجلیه</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استیقن ذلک انصرف فمسح علی رأسه و رجلیه و استقبل الصلاة، و إن شکّ فلم یدر مسح فیتناول من لحیته إن کانت مبتلّة، و إن کان أمامه ماء فلیتناول منه و لیمسح به رأسه</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بناء علی شمول حکم النسیان لصورة بقاء البلل الموجب لبقاء الموالاة، و عدم بقائه</w:t>
      </w:r>
    </w:p>
    <w:p>
      <w:pPr>
        <w:pStyle w:val="BookText"/>
        <w:rPr/>
      </w:pPr>
      <w:r>
        <w:rPr>
          <w:rFonts w:ascii="IRNazanin" w:hAnsi="IRNazanin" w:eastAsia="IRNazanin"/>
          <w:color w:val="111111"/>
          <w:sz w:val="28"/>
          <w:sz w:val="28"/>
          <w:szCs w:val="28"/>
          <w:rtl w:val="true"/>
          <w:lang w:bidi="fa-IR"/>
        </w:rPr>
        <w:t>بمقدار یصلح للأخذ منه للمسح، لکنّها واجبة التقیید بما تقدّم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إطلاق روایة علیّ بن یقطین </w:t>
      </w:r>
      <w:r>
        <w:rPr>
          <w:rStyle w:val="FootnoteAnchor"/>
          <w:rtl w:val="true"/>
        </w:rPr>
        <w:footnoteReference w:id="985"/>
      </w:r>
      <w:r>
        <w:rPr>
          <w:rFonts w:ascii="Amiri" w:hAnsi="Amiri" w:eastAsia="Amiri" w:cs="Amiri"/>
          <w:color w:val="111111"/>
          <w:sz w:val="28"/>
          <w:sz w:val="28"/>
          <w:szCs w:val="28"/>
          <w:rtl w:val="true"/>
          <w:lang w:bidi="ar-SA"/>
        </w:rPr>
        <w:t xml:space="preserve">و صدر مرسلة الصدوق </w:t>
      </w:r>
      <w:r>
        <w:rPr>
          <w:rStyle w:val="FootnoteAnchor"/>
          <w:rtl w:val="true"/>
        </w:rPr>
        <w:footnoteReference w:id="986"/>
      </w:r>
      <w:r>
        <w:rPr>
          <w:rFonts w:ascii="IRNazanin" w:hAnsi="IRNazanin" w:eastAsia="IRNazanin"/>
          <w:color w:val="111111"/>
          <w:sz w:val="28"/>
          <w:sz w:val="28"/>
          <w:szCs w:val="28"/>
          <w:rtl w:val="true"/>
          <w:lang w:bidi="fa-IR"/>
        </w:rPr>
        <w:t>أنّه لا فرق فی النداوة الممسوح بها بین أن یکون من الید أو من سائر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وجود البلل فیها یکون الأخذ من الخارج غیر 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إطلاق المرسلة 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یبق فی یدک من نداوة وضوئک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نداوة وضوئک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العبرة بما فی الید من حیث إنّه نداوة الوضوء و الید کالظرف له لا أنّها مقیّدة بکونها فی الید، فهذه الفقرة نظیر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لک 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لبیان الأسهل فالأسهل عادة لا الترتیب؛ لعدم الترتیب بین اللحیة و غیرها اتّفاقا علی الظاهر، و علی هذا فقول المصنّف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جفّ ما علی یده أخذ من لحیته و أشفار عینیه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مبنیّ علی المعتاد من عدم أخذ بلل المسح من غیر الید مع وجوده علیها، و لذا 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 عدم الترتیب بین الید و غیرها تبعا لجدّه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التعلیق فی کلام الأصحاب خرج مخرج الغالب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 ذلک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معنی لذلک إذا کان الأخذ جائزا مطلقا، فلو کان الظاهر لهم عدم اشتراط الجفاف لصرّحوا</w:t>
      </w:r>
    </w:p>
    <w:p>
      <w:pPr>
        <w:pStyle w:val="BookText"/>
        <w:rPr/>
      </w:pPr>
      <w:r>
        <w:rPr>
          <w:rFonts w:ascii="IRNazanin" w:hAnsi="IRNazanin" w:eastAsia="IRNazanin"/>
          <w:color w:val="111111"/>
          <w:sz w:val="28"/>
          <w:sz w:val="28"/>
          <w:szCs w:val="28"/>
          <w:rtl w:val="true"/>
          <w:lang w:bidi="fa-IR"/>
        </w:rPr>
        <w:t xml:space="preserve">بذلک و لم تکن عبارتهم صریحة فی الاشتراط </w:t>
      </w:r>
      <w:r>
        <w:rPr>
          <w:rStyle w:val="FootnoteAnchor"/>
          <w:rtl w:val="true"/>
        </w:rPr>
        <w:footnoteReference w:id="9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لو اقتصروا علی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المسح ببقیّة بلل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یحتج إلی تعدّد العنوان فی کلامهم لواجد بلّة الید و فاقدها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 ما حکی عن العلّامة الطباطبائی </w:t>
      </w:r>
      <w:r>
        <w:rPr>
          <w:rStyle w:val="FootnoteAnchor"/>
          <w:rtl w:val="true"/>
        </w:rPr>
        <w:footnoteReference w:id="990"/>
      </w:r>
      <w:r>
        <w:rPr>
          <w:rFonts w:ascii="IRNazanin" w:hAnsi="IRNazanin" w:eastAsia="IRNazanin"/>
          <w:color w:val="111111"/>
          <w:sz w:val="28"/>
          <w:sz w:val="28"/>
          <w:szCs w:val="28"/>
          <w:rtl w:val="true"/>
          <w:lang w:bidi="fa-IR"/>
        </w:rPr>
        <w:t>من أنّ المشروط بجفاف الید وجوب الأخذ من غیرها لا جوازها، لا یخلو عن نظر؛ لأنّ ذلک کلّه کان یؤدّی بإضافة البلّة إلی مطلق الوضوء بعد خصوص الید،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العنوان فی کلامهم للإشارة بعنوانهم الثانی إلی ردّ ابن الجنید المسوّغ للاستئناف مع جفاف خصوص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الإنصاف أنّ هذه المحامل إنّما تحسن إذا استفید الحکم من سائر کلماتهم، و إلّا فنسبة الحکم إلیهم بمجرّد ذلک لا وجه له، خصوصا مع اتّفاق أکثرهم علی التصریح بهذا الاشتراط کما فی المقنعة </w:t>
      </w:r>
      <w:r>
        <w:rPr>
          <w:rStyle w:val="FootnoteAnchor"/>
          <w:rtl w:val="true"/>
        </w:rPr>
        <w:footnoteReference w:id="991"/>
      </w:r>
      <w:r>
        <w:rPr>
          <w:rFonts w:ascii="IRNazanin" w:hAnsi="IRNazanin" w:eastAsia="IRNazanin"/>
          <w:color w:val="111111"/>
          <w:sz w:val="28"/>
          <w:sz w:val="28"/>
          <w:szCs w:val="28"/>
          <w:rtl w:val="true"/>
          <w:lang w:bidi="fa-IR"/>
        </w:rPr>
        <w:t xml:space="preserve">و المبسوط </w:t>
      </w:r>
      <w:r>
        <w:rPr>
          <w:rStyle w:val="FootnoteAnchor"/>
          <w:rtl w:val="true"/>
        </w:rPr>
        <w:footnoteReference w:id="992"/>
      </w:r>
      <w:r>
        <w:rPr>
          <w:rFonts w:ascii="IRNazanin" w:hAnsi="IRNazanin" w:eastAsia="IRNazanin"/>
          <w:color w:val="111111"/>
          <w:sz w:val="28"/>
          <w:sz w:val="28"/>
          <w:szCs w:val="28"/>
          <w:rtl w:val="true"/>
          <w:lang w:bidi="fa-IR"/>
        </w:rPr>
        <w:t xml:space="preserve">و السرائر </w:t>
      </w:r>
      <w:r>
        <w:rPr>
          <w:rStyle w:val="FootnoteAnchor"/>
          <w:rtl w:val="true"/>
        </w:rPr>
        <w:footnoteReference w:id="993"/>
      </w:r>
      <w:r>
        <w:rPr>
          <w:rFonts w:ascii="IRNazanin" w:hAnsi="IRNazanin" w:eastAsia="IRNazanin"/>
          <w:color w:val="111111"/>
          <w:sz w:val="28"/>
          <w:sz w:val="28"/>
          <w:szCs w:val="28"/>
          <w:rtl w:val="true"/>
          <w:lang w:bidi="fa-IR"/>
        </w:rPr>
        <w:t xml:space="preserve">و کتب الفاضلین </w:t>
      </w:r>
      <w:r>
        <w:rPr>
          <w:rStyle w:val="FootnoteAnchor"/>
          <w:rtl w:val="true"/>
        </w:rPr>
        <w:footnoteReference w:id="994"/>
      </w:r>
      <w:r>
        <w:rPr>
          <w:rFonts w:ascii="IRNazanin" w:hAnsi="IRNazanin" w:eastAsia="IRNazanin"/>
          <w:color w:val="111111"/>
          <w:sz w:val="28"/>
          <w:sz w:val="28"/>
          <w:szCs w:val="28"/>
          <w:rtl w:val="true"/>
          <w:lang w:bidi="fa-IR"/>
        </w:rPr>
        <w:t xml:space="preserve">و الشهید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ممّا تفرّدت به الإمامیة القول بأنّ مسح الرأس</w:t>
      </w:r>
    </w:p>
    <w:p>
      <w:pPr>
        <w:pStyle w:val="BookText"/>
        <w:rPr/>
      </w:pPr>
      <w:r>
        <w:rPr>
          <w:rFonts w:ascii="IRNazanin" w:hAnsi="IRNazanin" w:eastAsia="IRNazanin"/>
          <w:color w:val="111111"/>
          <w:sz w:val="28"/>
          <w:sz w:val="28"/>
          <w:szCs w:val="28"/>
          <w:rtl w:val="true"/>
          <w:lang w:bidi="fa-IR"/>
        </w:rPr>
        <w:t>یجب ببلّة الید، فإن استأنف ماء جدیدا لم یجز، حتّی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یبق فی الید بلّة أعاد الوضوء </w:t>
      </w:r>
      <w:r>
        <w:rPr>
          <w:rStyle w:val="FootnoteAnchor"/>
          <w:rtl w:val="true"/>
        </w:rPr>
        <w:footnoteReference w:id="99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أطلق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الوسیلة </w:t>
      </w:r>
      <w:r>
        <w:rPr>
          <w:rStyle w:val="FootnoteAnchor"/>
          <w:rtl w:val="true"/>
        </w:rPr>
        <w:footnoteReference w:id="997"/>
      </w:r>
      <w:r>
        <w:rPr>
          <w:rFonts w:ascii="IRNazanin" w:hAnsi="IRNazanin" w:eastAsia="IRNazanin"/>
          <w:color w:val="111111"/>
          <w:sz w:val="28"/>
          <w:sz w:val="28"/>
          <w:szCs w:val="28"/>
          <w:rtl w:val="true"/>
          <w:lang w:bidi="fa-IR"/>
        </w:rPr>
        <w:t xml:space="preserve">و التذکرة </w:t>
      </w:r>
      <w:r>
        <w:rPr>
          <w:rStyle w:val="FootnoteAnchor"/>
          <w:rtl w:val="true"/>
        </w:rPr>
        <w:footnoteReference w:id="998"/>
      </w:r>
      <w:r>
        <w:rPr>
          <w:rFonts w:ascii="IRNazanin" w:hAnsi="IRNazanin" w:eastAsia="IRNazanin"/>
          <w:color w:val="111111"/>
          <w:sz w:val="28"/>
          <w:sz w:val="28"/>
          <w:szCs w:val="28"/>
          <w:rtl w:val="true"/>
          <w:lang w:bidi="fa-IR"/>
        </w:rPr>
        <w:t xml:space="preserve">و الإرشاد </w:t>
      </w:r>
      <w:r>
        <w:rPr>
          <w:rStyle w:val="FootnoteAnchor"/>
          <w:rtl w:val="true"/>
        </w:rPr>
        <w:footnoteReference w:id="999"/>
      </w:r>
      <w:r>
        <w:rPr>
          <w:rFonts w:ascii="IRNazanin" w:hAnsi="IRNazanin" w:eastAsia="IRNazanin"/>
          <w:color w:val="111111"/>
          <w:sz w:val="28"/>
          <w:sz w:val="28"/>
          <w:szCs w:val="28"/>
          <w:rtl w:val="true"/>
          <w:lang w:bidi="fa-IR"/>
        </w:rPr>
        <w:t xml:space="preserve">و الذکری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أن یکون المسح ببلّة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أطلق البلل فی المعتبر </w:t>
      </w:r>
      <w:r>
        <w:rPr>
          <w:rStyle w:val="FootnoteAnchor"/>
          <w:rtl w:val="true"/>
        </w:rPr>
        <w:footnoteReference w:id="1001"/>
      </w:r>
      <w:r>
        <w:rPr>
          <w:rFonts w:ascii="Amiri" w:hAnsi="Amiri" w:eastAsia="Amiri" w:cs="Amiri"/>
          <w:color w:val="111111"/>
          <w:sz w:val="28"/>
          <w:sz w:val="28"/>
          <w:szCs w:val="28"/>
          <w:rtl w:val="true"/>
          <w:lang w:bidi="ar-SA"/>
        </w:rPr>
        <w:t xml:space="preserve">و الألفیّة </w:t>
      </w:r>
      <w:r>
        <w:rPr>
          <w:rStyle w:val="FootnoteAnchor"/>
          <w:rtl w:val="true"/>
        </w:rPr>
        <w:footnoteReference w:id="1002"/>
      </w:r>
      <w:r>
        <w:rPr>
          <w:rFonts w:ascii="Amiri" w:hAnsi="Amiri" w:eastAsia="Amiri" w:cs="Amiri"/>
          <w:color w:val="111111"/>
          <w:sz w:val="28"/>
          <w:sz w:val="28"/>
          <w:szCs w:val="28"/>
          <w:rtl w:val="true"/>
          <w:lang w:bidi="ar-SA"/>
        </w:rPr>
        <w:t xml:space="preserve">و الجعفریّة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ببقیّة النداوة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 الإطلاق فی هذه الکلمات علی الغالب و هو بلل الید، فلیحمل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ذلک فی الأخبار أیضا؛ إذ کما یجوز حمل تقیید البلّة بالید فی الأخبار علی الغالب من عدم الحاجة إلی أخذ البلل من غیرها، یجوز حمل المطلق منها کالروایتین المتقدّمتین علی الغالب المتعارف و هی بلّة الید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ضعف ما تمسّک به فی الروض </w:t>
      </w:r>
      <w:r>
        <w:rPr>
          <w:rStyle w:val="FootnoteAnchor"/>
          <w:rtl w:val="true"/>
        </w:rPr>
        <w:footnoteReference w:id="1005"/>
      </w:r>
      <w:r>
        <w:rPr>
          <w:rFonts w:ascii="Amiri" w:hAnsi="Amiri" w:eastAsia="Amiri" w:cs="Amiri"/>
          <w:color w:val="111111"/>
          <w:sz w:val="28"/>
          <w:sz w:val="28"/>
          <w:szCs w:val="28"/>
          <w:rtl w:val="true"/>
          <w:lang w:bidi="ar-SA"/>
        </w:rPr>
        <w:t>ممّا دلّ علی أخذ ناسی</w:t>
      </w:r>
    </w:p>
    <w:p>
      <w:pPr>
        <w:pStyle w:val="BookText"/>
        <w:rPr/>
      </w:pPr>
      <w:r>
        <w:rPr>
          <w:rFonts w:ascii="IRNazanin" w:hAnsi="IRNazanin" w:eastAsia="IRNazanin"/>
          <w:color w:val="111111"/>
          <w:sz w:val="28"/>
          <w:sz w:val="28"/>
          <w:szCs w:val="28"/>
          <w:rtl w:val="true"/>
          <w:lang w:bidi="fa-IR"/>
        </w:rPr>
        <w:t>المسح من بلل لحیته من دون تقیید بعدمه فی الید؛ إذ لا یخفی أنّ الغالب فی الناسی عدم بقاء البلل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الإنصاف أنّ إطلاق المرسلة و روایة ابن یقطین </w:t>
      </w:r>
      <w:r>
        <w:rPr>
          <w:rStyle w:val="FootnoteAnchor"/>
          <w:rtl w:val="true"/>
        </w:rPr>
        <w:footnoteReference w:id="1006"/>
      </w:r>
      <w:r>
        <w:rPr>
          <w:rFonts w:ascii="IRNazanin" w:hAnsi="IRNazanin" w:eastAsia="IRNazanin"/>
          <w:color w:val="111111"/>
          <w:sz w:val="28"/>
          <w:sz w:val="28"/>
          <w:szCs w:val="28"/>
          <w:rtl w:val="true"/>
          <w:lang w:bidi="fa-IR"/>
        </w:rPr>
        <w:t>و کذا إطلاق فتاوی من أطلق البلل أقوی من مقیّدات النصوص و الفتاوی فی التقیید، مع أنّ اللازم علی تقدیر تکافؤ الحملین هو الرجوع إلی إطلاق الآیة و الروایات الدالّة علی وجوب مجرّد مسح الید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الثابت بالإجماع و غیره </w:t>
      </w:r>
      <w:r>
        <w:rPr>
          <w:rStyle w:val="FootnoteAnchor"/>
          <w:rtl w:val="true"/>
        </w:rPr>
        <w:footnoteReference w:id="1007"/>
      </w:r>
      <w:r>
        <w:rPr>
          <w:rFonts w:ascii="IRNazanin" w:hAnsi="IRNazanin" w:eastAsia="IRNazanin"/>
          <w:color w:val="111111"/>
          <w:sz w:val="28"/>
          <w:sz w:val="28"/>
          <w:szCs w:val="28"/>
          <w:rtl w:val="true"/>
          <w:lang w:bidi="fa-IR"/>
        </w:rPr>
        <w:t>وجوب استصحاب الماسح لبلل، أمّا کونه بلل خصوص الید فلم یثبت، فالقول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قوّة، وفاقا لظاهر الألفیّة </w:t>
      </w:r>
      <w:r>
        <w:rPr>
          <w:rStyle w:val="FootnoteAnchor"/>
          <w:rtl w:val="true"/>
        </w:rPr>
        <w:footnoteReference w:id="1008"/>
      </w:r>
      <w:r>
        <w:rPr>
          <w:rFonts w:ascii="IRNazanin" w:hAnsi="IRNazanin" w:eastAsia="IRNazanin"/>
          <w:color w:val="111111"/>
          <w:sz w:val="28"/>
          <w:sz w:val="28"/>
          <w:szCs w:val="28"/>
          <w:rtl w:val="true"/>
          <w:lang w:bidi="fa-IR"/>
        </w:rPr>
        <w:t xml:space="preserve">و الموجز </w:t>
      </w:r>
      <w:r>
        <w:rPr>
          <w:rStyle w:val="FootnoteAnchor"/>
          <w:rtl w:val="true"/>
        </w:rPr>
        <w:footnoteReference w:id="1009"/>
      </w:r>
      <w:r>
        <w:rPr>
          <w:rFonts w:ascii="IRNazanin" w:hAnsi="IRNazanin" w:eastAsia="IRNazanin"/>
          <w:color w:val="111111"/>
          <w:sz w:val="28"/>
          <w:sz w:val="28"/>
          <w:szCs w:val="28"/>
          <w:rtl w:val="true"/>
          <w:lang w:bidi="fa-IR"/>
        </w:rPr>
        <w:t xml:space="preserve">و شرحه </w:t>
      </w:r>
      <w:r>
        <w:rPr>
          <w:rStyle w:val="FootnoteAnchor"/>
          <w:rtl w:val="true"/>
        </w:rPr>
        <w:footnoteReference w:id="1010"/>
      </w:r>
      <w:r>
        <w:rPr>
          <w:rFonts w:ascii="IRNazanin" w:hAnsi="IRNazanin" w:eastAsia="IRNazanin"/>
          <w:color w:val="111111"/>
          <w:sz w:val="28"/>
          <w:sz w:val="28"/>
          <w:szCs w:val="28"/>
          <w:rtl w:val="true"/>
          <w:lang w:bidi="fa-IR"/>
        </w:rPr>
        <w:t xml:space="preserve">و صریح المسالک </w:t>
      </w:r>
      <w:r>
        <w:rPr>
          <w:rStyle w:val="FootnoteAnchor"/>
          <w:rtl w:val="true"/>
        </w:rPr>
        <w:footnoteReference w:id="1011"/>
      </w:r>
      <w:r>
        <w:rPr>
          <w:rFonts w:ascii="IRNazanin" w:hAnsi="IRNazanin" w:eastAsia="IRNazanin"/>
          <w:color w:val="111111"/>
          <w:sz w:val="28"/>
          <w:sz w:val="28"/>
          <w:szCs w:val="28"/>
          <w:rtl w:val="true"/>
          <w:lang w:bidi="fa-IR"/>
        </w:rPr>
        <w:t xml:space="preserve">و الروض </w:t>
      </w:r>
      <w:r>
        <w:rPr>
          <w:rStyle w:val="FootnoteAnchor"/>
          <w:rtl w:val="true"/>
        </w:rPr>
        <w:footnoteReference w:id="1012"/>
      </w:r>
      <w:r>
        <w:rPr>
          <w:rFonts w:ascii="IRNazanin" w:hAnsi="IRNazanin" w:eastAsia="IRNazanin"/>
          <w:color w:val="111111"/>
          <w:sz w:val="28"/>
          <w:sz w:val="28"/>
          <w:szCs w:val="28"/>
          <w:rtl w:val="true"/>
          <w:lang w:bidi="fa-IR"/>
        </w:rPr>
        <w:t xml:space="preserve">و المقاصد العلیّة </w:t>
      </w:r>
      <w:r>
        <w:rPr>
          <w:rStyle w:val="FootnoteAnchor"/>
          <w:rtl w:val="true"/>
        </w:rPr>
        <w:footnoteReference w:id="1013"/>
      </w:r>
      <w:r>
        <w:rPr>
          <w:rFonts w:ascii="IRNazanin" w:hAnsi="IRNazanin" w:eastAsia="IRNazanin"/>
          <w:color w:val="111111"/>
          <w:sz w:val="28"/>
          <w:sz w:val="28"/>
          <w:szCs w:val="28"/>
          <w:rtl w:val="true"/>
          <w:lang w:bidi="fa-IR"/>
        </w:rPr>
        <w:t xml:space="preserve">و المدارک </w:t>
      </w:r>
      <w:r>
        <w:rPr>
          <w:rStyle w:val="FootnoteAnchor"/>
          <w:rtl w:val="true"/>
        </w:rPr>
        <w:footnoteReference w:id="1014"/>
      </w:r>
      <w:r>
        <w:rPr>
          <w:rFonts w:ascii="IRNazanin" w:hAnsi="IRNazanin" w:eastAsia="IRNazanin"/>
          <w:color w:val="111111"/>
          <w:sz w:val="28"/>
          <w:sz w:val="28"/>
          <w:szCs w:val="28"/>
          <w:rtl w:val="true"/>
          <w:lang w:bidi="fa-IR"/>
        </w:rPr>
        <w:t xml:space="preserve">و المشارق </w:t>
      </w:r>
      <w:r>
        <w:rPr>
          <w:rStyle w:val="FootnoteAnchor"/>
          <w:rtl w:val="true"/>
        </w:rPr>
        <w:footnoteReference w:id="1015"/>
      </w:r>
      <w:r>
        <w:rPr>
          <w:rFonts w:ascii="IRNazanin" w:hAnsi="IRNazanin" w:eastAsia="IRNazanin"/>
          <w:color w:val="111111"/>
          <w:sz w:val="28"/>
          <w:sz w:val="28"/>
          <w:szCs w:val="28"/>
          <w:rtl w:val="true"/>
          <w:lang w:bidi="fa-IR"/>
        </w:rPr>
        <w:t xml:space="preserve">و غیرها </w:t>
      </w:r>
      <w:r>
        <w:rPr>
          <w:rStyle w:val="FootnoteAnchor"/>
          <w:rtl w:val="true"/>
        </w:rPr>
        <w:footnoteReference w:id="1016"/>
      </w:r>
      <w:r>
        <w:rPr>
          <w:rFonts w:ascii="IRNazanin" w:hAnsi="IRNazanin" w:eastAsia="IRNazanin"/>
          <w:color w:val="111111"/>
          <w:sz w:val="28"/>
          <w:sz w:val="28"/>
          <w:szCs w:val="28"/>
          <w:rtl w:val="true"/>
          <w:lang w:bidi="fa-IR"/>
        </w:rPr>
        <w:t>، بل الکلّ بناء علی ما ذکره الشهید الثانی من حمل کلماتهم علی إرادة الترتیب العادی</w:t>
      </w:r>
    </w:p>
    <w:p>
      <w:pPr>
        <w:pStyle w:val="BookText"/>
        <w:rPr/>
      </w:pPr>
      <w:r>
        <w:rPr>
          <w:rFonts w:ascii="IRNazanin" w:hAnsi="IRNazanin" w:eastAsia="IRNazanin"/>
          <w:color w:val="111111"/>
          <w:sz w:val="28"/>
          <w:sz w:val="28"/>
          <w:szCs w:val="28"/>
          <w:rtl w:val="true"/>
          <w:lang w:bidi="fa-IR"/>
        </w:rPr>
        <w:t xml:space="preserve">لا الشرعی </w:t>
      </w:r>
      <w:r>
        <w:rPr>
          <w:rStyle w:val="FootnoteAnchor"/>
          <w:rtl w:val="true"/>
        </w:rPr>
        <w:footnoteReference w:id="1017"/>
      </w:r>
      <w:r>
        <w:rPr>
          <w:rFonts w:ascii="IRNazanin" w:hAnsi="IRNazanin" w:eastAsia="IRNazanin"/>
          <w:color w:val="111111"/>
          <w:sz w:val="28"/>
          <w:sz w:val="28"/>
          <w:szCs w:val="28"/>
          <w:rtl w:val="true"/>
          <w:lang w:bidi="fa-IR"/>
        </w:rPr>
        <w:t>إلّا أنّ المسألة لا تخلو عن إشکال فلا ینبغی فیها 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بوجوبه، فهل یجب الاقتصار علی ما یعتاد المسح به من باطن أصابع الکفّ علی القول بوجوب ذلک، أو یؤخذ بإطلاق الید فی المقیّدات؟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الإطلاق، و قوّة احتمال انصرافه إلی بلل ما یجب المسح به، و علیه فلا یجوز الأخذ من ظاهر الید فضلا عن الذراع مع وجود البلل من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فقد بلل الباطن ففی تعیین الأخذ من الظاهر أو الذراع مخیرا فیهما، أو مترتّبین کما هو ظاهر الذکری </w:t>
      </w:r>
      <w:r>
        <w:rPr>
          <w:rStyle w:val="FootnoteAnchor"/>
          <w:rtl w:val="true"/>
        </w:rPr>
        <w:footnoteReference w:id="1018"/>
      </w:r>
      <w:r>
        <w:rPr>
          <w:rFonts w:ascii="IRNazanin" w:hAnsi="IRNazanin" w:eastAsia="IRNazanin"/>
          <w:color w:val="111111"/>
          <w:sz w:val="28"/>
          <w:sz w:val="28"/>
          <w:szCs w:val="28"/>
          <w:rtl w:val="true"/>
          <w:lang w:bidi="fa-IR"/>
        </w:rPr>
        <w:t>، أو التخییر بینها و بین اللحیة،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الأخذ من باطن الیسری فیمسح الرأس بناء علی جواز مسحه بالیسری؟ وجهان، من احتمال أنّ بلل الیسری إنّما یصحّ المسح به إذا کان أصل المسح بالیسری فلا یجوز نقله إلی ماسح آخر، و الاحتیاط لا ینبغی ترکه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أمرّ یده علی ذراعه الأیسر عند غسلها أکثر ممّا یتحقّق به الاستظهار الواجب أو المستحبّ فی الغسل، ففی کون ذلک بمنزلة مزج البلل الذی یجب المسح به بماء آخر کما إذا غسلها مرّة ثالثة و عدمه، وجهان، لا یبعد ابتناؤهما علی أنّ الزائد علی أقلّ الأفراد هل یتّصف بالوجوب، أو لغو محض إذا علم عدم اتّصافه بالاستحباب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الباقی من الماء المشتمل فی الوضوء، فلو جری منه إلی غیره فإن کان أجنبیّا عن محلّ الوضوء کالجاری من الوجه إلی العنق و الصدر فلا إشکال فی عدم جواز المسح به، کما لا إشکال فی جوازه إذا کان باقیا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جری علی محلّ مغسول، فالظاهر أنّه لیس کالأجنبیّ و إن کان الماء أجنبیّا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بقی لمعة فصبّ لغسلها ماء جری علیها و علی غیرها من المحلّ المغسول قبل ذلک، ففی جواز المسح به إشکال، لکونه غیر معدود من فضل الوضوء، فیدخل فی مسألة مزج بلل الوضوء بماء الغسلة الثالثة، إلّا أن یکون قلیلا جدّا بحیث یعدّ من التوابع الصرفة لغسل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المصنّف قدّس سرّه و غیره تبعا للنصوص من غیر تقیید بظاهر ما کان فی حدّ الوجه، یحتمل أن یکون من جهة کون تخلیل باطن اللحیة و غسل المسترسل منها مستحبّا، و یحتمل أن یکون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 تقدّم فی غسل الوجه من القدر الذی یجب غسله، و یحتمل أن یراد جواز الأخذ منها و إن لم یکن غسل الزائد واجبا و لا مستحبّا، لعدّه عرفا من الماء المستعمل فی الوضوء ما لم ینفصل من المحلّ العرفی للغسل و لو باعتبار جزئه، بل یحتمل أن یجوز المسح بالماء المستعمل لأصل الوضوء و لو من باب المقدّمة الوجودیّة أو العلمیّة، فیؤخذ من جزء الرأس الذی غسل مقدّمة، و من المواضع المشکوکة المحکوم بوجوب غسلها بقاعدة الاحتیاط، بل و من المواضع التی حکم باستحباب غسلها بمجرّد خبر ضعیف أو فتوی فقیه تسامحا، لأنّه یکون من أجزاء الفرد المندوب باعتبار اشتماله علی هذا الجزء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جمیع ذلک نظر، بل لا یبعد وجوب الاقتصار علی ما ثبت</w:t>
      </w:r>
    </w:p>
    <w:p>
      <w:pPr>
        <w:pStyle w:val="BookText"/>
        <w:rPr/>
      </w:pPr>
      <w:r>
        <w:rPr>
          <w:rFonts w:ascii="IRNazanin" w:hAnsi="IRNazanin" w:eastAsia="IRNazanin"/>
          <w:color w:val="111111"/>
          <w:sz w:val="28"/>
          <w:sz w:val="28"/>
          <w:szCs w:val="28"/>
          <w:rtl w:val="true"/>
          <w:lang w:bidi="fa-IR"/>
        </w:rPr>
        <w:t>بالدلیل کونه من مواضع الغسل 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غسل بدنه </w:t>
      </w:r>
      <w:r>
        <w:rPr>
          <w:rStyle w:val="FootnoteAnchor"/>
          <w:rtl w:val="true"/>
        </w:rPr>
        <w:footnoteReference w:id="1019"/>
      </w:r>
      <w:r>
        <w:rPr>
          <w:rFonts w:ascii="IRNazanin" w:hAnsi="IRNazanin" w:eastAsia="IRNazanin"/>
          <w:color w:val="111111"/>
          <w:sz w:val="28"/>
          <w:sz w:val="28"/>
          <w:szCs w:val="28"/>
          <w:rtl w:val="true"/>
          <w:lang w:bidi="fa-IR"/>
        </w:rPr>
        <w:t xml:space="preserve">ارتماسا، فإن نوی الغسل عند الإخراج جاز المسح بها، و إن نواه بالغمس ففیه إشکال، من جهة کون ذلک کغمس العضوین فی الماء بعد غسلهما، و صرّح فی محکی البشری بما ذکرنا من الفرق بین قصد الغسل بالخروج و عدمه، و قوّاه فی الذکری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ذکره جماعة کالمحقّق </w:t>
      </w:r>
      <w:r>
        <w:rPr>
          <w:rStyle w:val="FootnoteAnchor"/>
          <w:rtl w:val="true"/>
        </w:rPr>
        <w:footnoteReference w:id="1021"/>
      </w:r>
      <w:r>
        <w:rPr>
          <w:rFonts w:ascii="Amiri" w:hAnsi="Amiri" w:eastAsia="Amiri" w:cs="Amiri"/>
          <w:color w:val="111111"/>
          <w:sz w:val="28"/>
          <w:sz w:val="28"/>
          <w:szCs w:val="28"/>
          <w:rtl w:val="true"/>
          <w:lang w:bidi="ar-SA"/>
        </w:rPr>
        <w:t xml:space="preserve">و العلّامة </w:t>
      </w:r>
      <w:r>
        <w:rPr>
          <w:rStyle w:val="FootnoteAnchor"/>
          <w:rtl w:val="true"/>
        </w:rPr>
        <w:footnoteReference w:id="1022"/>
      </w:r>
      <w:r>
        <w:rPr>
          <w:rFonts w:ascii="IRNazanin" w:hAnsi="IRNazanin" w:eastAsia="IRNazanin"/>
          <w:color w:val="111111"/>
          <w:sz w:val="28"/>
          <w:sz w:val="28"/>
          <w:szCs w:val="28"/>
          <w:rtl w:val="true"/>
          <w:lang w:bidi="fa-IR"/>
        </w:rPr>
        <w:t xml:space="preserve">و الشهید </w:t>
      </w:r>
      <w:r>
        <w:rPr>
          <w:rStyle w:val="FootnoteAnchor"/>
          <w:rtl w:val="true"/>
        </w:rPr>
        <w:footnoteReference w:id="1023"/>
      </w:r>
      <w:r>
        <w:rPr>
          <w:rFonts w:ascii="IRNazanin" w:hAnsi="IRNazanin" w:eastAsia="IRNazanin"/>
          <w:color w:val="111111"/>
          <w:sz w:val="28"/>
          <w:sz w:val="28"/>
          <w:szCs w:val="28"/>
          <w:rtl w:val="true"/>
          <w:lang w:bidi="fa-IR"/>
        </w:rPr>
        <w:t xml:space="preserve">و غیرهم </w:t>
      </w:r>
      <w:r>
        <w:rPr>
          <w:rStyle w:val="FootnoteAnchor"/>
          <w:rtl w:val="true"/>
        </w:rPr>
        <w:footnoteReference w:id="1024"/>
      </w:r>
      <w:r>
        <w:rPr>
          <w:rFonts w:ascii="IRNazanin" w:hAnsi="IRNazanin" w:eastAsia="IRNazanin"/>
          <w:color w:val="111111"/>
          <w:sz w:val="28"/>
          <w:sz w:val="28"/>
          <w:szCs w:val="28"/>
          <w:rtl w:val="true"/>
          <w:lang w:bidi="fa-IR"/>
        </w:rPr>
        <w:t>من أنّه لو غمس أعضاءه فی الماء دفعة فأخرج أعضاءه مرتّبا صحّ غسل الأعضاء و افتقر إلی المسح، فیمکن حمله علی تحقّق الغسل بالخروج، و لذا ذکروا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یترتّب فی الإخراج صحّ غسل الوجه نزولا و الیمنی خروجا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ذلک أنّه لا یعتبر قصد تحقّق الغسل بالإدخال أو بالإخراج، بل یکفی قصد تحقّقه فی ضمن هذا المجموع، و سیأتی بعض الکلام فی المسائل الثمان التی ذکرها المصنّف قدّس سرّه إن شاء اللّٰه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مقدار البلّة، أمّا حدّها باعتبار القلّة، فالظاهر اعتبار تأثیرها فی الممسوح بللا و لو ضعیفا، وفاقا للمحکیّ عن النهایة فی غیر</w:t>
      </w:r>
    </w:p>
    <w:p>
      <w:pPr>
        <w:pStyle w:val="BookText"/>
        <w:rPr/>
      </w:pPr>
      <w:r>
        <w:rPr>
          <w:rFonts w:ascii="IRNazanin" w:hAnsi="IRNazanin" w:eastAsia="IRNazanin"/>
          <w:color w:val="111111"/>
          <w:sz w:val="28"/>
          <w:sz w:val="28"/>
          <w:szCs w:val="28"/>
          <w:rtl w:val="true"/>
          <w:lang w:bidi="fa-IR"/>
        </w:rPr>
        <w:t>حال الهواء و الحرّ المفرطین،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یشترط فی حال الرفاهة التأثیر فی المحلّ؟ الأقرب ذلک </w:t>
      </w:r>
      <w:r>
        <w:rPr>
          <w:rStyle w:val="FootnoteAnchor"/>
          <w:rtl w:val="true"/>
        </w:rPr>
        <w:footnoteReference w:id="1025"/>
      </w:r>
      <w:r>
        <w:rPr>
          <w:rFonts w:ascii="IRNazanin" w:hAnsi="IRNazanin" w:eastAsia="IRNazanin"/>
          <w:color w:val="111111"/>
          <w:sz w:val="28"/>
          <w:sz w:val="28"/>
          <w:szCs w:val="28"/>
          <w:rtl w:val="true"/>
          <w:lang w:bidi="fa-IR"/>
        </w:rPr>
        <w:t>، انتهی، و سیأتی عن غیرها أیضا، لأنّ المستفاد مسح الرأس بالبلل، بأن یکون البلل ممسوحا نظیر مسح رأسه بالدهن لا مسحه بالید متلبّسا بالبلل و مصاحبا له، فلو لم یتأثّر الممسوح بها إمّا لغلبة رطوبة خارجة علی الماسح بحیث یکون تأثیر المحلّ بهذه الرطوبة الخارجة، و إمّا لغلبة الرطوبة علی الممسوح فالظاهر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من المحقّق قدّس سرّه فی المعتبر أنّه لا یقدح شی‌ء منهما، لأنّه استوجه </w:t>
      </w:r>
      <w:r>
        <w:rPr>
          <w:rStyle w:val="FootnoteAnchor"/>
          <w:rtl w:val="true"/>
        </w:rPr>
        <w:footnoteReference w:id="1026"/>
      </w:r>
      <w:r>
        <w:rPr>
          <w:rFonts w:ascii="IRNazanin" w:hAnsi="IRNazanin" w:eastAsia="IRNazanin"/>
          <w:color w:val="111111"/>
          <w:sz w:val="28"/>
          <w:sz w:val="28"/>
          <w:szCs w:val="28"/>
          <w:rtl w:val="true"/>
          <w:lang w:bidi="fa-IR"/>
        </w:rPr>
        <w:t>جواز المسح بعد الغسلة الثالثة التی صرّح بأنّها غیر مشروعة،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ینفکّ عن ماء الوضوء الأصلی ثمّ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ماء و غسل یدیه مسح رأسه و رجلیه، لأنّ یدیه لا تنفکّ عن ماء الوضوء، و لا یضرّه ما کان علی قدمیه من الماء </w:t>
      </w:r>
      <w:r>
        <w:rPr>
          <w:rStyle w:val="FootnoteAnchor"/>
          <w:rtl w:val="true"/>
        </w:rPr>
        <w:footnoteReference w:id="10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سبقه فی هذا الفرع الحلّی فی السرائر مستدلا بأنّه مسح </w:t>
      </w:r>
      <w:r>
        <w:rPr>
          <w:rStyle w:val="FootnoteAnchor"/>
          <w:rtl w:val="true"/>
        </w:rPr>
        <w:footnoteReference w:id="1028"/>
      </w:r>
      <w:r>
        <w:rPr>
          <w:rFonts w:ascii="IRNazanin" w:hAnsi="IRNazanin" w:eastAsia="IRNazanin"/>
          <w:color w:val="111111"/>
          <w:sz w:val="28"/>
          <w:sz w:val="28"/>
          <w:szCs w:val="28"/>
          <w:rtl w:val="true"/>
          <w:lang w:bidi="fa-IR"/>
        </w:rPr>
        <w:t xml:space="preserve">بغیر خلاف، و عموم ظواهر الآیات و الأخبار یشمله، ثمّ ذکر أنّ له فی هذه المسألة رسالة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 الحکمین نظر، لما ذکرنا من أنّ ظاهر الأخبار وجوب إیصال البلّة بواسطة الید علی أن تکون الید آلة فی الإیصال، لا وجوب</w:t>
      </w:r>
    </w:p>
    <w:p>
      <w:pPr>
        <w:pStyle w:val="BookText"/>
        <w:rPr/>
      </w:pPr>
      <w:r>
        <w:rPr>
          <w:rFonts w:ascii="IRNazanin" w:hAnsi="IRNazanin" w:eastAsia="IRNazanin"/>
          <w:color w:val="111111"/>
          <w:sz w:val="28"/>
          <w:sz w:val="28"/>
          <w:szCs w:val="28"/>
          <w:rtl w:val="true"/>
          <w:lang w:bidi="fa-IR"/>
        </w:rPr>
        <w:t>إیصال الید المبلولة،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بالمسح عندنا وصول البلّة بواسطة الید، فلا یکفی وصول البلّة وحدها </w:t>
      </w:r>
      <w:r>
        <w:rPr>
          <w:rStyle w:val="FootnoteAnchor"/>
          <w:rtl w:val="true"/>
        </w:rPr>
        <w:footnoteReference w:id="103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من قال بکفایة بلّ موضع المسح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الشرط هو استعمال الماء الباقی من نداوة الوضوء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فی ذلک و أنّه یکفی إدخال الید فی الماء و المسح علی الرجل عند الضرورة </w:t>
      </w:r>
      <w:r>
        <w:rPr>
          <w:rStyle w:val="FootnoteAnchor"/>
          <w:rtl w:val="true"/>
        </w:rPr>
        <w:footnoteReference w:id="1032"/>
      </w:r>
      <w:r>
        <w:rPr>
          <w:rFonts w:ascii="IRNazanin" w:hAnsi="IRNazanin" w:eastAsia="IRNazanin"/>
          <w:color w:val="111111"/>
          <w:sz w:val="28"/>
          <w:sz w:val="28"/>
          <w:szCs w:val="28"/>
          <w:rtl w:val="true"/>
          <w:lang w:bidi="fa-IR"/>
        </w:rPr>
        <w:t xml:space="preserve">، انتهی، و هو غیر بعید عن فتوی المحقّق بالمسح بالبلّة الباقیة من الغسلة الثالثة، و قد عرفت أنّ الأقوی فیه المنع وفاقا لجماعة ممّن تأخّر عنه </w:t>
      </w:r>
      <w:r>
        <w:rPr>
          <w:rStyle w:val="FootnoteAnchor"/>
          <w:rtl w:val="true"/>
        </w:rPr>
        <w:footnoteReference w:id="1033"/>
      </w:r>
      <w:r>
        <w:rPr>
          <w:rFonts w:ascii="IRNazanin" w:hAnsi="IRNazanin" w:eastAsia="IRNazanin"/>
          <w:color w:val="111111"/>
          <w:sz w:val="28"/>
          <w:sz w:val="28"/>
          <w:szCs w:val="28"/>
          <w:rtl w:val="true"/>
          <w:lang w:bidi="fa-IR"/>
        </w:rPr>
        <w:t>، بل فی المختلف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المسح علی المحلّ مع رطوبته،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ببعید لحرمة التجدید و مع الرطوبة یکون المسح بماء جدید </w:t>
      </w:r>
      <w:r>
        <w:rPr>
          <w:rStyle w:val="FootnoteAnchor"/>
          <w:rtl w:val="true"/>
        </w:rPr>
        <w:footnoteReference w:id="10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الرطوبة الغالبة، و إلّا لم یصدق المسح بماء جدید قطعا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 الرأس أو الرجل رطوبة ففی المسح علیها قبل تنشیفها إشکال </w:t>
      </w:r>
      <w:r>
        <w:rPr>
          <w:rStyle w:val="FootnoteAnchor"/>
          <w:rtl w:val="true"/>
        </w:rPr>
        <w:footnoteReference w:id="1035"/>
      </w:r>
      <w:r>
        <w:rPr>
          <w:rFonts w:ascii="IRNazanin" w:hAnsi="IRNazanin" w:eastAsia="IRNazanin"/>
          <w:color w:val="111111"/>
          <w:sz w:val="28"/>
          <w:sz w:val="28"/>
          <w:szCs w:val="28"/>
          <w:rtl w:val="true"/>
          <w:lang w:bidi="fa-IR"/>
        </w:rPr>
        <w:t>، انتهی، و التنشیف أخذ الماء من المحلّ لا تجفیفه و جعله</w:t>
      </w:r>
    </w:p>
    <w:p>
      <w:pPr>
        <w:pStyle w:val="BookText"/>
        <w:rPr/>
      </w:pPr>
      <w:r>
        <w:rPr>
          <w:rFonts w:ascii="IRNazanin" w:hAnsi="IRNazanin" w:eastAsia="IRNazanin"/>
          <w:color w:val="111111"/>
          <w:sz w:val="28"/>
          <w:sz w:val="28"/>
          <w:szCs w:val="28"/>
          <w:rtl w:val="true"/>
          <w:lang w:bidi="fa-IR"/>
        </w:rPr>
        <w:t>یابسا فی مقابل المبلول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العبارة أنّه لا إشکال بعد التنشیف و إن لم یجفّ العضو کما نصّ علیه فی الذکری بعد حکایة الخلاف فی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غلب ماء المسح رطوبة الرجلین زال الإشکال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غلبة ماء الوضوء علی الرطوبة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المقاصد العلیّة فی مسألة عدم جواز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یتحقّق الاستیناف بانتقال البلل الموجود علی جزء من العضو الممسوح إلی جزء آخر بواسطة الماسح، فلو کان العضو رطبا و لم ینتقل البلل منه بالمسح لم یضرّ </w:t>
      </w:r>
      <w:r>
        <w:rPr>
          <w:rStyle w:val="FootnoteAnchor"/>
          <w:rtl w:val="true"/>
        </w:rPr>
        <w:footnoteReference w:id="10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صریح أیضا فی عدم قدح البلل الیسیر لکنّه استند فی قدح الکثیر إلی انتقال البلل دون استهلاک رطوبة الماسح المانع من صدق المسح بالبلل، و هذا لیس مختصّا بالبلل الأجنبی بل یجری فی بلل الوضوء إذا جری بعد وصوله إلی الممسوح إلی جزء آخر منه، و هو بناء علی ما اختاره فی هذا الکتاب و فی الروض من أنّ المسح و الغسل متباینان </w:t>
      </w:r>
      <w:r>
        <w:rPr>
          <w:rStyle w:val="FootnoteAnchor"/>
          <w:rtl w:val="true"/>
        </w:rPr>
        <w:footnoteReference w:id="1040"/>
      </w:r>
      <w:r>
        <w:rPr>
          <w:rFonts w:ascii="IRNazanin" w:hAnsi="IRNazanin" w:eastAsia="IRNazanin"/>
          <w:color w:val="111111"/>
          <w:sz w:val="28"/>
          <w:sz w:val="28"/>
          <w:szCs w:val="28"/>
          <w:rtl w:val="true"/>
          <w:lang w:bidi="fa-IR"/>
        </w:rPr>
        <w:t>، إذ الجریان و الانتقال المحقّق لمفهوم الغسل یعتبر عدمه فی تحقّق المسح، و ردّ بذلک علی الشهید رحمه اللّٰه فی الذکری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إکثار ماء الوضوء لأجل المسح</w:t>
      </w:r>
    </w:p>
    <w:p>
      <w:pPr>
        <w:pStyle w:val="BookText"/>
        <w:rPr/>
      </w:pPr>
      <w:r>
        <w:rPr>
          <w:rFonts w:ascii="IRNazanin" w:hAnsi="IRNazanin" w:eastAsia="IRNazanin"/>
          <w:color w:val="111111"/>
          <w:sz w:val="28"/>
          <w:sz w:val="28"/>
          <w:szCs w:val="28"/>
          <w:rtl w:val="true"/>
          <w:lang w:bidi="fa-IR"/>
        </w:rPr>
        <w:t xml:space="preserve">لأنّه من بلل الوضوء، و کذا لو مسح بماء جار علی العضو و إن أفرط الجریان، لصدق الامتثال، و لأنّ الغسل غیر مقصود </w:t>
      </w:r>
      <w:r>
        <w:rPr>
          <w:rStyle w:val="FootnoteAnchor"/>
          <w:rtl w:val="true"/>
        </w:rPr>
        <w:footnoteReference w:id="10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اعتبار الجریان فی الغسل و عدم کفایة الإمساس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المسح فیجزی </w:t>
      </w:r>
      <w:r>
        <w:rPr>
          <w:rStyle w:val="FootnoteAnchor"/>
          <w:rtl w:val="true"/>
        </w:rPr>
        <w:footnoteReference w:id="10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المقاصد العلیّة فی شرح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لفظ الإجزاء أنّه لو جری الماء علی العضو الممسوح أجزأ، فعلی هذا یکون بین الغسل و المسح عموم و خصوص من وجه،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 </w:t>
      </w:r>
      <w:r>
        <w:rPr>
          <w:rStyle w:val="FootnoteAnchor"/>
          <w:rtl w:val="true"/>
        </w:rPr>
        <w:footnoteReference w:id="1043"/>
      </w:r>
      <w:r>
        <w:rPr>
          <w:rFonts w:ascii="IRNazanin" w:hAnsi="IRNazanin" w:eastAsia="IRNazanin"/>
          <w:color w:val="111111"/>
          <w:sz w:val="28"/>
          <w:sz w:val="28"/>
          <w:szCs w:val="28"/>
          <w:rtl w:val="true"/>
          <w:lang w:bidi="fa-IR"/>
        </w:rPr>
        <w:t>مادّة الاجتماع و مادّة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اشتراط عدم الجریان فی المسح مطلقا، و أنّ بین المفهومین تباینا کلّیا، لدلالة الآیة و الأخبار و الإجماع علی اختصاص أعضاء الغسل به و أعضاء المسح بالمسح، و التفصیل قاطع للشرکة، و قد نقل العلّامة </w:t>
      </w:r>
      <w:r>
        <w:rPr>
          <w:rStyle w:val="FootnoteAnchor"/>
          <w:rtl w:val="true"/>
        </w:rPr>
        <w:footnoteReference w:id="1044"/>
      </w:r>
      <w:r>
        <w:rPr>
          <w:rFonts w:ascii="IRNazanin" w:hAnsi="IRNazanin" w:eastAsia="IRNazanin"/>
          <w:color w:val="111111"/>
          <w:sz w:val="28"/>
          <w:sz w:val="28"/>
          <w:szCs w:val="28"/>
          <w:rtl w:val="true"/>
          <w:lang w:bidi="fa-IR"/>
        </w:rPr>
        <w:t xml:space="preserve">و غیره </w:t>
      </w:r>
      <w:r>
        <w:rPr>
          <w:rStyle w:val="FootnoteAnchor"/>
          <w:rtl w:val="true"/>
        </w:rPr>
        <w:footnoteReference w:id="1045"/>
      </w:r>
      <w:r>
        <w:rPr>
          <w:rFonts w:ascii="IRNazanin" w:hAnsi="IRNazanin" w:eastAsia="IRNazanin"/>
          <w:color w:val="111111"/>
          <w:sz w:val="28"/>
          <w:sz w:val="28"/>
          <w:szCs w:val="28"/>
          <w:rtl w:val="true"/>
          <w:lang w:bidi="fa-IR"/>
        </w:rPr>
        <w:t>الإجماع علی أنّ الغسل لا یجزی عن المسح، و لا شکّ أنّ الماء الجاری علی العضو علی هذا الوجه غسل لتحقّق مفهومه، فیجوز سوق الإجماع علی عدم إجزائه،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إنّ الفرد المجزی من المسح مع الجریان هو جریان الماء الممسوح به لا إجزاء </w:t>
      </w:r>
      <w:r>
        <w:rPr>
          <w:rStyle w:val="FootnoteAnchor"/>
          <w:rtl w:val="true"/>
        </w:rPr>
        <w:footnoteReference w:id="1046"/>
      </w:r>
      <w:r>
        <w:rPr>
          <w:rFonts w:ascii="IRNazanin" w:hAnsi="IRNazanin" w:eastAsia="IRNazanin"/>
          <w:color w:val="111111"/>
          <w:sz w:val="28"/>
          <w:sz w:val="28"/>
          <w:szCs w:val="28"/>
          <w:rtl w:val="true"/>
          <w:lang w:bidi="fa-IR"/>
        </w:rPr>
        <w:t>غسل موضع المسح، و فرّق</w:t>
      </w:r>
    </w:p>
    <w:p>
      <w:pPr>
        <w:pStyle w:val="BookText"/>
        <w:rPr/>
      </w:pPr>
      <w:r>
        <w:rPr>
          <w:rFonts w:ascii="IRNazanin" w:hAnsi="IRNazanin" w:eastAsia="IRNazanin"/>
          <w:color w:val="111111"/>
          <w:sz w:val="28"/>
          <w:sz w:val="28"/>
          <w:szCs w:val="28"/>
          <w:rtl w:val="true"/>
          <w:lang w:bidi="fa-IR"/>
        </w:rPr>
        <w:t>بین الأمرین، فأجاب بأنّ تحقّق الغسل لا یتوقّف علی کونه بماء جدید، ثمّ أجاب عن استدلال الذکری بالامتثال و عدم قصد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الامتثال إنّما هو بالمسح، و تحقّقه أوّل الدعوی، و عدم قصد الغسل لا یقدح فی تحقّقه، لأنّ الاسم تابع لتحقّقه دون النیة </w:t>
      </w:r>
      <w:r>
        <w:rPr>
          <w:rStyle w:val="FootnoteAnchor"/>
          <w:rtl w:val="true"/>
        </w:rPr>
        <w:footnoteReference w:id="10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بینهما عموما من وجه، فیصدق فی محلّ </w:t>
      </w:r>
      <w:r>
        <w:rPr>
          <w:rStyle w:val="FootnoteAnchor"/>
          <w:rtl w:val="true"/>
        </w:rPr>
        <w:footnoteReference w:id="1048"/>
      </w:r>
      <w:r>
        <w:rPr>
          <w:rFonts w:ascii="IRNazanin" w:hAnsi="IRNazanin" w:eastAsia="IRNazanin"/>
          <w:color w:val="111111"/>
          <w:sz w:val="28"/>
          <w:sz w:val="28"/>
          <w:szCs w:val="28"/>
          <w:rtl w:val="true"/>
          <w:lang w:bidi="fa-IR"/>
        </w:rPr>
        <w:t>الممسوح أنّه غسل بما انتقل من الماء الموجود فیه من جزء إلی جزء و مسح بالبلل العالق بالید نعم، البلل المغسول به غیر البلّة الممسوح بها، فإن أرید تصادق المسح و الغسل بالنسبة إلی ما به یتحقّقان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الذکری، حیث فرض المسح بالماء الجاری علی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یتّحدا فی المصداق، فهو ممنوع و إن أرید تصادقهما بالنسبة إلی المحلّ، و إن تعدّد ما یتحقّقان به أعنی البلل فهو حقّ، لکن الغسل المحقّق مع عدم قصده بل مع عدم قصد جزئیته لا یوجب بطلان أن یکون المحلّ مغسولا و ممسوحا، و لم یدّع أحد إجزاءه عن المسح حتّی یخالف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یشکل تحقّق المسح بالبلّة العالقة بالید مع جریان البلل المنتقل إلی المحلّ من جزء إلی جزء لاستهلاکه فیه، إلّا أن یلتزم بعدم قدح استهلاکه مطلقا کما تقدّم عن المحقّق و الحلّی و غیرهما </w:t>
      </w:r>
      <w:r>
        <w:rPr>
          <w:rStyle w:val="FootnoteAnchor"/>
          <w:rtl w:val="true"/>
        </w:rPr>
        <w:footnoteReference w:id="1049"/>
      </w:r>
      <w:r>
        <w:rPr>
          <w:rFonts w:ascii="IRNazanin" w:hAnsi="IRNazanin" w:eastAsia="IRNazanin"/>
          <w:color w:val="111111"/>
          <w:sz w:val="28"/>
          <w:sz w:val="28"/>
          <w:szCs w:val="28"/>
          <w:rtl w:val="true"/>
          <w:lang w:bidi="fa-IR"/>
        </w:rPr>
        <w:t xml:space="preserve">، أو إذا کان </w:t>
      </w:r>
      <w:r>
        <w:rPr>
          <w:rStyle w:val="FootnoteAnchor"/>
          <w:rtl w:val="true"/>
        </w:rPr>
        <w:footnoteReference w:id="1050"/>
      </w:r>
      <w:r>
        <w:rPr>
          <w:rFonts w:ascii="IRNazanin" w:hAnsi="IRNazanin" w:eastAsia="IRNazanin"/>
          <w:color w:val="111111"/>
          <w:sz w:val="28"/>
          <w:sz w:val="28"/>
          <w:szCs w:val="28"/>
          <w:rtl w:val="true"/>
          <w:lang w:bidi="fa-IR"/>
        </w:rPr>
        <w:t>البلل المغسول به بلل الوضوء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الوضوء غسلا أو مسحا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للأخذ و المسح بها فإن کان </w:t>
      </w:r>
      <w:r>
        <w:rPr>
          <w:rStyle w:val="FootnoteAnchor"/>
          <w:rtl w:val="true"/>
        </w:rPr>
        <w:footnoteReference w:id="1051"/>
      </w:r>
      <w:r>
        <w:rPr>
          <w:rFonts w:ascii="IRNazanin" w:hAnsi="IRNazanin" w:eastAsia="IRNazanin"/>
          <w:color w:val="111111"/>
          <w:sz w:val="28"/>
          <w:sz w:val="28"/>
          <w:szCs w:val="28"/>
          <w:rtl w:val="true"/>
          <w:lang w:bidi="fa-IR"/>
        </w:rPr>
        <w:t xml:space="preserve">متمکّنا من ذلک مع الاستئناف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لوجوب الإتیان بالمأمور به مع القدرة کما لو تعذّر علیه إتمام الوضوء لعذر آخر، و قد تقدّم هنا خلاف الإسکافی </w:t>
      </w:r>
      <w:r>
        <w:rPr>
          <w:rStyle w:val="FootnoteAnchor"/>
          <w:rtl w:val="true"/>
        </w:rPr>
        <w:footnoteReference w:id="1052"/>
      </w:r>
      <w:r>
        <w:rPr>
          <w:rFonts w:ascii="IRNazanin" w:hAnsi="IRNazanin" w:eastAsia="IRNazanin"/>
          <w:color w:val="111111"/>
          <w:sz w:val="28"/>
          <w:sz w:val="28"/>
          <w:szCs w:val="28"/>
          <w:rtl w:val="true"/>
          <w:lang w:bidi="fa-IR"/>
        </w:rPr>
        <w:t>و ما کان حجّة علیه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یتمکّن من ذلک إلی آخر الوقت و لو بعلاج فمقتضی قاعدة المیسور وجوب المسح بماء جدید، لأنّ المسح بنداوة الوضوء کان واجبا، و بعبارة أخری، وجب علیه إیصال البلل المقیّد بکونه من الوضوء فإذا تعذّر ذلک سقط خصوص کونه من بلل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الخدشة فی ذلک بعدم جریان قاعدة المیسور فی القیود، فالأولی أن یقال بسقوط المسح رأسا لا وجوب المسح ببلل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ضعف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وجوب مسح الید علی الرأس بلا نداوة، لأنّه إن بنی علی سقوط القید خاصّة تعیّن ببلل غیر الوضوء، و إلّا فلا معنی لإبقاء أصل المسح بعد تعذّر الممسوح به الذی هو أحد أرکانه،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المطلقات وجوب مسح الرأس و مجرّد إمرار الید علیه و ثبت بالدلیل وجوب </w:t>
      </w:r>
      <w:r>
        <w:rPr>
          <w:rStyle w:val="FootnoteAnchor"/>
          <w:rtl w:val="true"/>
        </w:rPr>
        <w:footnoteReference w:id="1053"/>
      </w:r>
      <w:r>
        <w:rPr>
          <w:rFonts w:ascii="IRNazanin" w:hAnsi="IRNazanin" w:eastAsia="IRNazanin"/>
          <w:color w:val="111111"/>
          <w:sz w:val="28"/>
          <w:sz w:val="28"/>
          <w:szCs w:val="28"/>
          <w:rtl w:val="true"/>
          <w:lang w:bidi="fa-IR"/>
        </w:rPr>
        <w:t>کونه ببلل الوضوء فإذا سقط هذا القید لاختصاص أدلّته بصورة التمکّن اختصّ مورده بالمتمکّن من بلل الوضوء، فیرجع غیره إلی إطلاق المسح</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الأدلّة کون الید واسطة فی إیصال</w:t>
      </w:r>
    </w:p>
    <w:p>
      <w:pPr>
        <w:pStyle w:val="BookText"/>
        <w:rPr/>
      </w:pPr>
      <w:r>
        <w:rPr>
          <w:rFonts w:ascii="IRNazanin" w:hAnsi="IRNazanin" w:eastAsia="IRNazanin"/>
          <w:color w:val="111111"/>
          <w:sz w:val="28"/>
          <w:sz w:val="28"/>
          <w:szCs w:val="28"/>
          <w:rtl w:val="true"/>
          <w:lang w:bidi="fa-IR"/>
        </w:rPr>
        <w:t>البلل، فلیس مطلق المسح بمعنی إمرار الید مطلوبا قابلا لإرادته مستقلّا من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مردود بأنّ الآیة لا إطلاق فیها </w:t>
      </w:r>
      <w:r>
        <w:rPr>
          <w:rStyle w:val="FootnoteAnchor"/>
          <w:rtl w:val="true"/>
        </w:rPr>
        <w:footnoteReference w:id="1054"/>
      </w:r>
      <w:r>
        <w:rPr>
          <w:rFonts w:ascii="IRNazanin" w:hAnsi="IRNazanin" w:eastAsia="IRNazanin"/>
          <w:color w:val="111111"/>
          <w:sz w:val="28"/>
          <w:sz w:val="28"/>
          <w:szCs w:val="28"/>
          <w:rtl w:val="true"/>
          <w:lang w:bidi="fa-IR"/>
        </w:rPr>
        <w:t>من حیث وجود الممسوح به و عدمه، بل ظاهرها بقرینة مقابلة الغسل المسح بالبلّة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مطلق من حیث بلل الوضوء و بلل آخر و مقتضی القاعدة ما ذکروه من بقاء وجوب مطلق البلل إذا نفده </w:t>
      </w:r>
      <w:r>
        <w:rPr>
          <w:rStyle w:val="FootnoteAnchor"/>
          <w:rtl w:val="true"/>
        </w:rPr>
        <w:footnoteReference w:id="1055"/>
      </w:r>
      <w:r>
        <w:rPr>
          <w:rFonts w:ascii="IRNazanin" w:hAnsi="IRNazanin" w:eastAsia="IRNazanin"/>
          <w:color w:val="111111"/>
          <w:sz w:val="28"/>
          <w:sz w:val="28"/>
          <w:szCs w:val="28"/>
          <w:rtl w:val="true"/>
          <w:lang w:bidi="fa-IR"/>
        </w:rPr>
        <w:t>البلل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استظهر وجوب المسح بلا بلل من التحریر، حیث قال فی مسألة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جفّ ماء الوضوء لحرارة الهواء المفرط جاز البناء، و لا یجوز استئناف ماء جدید للمسح </w:t>
      </w:r>
      <w:r>
        <w:rPr>
          <w:rStyle w:val="FootnoteAnchor"/>
          <w:rtl w:val="true"/>
        </w:rPr>
        <w:footnoteReference w:id="10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التأمّل یقتضی </w:t>
      </w:r>
      <w:r>
        <w:rPr>
          <w:rStyle w:val="FootnoteAnchor"/>
          <w:rtl w:val="true"/>
        </w:rPr>
        <w:footnoteReference w:id="1057"/>
      </w:r>
      <w:r>
        <w:rPr>
          <w:rFonts w:ascii="IRNazanin" w:hAnsi="IRNazanin" w:eastAsia="IRNazanin"/>
          <w:color w:val="111111"/>
          <w:sz w:val="28"/>
          <w:sz w:val="28"/>
          <w:szCs w:val="28"/>
          <w:rtl w:val="true"/>
          <w:lang w:bidi="fa-IR"/>
        </w:rPr>
        <w:t>بعدم دلالته علی هذا، لأنّ المراد من جواز البناء مع حرارة الهواء سقوط حکم الجفاف من حیث الموالاة، فلا یقدح و لا یجب معالجته حتّی یبقی الرطوبة فی العضو السابق عند غسل اللاحق بأن یغسل کلّ جزء قلیل بماء کثیر کما سیجی‌ء تفصیله فی مسألة الموالاة، لکن لا یجوز ذلک المسح بماء جدید، بل یجب العلاج حتّی لا یجفّ الجزء الذی یمسح به بإکثار الماء علیه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حرارة الهواء عذر فی فوات الموالاة بمعنی مراعاة الجفاف، بل هی معتبرة مع اعتدال الهواء و لیس عذرا فی تجدید الماء للمسح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فالمسألة مبنیّة علی جریان قاعدة المیسور فی القیود المتعسّرة، و لا یبعد دعواه مع مساعدة الفهم العرفی، کما ذکروه فی مراتب العجز عن القیام للصلاة، مضافا إلی روایة عبد الأعلی الآتیة فی المسح علی الحائل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یعلم عدم جواز الانتقال إلی التیمّم، لأنّها أخصّ من عمومات التیمّم، بل لو کان مستند المسألة قاعدة عدم سقوط المیسور بالمعسور کان الظاهر التقدیم، لأنّ أدلّة التیمّم إنّما ثبت شرعیّتها مع تعذّر الطهارة المائیة، و عموم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یقیّد أدلّة وجوب المسح بالبلل بصورة الاختیار، فلا یقدح عدمه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کون الوضوء الناقص طهارة مائیة مبیحة، فالعمل بهذه العمومات یوجب خروج ما نحن فیه عن موضوع التیمّم أعنی التخصّص، و طرح تلک العمومات مستلزم للتخصیص بلا قرینة، و من هنا صحّت قاعدة کلّیة فی تقدیم الوضوء الناقص علی التیمّم، لکن سیجی‌ء فی مسألة الجبیرة التأمّل بل النظر فی ذلک، و أنّه لو عمل بهذا لم یبق مورد للتیمّم، إذ ما من أحد إلّا و هو یقدر علی بعض الوضوء الناقص لفقدان بعض أجزائه أو قیودها، و انتظر لتمام الکلام، إلّا أنّ القول بالتیمّم فی ما نحن فیه لم یعرف لأحد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هامش نسخة التحریر الموجودة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محکیّا عن المصنّف قدّس سرّه فی باب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جفّ الوضوء لحرارة الهواء المفرط جاز البناء، و لا یجوز استئناف ماء جدید للمسح </w:t>
      </w:r>
      <w:r>
        <w:rPr>
          <w:rStyle w:val="FootnoteAnchor"/>
          <w:rtl w:val="true"/>
        </w:rPr>
        <w:footnoteReference w:id="1059"/>
      </w:r>
      <w:r>
        <w:rPr>
          <w:rFonts w:ascii="IRNazanin" w:hAnsi="IRNazanin" w:eastAsia="IRNazanin"/>
          <w:color w:val="111111"/>
          <w:sz w:val="28"/>
          <w:sz w:val="28"/>
          <w:szCs w:val="28"/>
          <w:rtl w:val="true"/>
          <w:lang w:bidi="fa-IR"/>
        </w:rPr>
        <w:t>، انتهی، فعلّق علیه</w:t>
      </w:r>
    </w:p>
    <w:p>
      <w:pPr>
        <w:pStyle w:val="BookText"/>
        <w:rPr/>
      </w:pPr>
      <w:r>
        <w:rPr>
          <w:rFonts w:ascii="IRNazanin" w:hAnsi="IRNazanin" w:eastAsia="IRNazanin"/>
          <w:color w:val="111111"/>
          <w:sz w:val="28"/>
          <w:sz w:val="28"/>
          <w:szCs w:val="28"/>
          <w:rtl w:val="true"/>
          <w:lang w:bidi="fa-IR"/>
        </w:rPr>
        <w:t>المحشّی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تعذّر المسح بالبلل انتقل إلی التیمّم عند المصنّف، و عند الشهید یستأنف ماء جدیدا فیمسح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العلّامة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أتی بأقلّ الغسل أو حال الحرارة و الهواء المفرطین بحیث لا تبقی رطوبة فی الید و غیرها فالأقرب المسح، إذ لا ینفکّ عن أقلّ رطوبة و إن لم تؤثّر و لا یستأنف و لا یتیمّم، و هل یشترط فی حال الرفاهة تأثیر المحلّ؟ الأقرب ذلک </w:t>
      </w:r>
      <w:r>
        <w:rPr>
          <w:rStyle w:val="FootnoteAnchor"/>
          <w:rtl w:val="true"/>
        </w:rPr>
        <w:footnoteReference w:id="10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أیضا لا یدلّ علی المسح بالید الخالیة عن أقلّ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فرق فی الرطوبة بین حالتی الاختیار و الضرورة فاعتبر سرایتها إلی الممسوح فی الأوّل دون الثانی،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فالمسح بالید المجرّدة لم یقل به أحد فیما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جاز عند المصنّف و جماعة </w:t>
      </w:r>
      <w:r>
        <w:rPr>
          <w:rStyle w:val="FootnoteAnchor"/>
          <w:rtl w:val="true"/>
        </w:rPr>
        <w:footnoteReference w:id="1061"/>
      </w:r>
      <w:r>
        <w:rPr>
          <w:rFonts w:ascii="IRNazanin" w:hAnsi="IRNazanin" w:eastAsia="IRNazanin"/>
          <w:color w:val="111111"/>
          <w:sz w:val="28"/>
          <w:sz w:val="28"/>
          <w:szCs w:val="28"/>
          <w:rtl w:val="true"/>
          <w:lang w:bidi="fa-IR"/>
        </w:rPr>
        <w:t xml:space="preserve">، بل قیل هو المشهور </w:t>
      </w:r>
      <w:r>
        <w:rPr>
          <w:rStyle w:val="FootnoteAnchor"/>
          <w:rtl w:val="true"/>
        </w:rPr>
        <w:footnoteReference w:id="1062"/>
      </w:r>
      <w:r>
        <w:rPr>
          <w:rFonts w:ascii="IRNazanin" w:hAnsi="IRNazanin" w:eastAsia="IRNazanin"/>
          <w:color w:val="111111"/>
          <w:sz w:val="28"/>
          <w:sz w:val="28"/>
          <w:szCs w:val="28"/>
          <w:rtl w:val="true"/>
          <w:lang w:bidi="fa-IR"/>
        </w:rPr>
        <w:t xml:space="preserve">، لما فی المعتبر </w:t>
      </w:r>
      <w:r>
        <w:rPr>
          <w:rStyle w:val="FootnoteAnchor"/>
          <w:rtl w:val="true"/>
        </w:rPr>
        <w:footnoteReference w:id="1063"/>
      </w:r>
      <w:r>
        <w:rPr>
          <w:rFonts w:ascii="IRNazanin" w:hAnsi="IRNazanin" w:eastAsia="IRNazanin"/>
          <w:color w:val="111111"/>
          <w:sz w:val="28"/>
          <w:sz w:val="28"/>
          <w:szCs w:val="28"/>
          <w:rtl w:val="true"/>
          <w:lang w:bidi="fa-IR"/>
        </w:rPr>
        <w:t xml:space="preserve">من إطلاق الآیة </w:t>
      </w:r>
      <w:r>
        <w:rPr>
          <w:rStyle w:val="FootnoteAnchor"/>
          <w:rtl w:val="true"/>
        </w:rPr>
        <w:footnoteReference w:id="1064"/>
      </w:r>
      <w:r>
        <w:rPr>
          <w:rFonts w:ascii="IRNazanin" w:hAnsi="IRNazanin" w:eastAsia="IRNazanin"/>
          <w:color w:val="111111"/>
          <w:sz w:val="28"/>
          <w:sz w:val="28"/>
          <w:szCs w:val="28"/>
          <w:rtl w:val="true"/>
          <w:lang w:bidi="fa-IR"/>
        </w:rPr>
        <w:t>، و صریح الروایة الصحیحة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بل بما دلّ علی جواز النکس فی</w:t>
      </w:r>
    </w:p>
    <w:p>
      <w:pPr>
        <w:pStyle w:val="BookText"/>
        <w:rPr/>
      </w:pPr>
      <w:r>
        <w:rPr>
          <w:rFonts w:ascii="IRNazanin" w:hAnsi="IRNazanin" w:eastAsia="IRNazanin"/>
          <w:color w:val="111111"/>
          <w:sz w:val="28"/>
          <w:sz w:val="28"/>
          <w:szCs w:val="28"/>
          <w:rtl w:val="true"/>
          <w:lang w:bidi="fa-IR"/>
        </w:rPr>
        <w:t xml:space="preserve">الرجلین </w:t>
      </w:r>
      <w:r>
        <w:rPr>
          <w:rStyle w:val="FootnoteAnchor"/>
          <w:rtl w:val="true"/>
        </w:rPr>
        <w:footnoteReference w:id="1066"/>
      </w:r>
      <w:r>
        <w:rPr>
          <w:rFonts w:ascii="IRNazanin" w:hAnsi="IRNazanin" w:eastAsia="IRNazanin"/>
          <w:color w:val="111111"/>
          <w:sz w:val="28"/>
          <w:sz w:val="28"/>
          <w:szCs w:val="28"/>
          <w:rtl w:val="true"/>
          <w:lang w:bidi="fa-IR"/>
        </w:rPr>
        <w:t>، بناء علی ثبوت الإجماع المرکّب بینهما و بین مسح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تقیید الإطلاق بما قیّدوا به إطلاق غسل الأیدی بالابتداء من الأعلی من الوضوءات البیانیة المشار إلیها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الصحیحة، فالمرویّ فی موضع آخر إضافة المسح إلی القدمین </w:t>
      </w:r>
      <w:r>
        <w:rPr>
          <w:rStyle w:val="FootnoteAnchor"/>
          <w:rtl w:val="true"/>
        </w:rPr>
        <w:footnoteReference w:id="1068"/>
      </w:r>
      <w:r>
        <w:rPr>
          <w:rFonts w:ascii="IRNazanin" w:hAnsi="IRNazanin" w:eastAsia="IRNazanin"/>
          <w:color w:val="111111"/>
          <w:sz w:val="28"/>
          <w:sz w:val="28"/>
          <w:szCs w:val="28"/>
          <w:rtl w:val="true"/>
          <w:lang w:bidi="fa-IR"/>
        </w:rPr>
        <w:t>و یبعد تعدّد الروایة، مع أنّ تخصیص المسح بالقدمین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کالتخصیص بالتوسعة فی المسح بمسح القدمین، مع کون ترک القید أعمّ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إشعار بالتخصیص، مع أنّ الإقبال و الإدبار فی المسح یناسبان القدم، فإنّ الإقبال هو تحریک الماسح بیده مقبلا إلی نفسه و بدنه، کأنّ الید المتحرّکة للمسح مقبل إلیه تحریک الید، و الإدبار کأنّها مدبرة عنه، و المناسب فی مسح الرأس الصعود و الهبوط من جهة الفوق و التحت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أنّه لو فرض أنّ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جعل ما ذکرنا قرینة علی إرادة مسح الرجلین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الإجماع المرکّب فغیر ثابت، و لما ذکرنا أو بعضه منع عن النکس</w:t>
      </w:r>
    </w:p>
    <w:p>
      <w:pPr>
        <w:pStyle w:val="BookText"/>
        <w:rPr/>
      </w:pPr>
      <w:r>
        <w:rPr>
          <w:rFonts w:ascii="Amiri" w:hAnsi="Amiri" w:eastAsia="Amiri" w:cs="Amiri"/>
          <w:color w:val="111111"/>
          <w:sz w:val="28"/>
          <w:sz w:val="28"/>
          <w:szCs w:val="28"/>
          <w:rtl w:val="true"/>
          <w:lang w:bidi="ar-SA"/>
        </w:rPr>
        <w:t xml:space="preserve">جماعة منهم الصدوق </w:t>
      </w:r>
      <w:r>
        <w:rPr>
          <w:rStyle w:val="FootnoteAnchor"/>
          <w:rtl w:val="true"/>
        </w:rPr>
        <w:footnoteReference w:id="1069"/>
      </w:r>
      <w:r>
        <w:rPr>
          <w:rFonts w:ascii="Amiri" w:hAnsi="Amiri" w:eastAsia="Amiri" w:cs="Amiri"/>
          <w:color w:val="111111"/>
          <w:sz w:val="28"/>
          <w:sz w:val="28"/>
          <w:szCs w:val="28"/>
          <w:rtl w:val="true"/>
          <w:lang w:bidi="ar-SA"/>
        </w:rPr>
        <w:t xml:space="preserve">، و السیّد </w:t>
      </w:r>
      <w:r>
        <w:rPr>
          <w:rStyle w:val="FootnoteAnchor"/>
          <w:rtl w:val="true"/>
        </w:rPr>
        <w:footnoteReference w:id="1070"/>
      </w:r>
      <w:r>
        <w:rPr>
          <w:rFonts w:ascii="IRNazanin" w:hAnsi="IRNazanin" w:eastAsia="IRNazanin"/>
          <w:color w:val="111111"/>
          <w:sz w:val="28"/>
          <w:sz w:val="28"/>
          <w:szCs w:val="28"/>
          <w:rtl w:val="true"/>
          <w:lang w:bidi="fa-IR"/>
        </w:rPr>
        <w:t xml:space="preserve">، و الشیخان فی المقنعة </w:t>
      </w:r>
      <w:r>
        <w:rPr>
          <w:rStyle w:val="FootnoteAnchor"/>
          <w:rtl w:val="true"/>
        </w:rPr>
        <w:footnoteReference w:id="1071"/>
      </w:r>
      <w:r>
        <w:rPr>
          <w:rFonts w:ascii="IRNazanin" w:hAnsi="IRNazanin" w:eastAsia="IRNazanin"/>
          <w:color w:val="111111"/>
          <w:sz w:val="28"/>
          <w:sz w:val="28"/>
          <w:szCs w:val="28"/>
          <w:rtl w:val="true"/>
          <w:lang w:bidi="fa-IR"/>
        </w:rPr>
        <w:t xml:space="preserve">و الخلاف </w:t>
      </w:r>
      <w:r>
        <w:rPr>
          <w:rStyle w:val="FootnoteAnchor"/>
          <w:rtl w:val="true"/>
        </w:rPr>
        <w:footnoteReference w:id="1072"/>
      </w:r>
      <w:r>
        <w:rPr>
          <w:rFonts w:ascii="Amiri" w:hAnsi="Amiri" w:eastAsia="Amiri" w:cs="Amiri"/>
          <w:color w:val="111111"/>
          <w:sz w:val="28"/>
          <w:sz w:val="28"/>
          <w:szCs w:val="28"/>
          <w:rtl w:val="true"/>
          <w:lang w:bidi="ar-SA"/>
        </w:rPr>
        <w:t xml:space="preserve">، و ابن حمزة </w:t>
      </w:r>
      <w:r>
        <w:rPr>
          <w:rStyle w:val="FootnoteAnchor"/>
          <w:rtl w:val="true"/>
        </w:rPr>
        <w:footnoteReference w:id="1073"/>
      </w:r>
      <w:r>
        <w:rPr>
          <w:rFonts w:ascii="IRNazanin" w:hAnsi="IRNazanin" w:eastAsia="IRNazanin"/>
          <w:color w:val="111111"/>
          <w:sz w:val="28"/>
          <w:sz w:val="28"/>
          <w:szCs w:val="28"/>
          <w:rtl w:val="true"/>
          <w:lang w:bidi="fa-IR"/>
        </w:rPr>
        <w:t xml:space="preserve">، و الشهید فی ظاهر الدروس </w:t>
      </w:r>
      <w:r>
        <w:rPr>
          <w:rStyle w:val="FootnoteAnchor"/>
          <w:rtl w:val="true"/>
        </w:rPr>
        <w:footnoteReference w:id="1074"/>
      </w:r>
      <w:r>
        <w:rPr>
          <w:rFonts w:ascii="Amiri" w:hAnsi="Amiri" w:eastAsia="Amiri" w:cs="Amiri"/>
          <w:color w:val="111111"/>
          <w:sz w:val="28"/>
          <w:sz w:val="28"/>
          <w:szCs w:val="28"/>
          <w:rtl w:val="true"/>
          <w:lang w:bidi="ar-SA"/>
        </w:rPr>
        <w:t xml:space="preserve">، و جماعة </w:t>
      </w:r>
      <w:r>
        <w:rPr>
          <w:rStyle w:val="FootnoteAnchor"/>
          <w:rtl w:val="true"/>
        </w:rPr>
        <w:footnoteReference w:id="1075"/>
      </w:r>
      <w:r>
        <w:rPr>
          <w:rFonts w:ascii="IRNazanin" w:hAnsi="IRNazanin" w:eastAsia="IRNazanin"/>
          <w:color w:val="111111"/>
          <w:sz w:val="28"/>
          <w:sz w:val="28"/>
          <w:szCs w:val="28"/>
          <w:rtl w:val="true"/>
          <w:lang w:bidi="fa-IR"/>
        </w:rPr>
        <w:t>، بل عن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1076"/>
      </w:r>
      <w:r>
        <w:rPr>
          <w:rFonts w:ascii="IRNazanin" w:hAnsi="IRNazanin" w:eastAsia="IRNazanin"/>
          <w:color w:val="111111"/>
          <w:sz w:val="28"/>
          <w:sz w:val="28"/>
          <w:szCs w:val="28"/>
          <w:rtl w:val="true"/>
          <w:lang w:bidi="fa-IR"/>
        </w:rPr>
        <w:t>،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w:t>
      </w:r>
      <w:r>
        <w:rPr>
          <w:rStyle w:val="FootnoteAnchor"/>
          <w:rtl w:val="true"/>
        </w:rPr>
        <w:footnoteReference w:id="1077"/>
      </w:r>
      <w:r>
        <w:rPr>
          <w:rFonts w:ascii="IRNazanin" w:hAnsi="IRNazanin" w:eastAsia="IRNazanin"/>
          <w:color w:val="111111"/>
          <w:sz w:val="28"/>
          <w:sz w:val="28"/>
          <w:szCs w:val="28"/>
          <w:rtl w:val="true"/>
          <w:lang w:bidi="fa-IR"/>
        </w:rPr>
        <w:t>، و عن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ممّا انفردت به الإمامیة </w:t>
      </w:r>
      <w:r>
        <w:rPr>
          <w:rStyle w:val="FootnoteAnchor"/>
          <w:rtl w:val="true"/>
        </w:rPr>
        <w:footnoteReference w:id="1078"/>
      </w:r>
      <w:r>
        <w:rPr>
          <w:rFonts w:ascii="IRNazanin" w:hAnsi="IRNazanin" w:eastAsia="IRNazanin"/>
          <w:color w:val="111111"/>
          <w:sz w:val="28"/>
          <w:sz w:val="28"/>
          <w:szCs w:val="28"/>
          <w:rtl w:val="true"/>
          <w:lang w:bidi="fa-IR"/>
        </w:rPr>
        <w:t>، و لعلّه أقوی، مع أنّه أحوط</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وجه الأفضلیة عند المصنّف و الجماعة لعلّه التأسّی بالحجج صلوات اللّٰه علیهم، و لا یصیر الفرد الآخر بمجرّد ذلک مکروها، فلعلّ الکراهة هنا بمعنی أولویّة الترک کما فسّرها فی محکیّ جامع المقاصد </w:t>
      </w:r>
      <w:r>
        <w:rPr>
          <w:rStyle w:val="FootnoteAnchor"/>
          <w:rtl w:val="true"/>
        </w:rPr>
        <w:footnoteReference w:id="1079"/>
      </w:r>
      <w:r>
        <w:rPr>
          <w:rFonts w:ascii="Amiri" w:hAnsi="Amiri" w:eastAsia="Amiri" w:cs="Amiri"/>
          <w:color w:val="111111"/>
          <w:sz w:val="28"/>
          <w:sz w:val="28"/>
          <w:szCs w:val="28"/>
          <w:rtl w:val="true"/>
          <w:lang w:bidi="ar-SA"/>
        </w:rPr>
        <w:t xml:space="preserve">، و لذا عبّر جماعة بالجواز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غسل موضع المسح لم یجزئ </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المسح بلا خلاف من کلّ من أوجب المسح، و لا فرق فی عدم الإجزاء بین تحقّق المسح فی ضمن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تصادقهما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و فی هذه العبارة دلالة علی أنّ المسح لا یجوز تحقّقه مع الغسل کما استفاده فی الروض </w:t>
      </w:r>
      <w:r>
        <w:rPr>
          <w:rStyle w:val="FootnoteAnchor"/>
          <w:rtl w:val="true"/>
        </w:rPr>
        <w:footnoteReference w:id="1082"/>
      </w:r>
      <w:r>
        <w:rPr>
          <w:rFonts w:ascii="IRNazanin" w:hAnsi="IRNazanin" w:eastAsia="IRNazanin"/>
          <w:color w:val="111111"/>
          <w:sz w:val="28"/>
          <w:sz w:val="28"/>
          <w:szCs w:val="28"/>
          <w:rtl w:val="true"/>
          <w:lang w:bidi="fa-IR"/>
        </w:rPr>
        <w:t xml:space="preserve">و المقاصد العلیّة </w:t>
      </w:r>
      <w:r>
        <w:rPr>
          <w:rStyle w:val="FootnoteAnchor"/>
          <w:rtl w:val="true"/>
        </w:rPr>
        <w:footnoteReference w:id="1083"/>
      </w:r>
      <w:r>
        <w:rPr>
          <w:rFonts w:ascii="IRNazanin" w:hAnsi="IRNazanin" w:eastAsia="IRNazanin"/>
          <w:color w:val="111111"/>
          <w:sz w:val="28"/>
          <w:sz w:val="28"/>
          <w:szCs w:val="28"/>
          <w:rtl w:val="true"/>
          <w:lang w:bidi="fa-IR"/>
        </w:rPr>
        <w:t xml:space="preserve">من هذه العبارة الواقعة فی معقد إجماع العلّامة من أنّ المسح لا یتحقّق فی ضمن الغسل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الوضوء بالثلج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 الغسل ما جری علی العضو المغسول و المسح بخلافه، ثمّ ادّعی أنّه لا خلاف بین فقهاء أهل البیت علیهم السلام أنّ الغسل غیر المسح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من ادّعی من العامّة أنّ المراد بالمسح فی الآیة هو الغسل 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المعلوم من الوضع تغایر حقیقتی الغسل و المسح </w:t>
      </w:r>
      <w:r>
        <w:rPr>
          <w:rStyle w:val="FootnoteAnchor"/>
          <w:rtl w:val="true"/>
        </w:rPr>
        <w:footnoteReference w:id="1086"/>
      </w:r>
      <w:r>
        <w:rPr>
          <w:rFonts w:ascii="IRNazanin" w:hAnsi="IRNazanin" w:eastAsia="IRNazanin"/>
          <w:color w:val="111111"/>
          <w:sz w:val="28"/>
          <w:sz w:val="28"/>
          <w:szCs w:val="28"/>
          <w:rtl w:val="true"/>
          <w:lang w:bidi="fa-IR"/>
        </w:rPr>
        <w:t>، إلّا أنّ الإنصاف إمکان حمل العبارة و نظیرها الوارد فی النصّ و معقد إجماع العلّامة علی الغسل المحقّق بدون المسح کما هو الغالب من حصوله و لو بالنسبة إلی بعض العضو لصبّ الماء، أو علی المحقّق بدون قصد المسح، و إن تحقّق مصداقه، فإنّ مجرّد حصوله من دون قصد لا یکفی قطعا، لأنّ الفعل بدون</w:t>
      </w:r>
    </w:p>
    <w:p>
      <w:pPr>
        <w:pStyle w:val="BookText"/>
        <w:rPr/>
      </w:pPr>
      <w:r>
        <w:rPr>
          <w:rFonts w:ascii="IRNazanin" w:hAnsi="IRNazanin" w:eastAsia="IRNazanin"/>
          <w:color w:val="111111"/>
          <w:sz w:val="28"/>
          <w:sz w:val="28"/>
          <w:szCs w:val="28"/>
          <w:rtl w:val="true"/>
          <w:lang w:bidi="fa-IR"/>
        </w:rPr>
        <w:t>القصد لا یعدّ من الأفعال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ما عرفت من أنّهما مفهومان متغایران یوجدان بحرکة واحدة فی محلّ واحد، فإمرار الید لأجل بلّ المحلّ بما فی الماسح مسح، و إجراء الماء و نقله من الجزء الأوّل عن المحلّ </w:t>
      </w:r>
      <w:r>
        <w:rPr>
          <w:rStyle w:val="FootnoteAnchor"/>
          <w:rtl w:val="true"/>
        </w:rPr>
        <w:footnoteReference w:id="1087"/>
      </w:r>
      <w:r>
        <w:rPr>
          <w:rFonts w:ascii="IRNazanin" w:hAnsi="IRNazanin" w:eastAsia="IRNazanin"/>
          <w:color w:val="111111"/>
          <w:sz w:val="28"/>
          <w:sz w:val="28"/>
          <w:szCs w:val="28"/>
          <w:rtl w:val="true"/>
          <w:lang w:bidi="fa-IR"/>
        </w:rPr>
        <w:t xml:space="preserve">إلی الجزء الثانی منه غسل، و هو حاصل أیضا بإمرار </w:t>
      </w:r>
      <w:r>
        <w:rPr>
          <w:rStyle w:val="FootnoteAnchor"/>
          <w:rtl w:val="true"/>
        </w:rPr>
        <w:footnoteReference w:id="1088"/>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أنّک توضّأت فجعلت مسح الرجلین غسلا ثمّ أضمرت أنّ ذلک من المفروض لم یکن ذلک بوضوء</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و لیس فیها دلالة علی تباین المسح و الغسل، و لا علی تصادقهما کما یتخیّل کلّ من الأمرین، بل الظاهر أنّ الغسل و لو کان بفرده المباین للمسح لا یجزی عن المسح إذا قصد الاجتزاء به فی الوضوء، و یؤیّد ذلک قوله علیه السلام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بالمسح علی الرجلین فإن بدا لک غسل و غسلته فامسح بعده لیکون آخر ذلک المفروض</w:t>
      </w:r>
      <w:r>
        <w:rPr>
          <w:rFonts w:eastAsia="IRNazanin" w:cs="IRNazanin"/>
          <w:color w:val="111111"/>
          <w:sz w:val="28"/>
          <w:szCs w:val="28"/>
          <w:rtl w:val="true"/>
          <w:lang w:bidi="fa-IR"/>
        </w:rPr>
        <w:t xml:space="preserve">» </w:t>
      </w:r>
      <w:r>
        <w:rPr>
          <w:rStyle w:val="FootnoteAnchor"/>
          <w:rtl w:val="true"/>
        </w:rPr>
        <w:footnoteReference w:id="1090"/>
      </w:r>
      <w:r>
        <w:rPr>
          <w:rStyle w:val="FootnoteAnchor"/>
          <w:rtl w:val="true"/>
        </w:rPr>
        <w:footnoteReference w:id="1091"/>
      </w:r>
      <w:r>
        <w:rPr>
          <w:rFonts w:ascii="IRNazanin" w:hAnsi="IRNazanin" w:eastAsia="IRNazanin"/>
          <w:color w:val="111111"/>
          <w:sz w:val="28"/>
          <w:sz w:val="28"/>
          <w:szCs w:val="28"/>
          <w:rtl w:val="true"/>
          <w:lang w:bidi="fa-IR"/>
        </w:rPr>
        <w:t>فی النسخ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 لا وجه له، لأنّ الحدیث مذکور بتمامه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یجوز المسح علی الشعر المختصّ بالمقدّم </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الناصیة علیه، فیشمله ما دلّ علی مسحها، مثل ما روی من مسح النبی صلّی اللّٰه علیه و آله علی</w:t>
      </w:r>
    </w:p>
    <w:p>
      <w:pPr>
        <w:pStyle w:val="BookText"/>
        <w:rPr/>
      </w:pPr>
      <w:r>
        <w:rPr>
          <w:rFonts w:ascii="IRNazanin" w:hAnsi="IRNazanin" w:eastAsia="IRNazanin"/>
          <w:color w:val="111111"/>
          <w:sz w:val="28"/>
          <w:sz w:val="28"/>
          <w:szCs w:val="28"/>
          <w:rtl w:val="true"/>
          <w:lang w:bidi="fa-IR"/>
        </w:rPr>
        <w:t xml:space="preserve">ناصیته </w:t>
      </w:r>
      <w:r>
        <w:rPr>
          <w:rStyle w:val="FootnoteAnchor"/>
          <w:rtl w:val="true"/>
        </w:rPr>
        <w:footnoteReference w:id="1094"/>
      </w:r>
      <w:r>
        <w:rPr>
          <w:rFonts w:ascii="IRNazanin" w:hAnsi="IRNazanin" w:eastAsia="IRNazanin"/>
          <w:color w:val="111111"/>
          <w:sz w:val="28"/>
          <w:sz w:val="28"/>
          <w:szCs w:val="28"/>
          <w:rtl w:val="true"/>
          <w:lang w:bidi="fa-IR"/>
        </w:rPr>
        <w:t>، و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تمسح ببلّة یمناک ناصیتک</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 و ما ورد من أنّ المرأة فی الفجر و العشاء تمسح بناصیتها </w:t>
      </w:r>
      <w:r>
        <w:rPr>
          <w:rStyle w:val="FootnoteAnchor"/>
          <w:rtl w:val="true"/>
        </w:rPr>
        <w:footnoteReference w:id="1096"/>
      </w:r>
      <w:r>
        <w:rPr>
          <w:rFonts w:ascii="IRNazanin" w:hAnsi="IRNazanin" w:eastAsia="IRNazanin"/>
          <w:color w:val="111111"/>
          <w:sz w:val="28"/>
          <w:sz w:val="28"/>
          <w:szCs w:val="28"/>
          <w:rtl w:val="true"/>
          <w:lang w:bidi="fa-IR"/>
        </w:rPr>
        <w:t>، و إطلاقها و إن عمّ شعرها الخارج عن حدّ الرأس إلّا أنّه مقیّد بأدلّة مسح الرأس کما أنّ تلک الأدلّة مقیّدة بأدلّة الناصیة فی مقابل غیرها من مواضع الرأس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المستفاد من تلک الأخبار المتضمّنة تعذّر التخلیل غالبا هو أنّ المراد بالرأس ما یعمّ الشعر مطلقا حتّی مع تیسّر التخلیل، لا إرادة ذلک فی خصوص صورة تعذّر التخلیل، بقرینة سقوط التکلیف عن المتعذّر حتّی یرجع فی صورة تیسر التخلیل إلی ظهور لفظ الرأس فی خصوص البشرة کما بنی علیه فی غسل الجنابة، بل یدلّ علیه کلّ ما دلّ علی مسح الرأس أو مقدّمة خصوصا موضع أربع أصابع بناء علی أنّ الغالب وجود الشعر المانع من مسح البشرة، بل مورد بعض الأخبار صورة وجود الشعر کالمرفوعة فیمن یخضب رأسه بالحناء ثمّ یبدو له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حتّی یصل بشرته الماء</w:t>
      </w:r>
      <w:r>
        <w:rPr>
          <w:rFonts w:eastAsia="IRNazanin" w:cs="IRNazanin"/>
          <w:color w:val="111111"/>
          <w:sz w:val="28"/>
          <w:szCs w:val="28"/>
          <w:rtl w:val="true"/>
          <w:lang w:bidi="fa-IR"/>
        </w:rPr>
        <w:t xml:space="preserve">»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یصلح للمرأة أن</w:t>
      </w:r>
    </w:p>
    <w:p>
      <w:pPr>
        <w:pStyle w:val="BookText"/>
        <w:rPr/>
      </w:pPr>
      <w:r>
        <w:rPr>
          <w:rFonts w:ascii="IRNazanin" w:hAnsi="IRNazanin" w:eastAsia="IRNazanin"/>
          <w:color w:val="111111"/>
          <w:sz w:val="28"/>
          <w:sz w:val="28"/>
          <w:szCs w:val="28"/>
          <w:rtl w:val="true"/>
          <w:lang w:bidi="fa-IR"/>
        </w:rPr>
        <w:t>تمسح علی خمارها،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حتی تمسح علی رأسها</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و ظاهر أنّ تخلیل الشعر لأجل مسح مقدار الإصبع فضلا عن أربع أصابع کالمتعذّر عادة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یسهل ذلک بالنسبة إلی الغسل، حیث إنّه یکفی فیه إیصال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الحکم أمر ظاهر مستفاد من الأخبار قبل الإجماع، و لا یحتاج إلی التمسّک فیه بما ورد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أحاط اللّٰه </w:t>
      </w:r>
      <w:r>
        <w:rPr>
          <w:rStyle w:val="FootnoteAnchor"/>
          <w:rtl w:val="true"/>
        </w:rPr>
        <w:footnoteReference w:id="1099"/>
      </w:r>
      <w:r>
        <w:rPr>
          <w:rFonts w:ascii="IRNazanin" w:hAnsi="IRNazanin" w:eastAsia="IRNazanin"/>
          <w:color w:val="111111"/>
          <w:sz w:val="28"/>
          <w:sz w:val="28"/>
          <w:szCs w:val="28"/>
          <w:rtl w:val="true"/>
          <w:lang w:bidi="fa-IR"/>
        </w:rPr>
        <w:t>به الشعر فلیس علی العباد أن یطلبوه و لا یبحثوا عنه، و لکن یجری الماء علیه</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 بناء علی عدم تخصیص عمومه بذیله المختصّ بمورد الغسل، و ترجیح الاستخدام علی التخصیص فی أمثال المقام، مع أنّه أردأ الوجوه فی المسألة أو جعل الإجراء عبارة عن مطلق الإیصال الأعمّ من إیصال البلل کما فی روایة الحنّاء المتقدّمة، لأنّ المراد بالطلب و البحث هو التخلیل الذی عرفت تعذّره غالبا فی المسح، و هو المخصّص لعموم الموصول، و تخصیصه بصورة التمکّن لیس بأولی من تخصیص الموصول بموارد الغسل الذی هو ظاهر مورد السؤال، مضافا إلی روایة الشیخ للروایة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للعباد أن یغسلوه</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المتیقّن من عموم الرأس فی الأخبار للشعر الکائن علیه هو</w:t>
      </w:r>
    </w:p>
    <w:p>
      <w:pPr>
        <w:pStyle w:val="BookText"/>
        <w:rPr/>
      </w:pPr>
      <w:r>
        <w:rPr>
          <w:rFonts w:ascii="IRNazanin" w:hAnsi="IRNazanin" w:eastAsia="IRNazanin"/>
          <w:color w:val="111111"/>
          <w:sz w:val="28"/>
          <w:sz w:val="28"/>
          <w:szCs w:val="28"/>
          <w:rtl w:val="true"/>
          <w:lang w:bidi="fa-IR"/>
        </w:rPr>
        <w:t xml:space="preserve">خصوص النابت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جمع </w:t>
      </w:r>
      <w:r>
        <w:rPr>
          <w:rStyle w:val="FootnoteAnchor"/>
          <w:rtl w:val="true"/>
        </w:rPr>
        <w:footnoteReference w:id="1102"/>
      </w:r>
      <w:r>
        <w:rPr>
          <w:rFonts w:ascii="IRNazanin" w:hAnsi="IRNazanin" w:eastAsia="IRNazanin"/>
          <w:color w:val="111111"/>
          <w:sz w:val="28"/>
          <w:sz w:val="28"/>
          <w:szCs w:val="28"/>
          <w:rtl w:val="true"/>
          <w:lang w:bidi="fa-IR"/>
        </w:rPr>
        <w:t>علیه شعرا من غیره و مسح علیه لم یجزئ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یشکل بالنابت فوق المقدّم المتدلّی علیه بحیث یتعذّر تخلیله و مسح ما تحته من البشرة أو الشعر النابت علیها، فإنّ ما ذکر من ظهور الإطلاق فی الأعمّ جار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w:t>
      </w:r>
      <w:r>
        <w:rPr>
          <w:rStyle w:val="FootnoteAnchor"/>
          <w:rtl w:val="true"/>
        </w:rPr>
        <w:footnoteReference w:id="1103"/>
      </w:r>
      <w:r>
        <w:rPr>
          <w:rFonts w:ascii="IRNazanin" w:hAnsi="IRNazanin" w:eastAsia="IRNazanin"/>
          <w:color w:val="111111"/>
          <w:sz w:val="28"/>
          <w:sz w:val="28"/>
          <w:szCs w:val="28"/>
          <w:rtl w:val="true"/>
          <w:lang w:bidi="fa-IR"/>
        </w:rPr>
        <w:t>کان تدلّیه علی نحو من الانفصال الذی لا یصدق علی مسحه مسح المقدّم توجّه منع إجزاء المسح علیه، و کذا یشکل المنع من المسح علی رءوس شعر المقدّم المجتمع علیه الغیر المنبسط بحیث إذا مدّ خرج عن حدّ الرأس، و ظاهر استثناء ما خرج بمدّه عن حدّ الرأس هو الخارج فعلا بمدّه عن حدّه، لا ما لو مدّ لخرج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ادّعی شارح الدروس أنّ المشهور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لم نعرف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المسح إلّا علی أصول ذلک المجتمع، ثمّ اعترف بأنّ فی إثباته بالدلیل إشکالا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الإشکال فیما لو مسح شعر المقدّم الممدود علیه إذا فرض قیامه علیه لمانع عن امتداده أو أخذه بیده لیمسح علیه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الاستشکال فیما لو کان بین شعره الممدود علیه و بین البشرة حائل و لو رقیقا </w:t>
      </w:r>
      <w:r>
        <w:rPr>
          <w:rStyle w:val="FootnoteAnchor"/>
          <w:rtl w:val="true"/>
        </w:rPr>
        <w:footnoteReference w:id="1105"/>
      </w:r>
      <w:r>
        <w:rPr>
          <w:rFonts w:ascii="IRNazanin" w:hAnsi="IRNazanin" w:eastAsia="IRNazanin"/>
          <w:color w:val="111111"/>
          <w:sz w:val="28"/>
          <w:sz w:val="28"/>
          <w:szCs w:val="28"/>
          <w:rtl w:val="true"/>
          <w:lang w:bidi="fa-IR"/>
        </w:rPr>
        <w:t>، أمّا لو کان الحائل فوق الشعر فلا إشکال فی عدم جواز المسح علیه و لو کان رقیقا حاکیا للبشرة غیر مانع عن دخول بلّة</w:t>
      </w:r>
    </w:p>
    <w:p>
      <w:pPr>
        <w:pStyle w:val="BookText"/>
        <w:rPr/>
      </w:pPr>
      <w:r>
        <w:rPr>
          <w:rFonts w:ascii="IRNazanin" w:hAnsi="IRNazanin" w:eastAsia="IRNazanin"/>
          <w:color w:val="111111"/>
          <w:sz w:val="28"/>
          <w:sz w:val="28"/>
          <w:szCs w:val="28"/>
          <w:rtl w:val="true"/>
          <w:lang w:bidi="fa-IR"/>
        </w:rPr>
        <w:t xml:space="preserve">المسح إلیها، فضلا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مسح علی العمامة و غیرها </w:t>
      </w:r>
      <w:r>
        <w:rPr>
          <w:rStyle w:val="FootnoteAnchor"/>
          <w:rtl w:val="true"/>
        </w:rPr>
        <w:footnoteReference w:id="1106"/>
      </w:r>
      <w:r>
        <w:rPr>
          <w:rFonts w:ascii="IRNazanin" w:hAnsi="IRNazanin" w:eastAsia="IRNazanin"/>
          <w:color w:val="111111"/>
          <w:sz w:val="28"/>
          <w:sz w:val="28"/>
          <w:szCs w:val="28"/>
          <w:rtl w:val="true"/>
          <w:lang w:bidi="fa-IR"/>
        </w:rPr>
        <w:t>ممّا یستر موضع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 ذلک کلّه بین الخاصّة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حکی الخلاف عن أبی حنیفة فی الحائل الرقیق </w:t>
      </w:r>
      <w:r>
        <w:rPr>
          <w:rStyle w:val="FootnoteAnchor"/>
          <w:rtl w:val="true"/>
        </w:rPr>
        <w:footnoteReference w:id="1107"/>
      </w:r>
      <w:r>
        <w:rPr>
          <w:rFonts w:ascii="IRNazanin" w:hAnsi="IRNazanin" w:eastAsia="IRNazanin"/>
          <w:color w:val="111111"/>
          <w:sz w:val="28"/>
          <w:sz w:val="28"/>
          <w:szCs w:val="28"/>
          <w:rtl w:val="true"/>
          <w:lang w:bidi="fa-IR"/>
        </w:rPr>
        <w:t xml:space="preserve">، و کفی بخلافه دلیلا علی خلافه و علی حمل </w:t>
      </w:r>
      <w:r>
        <w:rPr>
          <w:rStyle w:val="FootnoteAnchor"/>
          <w:rtl w:val="true"/>
        </w:rPr>
        <w:footnoteReference w:id="1108"/>
      </w:r>
      <w:r>
        <w:rPr>
          <w:rFonts w:ascii="IRNazanin" w:hAnsi="IRNazanin" w:eastAsia="IRNazanin"/>
          <w:color w:val="111111"/>
          <w:sz w:val="28"/>
          <w:sz w:val="28"/>
          <w:szCs w:val="28"/>
          <w:rtl w:val="true"/>
          <w:lang w:bidi="fa-IR"/>
        </w:rPr>
        <w:t xml:space="preserve">ما ورد فی أخبارنا </w:t>
      </w:r>
      <w:r>
        <w:rPr>
          <w:rStyle w:val="FootnoteAnchor"/>
          <w:rtl w:val="true"/>
        </w:rPr>
        <w:footnoteReference w:id="1109"/>
      </w:r>
      <w:r>
        <w:rPr>
          <w:rFonts w:ascii="IRNazanin" w:hAnsi="IRNazanin" w:eastAsia="IRNazanin"/>
          <w:color w:val="111111"/>
          <w:sz w:val="28"/>
          <w:sz w:val="28"/>
          <w:szCs w:val="28"/>
          <w:rtl w:val="true"/>
          <w:lang w:bidi="fa-IR"/>
        </w:rPr>
        <w:t>ممّا یوهم جواز المسح علی الحنّاء علی التقیّة أو بعض المحامل الأخر و إن بعدت</w:t>
      </w:r>
      <w:r>
        <w:rPr>
          <w:rFonts w:eastAsia="IRNazanin" w:cs="IRNazanin"/>
          <w:color w:val="111111"/>
          <w:sz w:val="28"/>
          <w:szCs w:val="28"/>
          <w:rtl w:val="true"/>
          <w:lang w:bidi="fa-IR"/>
        </w:rPr>
        <w:t>.</w:t>
      </w:r>
      <w:bookmarkStart w:id="152" w:name="pg13035_131753"/>
    </w:p>
    <w:p>
      <w:pPr>
        <w:pStyle w:val="Heading6"/>
        <w:numPr>
          <w:ilvl w:val="5"/>
          <w:numId w:val="1"/>
        </w:numPr>
        <w:rPr/>
      </w:pPr>
      <w:bookmarkStart w:id="153" w:name="__RefHeading___Toc6369966_3224264995"/>
      <w:bookmarkStart w:id="154" w:name="_Toc60"/>
      <w:bookmarkEnd w:id="152"/>
      <w:bookmarkEnd w:id="153"/>
      <w:r>
        <w:rPr>
          <w:rtl w:val="true"/>
        </w:rPr>
        <w:t>[</w:t>
      </w:r>
      <w:r>
        <w:rPr>
          <w:rtl w:val="true"/>
        </w:rPr>
        <w:t>الفرض الخامس المسح علی ظاهر القدمین</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الفرض الخامس مسح الرجلین، و یجب المسح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بإجماعنا، و لا استیعاب فیه عرضا بإجماع الأصحاب، و أخبارهم المتواترة معنی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قیل بوجوب مقدار ثلاثة أصابع، حکاه فی التذکرة </w:t>
      </w:r>
      <w:r>
        <w:rPr>
          <w:rStyle w:val="FootnoteAnchor"/>
          <w:rtl w:val="true"/>
        </w:rPr>
        <w:footnoteReference w:id="1112"/>
      </w:r>
      <w:r>
        <w:rPr>
          <w:rFonts w:ascii="IRNazanin" w:hAnsi="IRNazanin" w:eastAsia="IRNazanin"/>
          <w:color w:val="111111"/>
          <w:sz w:val="28"/>
          <w:sz w:val="28"/>
          <w:szCs w:val="28"/>
          <w:rtl w:val="true"/>
          <w:lang w:bidi="fa-IR"/>
        </w:rPr>
        <w:t xml:space="preserve">، لروایة معمّر المتقدّمة فی مسح الرأس </w:t>
      </w:r>
      <w:r>
        <w:rPr>
          <w:rStyle w:val="FootnoteAnchor"/>
          <w:rtl w:val="true"/>
        </w:rPr>
        <w:footnoteReference w:id="1113"/>
      </w:r>
      <w:r>
        <w:rPr>
          <w:rFonts w:ascii="IRNazanin" w:hAnsi="IRNazanin" w:eastAsia="IRNazanin"/>
          <w:color w:val="111111"/>
          <w:sz w:val="28"/>
          <w:sz w:val="28"/>
          <w:szCs w:val="28"/>
          <w:rtl w:val="true"/>
          <w:lang w:bidi="fa-IR"/>
        </w:rPr>
        <w:t>، المحمولة علی الاستحباب، کما أفتی به العلّامة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صحیحة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 السلام عن المسح علی القدمین، کیف هو؟ فوضع کفّه علی أصابعه فمسحها إلی الکعبین،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بإصبعین من أصابعه، قال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w:t>
      </w:r>
    </w:p>
    <w:p>
      <w:pPr>
        <w:pStyle w:val="BookText"/>
        <w:rPr/>
      </w:pPr>
      <w:r>
        <w:rPr>
          <w:rFonts w:ascii="Amiri" w:hAnsi="Amiri" w:eastAsia="Amiri" w:cs="Amiri"/>
          <w:color w:val="111111"/>
          <w:sz w:val="28"/>
          <w:sz w:val="28"/>
          <w:szCs w:val="28"/>
          <w:rtl w:val="true"/>
          <w:lang w:bidi="ar-SA"/>
        </w:rPr>
        <w:t>بکفّه کلّها</w:t>
      </w:r>
      <w:r>
        <w:rPr>
          <w:rFonts w:eastAsia="Amiri" w:cs="Amiri" w:ascii="Amiri" w:hAnsi="Amiri"/>
          <w:color w:val="111111"/>
          <w:sz w:val="28"/>
          <w:szCs w:val="28"/>
          <w:rtl w:val="true"/>
          <w:lang w:bidi="ar-SA"/>
        </w:rPr>
        <w:t xml:space="preserve">» </w:t>
      </w:r>
      <w:r>
        <w:rPr>
          <w:rStyle w:val="FootnoteAnchor"/>
          <w:rtl w:val="true"/>
        </w:rPr>
        <w:footnoteReference w:id="1115"/>
      </w:r>
      <w:r>
        <w:rPr>
          <w:rFonts w:ascii="IRNazanin" w:hAnsi="IRNazanin" w:eastAsia="IRNazanin"/>
          <w:color w:val="111111"/>
          <w:sz w:val="28"/>
          <w:sz w:val="28"/>
          <w:szCs w:val="28"/>
          <w:rtl w:val="true"/>
          <w:lang w:bidi="fa-IR"/>
        </w:rPr>
        <w:t>یعنی کفایة الإصبعین، فیأبی الحمل علی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عبد الأعلی،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ظفری فجعلت علی إصبعی مرارة، فکیف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هذا و أشباهه من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امسح علیه</w:t>
      </w:r>
      <w:r>
        <w:rPr>
          <w:rFonts w:eastAsia="Amiri" w:cs="Amiri" w:ascii="Amiri" w:hAnsi="Amiri"/>
          <w:color w:val="111111"/>
          <w:sz w:val="28"/>
          <w:szCs w:val="28"/>
          <w:rtl w:val="true"/>
          <w:lang w:bidi="ar-SA"/>
        </w:rPr>
        <w:t xml:space="preserve">» </w:t>
      </w:r>
      <w:r>
        <w:rPr>
          <w:rStyle w:val="FootnoteAnchor"/>
          <w:rtl w:val="true"/>
        </w:rPr>
        <w:footnoteReference w:id="1116"/>
      </w:r>
      <w:r>
        <w:rPr>
          <w:rFonts w:ascii="IRNazanin" w:hAnsi="IRNazanin" w:eastAsia="IRNazanin"/>
          <w:color w:val="111111"/>
          <w:sz w:val="28"/>
          <w:sz w:val="28"/>
          <w:szCs w:val="28"/>
          <w:rtl w:val="true"/>
          <w:lang w:bidi="fa-IR"/>
        </w:rPr>
        <w:t>، و لو لا وجوب الاستیعاب لم یکن للاستشهاد بالآیة الظاهرة فی نفی إیجاب الحرج، و لا للأمر بالمسح علی ما وضع علیه المرارة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یؤیّدهما ما دلّ علی مسح ظهر القدم </w:t>
      </w:r>
      <w:r>
        <w:rPr>
          <w:rStyle w:val="FootnoteAnchor"/>
          <w:rtl w:val="true"/>
        </w:rPr>
        <w:footnoteReference w:id="1117"/>
      </w:r>
      <w:r>
        <w:rPr>
          <w:rFonts w:ascii="IRNazanin" w:hAnsi="IRNazanin" w:eastAsia="IRNazanin"/>
          <w:color w:val="111111"/>
          <w:sz w:val="28"/>
          <w:sz w:val="28"/>
          <w:szCs w:val="28"/>
          <w:rtl w:val="true"/>
          <w:lang w:bidi="fa-IR"/>
        </w:rPr>
        <w:t>، الظاهر فی استیعاب الظهر، و لم یعمل بظاهرهما عامل إلّا الصدوق فی ظاهر الفقیه،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مسح الرجلین أن تضع کفّیک علی أطراف أصابعک من رجلیک و تمدّهما إلی الکعبین </w:t>
      </w:r>
      <w:r>
        <w:rPr>
          <w:rStyle w:val="FootnoteAnchor"/>
          <w:rtl w:val="true"/>
        </w:rPr>
        <w:footnoteReference w:id="11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إجماع المعتبر و المنتهی </w:t>
      </w:r>
      <w:r>
        <w:rPr>
          <w:rStyle w:val="FootnoteAnchor"/>
          <w:rtl w:val="true"/>
        </w:rPr>
        <w:footnoteReference w:id="1119"/>
      </w:r>
      <w:r>
        <w:rPr>
          <w:rFonts w:ascii="IRNazanin" w:hAnsi="IRNazanin" w:eastAsia="IRNazanin"/>
          <w:color w:val="111111"/>
          <w:sz w:val="28"/>
          <w:sz w:val="28"/>
          <w:szCs w:val="28"/>
          <w:rtl w:val="true"/>
          <w:lang w:bidi="fa-IR"/>
        </w:rPr>
        <w:t xml:space="preserve">لأمکن القول بالمسح بکلّ الکفّ، لصحیحة البزنطی </w:t>
      </w:r>
      <w:r>
        <w:rPr>
          <w:rStyle w:val="FootnoteAnchor"/>
          <w:rtl w:val="true"/>
        </w:rPr>
        <w:footnoteReference w:id="1120"/>
      </w:r>
      <w:r>
        <w:rPr>
          <w:rFonts w:ascii="IRNazanin" w:hAnsi="IRNazanin" w:eastAsia="IRNazanin"/>
          <w:color w:val="111111"/>
          <w:sz w:val="28"/>
          <w:sz w:val="28"/>
          <w:szCs w:val="28"/>
          <w:rtl w:val="true"/>
          <w:lang w:bidi="fa-IR"/>
        </w:rPr>
        <w:t xml:space="preserve">، و مال إلیه المحقّق الأردبیلی قدّس سرّه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لا تکون دلیلا، و لا إجماع المعتبر و المنتهی مانعا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الأولی، فلمعارضتها بحسنة زرارة بابن هاشم،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الاستشهاد علی وجوب الاستیعاب فی الغسل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مسحت بشی‌ء من رأسک أو بشی‌ء من قدمیک ما بین کعبیک إلی أطراف أصابعک فقد أجزأک</w:t>
      </w:r>
      <w:r>
        <w:rPr>
          <w:rFonts w:eastAsia="Amiri" w:cs="Amiri" w:ascii="Amiri" w:hAnsi="Amiri"/>
          <w:color w:val="111111"/>
          <w:sz w:val="28"/>
          <w:szCs w:val="28"/>
          <w:rtl w:val="true"/>
          <w:lang w:bidi="ar-SA"/>
        </w:rPr>
        <w:t xml:space="preserve">» </w:t>
      </w:r>
      <w:r>
        <w:rPr>
          <w:rStyle w:val="FootnoteAnchor"/>
          <w:rtl w:val="true"/>
        </w:rPr>
        <w:footnoteReference w:id="1122"/>
      </w:r>
      <w:r>
        <w:rPr>
          <w:rFonts w:ascii="IRNazanin" w:hAnsi="IRNazanin" w:eastAsia="IRNazanin"/>
          <w:color w:val="111111"/>
          <w:sz w:val="28"/>
          <w:sz w:val="28"/>
          <w:szCs w:val="28"/>
          <w:rtl w:val="true"/>
          <w:lang w:bidi="fa-IR"/>
        </w:rPr>
        <w:t>، فإنّ المتفرّع علی التبعیض المستفاد من الآیة هو المسمّی فی العرض، لوجوب استیعاب ما بین الکعب و الأصابع فی الطول إجماعا، خصوصا مع أنّ الاستیعاب فی العرض، و کفایة المسمی فی الطول لم یقل به أحد، فالروایة کالصریحة فی عدم وجوب المسح بکلّ الکفّ علی وجه لا یقبل التقیید، لصحیحة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نحوها حسنة الحلبی </w:t>
      </w:r>
      <w:r>
        <w:rPr>
          <w:rStyle w:val="FootnoteAnchor"/>
          <w:rtl w:val="true"/>
        </w:rPr>
        <w:footnoteReference w:id="1123"/>
      </w:r>
      <w:r>
        <w:rPr>
          <w:rFonts w:ascii="IRNazanin" w:hAnsi="IRNazanin" w:eastAsia="IRNazanin"/>
          <w:color w:val="111111"/>
          <w:sz w:val="28"/>
          <w:sz w:val="28"/>
          <w:szCs w:val="28"/>
          <w:rtl w:val="true"/>
          <w:lang w:bidi="fa-IR"/>
        </w:rPr>
        <w:t>بابن هاشم الواردة فی أخذ ناسی المسح البلل من لحیته لمسح رأسه و رجلیه، فإنّ المأخوذ من اللحیة لا یکفی لمسح الرأس و الرجلین بالکفّ کلّها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حضرنا من الأخبار التی یعمل بسندها صاحب المدارک، و أمّا الأخبار الغیر الصحیحة، فالصریح منها فی هذا المطلب مستفیضة، کمرسلة الصدوق </w:t>
      </w:r>
      <w:r>
        <w:rPr>
          <w:rStyle w:val="FootnoteAnchor"/>
          <w:rtl w:val="true"/>
        </w:rPr>
        <w:footnoteReference w:id="1124"/>
      </w:r>
      <w:r>
        <w:rPr>
          <w:rFonts w:ascii="IRNazanin" w:hAnsi="IRNazanin" w:eastAsia="IRNazanin"/>
          <w:color w:val="111111"/>
          <w:sz w:val="28"/>
          <w:sz w:val="28"/>
          <w:szCs w:val="28"/>
          <w:rtl w:val="true"/>
          <w:lang w:bidi="fa-IR"/>
        </w:rPr>
        <w:t xml:space="preserve">و روایة جعفر بن سلیمان </w:t>
      </w:r>
      <w:r>
        <w:rPr>
          <w:rStyle w:val="FootnoteAnchor"/>
          <w:rtl w:val="true"/>
        </w:rPr>
        <w:footnoteReference w:id="1125"/>
      </w:r>
      <w:r>
        <w:rPr>
          <w:rFonts w:ascii="IRNazanin" w:hAnsi="IRNazanin" w:eastAsia="IRNazanin"/>
          <w:color w:val="111111"/>
          <w:sz w:val="28"/>
          <w:sz w:val="28"/>
          <w:szCs w:val="28"/>
          <w:rtl w:val="true"/>
          <w:lang w:bidi="fa-IR"/>
        </w:rPr>
        <w:t xml:space="preserve">الواردتین فی إدخال الید فی الخفّ المخرق، و مرسلة خلف بن حمّاد </w:t>
      </w:r>
      <w:r>
        <w:rPr>
          <w:rStyle w:val="FootnoteAnchor"/>
          <w:rtl w:val="true"/>
        </w:rPr>
        <w:footnoteReference w:id="1126"/>
      </w:r>
      <w:r>
        <w:rPr>
          <w:rFonts w:ascii="IRNazanin" w:hAnsi="IRNazanin" w:eastAsia="IRNazanin"/>
          <w:color w:val="111111"/>
          <w:sz w:val="28"/>
          <w:sz w:val="28"/>
          <w:szCs w:val="28"/>
          <w:rtl w:val="true"/>
          <w:lang w:bidi="fa-IR"/>
        </w:rPr>
        <w:t>الواردة فی أخذ البلل لمسح الرأس</w:t>
      </w:r>
    </w:p>
    <w:p>
      <w:pPr>
        <w:pStyle w:val="BookText"/>
        <w:rPr/>
      </w:pPr>
      <w:r>
        <w:rPr>
          <w:rFonts w:ascii="IRNazanin" w:hAnsi="IRNazanin" w:eastAsia="IRNazanin"/>
          <w:color w:val="111111"/>
          <w:sz w:val="28"/>
          <w:sz w:val="28"/>
          <w:szCs w:val="28"/>
          <w:rtl w:val="true"/>
          <w:lang w:bidi="fa-IR"/>
        </w:rPr>
        <w:t xml:space="preserve">و الرجلین من الحاجبین و أشفار العین، و روایة معمّر بن عمر </w:t>
      </w:r>
      <w:r>
        <w:rPr>
          <w:rStyle w:val="FootnoteAnchor"/>
          <w:rtl w:val="true"/>
        </w:rPr>
        <w:footnoteReference w:id="1127"/>
      </w:r>
      <w:r>
        <w:rPr>
          <w:rFonts w:ascii="Amiri" w:hAnsi="Amiri" w:eastAsia="Amiri" w:cs="Amiri"/>
          <w:color w:val="111111"/>
          <w:sz w:val="28"/>
          <w:sz w:val="28"/>
          <w:szCs w:val="28"/>
          <w:rtl w:val="true"/>
          <w:lang w:bidi="ar-SA"/>
        </w:rPr>
        <w:t xml:space="preserve">المتقدّمة </w:t>
      </w:r>
      <w:r>
        <w:rPr>
          <w:rStyle w:val="FootnoteAnchor"/>
          <w:rtl w:val="true"/>
        </w:rPr>
        <w:footnoteReference w:id="1128"/>
      </w:r>
      <w:r>
        <w:rPr>
          <w:rFonts w:ascii="IRNazanin" w:hAnsi="IRNazanin" w:eastAsia="IRNazanin"/>
          <w:color w:val="111111"/>
          <w:sz w:val="28"/>
          <w:sz w:val="28"/>
          <w:szCs w:val="28"/>
          <w:rtl w:val="true"/>
          <w:lang w:bidi="fa-IR"/>
        </w:rPr>
        <w:t>فی إجزاء مسح موضع ثلاث أصابع من الرأس و الرجلین،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إجماع المعتبر و المنتهی، فهو علی عدم وجوب استیعاب الرجل بالمسح لا ظهر القدم، بل مقدار موضع الکفّ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فهم من کلامهما ما فهمه جدّه قدّس سرّه فی الروض </w:t>
      </w:r>
      <w:r>
        <w:rPr>
          <w:rStyle w:val="FootnoteAnchor"/>
          <w:rtl w:val="true"/>
        </w:rPr>
        <w:footnoteReference w:id="1129"/>
      </w:r>
      <w:r>
        <w:rPr>
          <w:rFonts w:ascii="IRNazanin" w:hAnsi="IRNazanin" w:eastAsia="IRNazanin"/>
          <w:color w:val="111111"/>
          <w:sz w:val="28"/>
          <w:sz w:val="28"/>
          <w:szCs w:val="28"/>
          <w:rtl w:val="true"/>
          <w:lang w:bidi="fa-IR"/>
        </w:rPr>
        <w:t xml:space="preserve">من دخول جواز مسح مقدار الإصبع فی حیّز الإجماع اتّجه ما ذکره من منافاة هذا الإجماع للصحیحة، لکنّک عرفت فساد هذه الاستفادة فی مسألة مسح الرأس فالأولی حمل الصحیحة علی الاستحباب و إن بعد، کما أشرنا إلیه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بعد جهل البزنطی بالواجب من المسح إلی زمان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عبد الأعلی، فیمکن أیضا حملها علی الاستیعاب، و یجعل دلیلا علی جریان قاعدة نفی الحرج فی المستحبّات أیضا، أو علی استیعاب المرارة الموضوعة، أو العصابة المشدودة علیها لجمیع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اختار المسح علی بعض الرجل الذی لا ینتهی إلی الکعب بالمعنی المشهور کالخنصر، وجب تحریف خطّ المسح حتّی ینتهی إلی الکعب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وجوب المسح علی البشرة، فلا یجزی علی الشعر، لأنّ القدم حقیقة فیها، و لا قرینة هنا علی إرادة ما یعمّ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یوجد موضع خال من الشعر ممّا بین الکعب و لم یمکن، کان کالمسح علی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حدّه طولا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رءوس الأصابع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ظاهر، و للوضوءات البیانیة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صحیحة زرارة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مسحت بشی‌ء من رأسک أو بشی‌ء من قدمیک ما بین کعبک إلی أطراف أصابعک فقد أجزأ</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فقد یتوهّم کون الموصول فیها تحدیدا للممسوح منه </w:t>
      </w:r>
      <w:r>
        <w:rPr>
          <w:rStyle w:val="FootnoteAnchor"/>
          <w:rtl w:val="true"/>
        </w:rPr>
        <w:footnoteReference w:id="1133"/>
      </w:r>
      <w:r>
        <w:rPr>
          <w:rFonts w:ascii="IRNazanin" w:hAnsi="IRNazanin" w:eastAsia="IRNazanin"/>
          <w:color w:val="111111"/>
          <w:sz w:val="28"/>
          <w:sz w:val="28"/>
          <w:szCs w:val="28"/>
          <w:rtl w:val="true"/>
          <w:lang w:bidi="fa-IR"/>
        </w:rPr>
        <w:t>دون الممسوح، نظیر تحدید موضع مسح الرأس بالمقدّم، لأنّ الموصول إن کان بدلا عن القدمین فدلالته علی کون ما بین القدم و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للمسح واضحة، و إن جعل بدلا عن الشی‌ء، بأن یکون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w:t>
      </w:r>
      <w:r>
        <w:rPr>
          <w:rStyle w:val="FootnoteAnchor"/>
          <w:rtl w:val="true"/>
        </w:rPr>
        <w:footnoteReference w:id="1134"/>
      </w:r>
      <w:r>
        <w:rPr>
          <w:rFonts w:ascii="IRNazanin" w:hAnsi="IRNazanin" w:eastAsia="IRNazanin"/>
          <w:color w:val="111111"/>
          <w:sz w:val="28"/>
          <w:sz w:val="28"/>
          <w:szCs w:val="28"/>
          <w:rtl w:val="true"/>
          <w:lang w:bidi="fa-IR"/>
        </w:rPr>
        <w:t xml:space="preserve">من القدمین شیئا هو ما بین الکعب إلی أطراف الأصابع، فإن جعل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کان کالأوّل فی وضوح الدلالة علی ما ذکرنا، و إن جعل زائدة أو لمجرّد الإلصاق فهو و إن دلّ علی الاستیعاب طولا، لکنّه یدلّ علی الاستیعاب عرضا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مسح جمیع ما بین الأمرین طولا و عرضا، و هو خلاف الإجماع، فیجب مخالفة الظاهر فی الآیة، و الأصل عدمها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جعل مع کونها بدلا عن الشی‌ء موصوفة، یعنی إذا مسحت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من القدمین شیئا یکون من الکعب إلی أطراف الأصابع، فإن أرید ممّا بین الکعب إلی الأصابع ما یقع متوسّطا بینهما فلا یدلّ علی الاستیعاب الطولی، و إن أرید منه ما بین الأمرین بأن یکون أوّله أحدهما و آخره الآخر فیدلّ علی مطلب المشهور و هو الاستیعاب، لکنّه خلاف ظاهری الموصول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یدفع </w:t>
      </w:r>
      <w:r>
        <w:rPr>
          <w:rStyle w:val="FootnoteAnchor"/>
          <w:rtl w:val="true"/>
        </w:rPr>
        <w:footnoteReference w:id="1136"/>
      </w:r>
      <w:r>
        <w:rPr>
          <w:rFonts w:ascii="IRNazanin" w:hAnsi="IRNazanin" w:eastAsia="IRNazanin"/>
          <w:color w:val="111111"/>
          <w:sz w:val="28"/>
          <w:sz w:val="28"/>
          <w:szCs w:val="28"/>
          <w:rtl w:val="true"/>
          <w:lang w:bidi="fa-IR"/>
        </w:rPr>
        <w:t>هذا التوهّم تفریع الإمام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الآیة، الظاهرة فی الاستیعاب الطولی و کفایة المسمّی فی العرض، بحیث یظهر منه علیه السلام الاستدلال علی ما قاله، و الاستشهاد علیه بالآیة، کما لا یخفی علی من لا حظ الروایة من أوّلها، و لا ریب أنّ شیئا من المعانی المحتملة المذکورة لا یصحّ للتفریع علی ظاهر الآیة علی ما هو منطبق، عدا مذهب المشهور، و إن کان احتمالا مرجوحا فی نفسه أو مساویا لباقی الاحتمالات، لکن هذا مبنیّ علی ظهور الآیة فی الاستیعاب الطولی، 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سابقا، إذ لا معنی حینئذ لمسح مسمّی الکعب، أو جعل الغایة للممسوح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البعض المستفاد من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للممسوح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صرفها عن ظاهرها الذی هو کون الغایة للمسح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کونها غایة للأرجل، فیکون الممسوح بعض هذا العضو المغیا إلی الکعب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قبّتا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المقنعة، و زاد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الساقین ما بین المفصل و المشط،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الکعب فی کلّ قدم واحد،</w:t>
      </w:r>
    </w:p>
    <w:p>
      <w:pPr>
        <w:pStyle w:val="BookText"/>
        <w:rPr/>
      </w:pPr>
      <w:r>
        <w:rPr>
          <w:rFonts w:ascii="IRNazanin" w:hAnsi="IRNazanin" w:eastAsia="IRNazanin"/>
          <w:color w:val="111111"/>
          <w:sz w:val="28"/>
          <w:sz w:val="28"/>
          <w:szCs w:val="28"/>
          <w:rtl w:val="true"/>
          <w:lang w:bidi="fa-IR"/>
        </w:rPr>
        <w:t xml:space="preserve">و هو ما علا منه فی وسط القدم علی ما ذکرنا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ادّعی الشیخ قدّس سرّه فی التهذیب الإجماع علی هذا المعنی </w:t>
      </w:r>
      <w:r>
        <w:rPr>
          <w:rStyle w:val="FootnoteAnchor"/>
          <w:rtl w:val="true"/>
        </w:rPr>
        <w:footnoteReference w:id="1138"/>
      </w:r>
      <w:r>
        <w:rPr>
          <w:rFonts w:ascii="IRNazanin" w:hAnsi="IRNazanin" w:eastAsia="IRNazanin"/>
          <w:color w:val="111111"/>
          <w:sz w:val="28"/>
          <w:sz w:val="28"/>
          <w:szCs w:val="28"/>
          <w:rtl w:val="true"/>
          <w:lang w:bidi="fa-IR"/>
        </w:rPr>
        <w:t xml:space="preserve">و کذا الشهید فی الذکری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الانتصار </w:t>
      </w:r>
      <w:r>
        <w:rPr>
          <w:rStyle w:val="FootnoteAnchor"/>
          <w:rtl w:val="true"/>
        </w:rPr>
        <w:footnoteReference w:id="1140"/>
      </w:r>
      <w:r>
        <w:rPr>
          <w:rFonts w:ascii="IRNazanin" w:hAnsi="IRNazanin" w:eastAsia="IRNazanin"/>
          <w:color w:val="111111"/>
          <w:sz w:val="28"/>
          <w:sz w:val="28"/>
          <w:szCs w:val="28"/>
          <w:rtl w:val="true"/>
          <w:lang w:bidi="fa-IR"/>
        </w:rPr>
        <w:t xml:space="preserve">و مجمع البیان </w:t>
      </w:r>
      <w:r>
        <w:rPr>
          <w:rStyle w:val="FootnoteAnchor"/>
          <w:rtl w:val="true"/>
        </w:rPr>
        <w:footnoteReference w:id="1141"/>
      </w:r>
      <w:r>
        <w:rPr>
          <w:rFonts w:ascii="IRNazanin" w:hAnsi="IRNazanin" w:eastAsia="IRNazanin"/>
          <w:color w:val="111111"/>
          <w:sz w:val="28"/>
          <w:sz w:val="28"/>
          <w:szCs w:val="28"/>
          <w:rtl w:val="true"/>
          <w:lang w:bidi="fa-IR"/>
        </w:rPr>
        <w:t xml:space="preserve">و غیرهما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العظمان الناتئان فی ظهر القدم، مدّعیا فی الأوّل الإجماع، و فی ظاهر الثانی اتّفاق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العظمان الناتئان فی وسط القدم </w:t>
      </w:r>
      <w:r>
        <w:rPr>
          <w:rStyle w:val="FootnoteAnchor"/>
          <w:rtl w:val="true"/>
        </w:rPr>
        <w:footnoteReference w:id="1143"/>
      </w:r>
      <w:r>
        <w:rPr>
          <w:rFonts w:ascii="IRNazanin" w:hAnsi="IRNazanin" w:eastAsia="IRNazanin"/>
          <w:color w:val="111111"/>
          <w:sz w:val="28"/>
          <w:sz w:val="28"/>
          <w:szCs w:val="28"/>
          <w:rtl w:val="true"/>
          <w:lang w:bidi="fa-IR"/>
        </w:rPr>
        <w:t>، مدّعیا علیه إجماع فقهاء أهل البیت علیهم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 إشکال و لا خلاف بین الإمامیة فی أنّهما فی ظهر القدم، و لیسا العظمین الذین فی جانبی الساق، و إنّما وقع الإشکال فی مقام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قدّس سرّه فهم من هذه العبارة الواردة من علمائنا رضوان اللّٰه علیهم فی تفسیر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اعترافه بأنّ الکعب هو ما ذکروه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العظم الناتئ الواقع فی مجمع الساق و القدم </w:t>
      </w:r>
      <w:r>
        <w:rPr>
          <w:rStyle w:val="FootnoteAnchor"/>
          <w:rtl w:val="true"/>
        </w:rPr>
        <w:footnoteReference w:id="1144"/>
      </w:r>
      <w:r>
        <w:rPr>
          <w:rFonts w:ascii="IRNazanin" w:hAnsi="IRNazanin" w:eastAsia="IRNazanin"/>
          <w:color w:val="111111"/>
          <w:sz w:val="28"/>
          <w:sz w:val="28"/>
          <w:szCs w:val="28"/>
          <w:rtl w:val="true"/>
          <w:lang w:bidi="fa-IR"/>
        </w:rPr>
        <w:t xml:space="preserve">، و قد أخذ بعض من تأخّر عنه </w:t>
      </w:r>
      <w:r>
        <w:rPr>
          <w:rStyle w:val="FootnoteAnchor"/>
          <w:rtl w:val="true"/>
        </w:rPr>
        <w:footnoteReference w:id="1145"/>
      </w:r>
      <w:r>
        <w:rPr>
          <w:rFonts w:ascii="IRNazanin" w:hAnsi="IRNazanin" w:eastAsia="IRNazanin"/>
          <w:color w:val="111111"/>
          <w:sz w:val="28"/>
          <w:sz w:val="28"/>
          <w:szCs w:val="28"/>
          <w:rtl w:val="true"/>
          <w:lang w:bidi="fa-IR"/>
        </w:rPr>
        <w:t>فی التشنیع علیه بمخالفته للإجماع و الأخبار و قول أهل اللغة، فذکروا</w:t>
      </w:r>
    </w:p>
    <w:p>
      <w:pPr>
        <w:pStyle w:val="BookText"/>
        <w:rPr/>
      </w:pPr>
      <w:r>
        <w:rPr>
          <w:rFonts w:ascii="IRNazanin" w:hAnsi="IRNazanin" w:eastAsia="IRNazanin"/>
          <w:color w:val="111111"/>
          <w:sz w:val="28"/>
          <w:sz w:val="28"/>
          <w:szCs w:val="28"/>
          <w:rtl w:val="true"/>
          <w:lang w:bidi="fa-IR"/>
        </w:rPr>
        <w:t xml:space="preserve">فی ردّه کلمات العلماء التی هی عین ما ذکر من العبارات، و من الأخبار ما ورد من وصفه علیه السلام الکعب فی ظهر القدم </w:t>
      </w:r>
      <w:r>
        <w:rPr>
          <w:rStyle w:val="FootnoteAnchor"/>
          <w:rtl w:val="true"/>
        </w:rPr>
        <w:footnoteReference w:id="1146"/>
      </w:r>
      <w:r>
        <w:rPr>
          <w:rFonts w:ascii="IRNazanin" w:hAnsi="IRNazanin" w:eastAsia="IRNazanin"/>
          <w:color w:val="111111"/>
          <w:sz w:val="28"/>
          <w:sz w:val="28"/>
          <w:szCs w:val="28"/>
          <w:rtl w:val="true"/>
          <w:lang w:bidi="fa-IR"/>
        </w:rPr>
        <w:t xml:space="preserve">، و ما دلّ علی عدم وجوب إدخال الید الماسحة تحت الشراک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ادّعی فی الذکری </w:t>
      </w:r>
      <w:r>
        <w:rPr>
          <w:rStyle w:val="FootnoteAnchor"/>
          <w:rtl w:val="true"/>
        </w:rPr>
        <w:footnoteReference w:id="1148"/>
      </w:r>
      <w:r>
        <w:rPr>
          <w:rFonts w:ascii="IRNazanin" w:hAnsi="IRNazanin" w:eastAsia="IRNazanin"/>
          <w:color w:val="111111"/>
          <w:sz w:val="28"/>
          <w:sz w:val="28"/>
          <w:szCs w:val="28"/>
          <w:rtl w:val="true"/>
          <w:lang w:bidi="fa-IR"/>
        </w:rPr>
        <w:t xml:space="preserve">کما عن المدارک </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لغویة الخاصّة متّفقون علی أنّ الکعب هو الناشز فی ظهر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عمید الرؤساء صنّف کتابا فی الکعب، أکثر فیه من الشواهد علی أنّه الناتئ فی ظهر القدم أمام الساق و ما یقع معقد الشراک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ذهبوا إلی أنّهما الکعبان اللذان فی ظهر القدم، و هو مذهب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یحیی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القتلی یوم زید بن علی فرأیت الکعاب فی وسط القدم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ذهب الشیعة إلی أنّ الکعب فی ظهر القدم </w:t>
      </w:r>
      <w:r>
        <w:rPr>
          <w:rStyle w:val="FootnoteAnchor"/>
          <w:rtl w:val="true"/>
        </w:rPr>
        <w:footnoteReference w:id="1152"/>
      </w:r>
      <w:r>
        <w:rPr>
          <w:rFonts w:ascii="IRNazanin" w:hAnsi="IRNazanin" w:eastAsia="IRNazanin"/>
          <w:color w:val="111111"/>
          <w:sz w:val="28"/>
          <w:sz w:val="28"/>
          <w:szCs w:val="28"/>
          <w:rtl w:val="true"/>
          <w:lang w:bidi="fa-IR"/>
        </w:rPr>
        <w:t xml:space="preserve">و حکی هذه النسبة فی مجمع البحرین </w:t>
      </w:r>
      <w:r>
        <w:rPr>
          <w:rStyle w:val="FootnoteAnchor"/>
          <w:rtl w:val="true"/>
        </w:rPr>
        <w:footnoteReference w:id="1153"/>
      </w:r>
      <w:r>
        <w:rPr>
          <w:rFonts w:ascii="IRNazanin" w:hAnsi="IRNazanin" w:eastAsia="IRNazanin"/>
          <w:color w:val="111111"/>
          <w:sz w:val="28"/>
          <w:sz w:val="28"/>
          <w:szCs w:val="28"/>
          <w:rtl w:val="true"/>
          <w:lang w:bidi="fa-IR"/>
        </w:rPr>
        <w:t>عن بعض آخر أیضا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طعن علی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الکعب هو العظم</w:t>
      </w:r>
    </w:p>
    <w:p>
      <w:pPr>
        <w:pStyle w:val="BookText"/>
        <w:rPr/>
      </w:pPr>
      <w:r>
        <w:rPr>
          <w:rFonts w:ascii="IRNazanin" w:hAnsi="IRNazanin" w:eastAsia="IRNazanin"/>
          <w:color w:val="111111"/>
          <w:sz w:val="28"/>
          <w:sz w:val="28"/>
          <w:szCs w:val="28"/>
          <w:rtl w:val="true"/>
          <w:lang w:bidi="fa-IR"/>
        </w:rPr>
        <w:t>الناتئ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شاهد له لغة و لا عرفا و لا شرعا، کما صرّح به فی کنز العرفان </w:t>
      </w:r>
      <w:r>
        <w:rPr>
          <w:rStyle w:val="FootnoteAnchor"/>
          <w:rtl w:val="true"/>
        </w:rPr>
        <w:footnoteReference w:id="1154"/>
      </w:r>
      <w:r>
        <w:rPr>
          <w:rFonts w:ascii="IRNazanin" w:hAnsi="IRNazanin" w:eastAsia="IRNazanin"/>
          <w:color w:val="111111"/>
          <w:sz w:val="28"/>
          <w:sz w:val="28"/>
          <w:szCs w:val="28"/>
          <w:rtl w:val="true"/>
          <w:lang w:bidi="fa-IR"/>
        </w:rPr>
        <w:t>بعد اختیار مذهب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أنّ الطعن علی العلّامة لکلّ من الثلاثة المذکورة فی غیر محلّه، و إن کان الأقوی فی المسألة أنّ الکعب لیس فی مجمع الساق و القدم، إلّا أنّ ذلک لیس من الوضوح بمکان یوجب الطعن علی مخالفه، لمخالفة النصوص و الفتاوی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اللغة، کما أنّ قول العلّامة لیس من الوضوح بحیث یطعن علی مخالفه، فیخلو عن الشاهد رأسا کما عرفت من کنز العرفان، بل الإنصاف أنّ المسألة لا تخلو عن غموض و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ذلک أنّ العلّامة لم یخالف الإمامیة فی تفسیر الکعب، فإنّه قدّس سرّه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الکعبین هما العظمان الناتئان فی وسط القدم و هما معقد الشراک أعنی مجمع الساق و القدم، ذهب إلیه علماؤنا أجمع، و به قال الشیبانی </w:t>
      </w:r>
      <w:r>
        <w:rPr>
          <w:rStyle w:val="FootnoteAnchor"/>
          <w:rtl w:val="true"/>
        </w:rPr>
        <w:footnoteReference w:id="11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علماؤنا إلی أنّ الکعبین هما العظمان الناتئان فی وسط القدم، و هما معقد الشراک، و به قال الشیبانی </w:t>
      </w:r>
      <w:r>
        <w:rPr>
          <w:rStyle w:val="FootnoteAnchor"/>
          <w:rtl w:val="true"/>
        </w:rPr>
        <w:footnoteReference w:id="115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فی الکتابین بعینه هو الذی ادّعی فی المعتبر </w:t>
      </w:r>
      <w:r>
        <w:rPr>
          <w:rStyle w:val="FootnoteAnchor"/>
          <w:rtl w:val="true"/>
        </w:rPr>
        <w:footnoteReference w:id="1158"/>
      </w:r>
      <w:r>
        <w:rPr>
          <w:rFonts w:ascii="IRNazanin" w:hAnsi="IRNazanin" w:eastAsia="IRNazanin"/>
          <w:color w:val="111111"/>
          <w:sz w:val="28"/>
          <w:sz w:val="28"/>
          <w:szCs w:val="28"/>
          <w:rtl w:val="true"/>
          <w:lang w:bidi="fa-IR"/>
        </w:rPr>
        <w:t xml:space="preserve">إجماع فقهاء أهل البیت علیهم السلام علیه، و هذه العبارة هی المحکیّة عن السیّد </w:t>
      </w:r>
      <w:r>
        <w:rPr>
          <w:rStyle w:val="FootnoteAnchor"/>
          <w:rtl w:val="true"/>
        </w:rPr>
        <w:footnoteReference w:id="1159"/>
      </w:r>
      <w:r>
        <w:rPr>
          <w:rFonts w:ascii="IRNazanin" w:hAnsi="IRNazanin" w:eastAsia="IRNazanin"/>
          <w:color w:val="111111"/>
          <w:sz w:val="28"/>
          <w:sz w:val="28"/>
          <w:szCs w:val="28"/>
          <w:rtl w:val="true"/>
          <w:lang w:bidi="fa-IR"/>
        </w:rPr>
        <w:t xml:space="preserve">و الطبرسی </w:t>
      </w:r>
      <w:r>
        <w:rPr>
          <w:rStyle w:val="FootnoteAnchor"/>
          <w:rtl w:val="true"/>
        </w:rPr>
        <w:footnoteReference w:id="1160"/>
      </w:r>
      <w:r>
        <w:rPr>
          <w:rFonts w:ascii="IRNazanin" w:hAnsi="IRNazanin" w:eastAsia="IRNazanin"/>
          <w:color w:val="111111"/>
          <w:sz w:val="28"/>
          <w:sz w:val="28"/>
          <w:szCs w:val="28"/>
          <w:rtl w:val="true"/>
          <w:lang w:bidi="fa-IR"/>
        </w:rPr>
        <w:t xml:space="preserve">و الشیخ </w:t>
      </w:r>
      <w:r>
        <w:rPr>
          <w:rStyle w:val="FootnoteAnchor"/>
          <w:rtl w:val="true"/>
        </w:rPr>
        <w:footnoteReference w:id="1161"/>
      </w:r>
      <w:r>
        <w:rPr>
          <w:rFonts w:ascii="Amiri" w:hAnsi="Amiri" w:eastAsia="Amiri" w:cs="Amiri"/>
          <w:color w:val="111111"/>
          <w:sz w:val="28"/>
          <w:sz w:val="28"/>
          <w:szCs w:val="28"/>
          <w:rtl w:val="true"/>
          <w:lang w:bidi="ar-SA"/>
        </w:rPr>
        <w:t xml:space="preserve">و الحلّی </w:t>
      </w:r>
      <w:r>
        <w:rPr>
          <w:rStyle w:val="FootnoteAnchor"/>
          <w:rtl w:val="true"/>
        </w:rPr>
        <w:footnoteReference w:id="1162"/>
      </w:r>
      <w:r>
        <w:rPr>
          <w:rFonts w:ascii="IRNazanin" w:hAnsi="IRNazanin" w:eastAsia="IRNazanin"/>
          <w:color w:val="111111"/>
          <w:sz w:val="28"/>
          <w:sz w:val="28"/>
          <w:szCs w:val="28"/>
          <w:rtl w:val="true"/>
          <w:lang w:bidi="fa-IR"/>
        </w:rPr>
        <w:t xml:space="preserve">و غیرهم </w:t>
      </w:r>
      <w:r>
        <w:rPr>
          <w:rStyle w:val="FootnoteAnchor"/>
          <w:rtl w:val="true"/>
        </w:rPr>
        <w:footnoteReference w:id="1163"/>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فلم یذکر أحد من القدماء و أتباعهم ما یخالف ما ذکره العلّامة فی الکتابین مدّعیا علیه الإجماع سوی المفید قدّس سرّه، حیث عبّر بقبتی القدمین </w:t>
      </w:r>
      <w:r>
        <w:rPr>
          <w:rStyle w:val="FootnoteAnchor"/>
          <w:rtl w:val="true"/>
        </w:rPr>
        <w:footnoteReference w:id="1164"/>
      </w:r>
      <w:r>
        <w:rPr>
          <w:rFonts w:ascii="IRNazanin" w:hAnsi="IRNazanin" w:eastAsia="IRNazanin"/>
          <w:color w:val="111111"/>
          <w:sz w:val="28"/>
          <w:sz w:val="28"/>
          <w:szCs w:val="28"/>
          <w:rtl w:val="true"/>
          <w:lang w:bidi="fa-IR"/>
        </w:rPr>
        <w:t xml:space="preserve">، و الشیخ و إن ادّعی فی التهذیب </w:t>
      </w:r>
      <w:r>
        <w:rPr>
          <w:rStyle w:val="FootnoteAnchor"/>
          <w:rtl w:val="true"/>
        </w:rPr>
        <w:footnoteReference w:id="1165"/>
      </w:r>
      <w:r>
        <w:rPr>
          <w:rFonts w:ascii="IRNazanin" w:hAnsi="IRNazanin" w:eastAsia="IRNazanin"/>
          <w:color w:val="111111"/>
          <w:sz w:val="28"/>
          <w:sz w:val="28"/>
          <w:szCs w:val="28"/>
          <w:rtl w:val="true"/>
          <w:lang w:bidi="fa-IR"/>
        </w:rPr>
        <w:t xml:space="preserve">الإجماع علی هذا التفسیر، إلّا أنّ تعبیره فی کتبه الأخر </w:t>
      </w:r>
      <w:r>
        <w:rPr>
          <w:rStyle w:val="FootnoteAnchor"/>
          <w:rtl w:val="true"/>
        </w:rPr>
        <w:footnoteReference w:id="1166"/>
      </w:r>
      <w:r>
        <w:rPr>
          <w:rFonts w:ascii="IRNazanin" w:hAnsi="IRNazanin" w:eastAsia="IRNazanin"/>
          <w:color w:val="111111"/>
          <w:sz w:val="28"/>
          <w:sz w:val="28"/>
          <w:szCs w:val="28"/>
          <w:rtl w:val="true"/>
          <w:lang w:bidi="fa-IR"/>
        </w:rPr>
        <w:t>بعین ما ذکره العلّامة یدلّ علی اتّحادهما عنده، کما أنّ قول المحقّق فی المعتبر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الکعبین قبّتا القدمین، ثمّ تفسیره بما ذکرنا عنه مدّعیا الإجماع علیه، صریح فی اتّحاد مفهوم هذا التفسیر مع القبّة، فعلم من ذلک أنّ العلّامة بزعمه لم یخالف أحدا، إلّا أنّه یدّعی إرادة العلماء من هذه العبارة ما ذکره، فلا ینبغی أن یردّ علیه بکلمات هؤلاء، بل ینبغی أن یطالب الدلیل و القرینة علی ما یدّعیه فی کلمات العلماء، و سنذکر ما یصلح</w:t>
      </w:r>
    </w:p>
    <w:p>
      <w:pPr>
        <w:pStyle w:val="BookText"/>
        <w:rPr/>
      </w:pPr>
      <w:r>
        <w:rPr>
          <w:rFonts w:ascii="IRNazanin" w:hAnsi="IRNazanin" w:eastAsia="IRNazanin"/>
          <w:color w:val="111111"/>
          <w:sz w:val="28"/>
          <w:sz w:val="28"/>
          <w:szCs w:val="28"/>
          <w:rtl w:val="true"/>
          <w:lang w:bidi="fa-IR"/>
        </w:rPr>
        <w:t>له، و له أن یجعل استدلالهم بصحیحة 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المفسّرة للکعب بالمفصل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سنذکره قرینة علی ما استفاده من کلماتهم کما سیجی‌ء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العلّامة قدّس سرّه أفتی فی المنتهی </w:t>
      </w:r>
      <w:r>
        <w:rPr>
          <w:rStyle w:val="FootnoteAnchor"/>
          <w:rtl w:val="true"/>
        </w:rPr>
        <w:footnoteReference w:id="1168"/>
      </w:r>
      <w:r>
        <w:rPr>
          <w:rFonts w:ascii="IRNazanin" w:hAnsi="IRNazanin" w:eastAsia="IRNazanin"/>
          <w:color w:val="111111"/>
          <w:sz w:val="28"/>
          <w:sz w:val="28"/>
          <w:szCs w:val="28"/>
          <w:rtl w:val="true"/>
          <w:lang w:bidi="fa-IR"/>
        </w:rPr>
        <w:t xml:space="preserve">و التحریر </w:t>
      </w:r>
      <w:r>
        <w:rPr>
          <w:rStyle w:val="FootnoteAnchor"/>
          <w:rtl w:val="true"/>
        </w:rPr>
        <w:footnoteReference w:id="1169"/>
      </w:r>
      <w:r>
        <w:rPr>
          <w:rFonts w:ascii="IRNazanin" w:hAnsi="IRNazanin" w:eastAsia="IRNazanin"/>
          <w:color w:val="111111"/>
          <w:sz w:val="28"/>
          <w:sz w:val="28"/>
          <w:szCs w:val="28"/>
          <w:rtl w:val="true"/>
          <w:lang w:bidi="fa-IR"/>
        </w:rPr>
        <w:t xml:space="preserve">و التذکرة </w:t>
      </w:r>
      <w:r>
        <w:rPr>
          <w:rStyle w:val="FootnoteAnchor"/>
          <w:rtl w:val="true"/>
        </w:rPr>
        <w:footnoteReference w:id="1170"/>
      </w:r>
      <w:r>
        <w:rPr>
          <w:rFonts w:ascii="IRNazanin" w:hAnsi="IRNazanin" w:eastAsia="IRNazanin"/>
          <w:color w:val="111111"/>
          <w:sz w:val="28"/>
          <w:sz w:val="28"/>
          <w:szCs w:val="28"/>
          <w:rtl w:val="true"/>
          <w:lang w:bidi="fa-IR"/>
        </w:rPr>
        <w:t>بعدم وجوب إدخال الید تحت الشراکین فی المسح علی النعل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فی الأوّل بأنّه لا یمنع مسح موضع الفرض، و زاد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یجزی لو تخلّف ما تحته أو بعضه؟ إشکال أقربه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ینسحب إلی ما یشبهه کالسیر فی الخشب؟ إشکال، و کذا لو ربط رجله بسیر للحاجة، و فی العبث إشکال، انتهی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الرد علی العلّامة بأخبار عدم استبطان الشراک لا یخلو عن نظر، لالتزامه بمضمونها فی کتبه، و قد صرّح فیما تقدّم من التذکرة و المنتهی </w:t>
      </w:r>
      <w:r>
        <w:rPr>
          <w:rStyle w:val="FootnoteAnchor"/>
          <w:rtl w:val="true"/>
        </w:rPr>
        <w:footnoteReference w:id="1171"/>
      </w:r>
      <w:r>
        <w:rPr>
          <w:rFonts w:ascii="IRNazanin" w:hAnsi="IRNazanin" w:eastAsia="IRNazanin"/>
          <w:color w:val="111111"/>
          <w:sz w:val="28"/>
          <w:sz w:val="28"/>
          <w:szCs w:val="28"/>
          <w:rtl w:val="true"/>
          <w:lang w:bidi="fa-IR"/>
        </w:rPr>
        <w:t>بأنّ الکعب معقد الشراک، فلا بدّ إمّا من جعل معقد الشراک فی تلک الأزمنة هو مجمع الساق و القدم کما یظهر من تعلیل المنتهی، و إمّا من التزام خروج ذلک بالنصّ کما یستفاد من فروع التذکرة، مع أنّ الکعب إذا کان معقد الشراک عند المشهور، فمن قال منهم بوجوب إدخال الکعب فی الممسوح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المحقّق و الشهید الثانیین </w:t>
      </w:r>
      <w:r>
        <w:rPr>
          <w:rStyle w:val="FootnoteAnchor"/>
          <w:rtl w:val="true"/>
        </w:rPr>
        <w:footnoteReference w:id="1172"/>
      </w:r>
      <w:r>
        <w:rPr>
          <w:rFonts w:ascii="IRNazanin" w:hAnsi="IRNazanin" w:eastAsia="IRNazanin"/>
          <w:color w:val="111111"/>
          <w:sz w:val="28"/>
          <w:sz w:val="28"/>
          <w:szCs w:val="28"/>
          <w:rtl w:val="true"/>
          <w:lang w:bidi="fa-IR"/>
        </w:rPr>
        <w:t>، بل ربما حکی نسبته</w:t>
      </w:r>
    </w:p>
    <w:p>
      <w:pPr>
        <w:pStyle w:val="BookText"/>
        <w:rPr/>
      </w:pPr>
      <w:r>
        <w:rPr>
          <w:rFonts w:ascii="IRNazanin" w:hAnsi="IRNazanin" w:eastAsia="IRNazanin"/>
          <w:color w:val="111111"/>
          <w:sz w:val="28"/>
          <w:sz w:val="28"/>
          <w:szCs w:val="28"/>
          <w:rtl w:val="true"/>
          <w:lang w:bidi="fa-IR"/>
        </w:rPr>
        <w:t xml:space="preserve">إلی الأصحاب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علیه الإشکال من جهة أخبار عدم استبطان الشراک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ادّعی من مخالفة ما ذکره العلّامة لقول أهل اللغة من الخاصّة، فلم نتحقّق ذلک إلّا ما حکاه فی الذکری </w:t>
      </w:r>
      <w:r>
        <w:rPr>
          <w:rStyle w:val="FootnoteAnchor"/>
          <w:rtl w:val="true"/>
        </w:rPr>
        <w:footnoteReference w:id="1174"/>
      </w:r>
      <w:r>
        <w:rPr>
          <w:rFonts w:ascii="IRNazanin" w:hAnsi="IRNazanin" w:eastAsia="IRNazanin"/>
          <w:color w:val="111111"/>
          <w:sz w:val="28"/>
          <w:sz w:val="28"/>
          <w:szCs w:val="28"/>
          <w:rtl w:val="true"/>
          <w:lang w:bidi="fa-IR"/>
        </w:rPr>
        <w:t xml:space="preserve">عن عمید الرؤساء، و قد حکی کاشف اللثام </w:t>
      </w:r>
      <w:r>
        <w:rPr>
          <w:rStyle w:val="FootnoteAnchor"/>
          <w:rtl w:val="true"/>
        </w:rPr>
        <w:footnoteReference w:id="1175"/>
      </w:r>
      <w:r>
        <w:rPr>
          <w:rFonts w:ascii="Amiri" w:hAnsi="Amiri" w:eastAsia="Amiri" w:cs="Amiri"/>
          <w:color w:val="111111"/>
          <w:sz w:val="28"/>
          <w:sz w:val="28"/>
          <w:szCs w:val="28"/>
          <w:rtl w:val="true"/>
          <w:lang w:bidi="ar-SA"/>
        </w:rPr>
        <w:t>قول العلّامة عن جماعة من أهل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حکی فی النهایة </w:t>
      </w:r>
      <w:r>
        <w:rPr>
          <w:rStyle w:val="FootnoteAnchor"/>
          <w:rtl w:val="true"/>
        </w:rPr>
        <w:footnoteReference w:id="1176"/>
      </w:r>
      <w:r>
        <w:rPr>
          <w:rFonts w:ascii="IRNazanin" w:hAnsi="IRNazanin" w:eastAsia="IRNazanin"/>
          <w:color w:val="111111"/>
          <w:sz w:val="28"/>
          <w:sz w:val="28"/>
          <w:szCs w:val="28"/>
          <w:rtl w:val="true"/>
          <w:lang w:bidi="fa-IR"/>
        </w:rPr>
        <w:t xml:space="preserve">و المصباح </w:t>
      </w:r>
      <w:r>
        <w:rPr>
          <w:rStyle w:val="FootnoteAnchor"/>
          <w:rtl w:val="true"/>
        </w:rPr>
        <w:footnoteReference w:id="1177"/>
      </w:r>
      <w:r>
        <w:rPr>
          <w:rFonts w:ascii="IRNazanin" w:hAnsi="IRNazanin" w:eastAsia="IRNazanin"/>
          <w:color w:val="111111"/>
          <w:sz w:val="28"/>
          <w:sz w:val="28"/>
          <w:szCs w:val="28"/>
          <w:rtl w:val="true"/>
          <w:lang w:bidi="fa-IR"/>
        </w:rPr>
        <w:t xml:space="preserve">و لباب التأویل </w:t>
      </w:r>
      <w:r>
        <w:rPr>
          <w:rStyle w:val="FootnoteAnchor"/>
          <w:rtl w:val="true"/>
        </w:rPr>
        <w:footnoteReference w:id="1178"/>
      </w:r>
      <w:r>
        <w:rPr>
          <w:rFonts w:ascii="IRNazanin" w:hAnsi="IRNazanin" w:eastAsia="IRNazanin"/>
          <w:color w:val="111111"/>
          <w:sz w:val="28"/>
          <w:sz w:val="28"/>
          <w:szCs w:val="28"/>
          <w:rtl w:val="true"/>
          <w:lang w:bidi="fa-IR"/>
        </w:rPr>
        <w:t xml:space="preserve">عن الشیعة، فلا ینافی مذهب العلّامة، لما عرفت من تفسیر العلّامة، و غرضهم اختصاص الشیعة بجعل الکعب فی ظهر القدم دون الجانبین کما یقوله العامّة، مع أنّ جماعة من العامّة کالرازی </w:t>
      </w:r>
      <w:r>
        <w:rPr>
          <w:rStyle w:val="FootnoteAnchor"/>
          <w:rtl w:val="true"/>
        </w:rPr>
        <w:footnoteReference w:id="1179"/>
      </w:r>
      <w:r>
        <w:rPr>
          <w:rFonts w:ascii="IRNazanin" w:hAnsi="IRNazanin" w:eastAsia="IRNazanin"/>
          <w:color w:val="111111"/>
          <w:sz w:val="28"/>
          <w:sz w:val="28"/>
          <w:szCs w:val="28"/>
          <w:rtl w:val="true"/>
          <w:lang w:bidi="fa-IR"/>
        </w:rPr>
        <w:t xml:space="preserve">و النیشابوری </w:t>
      </w:r>
      <w:r>
        <w:rPr>
          <w:rStyle w:val="FootnoteAnchor"/>
          <w:rtl w:val="true"/>
        </w:rPr>
        <w:footnoteReference w:id="1180"/>
      </w:r>
      <w:r>
        <w:rPr>
          <w:rFonts w:ascii="IRNazanin" w:hAnsi="IRNazanin" w:eastAsia="IRNazanin"/>
          <w:color w:val="111111"/>
          <w:sz w:val="28"/>
          <w:sz w:val="28"/>
          <w:szCs w:val="28"/>
          <w:rtl w:val="true"/>
          <w:lang w:bidi="fa-IR"/>
        </w:rPr>
        <w:t>حکی عنهم أنّهم نصّوا علی أنّ الإمامیة و کلّ من أوجب المسح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الکعب عبارة عن عظم مستدیر موضوع تحت عظم الساق حیث یکون مفصل الساق و القدم کما فی أرجل الحیوانات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الرازی فنسبه إلی محمّد بن حسن الشیبانی، و أنّ الأصمعی کان یختار هذا القول، و حجتهم أنّ اسم الکعب یطلق علی العظم المخصوص،</w:t>
      </w:r>
    </w:p>
    <w:p>
      <w:pPr>
        <w:pStyle w:val="BookText"/>
        <w:rPr/>
      </w:pPr>
      <w:r>
        <w:rPr>
          <w:rFonts w:ascii="IRNazanin" w:hAnsi="IRNazanin" w:eastAsia="IRNazanin"/>
          <w:color w:val="111111"/>
          <w:sz w:val="28"/>
          <w:sz w:val="28"/>
          <w:szCs w:val="28"/>
          <w:rtl w:val="true"/>
          <w:lang w:bidi="fa-IR"/>
        </w:rPr>
        <w:t xml:space="preserve">فوجب أن یکون فی حقّ الإنسان کذلک، و المفصل یسمّی کعبا، و منه کعاب الرماح لمفاصله </w:t>
      </w:r>
      <w:r>
        <w:rPr>
          <w:rStyle w:val="FootnoteAnchor"/>
          <w:rtl w:val="true"/>
        </w:rPr>
        <w:footnoteReference w:id="118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الکشّاف و طراز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أوجب المسح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المفصل بین الساق و القدم </w:t>
      </w:r>
      <w:r>
        <w:rPr>
          <w:rStyle w:val="FootnoteAnchor"/>
          <w:rtl w:val="true"/>
        </w:rPr>
        <w:footnoteReference w:id="118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البعید عادة اتّفاق هؤلاء علی الافتراء علی الشیعة بما یظهر کذبه لکلّ ناظر فی کلامهم، خصوصا مع تقدّم بعضهم علی العلّامة، فلا یحتمل أن یکون منشأ النسبة انتشار ذلک من العلّامة قدّس سرّه فزعموه مذهبا لکلّ الشیعة، کما وقع نظیره فی نسبتهم </w:t>
      </w:r>
      <w:r>
        <w:rPr>
          <w:rStyle w:val="FootnoteAnchor"/>
          <w:rtl w:val="true"/>
        </w:rPr>
        <w:footnoteReference w:id="1183"/>
      </w:r>
      <w:r>
        <w:rPr>
          <w:rFonts w:ascii="IRNazanin" w:hAnsi="IRNazanin" w:eastAsia="IRNazanin"/>
          <w:color w:val="111111"/>
          <w:sz w:val="28"/>
          <w:sz w:val="28"/>
          <w:szCs w:val="28"/>
          <w:rtl w:val="true"/>
          <w:lang w:bidi="fa-IR"/>
        </w:rPr>
        <w:t xml:space="preserve">إلی الشیعة إنکار العمل بخبر الواحد بملاحظة مذهب السیّد </w:t>
      </w:r>
      <w:r>
        <w:rPr>
          <w:rStyle w:val="FootnoteAnchor"/>
          <w:rtl w:val="true"/>
        </w:rPr>
        <w:footnoteReference w:id="1184"/>
      </w:r>
      <w:r>
        <w:rPr>
          <w:rFonts w:ascii="IRNazanin" w:hAnsi="IRNazanin" w:eastAsia="IRNazanin"/>
          <w:color w:val="111111"/>
          <w:sz w:val="28"/>
          <w:sz w:val="28"/>
          <w:szCs w:val="28"/>
          <w:rtl w:val="true"/>
          <w:lang w:bidi="fa-IR"/>
        </w:rPr>
        <w:t xml:space="preserve">و موافقیه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فالإنصاف أنّ کلمات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من عبّر بقبّة القدم إذا ادّعی الإجماع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خلاف ما قاله العلّامة قدّس سرّه، فصرفها عن ظاهرها موقوف علی ظهور فی الأخبار التی استدلّوا بها فی هذه المسألة و غیرها من کلماتهم المرتبطة بالمقام فیما ذکره، بحیث یغلب علی ظهور کلماتهم لیصرفها إلی ما ذکره العلّامة رحمه اللّٰه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أظهر ما یمکن أن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کلماتهم و استدلالاتهم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صارفا لتلک الظواهر،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الأخوین التی استدلّ بها الشیخ </w:t>
      </w:r>
      <w:r>
        <w:rPr>
          <w:rStyle w:val="FootnoteAnchor"/>
          <w:rtl w:val="true"/>
        </w:rPr>
        <w:footnoteReference w:id="1186"/>
      </w:r>
      <w:r>
        <w:rPr>
          <w:rFonts w:ascii="Amiri" w:hAnsi="Amiri" w:eastAsia="Amiri" w:cs="Amiri"/>
          <w:color w:val="111111"/>
          <w:sz w:val="28"/>
          <w:sz w:val="28"/>
          <w:szCs w:val="28"/>
          <w:rtl w:val="true"/>
          <w:lang w:bidi="ar-SA"/>
        </w:rPr>
        <w:t xml:space="preserve">و المحقّق </w:t>
      </w:r>
      <w:r>
        <w:rPr>
          <w:rStyle w:val="FootnoteAnchor"/>
          <w:rtl w:val="true"/>
        </w:rPr>
        <w:footnoteReference w:id="1187"/>
      </w:r>
      <w:r>
        <w:rPr>
          <w:rFonts w:ascii="IRNazanin" w:hAnsi="IRNazanin" w:eastAsia="IRNazanin"/>
          <w:color w:val="111111"/>
          <w:sz w:val="28"/>
          <w:sz w:val="28"/>
          <w:szCs w:val="28"/>
          <w:rtl w:val="true"/>
          <w:lang w:bidi="fa-IR"/>
        </w:rPr>
        <w:t>علی مطلبهما، و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فأین الکعبان؟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 فإنّ ظاهره أنّ تفسیر المشار إلیه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المفصل فیها للمفصل الکائن فی وسط القدم، لأنّه مفصل أیضا، أو لأنّه محلّ الفصل فی حدّ السارق </w:t>
      </w:r>
      <w:r>
        <w:rPr>
          <w:rStyle w:val="FootnoteAnchor"/>
          <w:rtl w:val="true"/>
        </w:rPr>
        <w:footnoteReference w:id="1189"/>
      </w:r>
      <w:r>
        <w:rPr>
          <w:rFonts w:ascii="IRNazanin" w:hAnsi="IRNazanin" w:eastAsia="IRNazanin"/>
          <w:color w:val="111111"/>
          <w:sz w:val="28"/>
          <w:sz w:val="28"/>
          <w:szCs w:val="28"/>
          <w:rtl w:val="true"/>
          <w:lang w:bidi="fa-IR"/>
        </w:rPr>
        <w:t>،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باحتمال إرادة ما یقرب منه </w:t>
      </w:r>
      <w:r>
        <w:rPr>
          <w:rStyle w:val="FootnoteAnchor"/>
          <w:rtl w:val="true"/>
        </w:rPr>
        <w:footnoteReference w:id="1190"/>
      </w:r>
      <w:r>
        <w:rPr>
          <w:rFonts w:ascii="IRNazanin" w:hAnsi="IRNazanin" w:eastAsia="IRNazanin"/>
          <w:color w:val="111111"/>
          <w:sz w:val="28"/>
          <w:sz w:val="28"/>
          <w:szCs w:val="28"/>
          <w:rtl w:val="true"/>
          <w:lang w:bidi="fa-IR"/>
        </w:rPr>
        <w:t>،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کون التفسیر من کلام الراوی، فلا یکون حجّة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 فی غایة البعد، فهی متساویة فی البعد للتأویل فی عبارات القوم، لأنّ إطلاق المفصل علی الکائن فی وسط القدم الذی لا یعرفه أکثر الناس، بل لا یتبیّن لکثیر من الخواصّ بالمشاهدة بل المساس، نظیر إرادة العظم المستدیر من العظم الناتئ، أو إرادة وسط القدم عرضا أو غیر ذلک من التأویلات التی لا بدّ من ارتکابها و إرجاعها إلی ما فهمه العلّامة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إرادة المفصل بمعنی محلّ الفصل للسارق، فهو أبعد، لأنّ المفصل قد ورد فی بعض نصوص حدّ السارق </w:t>
      </w:r>
      <w:r>
        <w:rPr>
          <w:rStyle w:val="FootnoteAnchor"/>
          <w:rtl w:val="true"/>
        </w:rPr>
        <w:footnoteReference w:id="1192"/>
      </w:r>
      <w:r>
        <w:rPr>
          <w:rFonts w:ascii="IRNazanin" w:hAnsi="IRNazanin" w:eastAsia="IRNazanin"/>
          <w:color w:val="111111"/>
          <w:sz w:val="28"/>
          <w:sz w:val="28"/>
          <w:szCs w:val="28"/>
          <w:rtl w:val="true"/>
          <w:lang w:bidi="fa-IR"/>
        </w:rPr>
        <w:t xml:space="preserve">و فی کثیر من فتاوی الأصحاب </w:t>
      </w:r>
      <w:r>
        <w:rPr>
          <w:rStyle w:val="FootnoteAnchor"/>
          <w:rtl w:val="true"/>
        </w:rPr>
        <w:footnoteReference w:id="1193"/>
      </w:r>
      <w:r>
        <w:rPr>
          <w:rFonts w:ascii="IRNazanin" w:hAnsi="IRNazanin" w:eastAsia="IRNazanin"/>
          <w:color w:val="111111"/>
          <w:sz w:val="28"/>
          <w:sz w:val="28"/>
          <w:szCs w:val="28"/>
          <w:rtl w:val="true"/>
          <w:lang w:bidi="fa-IR"/>
        </w:rPr>
        <w:t>بیانا لمحلّ قطع السارق، فهو معنی عرفیّ وقع معرّفا لحدّ قطع السارق، فکیف یکون استعماله بملاحظة کونه مفصلا عند السرقة؟ مع أنّه لم یعهد استعماله باعتبار الفصل فی حدّ السرقة فی روایة و لا عبارة حتّی یقاس علیه محلّ الکلام؟</w:t>
      </w:r>
    </w:p>
    <w:p>
      <w:pPr>
        <w:pStyle w:val="BookText"/>
        <w:rPr/>
      </w:pPr>
      <w:r>
        <w:rPr>
          <w:rFonts w:ascii="IRNazanin" w:hAnsi="IRNazanin" w:eastAsia="IRNazanin"/>
          <w:color w:val="111111"/>
          <w:sz w:val="28"/>
          <w:sz w:val="28"/>
          <w:szCs w:val="28"/>
          <w:rtl w:val="true"/>
          <w:lang w:bidi="fa-IR"/>
        </w:rPr>
        <w:t>و أمّا کون التفسیر من الراوی للصحیحة المذکورة، فظهوره مسلّم، إلّا أنّ هذا لیس تفسیرا للفظ مجمل حتّی یناقش فی قبوله منه، و إنّما وقع بیانا لإشارة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Style w:val="FootnoteAnchor"/>
          <w:rtl w:val="true"/>
        </w:rPr>
        <w:footnoteReference w:id="1194"/>
      </w:r>
      <w:r>
        <w:rPr>
          <w:rFonts w:ascii="IRNazanin" w:hAnsi="IRNazanin" w:eastAsia="IRNazanin"/>
          <w:color w:val="111111"/>
          <w:sz w:val="28"/>
          <w:sz w:val="28"/>
          <w:szCs w:val="28"/>
          <w:rtl w:val="true"/>
          <w:lang w:bidi="fa-IR"/>
        </w:rPr>
        <w:t>هذا من الأخبار الحسّیة مسموع من الراوی بلا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فالإنصاف ظهور </w:t>
      </w:r>
      <w:r>
        <w:rPr>
          <w:rStyle w:val="FootnoteAnchor"/>
          <w:rtl w:val="true"/>
        </w:rPr>
        <w:footnoteReference w:id="1195"/>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الشیخ </w:t>
      </w:r>
      <w:r>
        <w:rPr>
          <w:rStyle w:val="FootnoteAnchor"/>
          <w:rtl w:val="true"/>
        </w:rPr>
        <w:footnoteReference w:id="1196"/>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القدم، لکن فی الکافی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عظم الساق و الکعب أسفل من ذلک</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 فإنّ المشار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فیحتمل أن یکون وسط</w:t>
      </w:r>
    </w:p>
    <w:p>
      <w:pPr>
        <w:pStyle w:val="BookText"/>
        <w:rPr/>
      </w:pPr>
      <w:r>
        <w:rPr>
          <w:rFonts w:ascii="Amiri" w:hAnsi="Amiri" w:eastAsia="Amiri" w:cs="Amiri"/>
          <w:color w:val="111111"/>
          <w:sz w:val="28"/>
          <w:sz w:val="28"/>
          <w:szCs w:val="28"/>
          <w:rtl w:val="true"/>
          <w:lang w:bidi="ar-SA"/>
        </w:rPr>
        <w:t>القدم، و هو أسفل من عظم الساق بحسب الابتداء من قامة الإنسان، فقوله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الراوی یعنی أشار إلی المفصل الذی هو دون عظم الساق أی أدون منه و هو مفصل وسط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استند إلیه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الدالّة بظواهرها علی استیعاب ظهر القدم بالمسح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الاستیعاب غیر مراد فیها جزما، مع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أدلّة المسح علی الرأس أو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مقام القضیّة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ممّا یمکن أن یستدلّ به لمذهب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ورد فی حدّ السارق من صحیحة زرارة المرویّة فی الفقیه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هلال المرویة فی 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السارق یقطع رجله الیسری من الکعب، و یترک له من قدمه ما یقوم علیه و یصلّی و یعبد اللّٰه </w:t>
      </w:r>
      <w:r>
        <w:rPr>
          <w:rStyle w:val="FootnoteAnchor"/>
          <w:rtl w:val="true"/>
        </w:rPr>
        <w:footnoteReference w:id="1200"/>
      </w:r>
      <w:r>
        <w:rPr>
          <w:rFonts w:ascii="IRNazanin" w:hAnsi="IRNazanin" w:eastAsia="IRNazanin"/>
          <w:color w:val="111111"/>
          <w:sz w:val="28"/>
          <w:sz w:val="28"/>
          <w:szCs w:val="28"/>
          <w:rtl w:val="true"/>
          <w:lang w:bidi="fa-IR"/>
        </w:rPr>
        <w:t xml:space="preserve">، بضمیمة ما دلّ علی أنّها تقطع من المفصل، کما فی الفقه الرضوی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معاویة بن عمّار المرویة عن نوادر ابن عیسی، عن أحمد ابن محمّد یعنی ابن أبی نصر، عن المسعودی، عن معاویة بن عمّار، عن</w:t>
      </w:r>
    </w:p>
    <w:p>
      <w:pPr>
        <w:pStyle w:val="BookText"/>
        <w:rPr/>
      </w:pPr>
      <w:r>
        <w:rPr>
          <w:rFonts w:ascii="IRNazanin" w:hAnsi="IRNazanin" w:eastAsia="IRNazanin"/>
          <w:color w:val="111111"/>
          <w:sz w:val="28"/>
          <w:sz w:val="28"/>
          <w:szCs w:val="28"/>
          <w:rtl w:val="true"/>
          <w:lang w:bidi="fa-IR"/>
        </w:rPr>
        <w:t>أبی عبد اللّٰه علیه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یقطع من السارق أربع أصابع و یترک الإبهام، و تقطع الرجل من المفصل و یترک العقب یطأ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ظاهر الأخیرة من روایتی الکعب حصر المتروک فیما یمکن أن یقوم علیه، و لا ریب أنّه العقب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وجه تأیّد الروایتین و مطابقتهما لأخبار أخر فی أنّه تقطع الرجل و یترک </w:t>
      </w:r>
      <w:r>
        <w:rPr>
          <w:rStyle w:val="FootnoteAnchor"/>
          <w:rtl w:val="true"/>
        </w:rPr>
        <w:footnoteReference w:id="1203"/>
      </w:r>
      <w:r>
        <w:rPr>
          <w:rFonts w:ascii="IRNazanin" w:hAnsi="IRNazanin" w:eastAsia="IRNazanin"/>
          <w:color w:val="111111"/>
          <w:sz w:val="28"/>
          <w:sz w:val="28"/>
          <w:szCs w:val="28"/>
          <w:rtl w:val="true"/>
          <w:lang w:bidi="fa-IR"/>
        </w:rPr>
        <w:t xml:space="preserve">العقب فإنّ ظاهرها </w:t>
      </w:r>
      <w:r>
        <w:rPr>
          <w:rStyle w:val="FootnoteAnchor"/>
          <w:rtl w:val="true"/>
        </w:rPr>
        <w:footnoteReference w:id="1204"/>
      </w:r>
      <w:r>
        <w:rPr>
          <w:rFonts w:ascii="IRNazanin" w:hAnsi="IRNazanin" w:eastAsia="IRNazanin"/>
          <w:color w:val="111111"/>
          <w:sz w:val="28"/>
          <w:sz w:val="28"/>
          <w:szCs w:val="28"/>
          <w:rtl w:val="true"/>
          <w:lang w:bidi="fa-IR"/>
        </w:rPr>
        <w:t>قطع ما عدا العقب، و لذا صرّح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Style w:val="FootnoteAnchor"/>
          <w:rtl w:val="true"/>
        </w:rPr>
        <w:footnoteReference w:id="1205"/>
      </w:r>
      <w:r>
        <w:rPr>
          <w:rFonts w:ascii="IRNazanin" w:hAnsi="IRNazanin" w:eastAsia="IRNazanin"/>
          <w:color w:val="111111"/>
          <w:sz w:val="28"/>
          <w:sz w:val="28"/>
          <w:szCs w:val="28"/>
          <w:rtl w:val="true"/>
          <w:lang w:bidi="fa-IR"/>
        </w:rPr>
        <w:t xml:space="preserve">و النهایة </w:t>
      </w:r>
      <w:r>
        <w:rPr>
          <w:rStyle w:val="FootnoteAnchor"/>
          <w:rtl w:val="true"/>
        </w:rPr>
        <w:footnoteReference w:id="1206"/>
      </w:r>
      <w:r>
        <w:rPr>
          <w:rFonts w:ascii="IRNazanin" w:hAnsi="IRNazanin" w:eastAsia="IRNazanin"/>
          <w:color w:val="111111"/>
          <w:sz w:val="28"/>
          <w:sz w:val="28"/>
          <w:szCs w:val="28"/>
          <w:rtl w:val="true"/>
          <w:lang w:bidi="fa-IR"/>
        </w:rPr>
        <w:t>التی هی مضامین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سلّار </w:t>
      </w:r>
      <w:r>
        <w:rPr>
          <w:rStyle w:val="FootnoteAnchor"/>
          <w:rtl w:val="true"/>
        </w:rPr>
        <w:footnoteReference w:id="1207"/>
      </w:r>
      <w:r>
        <w:rPr>
          <w:rFonts w:ascii="IRNazanin" w:hAnsi="IRNazanin" w:eastAsia="IRNazanin"/>
          <w:color w:val="111111"/>
          <w:sz w:val="28"/>
          <w:sz w:val="28"/>
          <w:szCs w:val="28"/>
          <w:rtl w:val="true"/>
          <w:lang w:bidi="fa-IR"/>
        </w:rPr>
        <w:t>بأنّه یقطع من أصل الساق و یترک له العقب، بل یظهر من الحلّی دعوی الإجماع،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رجله الیسری من مفصل المشط ما بین قبّة القدم و أصل الساق و یترک له بعض القدم الذی هو العقب </w:t>
      </w:r>
      <w:r>
        <w:rPr>
          <w:rStyle w:val="FootnoteAnchor"/>
          <w:rtl w:val="true"/>
        </w:rPr>
        <w:footnoteReference w:id="1208"/>
      </w:r>
      <w:r>
        <w:rPr>
          <w:rFonts w:ascii="IRNazanin" w:hAnsi="IRNazanin" w:eastAsia="IRNazanin"/>
          <w:color w:val="111111"/>
          <w:sz w:val="28"/>
          <w:sz w:val="28"/>
          <w:szCs w:val="28"/>
          <w:rtl w:val="true"/>
          <w:lang w:bidi="fa-IR"/>
        </w:rPr>
        <w:t xml:space="preserve">یعتمد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و هذا إجماع فقهاء أهل البیت علیهم السلام </w:t>
      </w:r>
      <w:r>
        <w:rPr>
          <w:rStyle w:val="FootnoteAnchor"/>
          <w:rtl w:val="true"/>
        </w:rPr>
        <w:footnoteReference w:id="1210"/>
      </w:r>
      <w:r>
        <w:rPr>
          <w:rFonts w:ascii="IRNazanin" w:hAnsi="IRNazanin" w:eastAsia="IRNazanin"/>
          <w:color w:val="111111"/>
          <w:sz w:val="28"/>
          <w:sz w:val="28"/>
          <w:szCs w:val="28"/>
          <w:rtl w:val="true"/>
          <w:lang w:bidi="fa-IR"/>
        </w:rPr>
        <w:t xml:space="preserve">، انتهی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جعله ما بین القبّة و أصل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 xml:space="preserve">ظهر القدم، کما یطلق علیه الآن، إذ لا مفصل بین القبّة و أصل الساق عدا مفصل الساق، مع أنّ دأب الحلّی الفرض </w:t>
      </w:r>
      <w:r>
        <w:rPr>
          <w:rStyle w:val="FootnoteAnchor"/>
          <w:rtl w:val="true"/>
        </w:rPr>
        <w:footnoteReference w:id="1212"/>
      </w:r>
      <w:r>
        <w:rPr>
          <w:rFonts w:ascii="IRNazanin" w:hAnsi="IRNazanin" w:eastAsia="IRNazanin"/>
          <w:color w:val="111111"/>
          <w:sz w:val="28"/>
          <w:sz w:val="28"/>
          <w:szCs w:val="28"/>
          <w:rtl w:val="true"/>
          <w:lang w:bidi="fa-IR"/>
        </w:rPr>
        <w:t>لمخالفة الشیخین فی المقنعة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فی کنز العرفان إلی أصحابنا و الأخبار الواردة عن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یقطع الرجل و یترک العقب </w:t>
      </w:r>
      <w:r>
        <w:rPr>
          <w:rStyle w:val="FootnoteAnchor"/>
          <w:rtl w:val="true"/>
        </w:rPr>
        <w:footnoteReference w:id="1213"/>
      </w:r>
      <w:r>
        <w:rPr>
          <w:rFonts w:ascii="IRNazanin" w:hAnsi="IRNazanin" w:eastAsia="IRNazanin"/>
          <w:color w:val="111111"/>
          <w:sz w:val="28"/>
          <w:sz w:val="28"/>
          <w:szCs w:val="28"/>
          <w:rtl w:val="true"/>
          <w:lang w:bidi="fa-IR"/>
        </w:rPr>
        <w:t>، و هو ظاهر فی عدم ترک غیره، و منه یعلم معنی المشط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یقطع مشط رجله الیسری من المفصل و یترک له مؤخّر القدم و العقب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کالمحقّق </w:t>
      </w:r>
      <w:r>
        <w:rPr>
          <w:rStyle w:val="FootnoteAnchor"/>
          <w:rtl w:val="true"/>
        </w:rPr>
        <w:footnoteReference w:id="1215"/>
      </w:r>
      <w:r>
        <w:rPr>
          <w:rFonts w:ascii="Amiri" w:hAnsi="Amiri" w:eastAsia="Amiri" w:cs="Amiri"/>
          <w:color w:val="111111"/>
          <w:sz w:val="28"/>
          <w:sz w:val="28"/>
          <w:szCs w:val="28"/>
          <w:rtl w:val="true"/>
          <w:lang w:bidi="ar-SA"/>
        </w:rPr>
        <w:t xml:space="preserve">و العلّامة </w:t>
      </w:r>
      <w:r>
        <w:rPr>
          <w:rStyle w:val="FootnoteAnchor"/>
          <w:rtl w:val="true"/>
        </w:rPr>
        <w:footnoteReference w:id="1216"/>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یقطع من مفصل القدم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یظهر من المحکی عن جماعة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w:t>
      </w:r>
      <w:r>
        <w:rPr>
          <w:rStyle w:val="FootnoteAnchor"/>
          <w:rtl w:val="true"/>
        </w:rPr>
        <w:footnoteReference w:id="1218"/>
      </w:r>
      <w:r>
        <w:rPr>
          <w:rFonts w:ascii="IRNazanin" w:hAnsi="IRNazanin" w:eastAsia="IRNazanin"/>
          <w:color w:val="111111"/>
          <w:sz w:val="28"/>
          <w:sz w:val="28"/>
          <w:szCs w:val="28"/>
          <w:rtl w:val="true"/>
          <w:lang w:bidi="fa-IR"/>
        </w:rPr>
        <w:t xml:space="preserve">و الشیخ </w:t>
      </w:r>
      <w:r>
        <w:rPr>
          <w:rStyle w:val="FootnoteAnchor"/>
          <w:rtl w:val="true"/>
        </w:rPr>
        <w:footnoteReference w:id="1219"/>
      </w:r>
      <w:r>
        <w:rPr>
          <w:rFonts w:ascii="IRNazanin" w:hAnsi="IRNazanin" w:eastAsia="IRNazanin"/>
          <w:color w:val="111111"/>
          <w:sz w:val="28"/>
          <w:sz w:val="28"/>
          <w:szCs w:val="28"/>
          <w:rtl w:val="true"/>
          <w:lang w:bidi="fa-IR"/>
        </w:rPr>
        <w:t xml:space="preserve">و الحلبی </w:t>
      </w:r>
      <w:r>
        <w:rPr>
          <w:rStyle w:val="FootnoteAnchor"/>
          <w:rtl w:val="true"/>
        </w:rPr>
        <w:footnoteReference w:id="1220"/>
      </w:r>
      <w:r>
        <w:rPr>
          <w:rFonts w:ascii="Amiri" w:hAnsi="Amiri" w:eastAsia="Amiri" w:cs="Amiri"/>
          <w:color w:val="111111"/>
          <w:sz w:val="28"/>
          <w:sz w:val="28"/>
          <w:szCs w:val="28"/>
          <w:rtl w:val="true"/>
          <w:lang w:bidi="ar-SA"/>
        </w:rPr>
        <w:t xml:space="preserve">و ابن حمزة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بخلاف ذلک مدّعیا علیه فی</w:t>
      </w:r>
    </w:p>
    <w:p>
      <w:pPr>
        <w:pStyle w:val="BookText"/>
        <w:rPr/>
      </w:pPr>
      <w:r>
        <w:rPr>
          <w:rFonts w:ascii="IRNazanin" w:hAnsi="IRNazanin" w:eastAsia="IRNazanin"/>
          <w:color w:val="111111"/>
          <w:sz w:val="28"/>
          <w:sz w:val="28"/>
          <w:szCs w:val="28"/>
          <w:rtl w:val="true"/>
          <w:lang w:bidi="fa-IR"/>
        </w:rPr>
        <w:t xml:space="preserve">الخلاف إجماع الفرقة و أخبارهم و أنّه المشهور عن علیّ علیه السلام </w:t>
      </w:r>
      <w:r>
        <w:rPr>
          <w:rStyle w:val="FootnoteAnchor"/>
          <w:rtl w:val="true"/>
        </w:rPr>
        <w:footnoteReference w:id="1222"/>
      </w:r>
      <w:r>
        <w:rPr>
          <w:rFonts w:ascii="IRNazanin" w:hAnsi="IRNazanin" w:eastAsia="IRNazanin"/>
          <w:color w:val="111111"/>
          <w:sz w:val="28"/>
          <w:sz w:val="28"/>
          <w:szCs w:val="28"/>
          <w:rtl w:val="true"/>
          <w:lang w:bidi="fa-IR"/>
        </w:rPr>
        <w:t xml:space="preserve">، إلّا أنّه لا یبعد حملها علی ما نصّ علیه الجماعة المتقدّمة بعد اتّحاد مراد الجمیع، لدعوی جماعة </w:t>
      </w:r>
      <w:r>
        <w:rPr>
          <w:rStyle w:val="FootnoteAnchor"/>
          <w:rtl w:val="true"/>
        </w:rPr>
        <w:footnoteReference w:id="1223"/>
      </w:r>
      <w:r>
        <w:rPr>
          <w:rFonts w:ascii="IRNazanin" w:hAnsi="IRNazanin" w:eastAsia="IRNazanin"/>
          <w:color w:val="111111"/>
          <w:sz w:val="28"/>
          <w:sz w:val="28"/>
          <w:szCs w:val="28"/>
          <w:rtl w:val="true"/>
          <w:lang w:bidi="fa-IR"/>
        </w:rPr>
        <w:t xml:space="preserve">الإجماع فی المسألة و عدم الخلاف فیما بین الخاصّة، کما أنّ روایتی الکعب و إن أمکن تفسیرهما بروایة سماعة الواردة فی أنّه یقطع الرجل من وسط القدم </w:t>
      </w:r>
      <w:r>
        <w:rPr>
          <w:rStyle w:val="FootnoteAnchor"/>
          <w:rtl w:val="true"/>
        </w:rPr>
        <w:footnoteReference w:id="1224"/>
      </w:r>
      <w:r>
        <w:rPr>
          <w:rFonts w:ascii="IRNazanin" w:hAnsi="IRNazanin" w:eastAsia="IRNazanin"/>
          <w:color w:val="111111"/>
          <w:sz w:val="28"/>
          <w:sz w:val="28"/>
          <w:szCs w:val="28"/>
          <w:rtl w:val="true"/>
          <w:lang w:bidi="fa-IR"/>
        </w:rPr>
        <w:t>، إلّا أنّ الأخبار الدالّة علی المفصل أظهر و أکثر و أرجح، لموافقتها الأخبار الظاهرة فی قطع ما عدا العقب، فتحمل روایة الوسط علی إرادة ما بین عجز القدم و هو العقب، و ما عداه إلی الأصابع، فیلتئم الأخبار باتّحاد الکعب و المفصل و قطع ما عدا العقب، کما التأم کلمات الأصحاب، بناء علی عدم الخلاف فی المسألة بإرجاع الظاهر منها إلی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عکس فی الریاض فی باب الحدود، و هو بعید، للزوم طرح النصّ منها، بالظاهر، و أبعد منه حمله أخبار المفصل علی التقیّة لموافقتها لمذهب العامّة </w:t>
      </w:r>
      <w:r>
        <w:rPr>
          <w:rStyle w:val="FootnoteAnchor"/>
          <w:rtl w:val="true"/>
        </w:rPr>
        <w:footnoteReference w:id="1225"/>
      </w:r>
      <w:r>
        <w:rPr>
          <w:rFonts w:ascii="IRNazanin" w:hAnsi="IRNazanin" w:eastAsia="IRNazanin"/>
          <w:color w:val="111111"/>
          <w:sz w:val="28"/>
          <w:sz w:val="28"/>
          <w:szCs w:val="28"/>
          <w:rtl w:val="true"/>
          <w:lang w:bidi="fa-IR"/>
        </w:rPr>
        <w:t>، مع أنّ تلک الأخبار صریحة فی مخالفة العامّة من حیث صراحتها فی وجوب إبقاء العقب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ممّا ذکرنا ضعف الاستدلال لظاهر المشهور بالنصوص و الفتاوی المذکورة فی قطع السارق، کما فعله العلّامة البهبهانی قدّس سرّه </w:t>
      </w:r>
      <w:r>
        <w:rPr>
          <w:rStyle w:val="FootnoteAnchor"/>
          <w:rtl w:val="true"/>
        </w:rPr>
        <w:footnoteReference w:id="1226"/>
      </w:r>
      <w:r>
        <w:rPr>
          <w:rFonts w:ascii="IRNazanin" w:hAnsi="IRNazanin" w:eastAsia="IRNazanin"/>
          <w:color w:val="111111"/>
          <w:sz w:val="28"/>
          <w:sz w:val="28"/>
          <w:szCs w:val="28"/>
          <w:rtl w:val="true"/>
          <w:lang w:bidi="fa-IR"/>
        </w:rPr>
        <w:t>، بل عرفت أنّ الاستدلال بها للعلّامة أولی، ثمّ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کلّه فرع اتّحاد موضوع المسألتین، و العلم بکون محلّ القطع هو الکعب المبحوث عنه فی الطهارة، و هو قابل للمنع فإنّ أحدا لم ینکر إطلاق الکعب لغة و عرفا علی غیر هذا المعنی المشهور، ألا تری أنّ الشهیدین </w:t>
      </w:r>
      <w:r>
        <w:rPr>
          <w:rStyle w:val="FootnoteAnchor"/>
          <w:rtl w:val="true"/>
        </w:rPr>
        <w:footnoteReference w:id="1227"/>
      </w:r>
      <w:r>
        <w:rPr>
          <w:rFonts w:ascii="IRNazanin" w:hAnsi="IRNazanin" w:eastAsia="IRNazanin"/>
          <w:color w:val="111111"/>
          <w:sz w:val="28"/>
          <w:sz w:val="28"/>
          <w:szCs w:val="28"/>
          <w:rtl w:val="true"/>
          <w:lang w:bidi="fa-IR"/>
        </w:rPr>
        <w:t>مع طعنهما علی العلّامة هنا بمخالفة الإجماع، 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کالفاضلین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السارق من مفصل القدم </w:t>
      </w:r>
      <w:r>
        <w:rPr>
          <w:rStyle w:val="FootnoteAnchor"/>
          <w:rtl w:val="true"/>
        </w:rPr>
        <w:footnoteReference w:id="1229"/>
      </w:r>
      <w:r>
        <w:rPr>
          <w:rFonts w:ascii="IRNazanin" w:hAnsi="IRNazanin" w:eastAsia="IRNazanin"/>
          <w:color w:val="111111"/>
          <w:sz w:val="28"/>
          <w:sz w:val="28"/>
          <w:szCs w:val="28"/>
          <w:rtl w:val="true"/>
          <w:lang w:bidi="fa-IR"/>
        </w:rPr>
        <w:t>، الظاهر فی مفصل الساق لا مفصل القبّة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فصرف کلمات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معاقد إجماعاتهم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ظواهرها فی غایة الإشکال، خصوصا مع تصریح بعض مدّعی الإجماع بعدم مشروعیّة مسح الرجلین إلی عظم الساق کالشیخ فی المبسوط </w:t>
      </w:r>
      <w:r>
        <w:rPr>
          <w:rStyle w:val="FootnoteAnchor"/>
          <w:rtl w:val="true"/>
        </w:rPr>
        <w:footnoteReference w:id="1230"/>
      </w:r>
      <w:r>
        <w:rPr>
          <w:rFonts w:ascii="IRNazanin" w:hAnsi="IRNazanin" w:eastAsia="IRNazanin"/>
          <w:color w:val="111111"/>
          <w:sz w:val="28"/>
          <w:sz w:val="28"/>
          <w:szCs w:val="28"/>
          <w:rtl w:val="true"/>
          <w:lang w:bidi="fa-IR"/>
        </w:rPr>
        <w:t xml:space="preserve">، بل لا یجری فی بعضها کدعوی الشهید </w:t>
      </w:r>
      <w:r>
        <w:rPr>
          <w:rStyle w:val="FootnoteAnchor"/>
          <w:rtl w:val="true"/>
        </w:rPr>
        <w:footnoteReference w:id="1231"/>
      </w:r>
      <w:r>
        <w:rPr>
          <w:rFonts w:ascii="IRNazanin" w:hAnsi="IRNazanin" w:eastAsia="IRNazanin"/>
          <w:color w:val="111111"/>
          <w:sz w:val="28"/>
          <w:sz w:val="28"/>
          <w:szCs w:val="28"/>
          <w:rtl w:val="true"/>
          <w:lang w:bidi="fa-IR"/>
        </w:rPr>
        <w:t xml:space="preserve">و صاحب المدارک </w:t>
      </w:r>
      <w:r>
        <w:rPr>
          <w:rStyle w:val="FootnoteAnchor"/>
          <w:rtl w:val="true"/>
        </w:rPr>
        <w:footnoteReference w:id="1232"/>
      </w:r>
      <w:r>
        <w:rPr>
          <w:rFonts w:ascii="IRNazanin" w:hAnsi="IRNazanin" w:eastAsia="IRNazanin"/>
          <w:color w:val="111111"/>
          <w:sz w:val="28"/>
          <w:sz w:val="28"/>
          <w:szCs w:val="28"/>
          <w:rtl w:val="true"/>
          <w:lang w:bidi="fa-IR"/>
        </w:rPr>
        <w:t xml:space="preserve">إجماع اللغویین منّا علی معنی الکعب، و دعوی الشهید </w:t>
      </w:r>
      <w:r>
        <w:rPr>
          <w:rStyle w:val="FootnoteAnchor"/>
          <w:rtl w:val="true"/>
        </w:rPr>
        <w:footnoteReference w:id="1233"/>
      </w:r>
      <w:r>
        <w:rPr>
          <w:rFonts w:ascii="IRNazanin" w:hAnsi="IRNazanin" w:eastAsia="IRNazanin"/>
          <w:color w:val="111111"/>
          <w:sz w:val="28"/>
          <w:sz w:val="28"/>
          <w:szCs w:val="28"/>
          <w:rtl w:val="true"/>
          <w:lang w:bidi="fa-IR"/>
        </w:rPr>
        <w:t xml:space="preserve">و غیره </w:t>
      </w:r>
      <w:r>
        <w:rPr>
          <w:rStyle w:val="FootnoteAnchor"/>
          <w:rtl w:val="true"/>
        </w:rPr>
        <w:footnoteReference w:id="1234"/>
      </w:r>
      <w:r>
        <w:rPr>
          <w:rFonts w:ascii="IRNazanin" w:hAnsi="IRNazanin" w:eastAsia="IRNazanin"/>
          <w:color w:val="111111"/>
          <w:sz w:val="28"/>
          <w:sz w:val="28"/>
          <w:szCs w:val="28"/>
          <w:rtl w:val="true"/>
          <w:lang w:bidi="fa-IR"/>
        </w:rPr>
        <w:t xml:space="preserve">الإجماع علی أنّ المراد قبّة القدم و غیرهما </w:t>
      </w:r>
      <w:r>
        <w:rPr>
          <w:rStyle w:val="FootnoteAnchor"/>
          <w:rtl w:val="true"/>
        </w:rPr>
        <w:footnoteReference w:id="1235"/>
      </w:r>
      <w:r>
        <w:rPr>
          <w:rFonts w:ascii="IRNazanin" w:hAnsi="IRNazanin" w:eastAsia="IRNazanin"/>
          <w:color w:val="111111"/>
          <w:sz w:val="28"/>
          <w:sz w:val="28"/>
          <w:szCs w:val="28"/>
          <w:rtl w:val="true"/>
          <w:lang w:bidi="fa-IR"/>
        </w:rPr>
        <w:t>من دعاوی الإجماع المتأخّرة عن العلّامة المطعون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مستندة إلی ظاهر کلمات من تقدّم </w:t>
      </w:r>
      <w:r>
        <w:rPr>
          <w:rStyle w:val="FootnoteAnchor"/>
          <w:rtl w:val="true"/>
        </w:rPr>
        <w:footnoteReference w:id="1236"/>
      </w:r>
      <w:r>
        <w:rPr>
          <w:rFonts w:ascii="IRNazanin" w:hAnsi="IRNazanin" w:eastAsia="IRNazanin"/>
          <w:color w:val="111111"/>
          <w:sz w:val="28"/>
          <w:sz w:val="28"/>
          <w:szCs w:val="28"/>
          <w:rtl w:val="true"/>
          <w:lang w:bidi="fa-IR"/>
        </w:rPr>
        <w:t>علیهم فی فتاویهم و معاقد إجماعاتهم، فلا ینهض دلیلا و إلّا لعورض بدعوی العلّامة و من تبعه الإجماع علی الکعب بالمعنی الآخر مع احتمال اطّلاعه علی قرینة صارفة لم یطّلع علیها الآخرون، و المثبت مقدّم علی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تساقط الدعاوی بعد العلّامة للعلم باستناد کلّ منهما إلی ما فهمه من کلمات المجمعین، فبقی الإجماعات المحکیّة فی کلمات من تقدّم، فالتمسّک بها فی إثبات الکعب بالمعنی المشهور لا غبار علیه، مضافا إلی أخبار عدم استبطان الشراک </w:t>
      </w:r>
      <w:r>
        <w:rPr>
          <w:rStyle w:val="FootnoteAnchor"/>
          <w:rtl w:val="true"/>
        </w:rPr>
        <w:footnoteReference w:id="1237"/>
      </w:r>
      <w:r>
        <w:rPr>
          <w:rFonts w:ascii="IRNazanin" w:hAnsi="IRNazanin" w:eastAsia="IRNazanin"/>
          <w:color w:val="111111"/>
          <w:sz w:val="28"/>
          <w:sz w:val="28"/>
          <w:szCs w:val="28"/>
          <w:rtl w:val="true"/>
          <w:lang w:bidi="fa-IR"/>
        </w:rPr>
        <w:t>، فإنّ مقتضی العمل بظاهر ما دلّ علی وجوب استیعاب الممسوح طولا جعل معقد الشراک خارجا عن محلّ الفرض، و لا یتمّ إلّا بجعل آخر محلّ الفرض قبل معقد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یناسب ذلک مذهب العلّامة مع تصریحه فی المنتهی بوجوب إدخال الکعب فی المسح </w:t>
      </w:r>
      <w:r>
        <w:rPr>
          <w:rStyle w:val="FootnoteAnchor"/>
          <w:rtl w:val="true"/>
        </w:rPr>
        <w:footnoteReference w:id="1238"/>
      </w:r>
      <w:r>
        <w:rPr>
          <w:rFonts w:ascii="IRNazanin" w:hAnsi="IRNazanin" w:eastAsia="IRNazanin"/>
          <w:color w:val="111111"/>
          <w:sz w:val="28"/>
          <w:sz w:val="28"/>
          <w:szCs w:val="28"/>
          <w:rtl w:val="true"/>
          <w:lang w:bidi="fa-IR"/>
        </w:rPr>
        <w:t>، و سیجی‌ء تمام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منکوسا، و لیس بین الرجلین ترتیب، و إذا قطع بعض موضع المسح مسح علی ما بقی، فإن قطع من الکعب سقط المسح علی القدم</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المسح علی بشرة القدمین </w:t>
      </w:r>
      <w:r>
        <w:rPr>
          <w:rStyle w:val="FootnoteAnchor"/>
          <w:rtl w:val="true"/>
        </w:rPr>
        <w:footnoteReference w:id="1240"/>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یجزی علی </w:t>
      </w:r>
      <w:r>
        <w:rPr>
          <w:rStyle w:val="FootnoteAnchor"/>
          <w:rtl w:val="true"/>
        </w:rPr>
        <w:footnoteReference w:id="1242"/>
      </w:r>
      <w:r>
        <w:rPr>
          <w:rFonts w:ascii="IRNazanin" w:hAnsi="IRNazanin" w:eastAsia="IRNazanin"/>
          <w:color w:val="111111"/>
          <w:sz w:val="28"/>
          <w:sz w:val="28"/>
          <w:szCs w:val="28"/>
          <w:rtl w:val="true"/>
          <w:lang w:bidi="fa-IR"/>
        </w:rPr>
        <w:t>شعرهما فی</w:t>
      </w:r>
    </w:p>
    <w:p>
      <w:pPr>
        <w:pStyle w:val="BookText"/>
        <w:rPr/>
      </w:pPr>
      <w:r>
        <w:rPr>
          <w:rFonts w:ascii="IRNazanin" w:hAnsi="IRNazanin" w:eastAsia="IRNazanin"/>
          <w:color w:val="111111"/>
          <w:sz w:val="28"/>
          <w:sz w:val="28"/>
          <w:szCs w:val="28"/>
          <w:rtl w:val="true"/>
          <w:lang w:bidi="fa-IR"/>
        </w:rPr>
        <w:t xml:space="preserve">ظاهر کلمات الأصحاب کما فی الحدائق </w:t>
      </w:r>
      <w:r>
        <w:rPr>
          <w:rStyle w:val="FootnoteAnchor"/>
          <w:rtl w:val="true"/>
        </w:rPr>
        <w:footnoteReference w:id="1243"/>
      </w:r>
      <w:r>
        <w:rPr>
          <w:rFonts w:ascii="IRNazanin" w:hAnsi="IRNazanin" w:eastAsia="IRNazanin"/>
          <w:color w:val="111111"/>
          <w:sz w:val="28"/>
          <w:sz w:val="28"/>
          <w:szCs w:val="28"/>
          <w:rtl w:val="true"/>
          <w:lang w:bidi="fa-IR"/>
        </w:rPr>
        <w:t>، و التمسّک فی الجواز بعموم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أحاط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ضعفه </w:t>
      </w:r>
      <w:r>
        <w:rPr>
          <w:rStyle w:val="FootnoteAnchor"/>
          <w:rtl w:val="true"/>
        </w:rPr>
        <w:footnoteReference w:id="1245"/>
      </w:r>
      <w:r>
        <w:rPr>
          <w:rFonts w:ascii="IRNazanin" w:hAnsi="IRNazanin" w:eastAsia="IRNazanin"/>
          <w:color w:val="111111"/>
          <w:sz w:val="28"/>
          <w:sz w:val="28"/>
          <w:szCs w:val="28"/>
          <w:rtl w:val="true"/>
          <w:lang w:bidi="fa-IR"/>
        </w:rPr>
        <w:t>، لکنّ الإنصاف أنّ وجود الشعرات الضعیفة المتفرّقة لا یمنع من صدق المسح علی الرجل، و إیجاب إزالتها دائما حرج، و التخلیل فی المسح غیر ممکن، و المسح علی شعر الرأس قد تقدّم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خفّ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الاختیار، بلا خلاف ظاهر، بل إجماعا محقّقا من </w:t>
      </w:r>
      <w:r>
        <w:rPr>
          <w:rStyle w:val="FootnoteAnchor"/>
          <w:rtl w:val="true"/>
        </w:rPr>
        <w:footnoteReference w:id="1246"/>
      </w:r>
      <w:r>
        <w:rPr>
          <w:rFonts w:ascii="Amiri" w:hAnsi="Amiri" w:eastAsia="Amiri" w:cs="Amiri"/>
          <w:color w:val="111111"/>
          <w:sz w:val="28"/>
          <w:sz w:val="28"/>
          <w:szCs w:val="28"/>
          <w:rtl w:val="true"/>
          <w:lang w:bidi="ar-SA"/>
        </w:rPr>
        <w:t xml:space="preserve">عبارة </w:t>
      </w:r>
      <w:r>
        <w:rPr>
          <w:rStyle w:val="FootnoteAnchor"/>
          <w:rtl w:val="true"/>
        </w:rPr>
        <w:footnoteReference w:id="1247"/>
      </w:r>
      <w:r>
        <w:rPr>
          <w:rFonts w:ascii="IRNazanin" w:hAnsi="IRNazanin" w:eastAsia="IRNazanin"/>
          <w:color w:val="111111"/>
          <w:sz w:val="28"/>
          <w:sz w:val="28"/>
          <w:szCs w:val="28"/>
          <w:rtl w:val="true"/>
          <w:lang w:bidi="fa-IR"/>
        </w:rPr>
        <w:t>التذکرة المتقدّمة فی مسألة الکعب،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المسح علی النعل من غیر أن یدخل یده تحت الشراک،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تخلّف ما تحته أو بعضه، ففیه إشکال، أقربه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ینسحب إلی ما یشبهه کالسیر فی الخشب إشکال، و کذا لو ربط رجلیه بسیر للحاجة و فی العبث إشکال </w:t>
      </w:r>
      <w:r>
        <w:rPr>
          <w:rStyle w:val="FootnoteAnchor"/>
          <w:rtl w:val="true"/>
        </w:rPr>
        <w:footnoteReference w:id="12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الظاهر من الذکری،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عبارة الإسکافی الدالّة علی جواز المسح علی النعل و کلّ ما لا یمنع وصول الید إلی مماسّة القدمین، و بعد حکایة استشکال العلّامة فی التذکرة فی سیر الخشب و المربوط لحاجة أو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السیر للحاجة فیلحق بالجبائر، و أمّا العبث فإن منع</w:t>
      </w:r>
    </w:p>
    <w:p>
      <w:pPr>
        <w:pStyle w:val="BookText"/>
        <w:rPr/>
      </w:pPr>
      <w:r>
        <w:rPr>
          <w:rFonts w:ascii="IRNazanin" w:hAnsi="IRNazanin" w:eastAsia="IRNazanin"/>
          <w:color w:val="111111"/>
          <w:sz w:val="28"/>
          <w:sz w:val="28"/>
          <w:szCs w:val="28"/>
          <w:rtl w:val="true"/>
          <w:lang w:bidi="fa-IR"/>
        </w:rPr>
        <w:t xml:space="preserve">فالأقرب الفساد إذا </w:t>
      </w:r>
      <w:r>
        <w:rPr>
          <w:rStyle w:val="FootnoteAnchor"/>
          <w:rtl w:val="true"/>
        </w:rPr>
        <w:footnoteReference w:id="1249"/>
      </w:r>
      <w:r>
        <w:rPr>
          <w:rFonts w:ascii="IRNazanin" w:hAnsi="IRNazanin" w:eastAsia="IRNazanin"/>
          <w:color w:val="111111"/>
          <w:sz w:val="28"/>
          <w:sz w:val="28"/>
          <w:szCs w:val="28"/>
          <w:rtl w:val="true"/>
          <w:lang w:bidi="fa-IR"/>
        </w:rPr>
        <w:t xml:space="preserve">أوجبنا المسح إلی الکعبین، و هو الأقرب کما مرّ، لأنّه یتخلّف </w:t>
      </w:r>
      <w:r>
        <w:rPr>
          <w:rStyle w:val="FootnoteAnchor"/>
          <w:rtl w:val="true"/>
        </w:rPr>
        <w:footnoteReference w:id="1250"/>
      </w:r>
      <w:r>
        <w:rPr>
          <w:rFonts w:ascii="IRNazanin" w:hAnsi="IRNazanin" w:eastAsia="IRNazanin"/>
          <w:color w:val="111111"/>
          <w:sz w:val="28"/>
          <w:sz w:val="28"/>
          <w:szCs w:val="28"/>
          <w:rtl w:val="true"/>
          <w:lang w:bidi="fa-IR"/>
        </w:rPr>
        <w:t xml:space="preserve">شی‌ء خارج عن النصّ </w:t>
      </w:r>
      <w:r>
        <w:rPr>
          <w:rStyle w:val="FootnoteAnchor"/>
          <w:rtl w:val="true"/>
        </w:rPr>
        <w:footnoteReference w:id="12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الاستثناء لازم لکلّ من أدخل الکعب فی الممسوح، سواء قال بأنّه مفصل الساق و القدم کالعلّامة </w:t>
      </w:r>
      <w:r>
        <w:rPr>
          <w:rStyle w:val="FootnoteAnchor"/>
          <w:rtl w:val="true"/>
        </w:rPr>
        <w:footnoteReference w:id="1252"/>
      </w:r>
      <w:r>
        <w:rPr>
          <w:rFonts w:ascii="IRNazanin" w:hAnsi="IRNazanin" w:eastAsia="IRNazanin"/>
          <w:color w:val="111111"/>
          <w:sz w:val="28"/>
          <w:sz w:val="28"/>
          <w:szCs w:val="28"/>
          <w:rtl w:val="true"/>
          <w:lang w:bidi="fa-IR"/>
        </w:rPr>
        <w:t xml:space="preserve">، أم قال بالمشهور کالمحقّق الثانی </w:t>
      </w:r>
      <w:r>
        <w:rPr>
          <w:rStyle w:val="FootnoteAnchor"/>
          <w:rtl w:val="true"/>
        </w:rPr>
        <w:footnoteReference w:id="1253"/>
      </w:r>
      <w:r>
        <w:rPr>
          <w:rFonts w:ascii="IRNazanin" w:hAnsi="IRNazanin" w:eastAsia="IRNazanin"/>
          <w:color w:val="111111"/>
          <w:sz w:val="28"/>
          <w:sz w:val="28"/>
          <w:szCs w:val="28"/>
          <w:rtl w:val="true"/>
          <w:lang w:bidi="fa-IR"/>
        </w:rPr>
        <w:t>، لأنّ الکعب عندهم معقد الشراک فلا بدّ من ستره لجزء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العلّامة فی المنتهی، مع إیجابه إدخال الکعب، استدلّ علی عدم وجوب استبطان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للمحقق فی المعتبر، الذی صرّح فیه بعدم وجوب إدخال الکعب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یمنع مسح محلّ الفرض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سبقهما إلی ذلک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التهذیب، حیث حمل المسح علی النعل الوارد فی الأخبار علی النعل العربیة،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تمنع من إیصال الماء إلی ما یجب مسحه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نحوهما المحکی فی الذکری عن ابن الجنید </w:t>
      </w:r>
      <w:r>
        <w:rPr>
          <w:rStyle w:val="FootnoteAnchor"/>
          <w:rtl w:val="true"/>
        </w:rPr>
        <w:footnoteReference w:id="1258"/>
      </w:r>
      <w:r>
        <w:rPr>
          <w:rFonts w:ascii="IRNazanin" w:hAnsi="IRNazanin" w:eastAsia="IRNazanin"/>
          <w:color w:val="111111"/>
          <w:sz w:val="28"/>
          <w:sz w:val="28"/>
          <w:szCs w:val="28"/>
          <w:rtl w:val="true"/>
          <w:lang w:bidi="fa-IR"/>
        </w:rPr>
        <w:t>، و هو أیضا صریح ابن</w:t>
      </w:r>
    </w:p>
    <w:p>
      <w:pPr>
        <w:pStyle w:val="BookText"/>
        <w:rPr/>
      </w:pPr>
      <w:r>
        <w:rPr>
          <w:rFonts w:ascii="IRNazanin" w:hAnsi="IRNazanin" w:eastAsia="IRNazanin"/>
          <w:color w:val="111111"/>
          <w:sz w:val="28"/>
          <w:sz w:val="28"/>
          <w:szCs w:val="28"/>
          <w:rtl w:val="true"/>
          <w:lang w:bidi="fa-IR"/>
        </w:rPr>
        <w:t>إدریس فی السرائر حیث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النعل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المسح علی ما یحول،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منسوبا إلی العرب أو العجم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ینبغی التأمّل فی عدم وجوب استبطان الشراک، کما فی الأخبار المعتبرة </w:t>
      </w:r>
      <w:r>
        <w:rPr>
          <w:rStyle w:val="FootnoteAnchor"/>
          <w:rtl w:val="true"/>
        </w:rPr>
        <w:footnoteReference w:id="1260"/>
      </w:r>
      <w:r>
        <w:rPr>
          <w:rFonts w:ascii="IRNazanin" w:hAnsi="IRNazanin" w:eastAsia="IRNazanin"/>
          <w:color w:val="111111"/>
          <w:sz w:val="28"/>
          <w:sz w:val="28"/>
          <w:szCs w:val="28"/>
          <w:rtl w:val="true"/>
          <w:lang w:bidi="fa-IR"/>
        </w:rPr>
        <w:t>، و ظاهر ما تقدّم من الأصحاب فی تفسیر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معقد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جزء من الکعب، و حینئذ یکشف هذه الأخبار بعمومها عن خروج بعض الکعب عن محلّ المسح، فلا فرق حینئذ بین الشراک و غیرها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الغرائب جمع العلّامة فی المنتهی بین القول بکون الکعب هو المفصل و کونه معقد الشراک و دخوله فی الممسوح و تعلیل عدم استبطان الشراک بعدم منعه لمسح محلّ الفرض، مع أنّ </w:t>
      </w:r>
      <w:r>
        <w:rPr>
          <w:rStyle w:val="FootnoteAnchor"/>
          <w:rtl w:val="true"/>
        </w:rPr>
        <w:footnoteReference w:id="1261"/>
      </w:r>
      <w:r>
        <w:rPr>
          <w:rFonts w:ascii="IRNazanin" w:hAnsi="IRNazanin" w:eastAsia="IRNazanin"/>
          <w:color w:val="111111"/>
          <w:sz w:val="28"/>
          <w:sz w:val="28"/>
          <w:szCs w:val="28"/>
          <w:rtl w:val="true"/>
          <w:lang w:bidi="fa-IR"/>
        </w:rPr>
        <w:t xml:space="preserve">ظاهر أخبار الشراک بأجمعها هو المسح علی النعلین، و ربما یستظهر منه قیام الشراک مقام محلّه کالجبیرة، و لعلّ حکمته الوسعة علی العباد، و حینئذ فیکون هذه الأخبار علی خلاف القاعدة، إلّا أن یراد من المسح علی النعلین </w:t>
      </w:r>
      <w:r>
        <w:rPr>
          <w:rStyle w:val="FootnoteAnchor"/>
          <w:rtl w:val="true"/>
        </w:rPr>
        <w:footnoteReference w:id="1262"/>
      </w:r>
      <w:r>
        <w:rPr>
          <w:rFonts w:ascii="IRNazanin" w:hAnsi="IRNazanin" w:eastAsia="IRNazanin"/>
          <w:color w:val="111111"/>
          <w:sz w:val="28"/>
          <w:sz w:val="28"/>
          <w:szCs w:val="28"/>
          <w:rtl w:val="true"/>
          <w:lang w:bidi="fa-IR"/>
        </w:rPr>
        <w:t xml:space="preserve">المسح علی الرجل، و یکون ذلک تسامحا فی التعبیر من جهة لصوق النعل، فیکون المسح علیها </w:t>
      </w:r>
      <w:r>
        <w:rPr>
          <w:rStyle w:val="FootnoteAnchor"/>
          <w:rtl w:val="true"/>
        </w:rPr>
        <w:footnoteReference w:id="1263"/>
      </w:r>
      <w:r>
        <w:rPr>
          <w:rFonts w:ascii="IRNazanin" w:hAnsi="IRNazanin" w:eastAsia="IRNazanin"/>
          <w:color w:val="111111"/>
          <w:sz w:val="28"/>
          <w:sz w:val="28"/>
          <w:szCs w:val="28"/>
          <w:rtl w:val="true"/>
          <w:lang w:bidi="fa-IR"/>
        </w:rPr>
        <w:t>مسحا علی النعل، و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هذا التعبیر فی کلام الأصحاب، مع تعلیل أکثرهم بعدم کونه مانعا عن مسح محلّ الفرض، مع أنّهم لا یریدون مسح الشراک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یصحّ المسح علی الحائل و لا یعدّ جزءا من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للتقیّة</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من المخالفین، فإنّه یصحّ حینئذ بلا خلاف فیه فی الجملة، للحرج بترکه، فیسقط اعتبار مماسّة الماسح للبشرة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فیمسح علیه، کما نطق به روایة عبد الأعلی المتقدّمة فی وضع المرارة علی الرجل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الأخبار الخاصّة، ففی روایة أبی الورد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عدوّ تتّقیه أو ثلج تخافه علی رجلیک</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صحیحة زرارة المرویّة عن الکافی فی باب الأطعمة و الأشربة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المسح علی الخفّین 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 فی ثلاث،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 المسح علی الخفّین، و متعة الحجّ</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هشام فی الصحیح عن أبی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عمر تسعة أعشار الدین فی التقیّة، و لا دین لمن لا تقیّة له،</w:t>
      </w:r>
    </w:p>
    <w:p>
      <w:pPr>
        <w:pStyle w:val="BookText"/>
        <w:rPr/>
      </w:pPr>
      <w:r>
        <w:rPr>
          <w:rFonts w:ascii="IRNazanin" w:hAnsi="IRNazanin" w:eastAsia="IRNazanin"/>
          <w:color w:val="111111"/>
          <w:sz w:val="28"/>
          <w:sz w:val="28"/>
          <w:szCs w:val="28"/>
          <w:rtl w:val="true"/>
          <w:lang w:bidi="fa-IR"/>
        </w:rPr>
        <w:t>و التقیّة فی کلّ شی‌ء إلّا فی شرب النبیذ و المسح علی الخفّین و متعة الحجّ</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الدعائم،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 و دین آبائی إلّا فی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المسکر، و المسح علی الخفّین، و ترک الجهر ببسم اللّٰه الرحمن الرحیم</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مسح الخفّین 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أتّقی فیهنّ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المسکر و مسح الخفّین </w:t>
      </w:r>
      <w:r>
        <w:rPr>
          <w:rStyle w:val="FootnoteAnchor"/>
          <w:rtl w:val="true"/>
        </w:rPr>
        <w:footnoteReference w:id="1271"/>
      </w:r>
      <w:r>
        <w:rPr>
          <w:rFonts w:ascii="Amiri" w:hAnsi="Amiri" w:eastAsia="Amiri" w:cs="Amiri"/>
          <w:color w:val="111111"/>
          <w:sz w:val="28"/>
          <w:sz w:val="28"/>
          <w:szCs w:val="28"/>
          <w:rtl w:val="true"/>
          <w:lang w:bidi="ar-SA"/>
        </w:rPr>
        <w:t>و متعة الحجّ، قال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یقل الواجب علیکم أن لا تتّقوا فیهنّ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 زرارة یحتمل أن یرید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بیّن حکم نفسه علیه السلام لا حکمنا، فلعلّ الحکم مختصّ به، و یحتمل أن یرید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یوجب التقیّة فی هذه الثلاثة، کما فی سائر مواردها لا أنّه أوجب علینا ترکها </w:t>
      </w:r>
      <w:r>
        <w:rPr>
          <w:rStyle w:val="FootnoteAnchor"/>
          <w:rtl w:val="true"/>
        </w:rPr>
        <w:footnoteReference w:id="1273"/>
      </w:r>
      <w:r>
        <w:rPr>
          <w:rFonts w:ascii="IRNazanin" w:hAnsi="IRNazanin" w:eastAsia="IRNazanin"/>
          <w:color w:val="111111"/>
          <w:sz w:val="28"/>
          <w:sz w:val="28"/>
          <w:szCs w:val="28"/>
          <w:rtl w:val="true"/>
          <w:lang w:bidi="fa-IR"/>
        </w:rPr>
        <w:t xml:space="preserve">فکان هذا مستثنی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الدعائم، فیکون التقیّة هنا رخصة لا عزیمة کالتقیّة فی إظهار کلمة الکفر، و یکون النهی فی صحیحة الکافی محمولا علی المرجوحیة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یحمل روایة أبی الورد علی مورد الضرر الفعلیّ، دون التقیّة المبنیّة علی ملاحظة الضرر النوعیّ علی الشیعة باشتهارهم بمخالفة جمهور</w:t>
      </w:r>
    </w:p>
    <w:p>
      <w:pPr>
        <w:pStyle w:val="BookText"/>
        <w:rPr/>
      </w:pPr>
      <w:r>
        <w:rPr>
          <w:rFonts w:ascii="IRNazanin" w:hAnsi="IRNazanin" w:eastAsia="IRNazanin"/>
          <w:color w:val="111111"/>
          <w:sz w:val="28"/>
          <w:sz w:val="28"/>
          <w:szCs w:val="28"/>
          <w:rtl w:val="true"/>
          <w:lang w:bidi="fa-IR"/>
        </w:rPr>
        <w:t>الناس، دون الضرر الفعلی اللاحق للشخص بترک هذا الفعل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لهذا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البرد المعتبر فیه الضرر الشخصی إجماعا، لکن هذا مبنی علی أنّ التقیّة لا یعتبر فیها ترتّب الضرر الفعلیّ علی الترک، بل الحکمة فیها ملاحظة الضرر اللاحق من اجتماع الشیعة علی ترکها و اشتهارهم بخلافها، و هذا و إن کان یظهر من جملة من الأخبار، إلّا أنّ المستفاد من کثیر منها خلاف ذلک، ففی روایة البزنطی عن إبراهیم بن شیبة </w:t>
      </w:r>
      <w:r>
        <w:rPr>
          <w:rStyle w:val="FootnoteAnchor"/>
          <w:rtl w:val="true"/>
        </w:rPr>
        <w:footnoteReference w:id="12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جعفر الثانی علیه السلام أسأله عن الصلاة خلف من تولّی أمیر المؤمنین علیه السلام و هو یمسح علی الخفّین؟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خلف من یمسح علی الخفّین، فإن جامعک و إیّاهم موضع لا تجد بدّا من الصلاة معهم فأذّن لنفسک و أقم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معمّر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خاف المؤمن علی نفسه فیه ضرورة فله فیه التقیّة</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معناها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یضطرّ إلیه ابن آدم ففیه التقیّة</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 فإنّ ظاهرها بیان ضابط التقیّة و مدارها نفیا و إثباتا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المرسل المحکیّ فی الفقه الرضوی، عن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w:t>
      </w:r>
    </w:p>
    <w:p>
      <w:pPr>
        <w:pStyle w:val="BookText"/>
        <w:rPr/>
      </w:pPr>
      <w:r>
        <w:rPr>
          <w:rFonts w:ascii="IRNazanin" w:hAnsi="IRNazanin" w:eastAsia="IRNazanin"/>
          <w:color w:val="111111"/>
          <w:sz w:val="28"/>
          <w:sz w:val="28"/>
          <w:szCs w:val="28"/>
          <w:rtl w:val="true"/>
          <w:lang w:bidi="fa-IR"/>
        </w:rPr>
        <w:t>أحد إلّا خلف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تثق به و بدینه و ورعه، و الآخر من تتّقی سیفه و سوطه و شرّه و بوائقه و شنعته، فصلّ خلفه علی سبیل التقیّة و المداراة</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دعائم الإسلام بسنده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تصلّوا خلف ناصب و لا کرامة إلّا أن تخافوا علی أنفسکم أن تشهروا </w:t>
      </w:r>
      <w:r>
        <w:rPr>
          <w:rStyle w:val="FootnoteAnchor"/>
          <w:rtl w:val="true"/>
        </w:rPr>
        <w:footnoteReference w:id="1279"/>
      </w:r>
      <w:r>
        <w:rPr>
          <w:rFonts w:ascii="IRNazanin" w:hAnsi="IRNazanin" w:eastAsia="IRNazanin"/>
          <w:color w:val="111111"/>
          <w:sz w:val="28"/>
          <w:sz w:val="28"/>
          <w:szCs w:val="28"/>
          <w:rtl w:val="true"/>
          <w:lang w:bidi="fa-IR"/>
        </w:rPr>
        <w:t>و یشار إلیکم، فصلّوا فی بیوتکم، ثمّ صلّوا معهم و اجعلوا صلاتکم معهم تطوّعا</w:t>
      </w:r>
      <w:r>
        <w:rPr>
          <w:rFonts w:eastAsia="IRNazanin" w:cs="IRNazanin"/>
          <w:color w:val="111111"/>
          <w:sz w:val="28"/>
          <w:szCs w:val="28"/>
          <w:rtl w:val="true"/>
          <w:lang w:bidi="fa-IR"/>
        </w:rPr>
        <w:t xml:space="preserve">» </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التی یقف علیها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فالأظهر اعتبار ترتّب الضرر علی مخالفة التقیّة فی خصوص الواقعة، فتکون التقیّة کسائر الأعذار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اختلف فی أنّه هل یعتبر فی شرعیّتها عدم المندوحة و العجز عن أداء الواجب علی النهج المشروع، فیجب علیه التأخیر مع سعة الوقت و رجاء التمکّن فی آخره علی القول بذلک فی اولی الأعذار، و یجب الانتقال من مکان التقیّة إلی مکان الأمن، و کذا غیره من أنواع التخلّص، أم لا یجب، بل یکفی ترتّب الضرر علی مخالفة التقیّة حال الفعل و إن قدر علی التخلّص بتغیّر الوقت أو المکان أو إقامة المخالف من مجلسه إن تیسّر،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من تمسّک بأدلّة الحرج کالفاضلین </w:t>
      </w:r>
      <w:r>
        <w:rPr>
          <w:rStyle w:val="FootnoteAnchor"/>
          <w:rtl w:val="true"/>
        </w:rPr>
        <w:footnoteReference w:id="1281"/>
      </w:r>
      <w:r>
        <w:rPr>
          <w:rFonts w:ascii="IRNazanin" w:hAnsi="IRNazanin" w:eastAsia="IRNazanin"/>
          <w:color w:val="111111"/>
          <w:sz w:val="28"/>
          <w:sz w:val="28"/>
          <w:szCs w:val="28"/>
          <w:rtl w:val="true"/>
          <w:lang w:bidi="fa-IR"/>
        </w:rPr>
        <w:t xml:space="preserve">هو الأوّل، و صریح البیان </w:t>
      </w:r>
      <w:r>
        <w:rPr>
          <w:rStyle w:val="FootnoteAnchor"/>
          <w:rtl w:val="true"/>
        </w:rPr>
        <w:footnoteReference w:id="1282"/>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283"/>
      </w:r>
      <w:r>
        <w:rPr>
          <w:rFonts w:ascii="IRNazanin" w:hAnsi="IRNazanin" w:eastAsia="IRNazanin"/>
          <w:color w:val="111111"/>
          <w:sz w:val="28"/>
          <w:sz w:val="28"/>
          <w:szCs w:val="28"/>
          <w:rtl w:val="true"/>
          <w:lang w:bidi="fa-IR"/>
        </w:rPr>
        <w:t xml:space="preserve">و الروض </w:t>
      </w:r>
      <w:r>
        <w:rPr>
          <w:rStyle w:val="FootnoteAnchor"/>
          <w:rtl w:val="true"/>
        </w:rPr>
        <w:footnoteReference w:id="1284"/>
      </w:r>
      <w:r>
        <w:rPr>
          <w:rFonts w:ascii="IRNazanin" w:hAnsi="IRNazanin" w:eastAsia="IRNazanin"/>
          <w:color w:val="111111"/>
          <w:sz w:val="28"/>
          <w:sz w:val="28"/>
          <w:szCs w:val="28"/>
          <w:rtl w:val="true"/>
          <w:lang w:bidi="fa-IR"/>
        </w:rPr>
        <w:t xml:space="preserve">هو الثانی، بل قد یشعر کلام الثانی </w:t>
      </w:r>
      <w:r>
        <w:rPr>
          <w:rStyle w:val="FootnoteAnchor"/>
          <w:rtl w:val="true"/>
        </w:rPr>
        <w:footnoteReference w:id="1285"/>
      </w:r>
      <w:r>
        <w:rPr>
          <w:rFonts w:ascii="IRNazanin" w:hAnsi="IRNazanin" w:eastAsia="IRNazanin"/>
          <w:color w:val="111111"/>
          <w:sz w:val="28"/>
          <w:sz w:val="28"/>
          <w:szCs w:val="28"/>
          <w:rtl w:val="true"/>
          <w:lang w:bidi="fa-IR"/>
        </w:rPr>
        <w:t>بکونه من المسلّمات، لأنّه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 بقاء أثر هذا الوضوء بعد زوال التقیّة و اختار البقاء،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فی جواز ذلک و نحوه للتقیّة عدم المندوحة، و هو یؤیّد بقاء الطهارة مع زوال السبب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ما تقدّم من روایة أبی الورد </w:t>
      </w:r>
      <w:r>
        <w:rPr>
          <w:rStyle w:val="FootnoteAnchor"/>
          <w:rtl w:val="true"/>
        </w:rPr>
        <w:footnoteReference w:id="1287"/>
      </w:r>
      <w:r>
        <w:rPr>
          <w:rFonts w:ascii="IRNazanin" w:hAnsi="IRNazanin" w:eastAsia="IRNazanin"/>
          <w:color w:val="111111"/>
          <w:sz w:val="28"/>
          <w:sz w:val="28"/>
          <w:szCs w:val="28"/>
          <w:rtl w:val="true"/>
          <w:lang w:bidi="fa-IR"/>
        </w:rPr>
        <w:t>، و إن کان عطف الثلج علیه ربما یشعر باتّحادهما فی الاختصاص بصورة عدم المندوحة عنها، و کذا بعض الأخبار المتقدّمة، لکنّ الغالب فی العدوّ عدم ملازمته لتمام الوقت و إمکان التفصّی عنه، بخلاف الثلج المانع عن نزع الخفّ، فحمل المطلقات علی ذلک مشکل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عن العیّاشی بسنده عن صفوان عن أبی الحسن علیه السلام، و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غسل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عنده آخر فعل و إلّا فلا</w:t>
      </w:r>
      <w:r>
        <w:rPr>
          <w:rFonts w:eastAsia="IRNazanin" w:cs="IRNazanin"/>
          <w:color w:val="111111"/>
          <w:sz w:val="28"/>
          <w:szCs w:val="28"/>
          <w:rtl w:val="true"/>
          <w:lang w:bidi="fa-IR"/>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لصریح المدارک </w:t>
      </w:r>
      <w:r>
        <w:rPr>
          <w:rStyle w:val="FootnoteAnchor"/>
          <w:rtl w:val="true"/>
        </w:rPr>
        <w:footnoteReference w:id="1289"/>
      </w:r>
      <w:r>
        <w:rPr>
          <w:rFonts w:ascii="IRNazanin" w:hAnsi="IRNazanin" w:eastAsia="IRNazanin"/>
          <w:color w:val="111111"/>
          <w:sz w:val="28"/>
          <w:sz w:val="28"/>
          <w:szCs w:val="28"/>
          <w:rtl w:val="true"/>
          <w:lang w:bidi="fa-IR"/>
        </w:rPr>
        <w:t xml:space="preserve">و محکی بعض متأخّری المتأخّرین </w:t>
      </w:r>
      <w:r>
        <w:rPr>
          <w:rStyle w:val="FootnoteAnchor"/>
          <w:rtl w:val="true"/>
        </w:rPr>
        <w:footnoteReference w:id="1290"/>
      </w:r>
      <w:r>
        <w:rPr>
          <w:rFonts w:ascii="IRNazanin" w:hAnsi="IRNazanin" w:eastAsia="IRNazanin"/>
          <w:color w:val="111111"/>
          <w:sz w:val="28"/>
          <w:sz w:val="28"/>
          <w:szCs w:val="28"/>
          <w:rtl w:val="true"/>
          <w:lang w:bidi="fa-IR"/>
        </w:rPr>
        <w:t>، متمسّکا بانتفاء الضرر مع المندوحة، فیزول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أیّد الجواز فی الحدائق بالأخبار </w:t>
      </w:r>
      <w:r>
        <w:rPr>
          <w:rStyle w:val="FootnoteAnchor"/>
          <w:rtl w:val="true"/>
        </w:rPr>
        <w:footnoteReference w:id="1291"/>
      </w:r>
      <w:r>
        <w:rPr>
          <w:rFonts w:ascii="IRNazanin" w:hAnsi="IRNazanin" w:eastAsia="IRNazanin"/>
          <w:color w:val="111111"/>
          <w:sz w:val="28"/>
          <w:sz w:val="28"/>
          <w:szCs w:val="28"/>
          <w:rtl w:val="true"/>
          <w:lang w:bidi="fa-IR"/>
        </w:rPr>
        <w:t>الدالّة علی الحثّ العظیم علی الصلاة مع المخالف و وعد الثواب علیها، حتّی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معهم کالصلاة مع رسول اللّٰه صلّی اللّٰه علیه و آله و سلّم </w:t>
      </w:r>
      <w:r>
        <w:rPr>
          <w:rStyle w:val="FootnoteAnchor"/>
          <w:rtl w:val="true"/>
        </w:rPr>
        <w:footnoteReference w:id="1292"/>
      </w:r>
      <w:r>
        <w:rPr>
          <w:rFonts w:ascii="IRNazanin" w:hAnsi="IRNazanin" w:eastAsia="IRNazanin"/>
          <w:color w:val="111111"/>
          <w:sz w:val="28"/>
          <w:sz w:val="28"/>
          <w:szCs w:val="28"/>
          <w:rtl w:val="true"/>
          <w:lang w:bidi="fa-IR"/>
        </w:rPr>
        <w:t xml:space="preserve">، مع استلزام ذلک ترک بعض الواجبات أحیانا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فی المدارک، فهو حقّ لو کان مدرک مشروعیّة التقیّة مجرّد نفی الضرر و الحرج، کما یظهر من جماعة کالفاضلین </w:t>
      </w:r>
      <w:r>
        <w:rPr>
          <w:rStyle w:val="FootnoteAnchor"/>
          <w:rtl w:val="true"/>
        </w:rPr>
        <w:footnoteReference w:id="1294"/>
      </w:r>
      <w:r>
        <w:rPr>
          <w:rFonts w:ascii="IRNazanin" w:hAnsi="IRNazanin" w:eastAsia="IRNazanin"/>
          <w:color w:val="111111"/>
          <w:sz w:val="28"/>
          <w:sz w:val="28"/>
          <w:szCs w:val="28"/>
          <w:rtl w:val="true"/>
          <w:lang w:bidi="fa-IR"/>
        </w:rPr>
        <w:t xml:space="preserve">، إلّا أنّ الظاهر ممّا ذکرنا من الأخبار و شبهها ممّا لم نذکر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التقیّة أوسع من غیرها من الأعذار، فالمعتبر فیها ترتّب الضرر علی ترک التقیّة فی أجزاء العبادات و شرائطها مع إتیانها بحسب متعارف حال الفاعل، فلا یجب علی الحاضر فی ملأ المخالفین الاستتار عنهم، أو الخروج من مسجدهم، أو تأخیر أهل السوق صلواتهم إلی قریب الغروب، حتّی أنّه لو کان المتعارف بحسب حال</w:t>
      </w:r>
    </w:p>
    <w:p>
      <w:pPr>
        <w:pStyle w:val="BookText"/>
        <w:rPr/>
      </w:pPr>
      <w:r>
        <w:rPr>
          <w:rFonts w:ascii="IRNazanin" w:hAnsi="IRNazanin" w:eastAsia="IRNazanin"/>
          <w:color w:val="111111"/>
          <w:sz w:val="28"/>
          <w:sz w:val="28"/>
          <w:szCs w:val="28"/>
          <w:rtl w:val="true"/>
          <w:lang w:bidi="fa-IR"/>
        </w:rPr>
        <w:t>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جار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المسجد، خصوصا فی الأیّام المتبرکة، مثلا کیوم الجمعة و أیّام رمضان، أو کان المتعارف تضیّفه عندهم أو إضافتهم عنده، فلا یجب فی هذه الموارد التخلّص عنهم و إخفاء العبادة عنهم، بل حثّ الشارع علی المسالکة معهم نظیر مسالکة بعضهم مع بعض و ترک هجرانهم، فالضرر معتبر مع هذا الموضوع، فالمصلّی معهم یراعی ما هو الحقّ مع هذا الوصف، و لا یجب التخلّص عن الضرر بترک معتاد أمثاله فی نفسه أو فی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فالشارع تفضّل علی الشیعة بجعل المخالفین کالشیعة فی المعاشرة، و یراعی الضرر مع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التعرّض لفعل العبادة فی محاضرهم من غیر اقتضاء العادة له محلّ إشکال، و إن ورد فی المستفیضة الحثّ علی حضور مجامعهم فی المساجد و الجنائز و غیرها </w:t>
      </w:r>
      <w:r>
        <w:rPr>
          <w:rStyle w:val="FootnoteAnchor"/>
          <w:rtl w:val="true"/>
        </w:rPr>
        <w:footnoteReference w:id="1296"/>
      </w:r>
      <w:r>
        <w:rPr>
          <w:rFonts w:ascii="IRNazanin" w:hAnsi="IRNazanin" w:eastAsia="IRNazanin"/>
          <w:color w:val="111111"/>
          <w:sz w:val="28"/>
          <w:sz w:val="28"/>
          <w:szCs w:val="28"/>
          <w:rtl w:val="true"/>
          <w:lang w:bidi="fa-IR"/>
        </w:rPr>
        <w:t>، إلّا أنّه لا یبعد حملها علی دفع النفرة الجبلّیة الداعیة إلی ترک معاشرتهم و ترک العبادات بمحضرهم، مع إیجاب ذلک کلّه لظهور تشیّع من لم یعرفوا تشیّعه و استبانة العداوة ممن عرفوا تشیّعه، فیؤدّی ذلک إلی استئصال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الواردة فی الإذن فی التقیّة علی أقسام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w:t>
      </w:r>
      <w:r>
        <w:rPr>
          <w:rStyle w:val="FootnoteAnchor"/>
          <w:rtl w:val="true"/>
        </w:rPr>
        <w:footnoteReference w:id="1297"/>
      </w:r>
      <w:r>
        <w:rPr>
          <w:rFonts w:ascii="IRNazanin" w:hAnsi="IRNazanin" w:eastAsia="IRNazanin"/>
          <w:color w:val="111111"/>
          <w:sz w:val="28"/>
          <w:sz w:val="28"/>
          <w:szCs w:val="28"/>
          <w:rtl w:val="true"/>
          <w:lang w:bidi="fa-IR"/>
        </w:rPr>
        <w:t>علی کونها عذرا کسائر الأعذار، یعتبر فیها خوف الضرر الذی هو المسوّغ للمحظورات فی غیر مقام التقیّة کالمرض و الإکراه 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Style w:val="FootnoteAnchor"/>
          <w:rtl w:val="true"/>
        </w:rPr>
        <w:footnoteReference w:id="1298"/>
      </w:r>
      <w:r>
        <w:rPr>
          <w:rFonts w:ascii="IRNazanin" w:hAnsi="IRNazanin" w:eastAsia="IRNazanin"/>
          <w:color w:val="111111"/>
          <w:sz w:val="28"/>
          <w:sz w:val="28"/>
          <w:szCs w:val="28"/>
          <w:rtl w:val="true"/>
          <w:lang w:bidi="fa-IR"/>
        </w:rPr>
        <w:t>علی أنّها أوسع من باقی الأعذار، حیث إنّها لا یعتبر فیها القدرة علی التخلّص من الضرر المخوف بالحیل و المعالجات، بل یعتبر خوف الضرر مع جری المکلّف علی ما یقتضیه العرف و العادة و الدواعی النفسانیة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Style w:val="FootnoteAnchor"/>
          <w:rtl w:val="true"/>
        </w:rPr>
        <w:footnoteReference w:id="1299"/>
      </w:r>
      <w:r>
        <w:rPr>
          <w:rFonts w:ascii="IRNazanin" w:hAnsi="IRNazanin" w:eastAsia="IRNazanin"/>
          <w:color w:val="111111"/>
          <w:sz w:val="28"/>
          <w:sz w:val="28"/>
          <w:szCs w:val="28"/>
          <w:rtl w:val="true"/>
          <w:lang w:bidi="fa-IR"/>
        </w:rPr>
        <w:t>برجحان إظهار الموافقة لهم دفعا لشبهة التشیّع، أو معاندة الشیعة معهم، فیشرع التقیّة مع الأمن من الضرر المترتّب علی ترکها فی القضیة الشخصیة، فیکون دفع الضرر حکمة لتشریع التقیّة، فلا تدور مداره فی الوقائع الشخصیة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و هو أنّ التقیّة لیست کسائر الأعذار فی اعتبار عدم المندوحة فیها و لا کالأحکام المبنیّة علی الرخصة الملحوظ فیها الحرج حکمة للحکم لا علّة، کالقصر فی السفر و اعتبار الظنّ فی الصلاة و نحو ذلک، و حیث کان الأمر فیها أوسع من باقی الأعذار المسوّغة للمحظورات فلا بدّ من الاقتصار علی ما هو المتیقّن من موارد الأخبار، و هی التقیّة من المخالف بإخفاء المذهب عنه، فالتقیّة عن الکفّار أو ظلمة الشیعة حکمها حکم سائر الأعذار فی اعتبار عدم المندوحة، بل و کذلک التقیّة بعدم إظهار العمل عندهم لمجرد کونه منکرا عندهم کما هو الغالب فی هذه الأزمنة، حیث یعلمون مذهب الشیعة فی الوضوء و السجود علی التربة و غیرهما، و لیس إخفاؤه عنهم لأجل تلبیس الفاعل علیهم موافقته لهم فی الاعتقاد أو فی خصوص الأعمال، و إنّما هو لمجرّد کون العمل</w:t>
      </w:r>
    </w:p>
    <w:p>
      <w:pPr>
        <w:pStyle w:val="BookText"/>
        <w:rPr/>
      </w:pPr>
      <w:r>
        <w:rPr>
          <w:rFonts w:ascii="IRNazanin" w:hAnsi="IRNazanin" w:eastAsia="IRNazanin"/>
          <w:color w:val="111111"/>
          <w:sz w:val="28"/>
          <w:sz w:val="28"/>
          <w:szCs w:val="28"/>
          <w:rtl w:val="true"/>
          <w:lang w:bidi="fa-IR"/>
        </w:rPr>
        <w:t>منکرا عندهم فیؤذون الفاعل من باب الإیذاء علی المنکر، فإنّ فی دخول هذا القسم من التقیّة تحت الأخبار الدالّة علی شرعیّة التقیّة مع المندوحة تأمّلا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کثیر من عمومات التقیّة و التعلیلات المنصوصة فی شرعیّة التقیّة من حفظ أنفس الشیعة و أموالهم و أعراضهم یشمل ذلک، لکن لیس فیها أزید من إلحاقها بسائر الأعذار فیعتبر فیها عدم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الفعل المأتی به تقیّة، إن کان ممّا سوّغه فی العبادة ضرورة أخری غیر التقیّة، کالمسح علی الخفّ الذی سوّغه البرد الشدید، وجب فیه نیّة القربة و الجزئیة للعبادة، فکان مباشرة الید لبشرة الرجل ساقطة فی مسح الرجل، نظیر المسح علی المرارة المأمور به فی روایة عبد الأعلی المتقدّمة </w:t>
      </w:r>
      <w:r>
        <w:rPr>
          <w:rStyle w:val="FootnoteAnchor"/>
          <w:rtl w:val="true"/>
        </w:rPr>
        <w:footnoteReference w:id="1300"/>
      </w:r>
      <w:r>
        <w:rPr>
          <w:rFonts w:ascii="IRNazanin" w:hAnsi="IRNazanin" w:eastAsia="IRNazanin"/>
          <w:color w:val="111111"/>
          <w:sz w:val="28"/>
          <w:sz w:val="28"/>
          <w:szCs w:val="28"/>
          <w:rtl w:val="true"/>
          <w:lang w:bidi="fa-IR"/>
        </w:rPr>
        <w:t>، فلا یجوز الإخلال به و لا بشی‌ء من شرائط المسح المعتبرة، فلو أخلّ عمدا أو لا عن عمد بطل، لفوات باقی الواجبات غیر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مسح مع التقیّة علی البشرة فحکمه کالمتضرّر بمسح البشرة، یبطل عمدا إذا لم یتدارکه، و یصحّ لا مع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الروض عدم الفساد فی الأوّل، لتوجّه النهی إلی أمر خارج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الخارج متّحد مع المأمور به فی الوجود، فلا ینفع کونه خارجا، نظیر الغصب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بانقلاب تکلیفه إلی موافق التقیّة، فلم یأت بالمأمور به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الدفع یؤذن بالبطلان مع عدم العمد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منع انقلاب التکلیف بل الامتثال بالمأمور به ممتنع للنهی کالمتضرّر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خفّه نجسا و لم یتمکّن من لبس طاهر فمسح علیه تقیّة لم یصحّ فوجب استئنافه، لأنّ التقیّة لم توجب المسح علی النجس و إنّما انحصرت فیه من حیث عدم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ممّا لم یسوّغه فی العبادة ضرورة أخری غیر التقیّة، فإن کان التقیّة فی إتیانه فی العبادة جزء کمسح الزائد علی الواجب عندنا، أو مستحبّا کالتأمین فی الصلاة و التکفیر، جاز إتیانه لا بقصد الجزئیة و إن کان مبطلا عندنا، و لو ترکه عصیانا لم تبطل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ألجأت التقیّة إلی غسل الرجلین، فإن قلنا بجواز ذلک فی الضرورة، کما إذا لم ینفکّ إیصال الماء إلی بشرة الرجل عن الجریان، کما تقدّم عن الذکری، معلّلا بعدم القصد إلی الغسل </w:t>
      </w:r>
      <w:r>
        <w:rPr>
          <w:rStyle w:val="FootnoteAnchor"/>
          <w:rtl w:val="true"/>
        </w:rPr>
        <w:footnoteReference w:id="1303"/>
      </w:r>
      <w:r>
        <w:rPr>
          <w:rFonts w:ascii="IRNazanin" w:hAnsi="IRNazanin" w:eastAsia="IRNazanin"/>
          <w:color w:val="111111"/>
          <w:sz w:val="28"/>
          <w:sz w:val="28"/>
          <w:szCs w:val="28"/>
          <w:rtl w:val="true"/>
          <w:lang w:bidi="fa-IR"/>
        </w:rPr>
        <w:t>، فهو غیر مخالف للواجب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وجه مخرج عن اسم المسح، و قلنا بجواز ذلک عند تعذّر المسح، کان حکمه حکم المسح علی الخفّین، بل المشهور أنّه أولی لو دار الأمر بینهما، لکونه أقرب إلی مطلوب الشارع، و هو غیر بعید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فرض علی وجه لا نقول بکفایته عن المسح، لکمال مغایرته معه کغمس الرجل فی الماء، فالظاهر أنّ العامّة لا یقولون به، فلو فرض کان ذلک الوضوء کفاقد المسح رأسا، و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الفقد مستندا إلی التقیّة،</w:t>
      </w:r>
    </w:p>
    <w:p>
      <w:pPr>
        <w:pStyle w:val="BookText"/>
        <w:rPr/>
      </w:pPr>
      <w:r>
        <w:rPr>
          <w:rFonts w:ascii="IRNazanin" w:hAnsi="IRNazanin" w:eastAsia="IRNazanin"/>
          <w:color w:val="111111"/>
          <w:sz w:val="28"/>
          <w:sz w:val="28"/>
          <w:szCs w:val="28"/>
          <w:rtl w:val="true"/>
          <w:lang w:bidi="fa-IR"/>
        </w:rPr>
        <w:t>و عدمها لأنّ قولهم لیس علی هذا الغسل بالخصوص و إنّما انحصر فیه بالفرض نظیر المسح علی الخفّ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السبب</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المسوّغ للمسح علی الخفّ بل مطلق الوضوء الناقص، فإمّا أن یکون قد صلّی بها صلاة صحیحة واقعیة، بأن وقعت مع الیأس عن زوال العذر فی الوقت، أو قلنا بجواز البدار فی سعة الوقت لاولی الأعذار و عدم وجوب الانتظار لزوال تلک الأعذار مطلقا أو فی خصوص التقیّة علی ما اخترنا من عدم اشتراط عدم المندوحة فیها مطلقا، و إمّا أن یکون لم یصلّ کذلک، فإن صلّی فلا إشکال فی عدم وجوب الإعادة و لا القضاء، لفرض الإتیان بالمأمور به واقعا، نظیر الصلاة بالتیمّم، و إنّما الإشکال هنا فی صحّة صلاة أخری بهذه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یلوح من المحکی عن المحقّق الثانی فی بعض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وجوب الإعادة للصلاة بوضوء التقیّة، بأنّه إن کان متعلّق التقیّة مأذونا فیه بالخصوص، کمسح الرجلین فی الوضوء و التکتّف فی الصلاة، فإنّه إذا فعل علی الوجه المأذون کان صحیحا مجزیا و إن کان للمکلّف مندوحة من فعله، التفاتا إلی أنّ الشارع أقام ذلک الفعل مقام المأمور به حین التقیّة، فکان الإتیان به امتثالا یقتضی الإجزاء، فلا تجب الإعادة و لو تمکّن منها علی غیر وجه التقیّة قبل خروج الوقت، و لا أعلم فی ذلک خلافا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کان متعلّقها ممّا </w:t>
      </w:r>
      <w:r>
        <w:rPr>
          <w:rStyle w:val="FootnoteAnchor"/>
          <w:rtl w:val="true"/>
        </w:rPr>
        <w:footnoteReference w:id="1305"/>
      </w:r>
      <w:r>
        <w:rPr>
          <w:rFonts w:ascii="IRNazanin" w:hAnsi="IRNazanin" w:eastAsia="IRNazanin"/>
          <w:color w:val="111111"/>
          <w:sz w:val="28"/>
          <w:sz w:val="28"/>
          <w:szCs w:val="28"/>
          <w:rtl w:val="true"/>
          <w:lang w:bidi="fa-IR"/>
        </w:rPr>
        <w:t>لم یرد فیه نصّ علی الخصوص، کفعل الصلاة إلی غیر القبلة و الوضوء بالنبیذ، و مع الإخلال بالموالاة فیجفّ السابق</w:t>
      </w:r>
    </w:p>
    <w:p>
      <w:pPr>
        <w:pStyle w:val="BookText"/>
        <w:rPr/>
      </w:pPr>
      <w:r>
        <w:rPr>
          <w:rFonts w:ascii="IRNazanin" w:hAnsi="IRNazanin" w:eastAsia="IRNazanin"/>
          <w:color w:val="111111"/>
          <w:sz w:val="28"/>
          <w:sz w:val="28"/>
          <w:szCs w:val="28"/>
          <w:rtl w:val="true"/>
          <w:lang w:bidi="fa-IR"/>
        </w:rPr>
        <w:t xml:space="preserve">کما یراه بعض العامّة </w:t>
      </w:r>
      <w:r>
        <w:rPr>
          <w:rStyle w:val="FootnoteAnchor"/>
          <w:rtl w:val="true"/>
        </w:rPr>
        <w:footnoteReference w:id="1306"/>
      </w:r>
      <w:r>
        <w:rPr>
          <w:rFonts w:ascii="IRNazanin" w:hAnsi="IRNazanin" w:eastAsia="IRNazanin"/>
          <w:color w:val="111111"/>
          <w:sz w:val="28"/>
          <w:sz w:val="28"/>
          <w:szCs w:val="28"/>
          <w:rtl w:val="true"/>
          <w:lang w:bidi="fa-IR"/>
        </w:rPr>
        <w:t xml:space="preserve">، فإنّ المکلّف یجب علیه إذا اقتضت الضرورة موافقته أهل الخلاف فیه </w:t>
      </w:r>
      <w:r>
        <w:rPr>
          <w:rStyle w:val="FootnoteAnchor"/>
          <w:rtl w:val="true"/>
        </w:rPr>
        <w:footnoteReference w:id="1307"/>
      </w:r>
      <w:r>
        <w:rPr>
          <w:rFonts w:ascii="IRNazanin" w:hAnsi="IRNazanin" w:eastAsia="IRNazanin"/>
          <w:color w:val="111111"/>
          <w:sz w:val="28"/>
          <w:sz w:val="28"/>
          <w:szCs w:val="28"/>
          <w:rtl w:val="true"/>
          <w:lang w:bidi="fa-IR"/>
        </w:rPr>
        <w:t xml:space="preserve">و إظهار الموافقة لهم، ثمّ إن أمکن الإعادة فی الوقت بعد الإتیان وجبت، و لو خرج الوقت نظر فی دلیل یدلّ علی </w:t>
      </w:r>
      <w:r>
        <w:rPr>
          <w:rStyle w:val="FootnoteAnchor"/>
          <w:rtl w:val="true"/>
        </w:rPr>
        <w:footnoteReference w:id="1308"/>
      </w:r>
      <w:r>
        <w:rPr>
          <w:rFonts w:ascii="IRNazanin" w:hAnsi="IRNazanin" w:eastAsia="IRNazanin"/>
          <w:color w:val="111111"/>
          <w:sz w:val="28"/>
          <w:sz w:val="28"/>
          <w:szCs w:val="28"/>
          <w:rtl w:val="true"/>
          <w:lang w:bidi="fa-IR"/>
        </w:rPr>
        <w:t xml:space="preserve">القضاء، فإن وجد، قیل به </w:t>
      </w:r>
      <w:r>
        <w:rPr>
          <w:rStyle w:val="FootnoteAnchor"/>
          <w:rtl w:val="true"/>
        </w:rPr>
        <w:footnoteReference w:id="1309"/>
      </w:r>
      <w:r>
        <w:rPr>
          <w:rFonts w:ascii="IRNazanin" w:hAnsi="IRNazanin" w:eastAsia="IRNazanin"/>
          <w:color w:val="111111"/>
          <w:sz w:val="28"/>
          <w:sz w:val="28"/>
          <w:szCs w:val="28"/>
          <w:rtl w:val="true"/>
          <w:lang w:bidi="fa-IR"/>
        </w:rPr>
        <w:t>، لأنّ القضاء إنّما یجب بفرض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بعض أصحابنا القول بعدم الإعادة مطلقا، نظرا إلی أنّ المأتیّ به وقع شرعیّا فیکون مجزیا علی کلّ تقدیر، و رده بأنّ الإذن فی التقیّة من جهة الإطلاق لا یقتضی أزید من إظهار الموافقة لهم مع الحاجة </w:t>
      </w:r>
      <w:r>
        <w:rPr>
          <w:rStyle w:val="FootnoteAnchor"/>
          <w:rtl w:val="true"/>
        </w:rPr>
        <w:footnoteReference w:id="1310"/>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فی القسم الأوّل من عدم وجوب الإعادة حقّ، و الأقوی عدم القضاء أیضا، لعدم صدق الفوت مع فرض بدلیّة المأتی به کما فی الصلاة مع التیمّم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فی القسم الثانی، فإن أراد بعمومات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وجوبها و مؤاخذة من ترکها، فلا ریب فی أنّها لا تدلّ علی صحّة ما تقع التقیّة فیه من العبادات، فإنّ التکتّف إذا کان مبطلا للصلاة، و الأکل مبطلا للصوم، و إطلاق ماء الوضوء شرطا فیه، فوجوب هذه الأفعال وجوبا نفسیا لحفظ النفس أو المال لا ینافی ترتّب أثرها علیها، و هو الإبطال، غایة</w:t>
      </w:r>
    </w:p>
    <w:p>
      <w:pPr>
        <w:pStyle w:val="BookText"/>
        <w:rPr/>
      </w:pPr>
      <w:r>
        <w:rPr>
          <w:rFonts w:ascii="IRNazanin" w:hAnsi="IRNazanin" w:eastAsia="IRNazanin"/>
          <w:color w:val="111111"/>
          <w:sz w:val="28"/>
          <w:sz w:val="28"/>
          <w:szCs w:val="28"/>
          <w:rtl w:val="true"/>
          <w:lang w:bidi="fa-IR"/>
        </w:rPr>
        <w:t>الأمر أنّ دلیل حفظ النفس دلّ علی وجوب الإتیان بعبادة باطلة، کما دلّ فی الأکل علی وجوب الإفطار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أوامر الصلاة فلم یقع الفعل موافقا لها لا اختیارا و لا اضطرارا، کما لو اکره علی الصلاة بغیر طهارة، فمثل هذا المأتیّ به لا مجال للتأمّل فی عدم إجزائه عن المأمور به، بل یجب امتثال الأمر فی الوقت و خارجه، کما لو منعه مانع عن أصل الصلاة فی جزء من الوقت أو فی تمامه، إذ لا إشکال فی صدق الفوت، فلا حاجة إلی النظر فی أدلّة القضاء، لوجود الأمر الجدید بقضاء ما فات، و لم یقل أحد فی هذا الفرض بسقوط القضاء، فضلا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بعموماتها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المرخّصة لإتیان العبادة المأمور بها فی الشریعة علی وجه التقیّة، نظیر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إلّا فی المسح علی الخفّین و شرب المسکر و متعة الحجّ</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 فإنّ استثناء المسح علی الخفّ و المتعة من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الممنوع فیهما هو الامتثال بأمر الوضوء و الحجّ علی وجه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کون المستثنی هو الجواز، بمعنی الرخصة فی امتثال الأوامر علی وجه التقیّة، إلی غیر ذلک ممّا یستفاد منه الرخصة فی التقیّة فی مقام امتثال العبادات، فلا ریب فی أنّه لا فرق بین هذه العمومات و بین الأمر الخاصّ بالتقیّة فی عبادة خاصّة فی الدلالة علی أنّ الشارع اکتفی فی مقام التقیّة بالامتثال علی طبق التقیّة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إشکال فی عدم إعادة ما صلّی بالأمر الواقعی المتوجّه</w:t>
      </w:r>
    </w:p>
    <w:p>
      <w:pPr>
        <w:pStyle w:val="BookText"/>
        <w:rPr/>
      </w:pPr>
      <w:r>
        <w:rPr>
          <w:rFonts w:ascii="IRNazanin" w:hAnsi="IRNazanin" w:eastAsia="IRNazanin"/>
          <w:color w:val="111111"/>
          <w:sz w:val="28"/>
          <w:sz w:val="28"/>
          <w:szCs w:val="28"/>
          <w:rtl w:val="true"/>
          <w:lang w:bidi="fa-IR"/>
        </w:rPr>
        <w:t>إلی المکلّف حال الاضطرار، و لذا قال شارح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إعادة الصلاة التی فعلها بالطهارة الضروریة إجماعا </w:t>
      </w:r>
      <w:r>
        <w:rPr>
          <w:rStyle w:val="FootnoteAnchor"/>
          <w:rtl w:val="true"/>
        </w:rPr>
        <w:footnoteReference w:id="131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الإشکال فی الوضوء المأتیّ به علی هذا الوجه من حیث إباحة الدخول فی عبادة أخری مع التمکّن من الوضوء التامّ 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و الإشکال فی أنّ هذا الوضوء مبیح لما یؤتی به من العبادة حال الاضطرار، فإذا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أعاده </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نظیر التیمّم لا یباح به إلّا الصلوات </w:t>
      </w:r>
      <w:r>
        <w:rPr>
          <w:rStyle w:val="FootnoteAnchor"/>
          <w:rtl w:val="true"/>
        </w:rPr>
        <w:footnoteReference w:id="1314"/>
      </w:r>
      <w:r>
        <w:rPr>
          <w:rFonts w:ascii="IRNazanin" w:hAnsi="IRNazanin" w:eastAsia="IRNazanin"/>
          <w:color w:val="111111"/>
          <w:sz w:val="28"/>
          <w:sz w:val="28"/>
          <w:szCs w:val="28"/>
          <w:rtl w:val="true"/>
          <w:lang w:bidi="fa-IR"/>
        </w:rPr>
        <w:t xml:space="preserve">المأتی بها حال الاضطرار، أو مبیح کالوضوء التامّ فلا ینتقض إلّا بالحدث، فالذی اختاره فی المبسوط </w:t>
      </w:r>
      <w:r>
        <w:rPr>
          <w:rStyle w:val="FootnoteAnchor"/>
          <w:rtl w:val="true"/>
        </w:rPr>
        <w:footnoteReference w:id="1315"/>
      </w:r>
      <w:r>
        <w:rPr>
          <w:rFonts w:ascii="IRNazanin" w:hAnsi="IRNazanin" w:eastAsia="IRNazanin"/>
          <w:color w:val="111111"/>
          <w:sz w:val="28"/>
          <w:sz w:val="28"/>
          <w:szCs w:val="28"/>
          <w:rtl w:val="true"/>
          <w:lang w:bidi="fa-IR"/>
        </w:rPr>
        <w:t xml:space="preserve">و المعتبر </w:t>
      </w:r>
      <w:r>
        <w:rPr>
          <w:rStyle w:val="FootnoteAnchor"/>
          <w:rtl w:val="true"/>
        </w:rPr>
        <w:footnoteReference w:id="1316"/>
      </w:r>
      <w:r>
        <w:rPr>
          <w:rFonts w:ascii="IRNazanin" w:hAnsi="IRNazanin" w:eastAsia="IRNazanin"/>
          <w:color w:val="111111"/>
          <w:sz w:val="28"/>
          <w:sz w:val="28"/>
          <w:szCs w:val="28"/>
          <w:rtl w:val="true"/>
          <w:lang w:bidi="fa-IR"/>
        </w:rPr>
        <w:t xml:space="preserve">و التذکرة </w:t>
      </w:r>
      <w:r>
        <w:rPr>
          <w:rStyle w:val="FootnoteAnchor"/>
          <w:rtl w:val="true"/>
        </w:rPr>
        <w:footnoteReference w:id="1317"/>
      </w:r>
      <w:r>
        <w:rPr>
          <w:rFonts w:ascii="IRNazanin" w:hAnsi="IRNazanin" w:eastAsia="IRNazanin"/>
          <w:color w:val="111111"/>
          <w:sz w:val="28"/>
          <w:sz w:val="28"/>
          <w:szCs w:val="28"/>
          <w:rtl w:val="true"/>
          <w:lang w:bidi="fa-IR"/>
        </w:rPr>
        <w:t xml:space="preserve">و المنتهی </w:t>
      </w:r>
      <w:r>
        <w:rPr>
          <w:rStyle w:val="FootnoteAnchor"/>
          <w:rtl w:val="true"/>
        </w:rPr>
        <w:footnoteReference w:id="1318"/>
      </w:r>
      <w:r>
        <w:rPr>
          <w:rFonts w:ascii="IRNazanin" w:hAnsi="IRNazanin" w:eastAsia="IRNazanin"/>
          <w:color w:val="111111"/>
          <w:sz w:val="28"/>
          <w:sz w:val="28"/>
          <w:szCs w:val="28"/>
          <w:rtl w:val="true"/>
          <w:lang w:bidi="fa-IR"/>
        </w:rPr>
        <w:t xml:space="preserve">و الإیضاح </w:t>
      </w:r>
      <w:r>
        <w:rPr>
          <w:rStyle w:val="FootnoteAnchor"/>
          <w:rtl w:val="true"/>
        </w:rPr>
        <w:footnoteReference w:id="1319"/>
      </w:r>
      <w:r>
        <w:rPr>
          <w:rFonts w:ascii="IRNazanin" w:hAnsi="IRNazanin" w:eastAsia="IRNazanin"/>
          <w:color w:val="111111"/>
          <w:sz w:val="28"/>
          <w:sz w:val="28"/>
          <w:szCs w:val="28"/>
          <w:rtl w:val="true"/>
          <w:lang w:bidi="fa-IR"/>
        </w:rPr>
        <w:t xml:space="preserve">و الموجز </w:t>
      </w:r>
      <w:r>
        <w:rPr>
          <w:rStyle w:val="FootnoteAnchor"/>
          <w:rtl w:val="true"/>
        </w:rPr>
        <w:footnoteReference w:id="1320"/>
      </w:r>
      <w:r>
        <w:rPr>
          <w:rFonts w:ascii="IRNazanin" w:hAnsi="IRNazanin" w:eastAsia="IRNazanin"/>
          <w:color w:val="111111"/>
          <w:sz w:val="28"/>
          <w:sz w:val="28"/>
          <w:szCs w:val="28"/>
          <w:rtl w:val="true"/>
          <w:lang w:bidi="fa-IR"/>
        </w:rPr>
        <w:t xml:space="preserve">و شرحه </w:t>
      </w:r>
      <w:r>
        <w:rPr>
          <w:rStyle w:val="FootnoteAnchor"/>
          <w:rtl w:val="true"/>
        </w:rPr>
        <w:footnoteReference w:id="1321"/>
      </w:r>
      <w:r>
        <w:rPr>
          <w:rFonts w:ascii="Amiri" w:hAnsi="Amiri" w:eastAsia="Amiri" w:cs="Amiri"/>
          <w:color w:val="111111"/>
          <w:sz w:val="28"/>
          <w:sz w:val="28"/>
          <w:szCs w:val="28"/>
          <w:rtl w:val="true"/>
          <w:lang w:bidi="ar-SA"/>
        </w:rPr>
        <w:t xml:space="preserve">و محکیّ کشف </w:t>
      </w:r>
      <w:r>
        <w:rPr>
          <w:rStyle w:val="FootnoteAnchor"/>
          <w:rtl w:val="true"/>
        </w:rPr>
        <w:footnoteReference w:id="1322"/>
      </w:r>
      <w:r>
        <w:rPr>
          <w:rFonts w:ascii="IRNazanin" w:hAnsi="IRNazanin" w:eastAsia="IRNazanin"/>
          <w:color w:val="111111"/>
          <w:sz w:val="28"/>
          <w:sz w:val="28"/>
          <w:szCs w:val="28"/>
          <w:rtl w:val="true"/>
          <w:lang w:bidi="fa-IR"/>
        </w:rPr>
        <w:t xml:space="preserve">اللثام </w:t>
      </w:r>
      <w:r>
        <w:rPr>
          <w:rStyle w:val="FootnoteAnchor"/>
          <w:rtl w:val="true"/>
        </w:rPr>
        <w:footnoteReference w:id="1323"/>
      </w:r>
      <w:r>
        <w:rPr>
          <w:rFonts w:ascii="IRNazanin" w:hAnsi="IRNazanin" w:eastAsia="IRNazanin"/>
          <w:color w:val="111111"/>
          <w:sz w:val="28"/>
          <w:sz w:val="28"/>
          <w:szCs w:val="28"/>
          <w:rtl w:val="true"/>
          <w:lang w:bidi="fa-IR"/>
        </w:rPr>
        <w:t xml:space="preserve">و حاشیة المدارک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و محکیّ الریاض </w:t>
      </w:r>
      <w:r>
        <w:rPr>
          <w:rStyle w:val="FootnoteAnchor"/>
          <w:rtl w:val="true"/>
        </w:rPr>
        <w:footnoteReference w:id="1325"/>
      </w:r>
      <w:r>
        <w:rPr>
          <w:rFonts w:ascii="IRNazanin" w:hAnsi="IRNazanin" w:eastAsia="IRNazanin"/>
          <w:color w:val="111111"/>
          <w:sz w:val="28"/>
          <w:sz w:val="28"/>
          <w:szCs w:val="28"/>
          <w:rtl w:val="true"/>
          <w:lang w:bidi="fa-IR"/>
        </w:rPr>
        <w:t>هو الأوّل، لعموم ما دلّ علی وجوب الوضوء، و هو مجموع الأفعال الخاصّة عند إرادة القیام إلی الصلاة و لو من النوم فی خصوص القیام من النوم علی ما فسّر به الآیة، فإنّ النائم إذا قام إلی صلاتی الظهرین من نومه وجب علیه الأفعال الخاصّة، فإذا لم یتمکّن من فعلها للظهر و تمکّن من فعلها للعصر وجبت علیه، فلا یقدح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الأخبار و اتّفاق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القیام من النوم، بل الشأن فی إثبات بدلیة ما فعله من الوضوء الناقص عن الوضوء التامّ مطلقا، لا من حیث خصوص وجوبه لأجل الصلاة التی لا یتمکّن من فعلها مع الوضوء التامّ، فإنّ ظاهر استناد الإمام علیه السلام فی حدیث المسح علی المرارة </w:t>
      </w:r>
      <w:r>
        <w:rPr>
          <w:rStyle w:val="FootnoteAnchor"/>
          <w:rtl w:val="true"/>
        </w:rPr>
        <w:footnoteReference w:id="1327"/>
      </w:r>
      <w:r>
        <w:rPr>
          <w:rFonts w:ascii="IRNazanin" w:hAnsi="IRNazanin" w:eastAsia="IRNazanin"/>
          <w:color w:val="111111"/>
          <w:sz w:val="28"/>
          <w:sz w:val="28"/>
          <w:szCs w:val="28"/>
          <w:rtl w:val="true"/>
          <w:lang w:bidi="fa-IR"/>
        </w:rPr>
        <w:t xml:space="preserve">إلی آیة نفی الحرج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لزوم الحرج من الأمر بالصلاة مع الوضوء التامّ فی هذا الفرض، و إلّا فالوضوء فی ذاته و من حیث نفسه لیس مأمورا به، فنفی الحرج لا یقیمه مقام الوضوء التامّ إلّا من حیث الحکم التکلیفی، و هو وجوبه بدلا عن الوضوء التامّ، فیتبعه الحکم الوضعیّ بمعنی التأثیر فی إباحة ما وجب له، لا مطلقا حتّی لا یحتاج باقی الصلوات إلی مقدّمة، لحصول الأثر المقصود منها علی مقدّمة ذلک الواجب الذی أتی به حال الاضطرار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عند الزوال مقدّمة للظهرین، فلیکتف فیه عند</w:t>
      </w:r>
    </w:p>
    <w:p>
      <w:pPr>
        <w:pStyle w:val="BookText"/>
        <w:rPr/>
      </w:pPr>
      <w:r>
        <w:rPr>
          <w:rFonts w:ascii="IRNazanin" w:hAnsi="IRNazanin" w:eastAsia="IRNazanin"/>
          <w:color w:val="111111"/>
          <w:sz w:val="28"/>
          <w:sz w:val="28"/>
          <w:szCs w:val="28"/>
          <w:rtl w:val="true"/>
          <w:lang w:bidi="fa-IR"/>
        </w:rPr>
        <w:t>الحرج بالناقص لهما و إن کان عند إرادة العصر قادرا علی التامّ،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جریانه فی غیر صورة اشتراک الصلاتین فی وقت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الاکتفاء بالناقص لیس إلّا للحرج اللازم من الأمر بالدخول فی العبادة الاولی مع الوضوء التامّ لا مطلقا، و لذا لو علم أنّه حال فعل العصر تمکّن من الوضوء التامّ لم یصحّ نیّة إباحة الفعلین، لعدم ثبوت إباحة الأخیرة من أدلّة الحرج، فقد نوی إباحة ما لا یباح به کما لو ضمّ إلی نیّة التیمّم إباحة الصلاة فی حال وجدان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فالإنصاف أنّ دلالة الآیة واضحة، کما اعترف بعض المحقّقین </w:t>
      </w:r>
      <w:r>
        <w:rPr>
          <w:rStyle w:val="FootnoteAnchor"/>
          <w:rtl w:val="true"/>
        </w:rPr>
        <w:footnoteReference w:id="1329"/>
      </w:r>
      <w:r>
        <w:rPr>
          <w:rFonts w:ascii="Amiri" w:hAnsi="Amiri" w:eastAsia="Amiri" w:cs="Amiri"/>
          <w:color w:val="111111"/>
          <w:sz w:val="28"/>
          <w:sz w:val="28"/>
          <w:szCs w:val="28"/>
          <w:rtl w:val="true"/>
          <w:lang w:bidi="ar-SA"/>
        </w:rPr>
        <w:t xml:space="preserve">، إلّا أنّه قدّس سرّه منع عموم الآیة،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للإهمال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هذه الخطابات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فهم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علّة الحکم أو معرّفه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قدر کرّ لم ینجّسه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الصلاة و الطهور</w:t>
      </w:r>
      <w:r>
        <w:rPr>
          <w:rFonts w:eastAsia="Amiri" w:cs="Amiri" w:ascii="Amiri" w:hAnsi="Amiri"/>
          <w:color w:val="111111"/>
          <w:sz w:val="28"/>
          <w:szCs w:val="28"/>
          <w:rtl w:val="true"/>
          <w:lang w:bidi="ar-SA"/>
        </w:rPr>
        <w:t xml:space="preserve">» </w:t>
      </w:r>
      <w:r>
        <w:rPr>
          <w:rStyle w:val="FootnoteAnchor"/>
          <w:rtl w:val="true"/>
        </w:rPr>
        <w:footnoteReference w:id="1332"/>
      </w:r>
      <w:r>
        <w:rPr>
          <w:rFonts w:ascii="IRNazanin" w:hAnsi="IRNazanin" w:eastAsia="IRNazanin"/>
          <w:color w:val="111111"/>
          <w:sz w:val="28"/>
          <w:sz w:val="28"/>
          <w:szCs w:val="28"/>
          <w:rtl w:val="true"/>
          <w:lang w:bidi="fa-IR"/>
        </w:rPr>
        <w:t xml:space="preserve">و غیرهما </w:t>
      </w:r>
      <w:r>
        <w:rPr>
          <w:rStyle w:val="FootnoteAnchor"/>
          <w:rtl w:val="true"/>
        </w:rPr>
        <w:footnoteReference w:id="1333"/>
      </w:r>
      <w:r>
        <w:rPr>
          <w:rFonts w:ascii="IRNazanin" w:hAnsi="IRNazanin" w:eastAsia="IRNazanin"/>
          <w:color w:val="111111"/>
          <w:sz w:val="28"/>
          <w:sz w:val="28"/>
          <w:szCs w:val="28"/>
          <w:rtl w:val="true"/>
          <w:lang w:bidi="fa-IR"/>
        </w:rPr>
        <w:t>، فلا بدّ من صرف الهمّة فی تتبّع ما یکون حاکما علی هذا العموم، و هو لا یخلو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خرج المضطرّ عن هذا العموم و ثبت أنّ الوضوء بالنسبة إلیه مؤثّر فی إباحة الصلاة، فیشکّ فی بقاء هذا الحکم له، أو رجوعه إلی المختار من وجوب الوضوء التامّ علیه و عدم إباحة هذا الوضوء الناقص فی حقّه، فاللازم الحکم بالبقاء بحکم الاستصحاب، فالمقام من مقام استصحاب حکم الخاص، لا التمسّک بعموم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للوضوء الاضطراری لا یقتضی إلّا ما فعله، فیجتزئ، و لو وجب ثانیا لوجب بموجب جدید، و الفرض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إذا وجد فلا ینقضه </w:t>
      </w:r>
      <w:r>
        <w:rPr>
          <w:rStyle w:val="FootnoteAnchor"/>
          <w:rtl w:val="true"/>
        </w:rPr>
        <w:footnoteReference w:id="1334"/>
      </w:r>
      <w:r>
        <w:rPr>
          <w:rFonts w:ascii="IRNazanin" w:hAnsi="IRNazanin" w:eastAsia="IRNazanin"/>
          <w:color w:val="111111"/>
          <w:sz w:val="28"/>
          <w:sz w:val="28"/>
          <w:szCs w:val="28"/>
          <w:rtl w:val="true"/>
          <w:lang w:bidi="fa-IR"/>
        </w:rPr>
        <w:t xml:space="preserve">إلّا حدث، کما فی الصحیح </w:t>
      </w:r>
      <w:r>
        <w:rPr>
          <w:rStyle w:val="FootnoteAnchor"/>
          <w:rtl w:val="true"/>
        </w:rPr>
        <w:footnoteReference w:id="1335"/>
      </w:r>
      <w:r>
        <w:rPr>
          <w:rFonts w:ascii="IRNazanin" w:hAnsi="IRNazanin" w:eastAsia="IRNazanin"/>
          <w:color w:val="111111"/>
          <w:sz w:val="28"/>
          <w:sz w:val="28"/>
          <w:szCs w:val="28"/>
          <w:rtl w:val="true"/>
          <w:lang w:bidi="fa-IR"/>
        </w:rPr>
        <w:t>، و فی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فإیّاک أن تحدث وضوء حتّی تستیقن أنّک قد أحدثت</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وضوء رافع للحدث، فإذا فرض هذا المکلّف مرتفع الحدث و لو بحکم الاستصحاب، لم یشمله الآیة، للاتّفاق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الآیة بالمحدثین، و هذا غیر داخل فیهم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الاستصحاب، بأنّ الآیة مقیّدة بحال التمکّن من الوضوء التامّ، لا أنّه مخصص بالمضطر،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أردتم القیام إلی</w:t>
      </w:r>
    </w:p>
    <w:p>
      <w:pPr>
        <w:pStyle w:val="BookText"/>
        <w:rPr/>
      </w:pPr>
      <w:r>
        <w:rPr>
          <w:rFonts w:ascii="IRNazanin" w:hAnsi="IRNazanin" w:eastAsia="IRNazanin"/>
          <w:color w:val="111111"/>
          <w:sz w:val="28"/>
          <w:sz w:val="28"/>
          <w:szCs w:val="28"/>
          <w:rtl w:val="true"/>
          <w:lang w:bidi="fa-IR"/>
        </w:rPr>
        <w:t>الصلاة فأتوا بالوضوء التامّ إن تمکنتم، و لو سلّم کونه تخصیصا للمکلّفین، کان المعنی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قمتم إلی الصلاة فیجب علی القادر منکم الوضوء التامّ، و لو فرضنا زمان الاضطرار مستثنی من عموم أزمنة القیام إلی الصلاة، کان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الوضوء التامّ فی جمیع أزمنة إرادة القیام إلی الصلاة إلّا حال العجز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المطلوب، مع أنّ المقام لو کان مقام استصحاب حکم </w:t>
      </w:r>
      <w:r>
        <w:rPr>
          <w:rStyle w:val="FootnoteAnchor"/>
          <w:rtl w:val="true"/>
        </w:rPr>
        <w:footnoteReference w:id="1338"/>
      </w:r>
      <w:r>
        <w:rPr>
          <w:rFonts w:ascii="IRNazanin" w:hAnsi="IRNazanin" w:eastAsia="IRNazanin"/>
          <w:color w:val="111111"/>
          <w:sz w:val="28"/>
          <w:sz w:val="28"/>
          <w:szCs w:val="28"/>
          <w:rtl w:val="true"/>
          <w:lang w:bidi="fa-IR"/>
        </w:rPr>
        <w:t>الخاصّ لوجب بعد انتقاض أثر الوضوء الاضطراری بالحدث وضوء ناقص أیضا، لاستصحاب حکم المضطرّ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حکم الخاصّ یقتضی وجوب ما وجب علیه سابقا، لا بقاء أثر ما وجب سابقا، و القول بالتزام ذلک لو لا الإجماع </w:t>
      </w:r>
      <w:r>
        <w:rPr>
          <w:rStyle w:val="FootnoteAnchor"/>
          <w:rtl w:val="true"/>
        </w:rPr>
        <w:footnoteReference w:id="1339"/>
      </w:r>
      <w:r>
        <w:rPr>
          <w:rFonts w:ascii="IRNazanin" w:hAnsi="IRNazanin" w:eastAsia="IRNazanin"/>
          <w:color w:val="111111"/>
          <w:sz w:val="28"/>
          <w:sz w:val="28"/>
          <w:szCs w:val="28"/>
          <w:rtl w:val="true"/>
          <w:lang w:bidi="fa-IR"/>
        </w:rPr>
        <w:t>فاسد بالضرورة، لأنّ وجوب الوضوء التامّ علی من زال اضطراره و انتقض وضوءه الاضطراری بالحدث لیس إلّا بعموم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فالتمسّک باستصحاب حکم الخاصّ فاسد جدّا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التمسّک باستصحاب الإباحة لو لا عموم الآیة، مع إمکان أن یردّ بأنّ الموضوع فی الاستصحاب مردّد بین إباحة الصلاة المدخول بها حال الضرورة أو کلّ صلاة، فإنّ الأوّل لا ینفع و الثانی مشکوک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أنّ هذا الوضوء رافع للحدث أمکن استصحاب الطهارة علی القول بعدم تبعّض الحدث زمانا و موردا، لکنّه غیر ثابت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الوضوء ینصرف إلی التامّ، و بأنّا نلتزم بأنّه لا ینتقض الوضوء الناقص أی لا یرفعه مع بقاء استعداده و قابلیته إلّا الحدث، و الکلام هنا لیس فی انتقاض الوضوء، و إنّما هو فی صلاحیته و استعداده للبقاء مع زوال العذر، و أمّا الموثّقة </w:t>
      </w:r>
      <w:r>
        <w:rPr>
          <w:rStyle w:val="FootnoteAnchor"/>
          <w:rtl w:val="true"/>
        </w:rPr>
        <w:footnoteReference w:id="1340"/>
      </w:r>
      <w:r>
        <w:rPr>
          <w:rFonts w:ascii="IRNazanin" w:hAnsi="IRNazanin" w:eastAsia="IRNazanin"/>
          <w:color w:val="111111"/>
          <w:sz w:val="28"/>
          <w:sz w:val="28"/>
          <w:szCs w:val="28"/>
          <w:rtl w:val="true"/>
          <w:lang w:bidi="fa-IR"/>
        </w:rPr>
        <w:t>فهی واردة فی مقام عدم انتقاضة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اختصاص الآیة بالمحدثین، غایة الأمر تقیّدها بالنوم، و قد تقدّم </w:t>
      </w:r>
      <w:r>
        <w:rPr>
          <w:rStyle w:val="FootnoteAnchor"/>
          <w:rtl w:val="true"/>
        </w:rPr>
        <w:footnoteReference w:id="1341"/>
      </w:r>
      <w:r>
        <w:rPr>
          <w:rFonts w:ascii="Amiri" w:hAnsi="Amiri" w:eastAsia="Amiri" w:cs="Amiri"/>
          <w:color w:val="111111"/>
          <w:sz w:val="28"/>
          <w:sz w:val="28"/>
          <w:szCs w:val="28"/>
          <w:rtl w:val="true"/>
          <w:lang w:bidi="ar-SA"/>
        </w:rPr>
        <w:t xml:space="preserve">عدم قدحه، و أمّا مقابلته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جُنُباً</w:t>
      </w:r>
      <w:r>
        <w:rPr>
          <w:rFonts w:eastAsia="Amiri" w:cs="Amiri" w:ascii="Amiri" w:hAnsi="Amiri"/>
          <w:color w:val="111111"/>
          <w:sz w:val="28"/>
          <w:szCs w:val="28"/>
          <w:rtl w:val="true"/>
          <w:lang w:bidi="ar-SA"/>
        </w:rPr>
        <w:t xml:space="preserve">) </w:t>
      </w:r>
      <w:r>
        <w:rPr>
          <w:rStyle w:val="FootnoteAnchor"/>
          <w:rtl w:val="true"/>
        </w:rPr>
        <w:footnoteReference w:id="1342"/>
      </w:r>
      <w:r>
        <w:rPr>
          <w:rFonts w:ascii="IRNazanin" w:hAnsi="IRNazanin" w:eastAsia="IRNazanin"/>
          <w:color w:val="111111"/>
          <w:sz w:val="28"/>
          <w:sz w:val="28"/>
          <w:szCs w:val="28"/>
          <w:rtl w:val="true"/>
          <w:lang w:bidi="fa-IR"/>
        </w:rPr>
        <w:t>فلا تدلّ علی شی‌ء، لأنّ غایتها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تکونوا جنبا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رفع الحدث، و إنّما غایة الأمر ترتّب الآثار المحقّقة فی حال الاضطرار، فیجوز الدخول به فی هذا الحال فیما یشترط بالطهارة، و یحصل له کمال ما یتوقّف کماله علیها فی الحالة النفسانیة، المقتضیة لاستحباب الکون علی الطهارة، و لا یلزم من ذلک حصولها حال التمکّن من الوضوء التامّ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عدم التمسّک بالآیة فاللازم التمسّک فی المقام بقاعدة لزوم إحراز الطهور،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بناء علی إرادة رفع الحدث، و عدم ثبوت ارتفاع الحدث فی المقام و لا إباحة ما عدا الصلاة الواقعة حال الاضطرار حتّی بالاستصحاب،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ارتفع الاضطرار قبل أن یصلّی بوضوئه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الدخول فی الصلاة مع زوال العذر، أمکن إثباته فی هذه الصورة، بناء علی عدم القول بالفصل، فلنتکلّم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یمکن أن یستدلّ به علی إلحاقها بالصورة الأولی هی الآیة المتقدّمة، بتقریب أنّ الخارج من عمومها بحکم أدلّة الأعذار هو العاجز عن إتیان الصلاة بالوضوء التامّ، حتّی أنّه لو علم المضطرّ فی الحال أنّه یقدر عند إرادة الدخول فی الصلاة من الوضوء التامّ لم یجز له فعل الناقص، و لو فعله باعتقاد استمرار عجزه ثمّ طرأ القدرة کشف ذلک عن عدم الأمر بوضوئه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ثبت من أدلّة الأعذار کفایة الاضطرار فی زمان الوضوء کما هو ظاهر بعض ما تقدّم فی التقیّة </w:t>
      </w:r>
      <w:r>
        <w:rPr>
          <w:rStyle w:val="FootnoteAnchor"/>
          <w:rtl w:val="true"/>
        </w:rPr>
        <w:footnoteReference w:id="1344"/>
      </w:r>
      <w:r>
        <w:rPr>
          <w:rFonts w:ascii="IRNazanin" w:hAnsi="IRNazanin" w:eastAsia="IRNazanin"/>
          <w:color w:val="111111"/>
          <w:sz w:val="28"/>
          <w:sz w:val="28"/>
          <w:szCs w:val="28"/>
          <w:rtl w:val="true"/>
          <w:lang w:bidi="fa-IR"/>
        </w:rPr>
        <w:t>، لم یمکن الاستدلال بالآیة علی وجوب الإعادة، بل أمکن أن یستدلّ بها علی الإجزاء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الآیة أمر غیریّ مقدّمی، فیکشف عن وجود رابطة بین هذه الأفعال و الصلاة، أوجبت إیجابها عند وجوب الصلاة، کما تقدّم فی إثبات رافعیّة مطلق الوضوء للحدث القابل للارتفاع، فإذا فرض أنّ أدلّة الأعذار دلّت علی سقوط بعض الواجبات المستفادة من الآیة عن العاجز عنها حین الوضوء، فصار الواجب بالآیة علی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التامّ، و علی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الناقص، فیکشف عن ثبوت الرابطة المذکورة فی کلّ منهما، فیجوز الدخول فی الصلاة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فمبنی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الأعذار المسوّغة هل یعتبر وجودها حین الغایة</w:t>
      </w:r>
    </w:p>
    <w:p>
      <w:pPr>
        <w:pStyle w:val="BookText"/>
        <w:rPr/>
      </w:pPr>
      <w:r>
        <w:rPr>
          <w:rFonts w:ascii="IRNazanin" w:hAnsi="IRNazanin" w:eastAsia="IRNazanin"/>
          <w:color w:val="111111"/>
          <w:sz w:val="28"/>
          <w:sz w:val="28"/>
          <w:szCs w:val="28"/>
          <w:rtl w:val="true"/>
          <w:lang w:bidi="fa-IR"/>
        </w:rPr>
        <w:t>المأمور بالوضوء لأجلها، أو یکفی وجودها عند الوضوء؟ و الظاهر أنّ عموم الحرج و ما یرجع إلیه و إن کان یتراءی منه فی بادئ النظر کفایة وجوده عند الوضوء، إلّا أنّ مقتضی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الحرج إنما یلزم من الأمر بالصلاة مع الوضوء التامّ، فهو مدار الحرج دون الأمر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المفروض فی المقام لمّا کان جواز البدار لاولی الأعذار، و کان مبناه الحکم بتخییر المکلّف فی إتیان الفعل فی أیّ جزء أراد من أجزاء الوقت، و أنّ المکلّف مخیّر فی کلّ جزء من الوقت بین الفعل فیه علی الوجه الموظّف فیه بحسب حاله من القدرة علی الشرائط و العجز عنها، و بین التأخیر عنه، فضابط العذر المسقط بعض الشرائط ثبوته فی الفعل فی الزمان الذی یرید وقوعه فیه، و إن أمکن تأخیره إلی ارتفاع العذر و إتیان الفعل بشرائطه الاختیاریة، فحینئذ إذا أراد المکلّف إتیان الفعل فی زمان بعد زمان مقدار الوضوء من أوّل الوقت لکفی ثبوت الحرج فی الصلاة فی ذلک الزمان، فإذا توضّأ فی الجزء الأوّل من الوقت و أراد الصلاة، ثمّ </w:t>
      </w:r>
      <w:r>
        <w:rPr>
          <w:rStyle w:val="FootnoteAnchor"/>
          <w:rtl w:val="true"/>
        </w:rPr>
        <w:footnoteReference w:id="1345"/>
      </w:r>
      <w:r>
        <w:rPr>
          <w:rFonts w:ascii="IRNazanin" w:hAnsi="IRNazanin" w:eastAsia="IRNazanin"/>
          <w:color w:val="111111"/>
          <w:sz w:val="28"/>
          <w:sz w:val="28"/>
          <w:szCs w:val="28"/>
          <w:rtl w:val="true"/>
          <w:lang w:bidi="fa-IR"/>
        </w:rPr>
        <w:t>تیسّر له الوضوء التامّ قبل الدخول فی الصلاة، لم یقدح فی الوضوء السابق لحصول شرطه، و هو الحرج فی فعل الصلاة فی الجزء الذی اختاره من الوقت، فزوال العذر بعد الفراغ عن الوضوء لو أوجب استئناف الوضوء فقد ألزم تأخیر الصلاة عن الوقت الذی أرادها فیه، و المفروض خلافه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فی مفروض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المبادرة لاولی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تحقّق العذر فی الزمان الذی یرید الصلاة فیه، فإن علم من أوّل الأمر طروّ القدرة علی الوضوء التامّ بعد الفراغ عن وضوئه الناقص أو</w:t>
      </w:r>
    </w:p>
    <w:p>
      <w:pPr>
        <w:pStyle w:val="BookText"/>
        <w:rPr/>
      </w:pPr>
      <w:r>
        <w:rPr>
          <w:rFonts w:ascii="IRNazanin" w:hAnsi="IRNazanin" w:eastAsia="IRNazanin"/>
          <w:color w:val="111111"/>
          <w:sz w:val="28"/>
          <w:sz w:val="28"/>
          <w:szCs w:val="28"/>
          <w:rtl w:val="true"/>
          <w:lang w:bidi="fa-IR"/>
        </w:rPr>
        <w:t>قبل الدخول فی الصلاة، صحّ وضوؤه الناقص، لأنّ إلزام التأخیر عنه إلزام لتأخیر الصلاة عن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إناطة العذر بتحقّقه فی زمان إرادة الصلاة مبنیّ علی ما تقدّم من أنّ الوضوء الواجب فی الوقت لا یتحقّق امتثاله ممّن لا یرید الصلاة بذلک الوضوء، فیشترط فی قصد الوجوب فیه إرادة الصلاة به، فحینئذ لا یشرع الوضوء الناقص مع إرادة الصلاة فی الوقت المتأخّر الذی یمکن إیقاع الوضوء التامّ له، لأنّ هذا الوضوء لیس مقدمة لتلک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قلنا بمقالة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یکفی فی اتّصاف الوضوء الموجود فی الخارج بالوجوب، تحقّق وجوب غایته فی ذلک الزمان و إن لم یرد إیقاعها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إتیان الوضوء الناقص فی کلّ جزء من الوقت، لمشروعیّة الصلاة عقیب ذلک الوضوء بحکم أدلّة سعة الوقت </w:t>
      </w:r>
      <w:r>
        <w:rPr>
          <w:rStyle w:val="FootnoteAnchor"/>
          <w:rtl w:val="true"/>
        </w:rPr>
        <w:footnoteReference w:id="1346"/>
      </w:r>
      <w:r>
        <w:rPr>
          <w:rFonts w:ascii="IRNazanin" w:hAnsi="IRNazanin" w:eastAsia="IRNazanin"/>
          <w:color w:val="111111"/>
          <w:sz w:val="28"/>
          <w:sz w:val="28"/>
          <w:szCs w:val="28"/>
          <w:rtl w:val="true"/>
          <w:lang w:bidi="fa-IR"/>
        </w:rPr>
        <w:t>و إن لم یردها المکلّف فی ذلک الوقت، لکن یخرج الکلام حینئذ عن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لم یترتّب علیها أثر فی حال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الصورة الأولی، لأنّ الوضوء الناقص فی هذا الفرض قد یترتّب علیه أثر،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الدخول فی الصلاة بمجرّد الفراغ عنه، و یکون الکلام فی استمرار أثره بعد وقوعه صحیحا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باستحباب الوضوء الناقص لأجل الکون علی الطهارة لم یبق للصورة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الوضوء الذی یتکلّم فی صحّته من جهة اعتبار العذر فی حاله أو فی حال إیقاع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إذ بمجرّد الفراغ یترتّب علیه الکون علی الطهارة و إن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الکون علی الطهارة مع عدم قصده فی أوّل الوضوء یتوقّف علی صحّة الوضوء من حیث الأمر المقدّمی الذی یتعلّق به، فإذا فرض عدم الأمر به مع التمکّن من إتیان غایته بالوضوء التامّ لم یحصل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فرض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زوال العذر قبل الفراغ من الوضوء المنویّ به غیر الکون علی الطهارة و عدم فوات الموالاة، فإنّ صریح بعض </w:t>
      </w:r>
      <w:r>
        <w:rPr>
          <w:rStyle w:val="FootnoteAnchor"/>
          <w:rtl w:val="true"/>
        </w:rPr>
        <w:footnoteReference w:id="1347"/>
      </w:r>
      <w:r>
        <w:rPr>
          <w:rFonts w:ascii="IRNazanin" w:hAnsi="IRNazanin" w:eastAsia="IRNazanin"/>
          <w:color w:val="111111"/>
          <w:sz w:val="28"/>
          <w:sz w:val="28"/>
          <w:szCs w:val="28"/>
          <w:rtl w:val="true"/>
          <w:lang w:bidi="fa-IR"/>
        </w:rPr>
        <w:t>أنّه یأتی علی القول بعدم إعادة الوضوء بزوال العذر، عدم إعادته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بهذا الوضوء الکون علی الطهارة، کان لازمة الصحّة، لأنّ الکون علی الطهارة فی الآن المتّصل بالفراغ متعذّر بالوضوء التامّ، فلیکتف فیه بالناقص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w:t>
      </w:r>
      <w:r>
        <w:rPr>
          <w:rStyle w:val="FootnoteAnchor"/>
          <w:rtl w:val="true"/>
        </w:rPr>
        <w:footnoteReference w:id="1348"/>
      </w:r>
      <w:r>
        <w:rPr>
          <w:rFonts w:ascii="IRNazanin" w:hAnsi="IRNazanin" w:eastAsia="IRNazanin"/>
          <w:color w:val="111111"/>
          <w:sz w:val="28"/>
          <w:sz w:val="28"/>
          <w:szCs w:val="28"/>
          <w:rtl w:val="true"/>
          <w:lang w:bidi="fa-IR"/>
        </w:rPr>
        <w:t>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القاعدة فی الاقتصار علی مخالفة أدلّة الوضوء التامّ من مشروعیّة الوضوء الناقص مشروعیّته </w:t>
      </w:r>
      <w:r>
        <w:rPr>
          <w:rStyle w:val="FootnoteAnchor"/>
          <w:rtl w:val="true"/>
        </w:rPr>
        <w:footnoteReference w:id="1349"/>
      </w:r>
      <w:r>
        <w:rPr>
          <w:rFonts w:ascii="IRNazanin" w:hAnsi="IRNazanin" w:eastAsia="IRNazanin"/>
          <w:color w:val="111111"/>
          <w:sz w:val="28"/>
          <w:sz w:val="28"/>
          <w:szCs w:val="28"/>
          <w:rtl w:val="true"/>
          <w:lang w:bidi="fa-IR"/>
        </w:rPr>
        <w:t>بالنسبة إلی العاجز عن تحصیل الغایة المطلوب لأجلها بالوضوء التامّ، و عدم الاکتفاء بالعجز فی خصوص زمان الإتیان بالوضوء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یستظهر ذلک من بعض ما تقدّم فی التقیّة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إطلاق العذر فی ما عداها کالثلج المخوف و الجبیرة و نحوهما فالظاهر أنّها </w:t>
      </w:r>
      <w:r>
        <w:rPr>
          <w:rStyle w:val="FootnoteAnchor"/>
          <w:rtl w:val="true"/>
        </w:rPr>
        <w:footnoteReference w:id="1350"/>
      </w:r>
      <w:r>
        <w:rPr>
          <w:rFonts w:ascii="IRNazanin" w:hAnsi="IRNazanin" w:eastAsia="IRNazanin"/>
          <w:color w:val="111111"/>
          <w:sz w:val="28"/>
          <w:sz w:val="28"/>
          <w:szCs w:val="28"/>
          <w:rtl w:val="true"/>
          <w:lang w:bidi="fa-IR"/>
        </w:rPr>
        <w:t>مسوقة فی مقام الجزئیة، و أنّ هذه الأعذار رخصة، لکن</w:t>
      </w:r>
    </w:p>
    <w:p>
      <w:pPr>
        <w:pStyle w:val="BookText"/>
        <w:rPr/>
      </w:pPr>
      <w:r>
        <w:rPr>
          <w:rFonts w:ascii="IRNazanin" w:hAnsi="IRNazanin" w:eastAsia="IRNazanin"/>
          <w:color w:val="111111"/>
          <w:sz w:val="28"/>
          <w:sz w:val="28"/>
          <w:szCs w:val="28"/>
          <w:rtl w:val="true"/>
          <w:lang w:bidi="fa-IR"/>
        </w:rPr>
        <w:t>بشرط تلبّس المصلّی بها أو کفایة تلبّس المتوضّئ بها، فالإنصاف عدم إطلاق فیها یطمئنّ به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بنی علی الکفایة، فاللازم الاکتفاء بالتلبّس بهما فی زمان الإتیان بذلک الجزء العذری و إن زال قبل الفراغ و الجفاف، مع أنّهم لا یقولون به، کما قیل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إلّا لحدث، و الأوّل أحوط</w:t>
      </w:r>
      <w:r>
        <w:rPr>
          <w:rFonts w:eastAsia="IRNazanin" w:cs="IRNazanin"/>
          <w:color w:val="111111"/>
          <w:sz w:val="28"/>
          <w:szCs w:val="28"/>
          <w:rtl w:val="true"/>
          <w:lang w:bidi="fa-IR"/>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bookmarkStart w:id="155" w:name="pg13035_131801"/>
    </w:p>
    <w:p>
      <w:pPr>
        <w:pStyle w:val="Heading6"/>
        <w:numPr>
          <w:ilvl w:val="5"/>
          <w:numId w:val="1"/>
        </w:numPr>
        <w:rPr/>
      </w:pPr>
      <w:bookmarkStart w:id="156" w:name="__RefHeading___Toc6369968_3224264995"/>
      <w:bookmarkStart w:id="157" w:name="_Toc61"/>
      <w:bookmarkEnd w:id="155"/>
      <w:bookmarkEnd w:id="156"/>
      <w:r>
        <w:rPr>
          <w:rtl w:val="true"/>
        </w:rPr>
        <w:t>[</w:t>
      </w:r>
      <w:r>
        <w:rPr>
          <w:rtl w:val="true"/>
        </w:rPr>
        <w:t>مسائل ثمان</w:t>
      </w:r>
      <w:r>
        <w:rPr>
          <w:rtl w:val="true"/>
        </w:rPr>
        <w:t>]</w:t>
      </w:r>
      <w:bookmarkEnd w:id="157"/>
    </w:p>
    <w:p>
      <w:pPr>
        <w:pStyle w:val="Heading6"/>
        <w:numPr>
          <w:ilvl w:val="5"/>
          <w:numId w:val="1"/>
        </w:numPr>
        <w:rPr/>
      </w:pPr>
      <w:bookmarkStart w:id="158" w:name="__RefHeading___Toc6369970_3224264995"/>
      <w:bookmarkStart w:id="159" w:name="_Toc62"/>
      <w:bookmarkEnd w:id="158"/>
      <w:r>
        <w:rPr>
          <w:rtl w:val="true"/>
        </w:rPr>
        <w:t>اشارة</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Heading6"/>
        <w:numPr>
          <w:ilvl w:val="5"/>
          <w:numId w:val="1"/>
        </w:numPr>
        <w:rPr/>
      </w:pPr>
      <w:bookmarkStart w:id="160" w:name="__RefHeading___Toc6369972_3224264995"/>
      <w:bookmarkStart w:id="161" w:name="_Toc63"/>
      <w:bookmarkEnd w:id="160"/>
      <w:r>
        <w:rPr>
          <w:rtl w:val="true"/>
        </w:rPr>
        <w:t>[</w:t>
      </w:r>
      <w:r>
        <w:rPr>
          <w:rtl w:val="true"/>
        </w:rPr>
        <w:t>الاولی وجوب الترتیب بین الأعضاء فی الوضوء</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الترتیب واجب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غیر الرجلین من 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یوجد کلا منها فی مرتبته، بالإجماع و السنّة </w:t>
      </w:r>
      <w:r>
        <w:rPr>
          <w:rStyle w:val="FootnoteAnchor"/>
          <w:rtl w:val="true"/>
        </w:rPr>
        <w:footnoteReference w:id="1353"/>
      </w:r>
      <w:r>
        <w:rPr>
          <w:rFonts w:ascii="IRNazanin" w:hAnsi="IRNazanin" w:eastAsia="IRNazanin"/>
          <w:color w:val="111111"/>
          <w:sz w:val="28"/>
          <w:sz w:val="28"/>
          <w:szCs w:val="28"/>
          <w:rtl w:val="true"/>
          <w:lang w:bidi="fa-IR"/>
        </w:rPr>
        <w:t xml:space="preserve">، بل بالکتاب </w:t>
      </w:r>
      <w:r>
        <w:rPr>
          <w:rStyle w:val="FootnoteAnchor"/>
          <w:rtl w:val="true"/>
        </w:rPr>
        <w:footnoteReference w:id="1354"/>
      </w:r>
      <w:r>
        <w:rPr>
          <w:rFonts w:ascii="IRNazanin" w:hAnsi="IRNazanin" w:eastAsia="IRNazanin"/>
          <w:color w:val="111111"/>
          <w:sz w:val="28"/>
          <w:sz w:val="28"/>
          <w:szCs w:val="28"/>
          <w:rtl w:val="true"/>
          <w:lang w:bidi="fa-IR"/>
        </w:rPr>
        <w:t xml:space="preserve">، بناء علی 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بل مع عدمها، بناء علی ما فی الذکری من أنّه سبحانه غیّا الغسل بالمرافق و المسح بالکعبین، و هو یعطی الترتیب،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الترتیب قطعا بین إرادة القیام و بین غسل الوجه، فیجب البدأة بغسل الوجه، قضیّة للفاء، و کلّ من قال بوجوب البدأة به قال بالترتیب بین باقی الأعضاء </w:t>
      </w:r>
      <w:r>
        <w:rPr>
          <w:rStyle w:val="FootnoteAnchor"/>
          <w:rtl w:val="true"/>
        </w:rPr>
        <w:footnoteReference w:id="13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الدلیلین غموض، یغنی عن الخوض فیه وضوح المسألة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الیسری بعدها، و مسح الرأس تالیا </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للیسری أو تالیا فی التأخیر،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مترتّبین أم لا، علی الخلاف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و لو فی فعل واحد من الأفعال المترتّبة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الوضوء، عمدا کان أو نسیانا إن کان قد جفّ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إمکان تدارک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أطلق فی التحریر </w:t>
      </w:r>
      <w:r>
        <w:rPr>
          <w:rStyle w:val="FootnoteAnchor"/>
          <w:rtl w:val="true"/>
        </w:rPr>
        <w:footnoteReference w:id="1357"/>
      </w:r>
      <w:r>
        <w:rPr>
          <w:rFonts w:ascii="IRNazanin" w:hAnsi="IRNazanin" w:eastAsia="IRNazanin"/>
          <w:color w:val="111111"/>
          <w:sz w:val="28"/>
          <w:sz w:val="28"/>
          <w:szCs w:val="28"/>
          <w:rtl w:val="true"/>
          <w:lang w:bidi="fa-IR"/>
        </w:rPr>
        <w:t xml:space="preserve">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العمد</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عکس ظاهر التذکرة </w:t>
      </w:r>
      <w:r>
        <w:rPr>
          <w:rStyle w:val="FootnoteAnchor"/>
          <w:rtl w:val="true"/>
        </w:rPr>
        <w:footnoteReference w:id="1359"/>
      </w:r>
      <w:r>
        <w:rPr>
          <w:rFonts w:ascii="IRNazanin" w:hAnsi="IRNazanin" w:eastAsia="IRNazanin"/>
          <w:color w:val="111111"/>
          <w:sz w:val="28"/>
          <w:sz w:val="28"/>
          <w:szCs w:val="28"/>
          <w:rtl w:val="true"/>
          <w:lang w:bidi="fa-IR"/>
        </w:rPr>
        <w:t xml:space="preserve">، و لا وجه له إلّا إذا أرید به تعمّد إیقاع الوضوء من أوّله خلاف الترتیب، و أمّا مع العمد فی الأثناء فتوجیهه </w:t>
      </w:r>
      <w:r>
        <w:rPr>
          <w:rStyle w:val="FootnoteAnchor"/>
          <w:rtl w:val="true"/>
        </w:rPr>
        <w:footnoteReference w:id="1360"/>
      </w:r>
      <w:r>
        <w:rPr>
          <w:rFonts w:ascii="IRNazanin" w:hAnsi="IRNazanin" w:eastAsia="IRNazanin"/>
          <w:color w:val="111111"/>
          <w:sz w:val="28"/>
          <w:sz w:val="28"/>
          <w:szCs w:val="28"/>
          <w:rtl w:val="true"/>
          <w:lang w:bidi="fa-IR"/>
        </w:rPr>
        <w:t xml:space="preserve">باشتراط المتابعة مع الاختیار علی مذهبه، فممّا لا یرضی به العلّامة، لأنّه صرّح فی التحریر </w:t>
      </w:r>
      <w:r>
        <w:rPr>
          <w:rStyle w:val="FootnoteAnchor"/>
          <w:rtl w:val="true"/>
        </w:rPr>
        <w:footnoteReference w:id="1361"/>
      </w:r>
      <w:r>
        <w:rPr>
          <w:rFonts w:ascii="IRNazanin" w:hAnsi="IRNazanin" w:eastAsia="IRNazanin"/>
          <w:color w:val="111111"/>
          <w:sz w:val="28"/>
          <w:sz w:val="28"/>
          <w:szCs w:val="28"/>
          <w:rtl w:val="true"/>
          <w:lang w:bidi="fa-IR"/>
        </w:rPr>
        <w:t>بعدم البطلان مع تعمّد الإخلال بها مع أنّ مجرّد الإخلال بالترتیب لا یوجب فوات المتابعة حینئذ</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البلل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تعمد خلاف الترتیب من أوّل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أیضا، لعدم وقوع ما وقع مع النیّة، و إن بدا له المخالفة فی الأثناء أو کان ناسیا اقتصر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یحصل معه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المعروف بین الأصحاب، فإذا قدّم شیئا علی شی‌ء أعاد المتقدّم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منصور بن حازم، فی حدیث تقدیم السعی علی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تری أنّک إذا غسلت شمالک قبل یمینک کان علیک أن تعید علی شمالک؟</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مستطرفات السرائر عن نوادر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بدأت بیسارک </w:t>
      </w:r>
      <w:r>
        <w:rPr>
          <w:rStyle w:val="FootnoteAnchor"/>
          <w:rtl w:val="true"/>
        </w:rPr>
        <w:footnoteReference w:id="1363"/>
      </w:r>
      <w:r>
        <w:rPr>
          <w:rFonts w:ascii="IRNazanin" w:hAnsi="IRNazanin" w:eastAsia="IRNazanin"/>
          <w:color w:val="111111"/>
          <w:sz w:val="28"/>
          <w:sz w:val="28"/>
          <w:szCs w:val="28"/>
          <w:rtl w:val="true"/>
          <w:lang w:bidi="fa-IR"/>
        </w:rPr>
        <w:t>قبل یمینک و مسحت رأسک و رجلیک، ثمّ استیقنت بعد أنّک قد بدأت بها، غسلت یسارک ثمّ مسحت رأسک و رجلیک</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ظاهر بعض الأخبار وجوب إعادة المتأخّر أیضا،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تقدیم ما هو </w:t>
      </w:r>
      <w:r>
        <w:rPr>
          <w:rStyle w:val="FootnoteAnchor"/>
          <w:rtl w:val="true"/>
        </w:rPr>
        <w:footnoteReference w:id="1365"/>
      </w:r>
      <w:r>
        <w:rPr>
          <w:rFonts w:ascii="IRNazanin" w:hAnsi="IRNazanin" w:eastAsia="IRNazanin"/>
          <w:color w:val="111111"/>
          <w:sz w:val="28"/>
          <w:sz w:val="28"/>
          <w:szCs w:val="28"/>
          <w:rtl w:val="true"/>
          <w:lang w:bidi="fa-IR"/>
        </w:rPr>
        <w:t>حقّه التأخیر فاسد مفسد للمتأخّر المحقّق للتقدیم، ففی 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نسیت </w:t>
      </w:r>
      <w:r>
        <w:rPr>
          <w:rStyle w:val="FootnoteAnchor"/>
          <w:rtl w:val="true"/>
        </w:rPr>
        <w:footnoteReference w:id="1366"/>
      </w:r>
      <w:r>
        <w:rPr>
          <w:rFonts w:ascii="IRNazanin" w:hAnsi="IRNazanin" w:eastAsia="IRNazanin"/>
          <w:color w:val="111111"/>
          <w:sz w:val="28"/>
          <w:sz w:val="28"/>
          <w:szCs w:val="28"/>
          <w:rtl w:val="true"/>
          <w:lang w:bidi="fa-IR"/>
        </w:rPr>
        <w:t xml:space="preserve">فغسلت ذراعیک قبل وجهک فأعد غسل وجهک، ثمّ اغسل ذراعیک بعد الوجه، فإن بدأت بذراعک الأیسر قبل الأیمن فأعد علی غسل </w:t>
      </w:r>
      <w:r>
        <w:rPr>
          <w:rStyle w:val="FootnoteAnchor"/>
          <w:rtl w:val="true"/>
        </w:rPr>
        <w:footnoteReference w:id="1367"/>
      </w:r>
      <w:r>
        <w:rPr>
          <w:rFonts w:ascii="IRNazanin" w:hAnsi="IRNazanin" w:eastAsia="IRNazanin"/>
          <w:color w:val="111111"/>
          <w:sz w:val="28"/>
          <w:sz w:val="28"/>
          <w:szCs w:val="28"/>
          <w:rtl w:val="true"/>
          <w:lang w:bidi="fa-IR"/>
        </w:rPr>
        <w:t>الأیمن، ثمّ اغسل الیسار، و إن نسیت مسح رأسک حتّی تغسل رجلیک، فامسح رأسک ثمّ اغسل رجلیک</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موافقة ذیلها لمذهب العامّة، فیوهن أصالة عدم التقیّة فی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حملها </w:t>
      </w:r>
      <w:r>
        <w:rPr>
          <w:rStyle w:val="FootnoteAnchor"/>
          <w:rtl w:val="true"/>
        </w:rPr>
        <w:footnoteReference w:id="1369"/>
      </w:r>
      <w:r>
        <w:rPr>
          <w:rFonts w:ascii="IRNazanin" w:hAnsi="IRNazanin" w:eastAsia="IRNazanin"/>
          <w:color w:val="111111"/>
          <w:sz w:val="28"/>
          <w:sz w:val="28"/>
          <w:szCs w:val="28"/>
          <w:rtl w:val="true"/>
          <w:lang w:bidi="fa-IR"/>
        </w:rPr>
        <w:t>علی الاستحباب، أو علی أنّ مورد الحکم تذکّر تقدّم المتأخّر قبل غسل المتقدّم، فیحمل إعادة الوجه و الیمین علی عود المکلّف لتدارکهما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یستظهر مضمون الموثّقة من روایات أخر لا ظهور لها فی ذلک، مثل قوله علیه السلام فی المرویّ عن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توضّأ فغسل یساره قبل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الوضوء من حیث أخطأ، یغسل یمینه ثمّ یساره ثمّ یمسح رأسه و رجلیه</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 بناء علی دعوی ظهورها فی وقوع التذکّر بعد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فسادها، لأنّ التذکّر إن کان بعد الإتمام فلا یصحّ الحکم بإعادة الوضوء من رأس إلّا لفوات الموالاة، إذ بدونه لا وجه لإعادة غسل الوجه، بل الظاهر أنّ المراد إعادة الوضوء من موضع الخطأ، و حمل السؤال علی تذکّره قبل غسل الیمین، و لا ینافیه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تمام الوضوء، لأنّ عطف الغسل علیه بالفاء قرینة علی إرادة الاشتغال بالوضوء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أخبار أخر أقبل للحمل علی التذکّر قبل غسل الیمین، فلا یعارض بها الخبران السابقان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المحکیّ عن الصدوق قدّس سرّه تعارض الأخبار، بل ظاهره المستفاد من طریقه حمل المتعارضین علی</w:t>
      </w:r>
    </w:p>
    <w:p>
      <w:pPr>
        <w:pStyle w:val="BookText"/>
        <w:rPr/>
      </w:pPr>
      <w:r>
        <w:rPr>
          <w:rFonts w:ascii="IRNazanin" w:hAnsi="IRNazanin" w:eastAsia="IRNazanin"/>
          <w:color w:val="111111"/>
          <w:sz w:val="28"/>
          <w:sz w:val="28"/>
          <w:szCs w:val="28"/>
          <w:rtl w:val="true"/>
          <w:lang w:bidi="fa-IR"/>
        </w:rPr>
        <w:t>التخییر،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من بدأ بیساره قبل 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یعید علی یمینه ثمّ یعید علی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یعید علی یساره</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نکس فأخّر غسل وجهه اجتزأ بغسل الوجه إذا لم یحصل الإخلال بالنیّة، إمّا لجعلها الداعی و إمّا لمقارنة الإخطار لغسل الیدین و استمرارها إلی غسل الوجه، فلو نکس ثانیا احتسب منه غسل الیمنی علی ما ذکر، و لو نکس ثالثا احتسب منه غسل الیسری و یمسح بها لا بالیمنی، بناء علی استهلاک ماء غسله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ماء جار و تعاقب جریات ثلاث علی أعضائه الثلاثة مقرونا بالنیّة اجتزأ بها، فیمسح رأسه و رجلیه مع فرض عدم استهلاک بلل الوضوء فی یده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فی ماء واقف و مضی علیه آنات ففی جواز نیّة انغسال الأعضاء بترتّب الآنات خلاف بین الفاضلین </w:t>
      </w:r>
      <w:r>
        <w:rPr>
          <w:rStyle w:val="FootnoteAnchor"/>
          <w:rtl w:val="true"/>
        </w:rPr>
        <w:footnoteReference w:id="1372"/>
      </w:r>
      <w:r>
        <w:rPr>
          <w:rFonts w:ascii="IRNazanin" w:hAnsi="IRNazanin" w:eastAsia="IRNazanin"/>
          <w:color w:val="111111"/>
          <w:sz w:val="28"/>
          <w:sz w:val="28"/>
          <w:szCs w:val="28"/>
          <w:rtl w:val="true"/>
          <w:lang w:bidi="fa-IR"/>
        </w:rPr>
        <w:t xml:space="preserve">و بین الشهید قدّس اللّٰه أسرارهم، فاستقرب الصحّة فی الذکری </w:t>
      </w:r>
      <w:r>
        <w:rPr>
          <w:rStyle w:val="FootnoteAnchor"/>
          <w:rtl w:val="true"/>
        </w:rPr>
        <w:footnoteReference w:id="1373"/>
      </w:r>
      <w:r>
        <w:rPr>
          <w:rFonts w:ascii="IRNazanin" w:hAnsi="IRNazanin" w:eastAsia="IRNazanin"/>
          <w:color w:val="111111"/>
          <w:sz w:val="28"/>
          <w:sz w:val="28"/>
          <w:szCs w:val="28"/>
          <w:rtl w:val="true"/>
          <w:lang w:bidi="fa-IR"/>
        </w:rPr>
        <w:t>، و لا یخلو عن إشکال، من جهة خفاء صدق الغسل علی مجرّد إبقاء الماء المحیط بالعضو علی حاله، و إلّا لصدق علی إبقاء الماء المصبوب علی العضو علی حاله، فیصبّ علی أعضائه دفعة واحدة، ثمّ ینوی بإحاطة الماء الثانی علی العضو انغساله به، و لا أظنّ الشهید قدّس سرّه و لا غیره یلتزم ذلک و إلّا لم یحتج تدارک الترتیب إلی غسل جدید، بل کان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یکتفی نیّة انغسال العضو بالماء الموجود علیه، کالماء الواقف المحیط به، فتأمّل</w:t>
      </w:r>
      <w:r>
        <w:rPr>
          <w:rFonts w:eastAsia="IRNazanin" w:cs="IRNazanin"/>
          <w:color w:val="111111"/>
          <w:sz w:val="28"/>
          <w:szCs w:val="28"/>
          <w:rtl w:val="true"/>
          <w:lang w:bidi="fa-IR"/>
        </w:rPr>
        <w:t>.</w:t>
      </w:r>
      <w:bookmarkStart w:id="162" w:name="pg13035_131807"/>
    </w:p>
    <w:p>
      <w:pPr>
        <w:pStyle w:val="Heading6"/>
        <w:numPr>
          <w:ilvl w:val="5"/>
          <w:numId w:val="1"/>
        </w:numPr>
        <w:rPr/>
      </w:pPr>
      <w:bookmarkStart w:id="163" w:name="__RefHeading___Toc6369974_3224264995"/>
      <w:bookmarkStart w:id="164" w:name="_Toc64"/>
      <w:bookmarkEnd w:id="162"/>
      <w:bookmarkEnd w:id="163"/>
      <w:r>
        <w:rPr>
          <w:rtl w:val="true"/>
        </w:rPr>
        <w:t>[</w:t>
      </w:r>
      <w:r>
        <w:rPr>
          <w:rtl w:val="true"/>
        </w:rPr>
        <w:t>المسألة الثانیة فی وجوب الموالاة</w:t>
      </w:r>
      <w:r>
        <w:rPr>
          <w:rtl w:val="true"/>
        </w:rPr>
        <w:t>]</w:t>
      </w:r>
      <w:bookmarkEnd w:id="164"/>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مستفیضا، بل 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متابعة الأفعال و تعاقبها، و جعل بعضها تابعا لبعض غیر منقطع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فی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تواصل بعضها ببعض حقیقة عرفیّة، بأن یشتغل باللاحق بغیر فصل عرفی بینه و بین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یلاحظ التواصل و عدم الانقطاع بالنسبة إلی الأثر و هو البلل، فیکفی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یغسل کلّ عضو قبل أن یجفّ ما تقدّمه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اتّفق الکلّ ظاهرا علی أنّ المتابعة عند التفریق الاضطراری، هی بهذا المعنی الثانی، إلّا أنّ الظاهر من المبسوط </w:t>
      </w:r>
      <w:r>
        <w:rPr>
          <w:rStyle w:val="FootnoteAnchor"/>
          <w:rtl w:val="true"/>
        </w:rPr>
        <w:footnoteReference w:id="1374"/>
      </w:r>
      <w:r>
        <w:rPr>
          <w:rFonts w:ascii="IRNazanin" w:hAnsi="IRNazanin" w:eastAsia="IRNazanin"/>
          <w:color w:val="111111"/>
          <w:sz w:val="28"/>
          <w:sz w:val="28"/>
          <w:szCs w:val="28"/>
          <w:rtl w:val="true"/>
          <w:lang w:bidi="fa-IR"/>
        </w:rPr>
        <w:t xml:space="preserve">و المعتبر </w:t>
      </w:r>
      <w:r>
        <w:rPr>
          <w:rStyle w:val="FootnoteAnchor"/>
          <w:rtl w:val="true"/>
        </w:rPr>
        <w:footnoteReference w:id="1375"/>
      </w:r>
      <w:r>
        <w:rPr>
          <w:rFonts w:ascii="IRNazanin" w:hAnsi="IRNazanin" w:eastAsia="IRNazanin"/>
          <w:color w:val="111111"/>
          <w:sz w:val="28"/>
          <w:sz w:val="28"/>
          <w:szCs w:val="28"/>
          <w:rtl w:val="true"/>
          <w:lang w:bidi="fa-IR"/>
        </w:rPr>
        <w:t xml:space="preserve">و المنتهی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زوال العذر المسوّغ للمسح علی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مسح علی الرجل بعد زوال العذر لم یکف، لفوات الموالاة، و من المعلوم أنّ المفروض بقاء بلل</w:t>
      </w:r>
    </w:p>
    <w:p>
      <w:pPr>
        <w:pStyle w:val="BookText"/>
        <w:rPr/>
      </w:pPr>
      <w:r>
        <w:rPr>
          <w:rFonts w:ascii="IRNazanin" w:hAnsi="IRNazanin" w:eastAsia="IRNazanin"/>
          <w:color w:val="111111"/>
          <w:sz w:val="28"/>
          <w:sz w:val="28"/>
          <w:szCs w:val="28"/>
          <w:rtl w:val="true"/>
          <w:lang w:bidi="fa-IR"/>
        </w:rPr>
        <w:t>الوضوء، و إلّا لعلّل عدم الإجزاء بلزوم المسح بالماء الجدید،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القول الأوّل بین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هذا المعنی، یعنی شرطیّته للوضوء، و هو لصریح المبسوط و ظاهر المقنعة،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w:t>
      </w:r>
      <w:r>
        <w:rPr>
          <w:rStyle w:val="FootnoteAnchor"/>
          <w:rtl w:val="true"/>
        </w:rPr>
        <w:footnoteReference w:id="1377"/>
      </w:r>
      <w:r>
        <w:rPr>
          <w:rFonts w:ascii="IRNazanin" w:hAnsi="IRNazanin" w:eastAsia="IRNazanin"/>
          <w:color w:val="111111"/>
          <w:sz w:val="28"/>
          <w:sz w:val="28"/>
          <w:szCs w:val="28"/>
          <w:rtl w:val="true"/>
          <w:lang w:bidi="fa-IR"/>
        </w:rPr>
        <w:t xml:space="preserve">واجبة، و هی أن یتابع بین الأعضاء مع الاختیار، فإن خالف لم یجزه </w:t>
      </w:r>
      <w:r>
        <w:rPr>
          <w:rStyle w:val="FootnoteAnchor"/>
          <w:rtl w:val="true"/>
        </w:rPr>
        <w:footnoteReference w:id="137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التفریق بین الوضوء، فیغسل الإنسان وجهه ثمّ یصبر هنیئة ثم یغسل یده، بل یتابع ذلک و یصل غسل یدیه بغسل وجهه، و مسح رأسه بغسل یده، و مسح رجلیه بمسح رأسه، و لا یجعل بین ذلک مهلة إلّا لضرورة، لانقطاع الماء و غیره ممّا یلجئه إلی التفریق، فإن فرّق وضوءه لضرورة حتّی یجفّ ما تقدّم منه استأنف الوضوء من أوّله، و إن لم یجفّ وصله من حیث قطعه، و کذلک إن نسی مسح رأسه ثمّ ذکره و فی یده بلل من الوضوء فلیمسح علیه و مسح رجلیه، و إن لم یکن فی یده بلل و کان فی لحیته أو حاجبیه أخذ منه ما یندی به أطراف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ذکر ما نسیه و قد جفّ وضوءه و لم یبق من نداوته شی‌ء فلیستأنف الوضوء من أوّله </w:t>
      </w:r>
      <w:r>
        <w:rPr>
          <w:rStyle w:val="FootnoteAnchor"/>
          <w:rtl w:val="true"/>
        </w:rPr>
        <w:footnoteReference w:id="137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ما یعتبر فی الوضوء، هو البطلان، و نظیر ذلک قوله قدّس سرّه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لأحد أن یجعل فی موضع مسح رجلیه غسلا کما لا یجوز له أن یجعل موضع غسل وجهه مسحا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أنّ مراعاة عدم الجفاف 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التتابع و عدم التفریق، قوله قدّس سرّه فی مسألة وجوب الترتیب بین الأعضاء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غسل المقدّم قبل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یجفّ ما وضّأه </w:t>
      </w:r>
      <w:r>
        <w:rPr>
          <w:rStyle w:val="FootnoteAnchor"/>
          <w:rtl w:val="true"/>
        </w:rPr>
        <w:footnoteReference w:id="1381"/>
      </w:r>
      <w:r>
        <w:rPr>
          <w:rFonts w:ascii="IRNazanin" w:hAnsi="IRNazanin" w:eastAsia="IRNazanin"/>
          <w:color w:val="111111"/>
          <w:sz w:val="28"/>
          <w:sz w:val="28"/>
          <w:szCs w:val="28"/>
          <w:rtl w:val="true"/>
          <w:lang w:bidi="fa-IR"/>
        </w:rPr>
        <w:t xml:space="preserve">من جوارحه، أعاد الوضوء مستأنفا، لیکون وضوءه متتابعا غیر متفرّق </w:t>
      </w:r>
      <w:r>
        <w:rPr>
          <w:rStyle w:val="FootnoteAnchor"/>
          <w:rtl w:val="true"/>
        </w:rPr>
        <w:footnoteReference w:id="138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قول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الموالاة المشترطة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Style w:val="FootnoteAnchor"/>
          <w:rtl w:val="true"/>
        </w:rPr>
        <w:footnoteReference w:id="1383"/>
      </w:r>
      <w:r>
        <w:rPr>
          <w:rFonts w:ascii="IRNazanin" w:hAnsi="IRNazanin" w:eastAsia="IRNazanin"/>
          <w:color w:val="111111"/>
          <w:sz w:val="28"/>
          <w:sz w:val="28"/>
          <w:szCs w:val="28"/>
          <w:rtl w:val="true"/>
          <w:lang w:bidi="fa-IR"/>
        </w:rPr>
        <w:t>المتابعة بین الأعضاء مع الاختیار، و 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الجفاف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التفریق، 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المتابعة بهذا المعنی واجب مستقلّ غیر معتبر فی صحّة الوضوء، و إنّما المعتبر فیه اختیارا و اضطرارا هو المعنی الثانی و هو لصریح المعتبر </w:t>
      </w:r>
      <w:r>
        <w:rPr>
          <w:rStyle w:val="FootnoteAnchor"/>
          <w:rtl w:val="true"/>
        </w:rPr>
        <w:footnoteReference w:id="1384"/>
      </w:r>
      <w:r>
        <w:rPr>
          <w:rFonts w:ascii="Amiri" w:hAnsi="Amiri" w:eastAsia="Amiri" w:cs="Amiri"/>
          <w:color w:val="111111"/>
          <w:sz w:val="28"/>
          <w:sz w:val="28"/>
          <w:szCs w:val="28"/>
          <w:rtl w:val="true"/>
          <w:lang w:bidi="ar-SA"/>
        </w:rPr>
        <w:t xml:space="preserve">و غیر واحد من کتب العلّامة قدّس سرّه </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المحکی عن الخلاف </w:t>
      </w:r>
      <w:r>
        <w:rPr>
          <w:rStyle w:val="FootnoteAnchor"/>
          <w:rtl w:val="true"/>
        </w:rPr>
        <w:footnoteReference w:id="1386"/>
      </w:r>
      <w:r>
        <w:rPr>
          <w:rFonts w:ascii="IRNazanin" w:hAnsi="IRNazanin" w:eastAsia="IRNazanin"/>
          <w:color w:val="111111"/>
          <w:sz w:val="28"/>
          <w:sz w:val="28"/>
          <w:szCs w:val="28"/>
          <w:rtl w:val="true"/>
          <w:lang w:bidi="fa-IR"/>
        </w:rPr>
        <w:t xml:space="preserve">، بل ظاهر المحکیّ عن شرح الإرشاد لفخر الدین </w:t>
      </w:r>
      <w:r>
        <w:rPr>
          <w:rStyle w:val="FootnoteAnchor"/>
          <w:rtl w:val="true"/>
        </w:rPr>
        <w:footnoteReference w:id="1387"/>
      </w:r>
      <w:r>
        <w:rPr>
          <w:rFonts w:ascii="IRNazanin" w:hAnsi="IRNazanin" w:eastAsia="IRNazanin"/>
          <w:color w:val="111111"/>
          <w:sz w:val="28"/>
          <w:sz w:val="28"/>
          <w:szCs w:val="28"/>
          <w:rtl w:val="true"/>
          <w:lang w:bidi="fa-IR"/>
        </w:rPr>
        <w:t xml:space="preserve">و التنقیح </w:t>
      </w:r>
      <w:r>
        <w:rPr>
          <w:rStyle w:val="FootnoteAnchor"/>
          <w:rtl w:val="true"/>
        </w:rPr>
        <w:footnoteReference w:id="1388"/>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389"/>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القول بوجوب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p>
    <w:p>
      <w:pPr>
        <w:pStyle w:val="BookText"/>
        <w:rPr/>
      </w:pPr>
      <w:r>
        <w:rPr>
          <w:rFonts w:ascii="IRNazanin" w:hAnsi="IRNazanin" w:eastAsia="IRNazanin"/>
          <w:color w:val="111111"/>
          <w:sz w:val="28"/>
          <w:sz w:val="28"/>
          <w:szCs w:val="28"/>
          <w:rtl w:val="true"/>
          <w:lang w:bidi="fa-IR"/>
        </w:rPr>
        <w:t>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القول، و أنّه لا یبطل الوضوء إلّا بالجفاف، و أنّ الفائدة تظهر فی الإثم و عدمه، و کأنّهم عوّلوا علی ما فی التذکرة، حیث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القولین فی تفسیر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القولین، لو أخّر حتّی جفّ السابق استأنف الوضوء، و لو لم یجفّ لم یستأنف، بل فعل محرّما </w:t>
      </w:r>
      <w:r>
        <w:rPr>
          <w:rStyle w:val="FootnoteAnchor"/>
          <w:rtl w:val="true"/>
        </w:rPr>
        <w:footnoteReference w:id="1391"/>
      </w:r>
      <w:r>
        <w:rPr>
          <w:rFonts w:ascii="IRNazanin" w:hAnsi="IRNazanin" w:eastAsia="IRNazanin"/>
          <w:color w:val="111111"/>
          <w:sz w:val="28"/>
          <w:sz w:val="28"/>
          <w:szCs w:val="28"/>
          <w:rtl w:val="true"/>
          <w:lang w:bidi="fa-IR"/>
        </w:rPr>
        <w:t xml:space="preserve">علی الأوّل خاصّة، و هو الأقرب عندی </w:t>
      </w:r>
      <w:r>
        <w:rPr>
          <w:rStyle w:val="FootnoteAnchor"/>
          <w:rtl w:val="true"/>
        </w:rPr>
        <w:footnoteReference w:id="13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صریح المبسوط و ظاهر المقنعة </w:t>
      </w:r>
      <w:r>
        <w:rPr>
          <w:rStyle w:val="FootnoteAnchor"/>
          <w:rtl w:val="true"/>
        </w:rPr>
        <w:footnoteReference w:id="1393"/>
      </w:r>
      <w:r>
        <w:rPr>
          <w:rFonts w:ascii="IRNazanin" w:hAnsi="IRNazanin" w:eastAsia="IRNazanin"/>
          <w:color w:val="111111"/>
          <w:sz w:val="28"/>
          <w:sz w:val="28"/>
          <w:szCs w:val="28"/>
          <w:rtl w:val="true"/>
          <w:lang w:bidi="fa-IR"/>
        </w:rPr>
        <w:t xml:space="preserve">، و کذلک الخلاف ادّعی الإجماع علی وجوب المتابعة، ثمّ استدلّ علیه بأنّ صحّة الوضوء معها معلوم و بدونها غیر معلوم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المصنّف هنا، فإنّ ظاهر التفصیل بین حال الاختیار و الاضطرار، کون وجوب المتابعة فیها علی نهج واحد، و هو الوجوب الشرطی، لأنّه الثابت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المعتبر حیث ادّعی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اشتراط الموالاة فی صحّة الوضوء، ثمّ نقل الخلاف فی تفسیرها، و حکی ما تقدّم من عبارة المبسوط </w:t>
      </w:r>
      <w:r>
        <w:rPr>
          <w:rStyle w:val="FootnoteAnchor"/>
          <w:rtl w:val="true"/>
        </w:rPr>
        <w:footnoteReference w:id="1395"/>
      </w:r>
      <w:r>
        <w:rPr>
          <w:rFonts w:ascii="IRNazanin" w:hAnsi="IRNazanin" w:eastAsia="IRNazanin"/>
          <w:color w:val="111111"/>
          <w:sz w:val="28"/>
          <w:sz w:val="28"/>
          <w:szCs w:val="28"/>
          <w:rtl w:val="true"/>
          <w:lang w:bidi="fa-IR"/>
        </w:rPr>
        <w:t xml:space="preserve">، و نحوه الشهید فی الذکری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ما ذکر أنکر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فی الروض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و المقاصد العلیّة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العلّامة و المحقّق الثانی دعوی الانحصار، و إهمال قول الشیخ فی المبسوط، فجعلوا الأقوال ثلاثة، بل ذکر بعض المتأخّرین </w:t>
      </w:r>
      <w:r>
        <w:rPr>
          <w:rStyle w:val="FootnoteAnchor"/>
          <w:rtl w:val="true"/>
        </w:rPr>
        <w:footnoteReference w:id="1399"/>
      </w:r>
      <w:r>
        <w:rPr>
          <w:rFonts w:ascii="IRNazanin" w:hAnsi="IRNazanin" w:eastAsia="IRNazanin"/>
          <w:color w:val="111111"/>
          <w:sz w:val="28"/>
          <w:sz w:val="28"/>
          <w:szCs w:val="28"/>
          <w:rtl w:val="true"/>
          <w:lang w:bidi="fa-IR"/>
        </w:rPr>
        <w:t xml:space="preserve">رابعا، و هو قول الصدوقین </w:t>
      </w:r>
      <w:r>
        <w:rPr>
          <w:rStyle w:val="FootnoteAnchor"/>
          <w:rtl w:val="true"/>
        </w:rPr>
        <w:footnoteReference w:id="1400"/>
      </w:r>
      <w:r>
        <w:rPr>
          <w:rFonts w:ascii="IRNazanin" w:hAnsi="IRNazanin" w:eastAsia="IRNazanin"/>
          <w:color w:val="111111"/>
          <w:sz w:val="28"/>
          <w:sz w:val="28"/>
          <w:szCs w:val="28"/>
          <w:rtl w:val="true"/>
          <w:lang w:bidi="fa-IR"/>
        </w:rPr>
        <w:t>بکفایة أحد الأمرین من المتابعة و مراعاة عدم الجفاف، فأیّهما حصل کفی فی الموالاة، فلو والی و جفّ لم یقدح، کما لو لم یوال و لم یجفّ</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الأقوی بحسب الأخبار و إن ادعی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الکثیرة بخلافه </w:t>
      </w:r>
      <w:r>
        <w:rPr>
          <w:rStyle w:val="FootnoteAnchor"/>
          <w:rtl w:val="true"/>
        </w:rPr>
        <w:footnoteReference w:id="1401"/>
      </w:r>
      <w:r>
        <w:rPr>
          <w:rFonts w:ascii="IRNazanin" w:hAnsi="IRNazanin" w:eastAsia="IRNazanin"/>
          <w:color w:val="111111"/>
          <w:sz w:val="28"/>
          <w:sz w:val="28"/>
          <w:szCs w:val="28"/>
          <w:rtl w:val="true"/>
          <w:lang w:bidi="fa-IR"/>
        </w:rPr>
        <w:t>، و سیظهر خلافه، وفاقا لجماعة،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المدارک </w:t>
      </w:r>
      <w:r>
        <w:rPr>
          <w:rStyle w:val="FootnoteAnchor"/>
          <w:rtl w:val="true"/>
        </w:rPr>
        <w:footnoteReference w:id="1402"/>
      </w:r>
      <w:r>
        <w:rPr>
          <w:rFonts w:ascii="IRNazanin" w:hAnsi="IRNazanin" w:eastAsia="IRNazanin"/>
          <w:color w:val="111111"/>
          <w:sz w:val="28"/>
          <w:sz w:val="28"/>
          <w:szCs w:val="28"/>
          <w:rtl w:val="true"/>
          <w:lang w:bidi="fa-IR"/>
        </w:rPr>
        <w:t xml:space="preserve">و المشارق </w:t>
      </w:r>
      <w:r>
        <w:rPr>
          <w:rStyle w:val="FootnoteAnchor"/>
          <w:rtl w:val="true"/>
        </w:rPr>
        <w:footnoteReference w:id="1403"/>
      </w:r>
      <w:r>
        <w:rPr>
          <w:rFonts w:ascii="IRNazanin" w:hAnsi="IRNazanin" w:eastAsia="IRNazanin"/>
          <w:color w:val="111111"/>
          <w:sz w:val="28"/>
          <w:sz w:val="28"/>
          <w:szCs w:val="28"/>
          <w:rtl w:val="true"/>
          <w:lang w:bidi="fa-IR"/>
        </w:rPr>
        <w:t xml:space="preserve">و الحدائق </w:t>
      </w:r>
      <w:r>
        <w:rPr>
          <w:rStyle w:val="FootnoteAnchor"/>
          <w:rtl w:val="true"/>
        </w:rPr>
        <w:footnoteReference w:id="1404"/>
      </w:r>
      <w:r>
        <w:rPr>
          <w:rFonts w:ascii="Amiri" w:hAnsi="Amiri" w:eastAsia="Amiri" w:cs="Amiri"/>
          <w:color w:val="111111"/>
          <w:sz w:val="28"/>
          <w:sz w:val="28"/>
          <w:szCs w:val="28"/>
          <w:rtl w:val="true"/>
          <w:lang w:bidi="ar-SA"/>
        </w:rPr>
        <w:t xml:space="preserve">و جماعة </w:t>
      </w:r>
      <w:r>
        <w:rPr>
          <w:rStyle w:val="FootnoteAnchor"/>
          <w:rtl w:val="true"/>
        </w:rPr>
        <w:footnoteReference w:id="1405"/>
      </w:r>
      <w:r>
        <w:rPr>
          <w:rFonts w:ascii="IRNazanin" w:hAnsi="IRNazanin" w:eastAsia="IRNazanin"/>
          <w:color w:val="111111"/>
          <w:sz w:val="28"/>
          <w:sz w:val="28"/>
          <w:szCs w:val="28"/>
          <w:rtl w:val="true"/>
          <w:lang w:bidi="fa-IR"/>
        </w:rPr>
        <w:t xml:space="preserve">من </w:t>
      </w:r>
      <w:r>
        <w:rPr>
          <w:rStyle w:val="FootnoteAnchor"/>
          <w:rtl w:val="true"/>
        </w:rPr>
        <w:footnoteReference w:id="1406"/>
      </w:r>
      <w:r>
        <w:rPr>
          <w:rFonts w:ascii="IRNazanin" w:hAnsi="IRNazanin" w:eastAsia="IRNazanin"/>
          <w:color w:val="111111"/>
          <w:sz w:val="28"/>
          <w:sz w:val="28"/>
          <w:szCs w:val="28"/>
          <w:rtl w:val="true"/>
          <w:lang w:bidi="fa-IR"/>
        </w:rPr>
        <w:t>تأخّر عنهم، بل لم نعثر علی مصرّح بخلافه ممّن وصل إلینا کلماتهم المحکیّة فی الذکری و غیرها، لأنّهم قدّس اللّٰه أسرارهم لم یتعرّضوا إلّا للجفاف الحاصل بالتفریق، فحکموا بقدحه، اللّٰهم إلّا أن یدّعی أنّ العبرة عندهم فی البطلان بالجفاف فی غیر الضرورة،</w:t>
      </w:r>
    </w:p>
    <w:p>
      <w:pPr>
        <w:pStyle w:val="BookText"/>
        <w:rPr/>
      </w:pPr>
      <w:r>
        <w:rPr>
          <w:rFonts w:ascii="IRNazanin" w:hAnsi="IRNazanin" w:eastAsia="IRNazanin"/>
          <w:color w:val="111111"/>
          <w:sz w:val="28"/>
          <w:sz w:val="28"/>
          <w:szCs w:val="28"/>
          <w:rtl w:val="true"/>
          <w:lang w:bidi="fa-IR"/>
        </w:rPr>
        <w:t>کإفراط الحرارة، و إنّما ذکروا التفریق، لأنّه السبب غالبا للجفاف، أو فی مقابل من منع من التفریق و لو لم یجفّ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فمرجع القول المختار إلی کفایة التواصل بالمعنی الأعمّ، من تواصل نفس الأفعال بعضها ببعض، و تواصلها من حیث الأثر، بأن یشرع فی الفعل اللاحق قبل محو أثر الفعل السابق، و هو البلل، فالقادح فی الوضوء هو تقاطع الأفعال عینا و أثرا، و هو المراد بالتبعیض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لا یتبعّض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یحمل المتابعة فی روایة حکم بن حکیم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موثّقة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بعض وضوئک فعرضت لک حاجة حتّی یبس وضوءک فأعد وضوءک، فإنّ الوضوء لا یتبعّض</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و فی روایة حکم بن حکیم المحکیّة عن العلل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نسی من الوضوء الذراع و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الوضوء، إنّ الوضوء یتبع بعضه بعضا</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 فإنّ الروایة محمولة علی من تذکّر بعد الجفاف</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تعلیل البطلان باشتراط المتابعة مع ما علم من الأخبار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الآمرة بأخذ البلل من اللحیة و الحاجب إذا تذکّر فی أثناء الصلاة </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إلّا بجعل المتابعة المعتبرة فی الوضوء أعمّ من تتابع الآثار، و کون</w:t>
      </w:r>
    </w:p>
    <w:p>
      <w:pPr>
        <w:pStyle w:val="BookText"/>
        <w:rPr/>
      </w:pPr>
      <w:r>
        <w:rPr>
          <w:rFonts w:ascii="IRNazanin" w:hAnsi="IRNazanin" w:eastAsia="IRNazanin"/>
          <w:color w:val="111111"/>
          <w:sz w:val="28"/>
          <w:sz w:val="28"/>
          <w:szCs w:val="28"/>
          <w:rtl w:val="true"/>
          <w:lang w:bidi="fa-IR"/>
        </w:rPr>
        <w:t>المراد بالتبعیض المبطل هو تقاطع الأفعال بالمرّة عینا و أثرا، فإذا حصل تواصل الأفعال کفی و إن لم یتواصل الآثار أعنی بلل الأعضاء، و کذا إذا حصل تواصل الآثار و لم یحصل تواصل الأفعال بأنفسها، فالتحدید بالجفاف فی النصّ و الفتوی لعلّه بیان لأقلّ ما یجزی من التتابع بحسب الغالب، لا أنّه لو فرض تواصل نفس الأفعال و اتّفق الجفاف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یعلم أنّه لیس فی الأخبار ککلمات الأصحاب الآتیة ما ینافی هذا المعنی المحکیّ عن الصدوقین، لا لما فی المدارک </w:t>
      </w:r>
      <w:r>
        <w:rPr>
          <w:rStyle w:val="FootnoteAnchor"/>
          <w:rtl w:val="true"/>
        </w:rPr>
        <w:footnoteReference w:id="1410"/>
      </w:r>
      <w:r>
        <w:rPr>
          <w:rFonts w:ascii="IRNazanin" w:hAnsi="IRNazanin" w:eastAsia="IRNazanin"/>
          <w:color w:val="111111"/>
          <w:sz w:val="28"/>
          <w:sz w:val="28"/>
          <w:szCs w:val="28"/>
          <w:rtl w:val="true"/>
          <w:lang w:bidi="fa-IR"/>
        </w:rPr>
        <w:t xml:space="preserve">فی ردّ الشهید </w:t>
      </w:r>
      <w:r>
        <w:rPr>
          <w:rStyle w:val="FootnoteAnchor"/>
          <w:rtl w:val="true"/>
        </w:rPr>
        <w:footnoteReference w:id="1411"/>
      </w:r>
      <w:r>
        <w:rPr>
          <w:rFonts w:ascii="IRNazanin" w:hAnsi="IRNazanin" w:eastAsia="IRNazanin"/>
          <w:color w:val="111111"/>
          <w:sz w:val="28"/>
          <w:sz w:val="28"/>
          <w:szCs w:val="28"/>
          <w:rtl w:val="true"/>
          <w:lang w:bidi="fa-IR"/>
        </w:rPr>
        <w:t>المدّعی لمخالفته للأخبار الکثیرة من اختصاص مورد أخبار قدح الجفاف بالجفاف الحاصل بالتفریق،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بعموم التعلیل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لا یتبعض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یتبع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لما عرفت من أنّ المتابعة أعمّ من أن یکون من حیث الآثار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بالمتابعة فی العلّة المذکورة فی قوله علیه السلام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وضوئک بعضه بعضا</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 xml:space="preserve">لا یجوز أن یکون المراد به خصوص تتابع الأفعال عرفا، و کذا المراد من التبعیض المنفیّ فی الوضوء فی العلّة المذکورة لا یجوز أن یکون خصوص تقاطع الأفعال بعینها، لما فی الأخبار الکثیرة من أنّ الناسی للمسح یأخذ من بلل لحیته و إن تذکر فی حال الصلاة </w:t>
      </w:r>
      <w:r>
        <w:rPr>
          <w:rStyle w:val="FootnoteAnchor"/>
          <w:rtl w:val="true"/>
        </w:rPr>
        <w:footnoteReference w:id="1413"/>
      </w:r>
      <w:r>
        <w:rPr>
          <w:rFonts w:ascii="IRNazanin" w:hAnsi="IRNazanin" w:eastAsia="IRNazanin"/>
          <w:color w:val="111111"/>
          <w:sz w:val="28"/>
          <w:sz w:val="28"/>
          <w:szCs w:val="28"/>
          <w:rtl w:val="true"/>
          <w:lang w:bidi="fa-IR"/>
        </w:rPr>
        <w:t>و من المعلوم أنّ المتابعة العرفیة هنا غیر حاصلة و القاطع بین الأفعال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أن یراد من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عدم الجفاف، و المراد بالتبعیض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من حیث الرطوبة و الجفاف، فیکون هو المناط وجودا و عدما فی صحّة الوضوء، دون المتابعة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أن یراد من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تتابع الآثار، فیکون المعتبر مطلق التتابع الحاصل بالأعیان و بالآثار، و یراد من التبعیض المبطل للوضوء هو تقطیعه رأسا، بحیث لا یبقی تواصل بین الأفعال و لا الآثار، لیکون المناط مطلق المتابعة، فیکفی کلّ فرد منه عن الآخر، و یکون التحدید بالجفاف فی موثّقة أبی بصیر </w:t>
      </w:r>
      <w:r>
        <w:rPr>
          <w:rStyle w:val="FootnoteAnchor"/>
          <w:rtl w:val="true"/>
        </w:rPr>
        <w:footnoteReference w:id="1414"/>
      </w:r>
      <w:r>
        <w:rPr>
          <w:rFonts w:ascii="IRNazanin" w:hAnsi="IRNazanin" w:eastAsia="IRNazanin"/>
          <w:color w:val="111111"/>
          <w:sz w:val="28"/>
          <w:sz w:val="28"/>
          <w:szCs w:val="28"/>
          <w:rtl w:val="true"/>
          <w:lang w:bidi="fa-IR"/>
        </w:rPr>
        <w:t>تحدیدا لصورة فوات المتابعة بین الأفعال بتفریق الغسلات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الرضوی </w:t>
      </w:r>
      <w:r>
        <w:rPr>
          <w:rStyle w:val="FootnoteAnchor"/>
          <w:rtl w:val="true"/>
        </w:rPr>
        <w:footnoteReference w:id="1415"/>
      </w:r>
      <w:r>
        <w:rPr>
          <w:rFonts w:ascii="IRNazanin" w:hAnsi="IRNazanin" w:eastAsia="IRNazanin"/>
          <w:color w:val="111111"/>
          <w:sz w:val="28"/>
          <w:sz w:val="28"/>
          <w:szCs w:val="28"/>
          <w:rtl w:val="true"/>
          <w:lang w:bidi="fa-IR"/>
        </w:rPr>
        <w:t xml:space="preserve">و الوضوءات البیانیّة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حجج الأقوال الثلاثة، فملخّصها مع أجوبتها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حجّة القول الأوّل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وضوءک بعضه بعضا</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 بل قوله علیه 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 بین </w:t>
      </w:r>
      <w:r>
        <w:rPr>
          <w:rStyle w:val="FootnoteAnchor"/>
          <w:rtl w:val="true"/>
        </w:rPr>
        <w:footnoteReference w:id="1418"/>
      </w:r>
      <w:r>
        <w:rPr>
          <w:rFonts w:ascii="Amiri" w:hAnsi="Amiri" w:eastAsia="Amiri" w:cs="Amiri"/>
          <w:color w:val="111111"/>
          <w:sz w:val="28"/>
          <w:sz w:val="28"/>
          <w:szCs w:val="28"/>
          <w:rtl w:val="true"/>
          <w:lang w:bidi="ar-SA"/>
        </w:rPr>
        <w:t>الوضوء کما أمر اللّٰه</w:t>
      </w:r>
      <w:r>
        <w:rPr>
          <w:rFonts w:eastAsia="Amiri" w:cs="Amiri" w:ascii="Amiri" w:hAnsi="Amiri"/>
          <w:color w:val="111111"/>
          <w:sz w:val="28"/>
          <w:szCs w:val="28"/>
          <w:rtl w:val="true"/>
          <w:lang w:bidi="ar-SA"/>
        </w:rPr>
        <w:t xml:space="preserve">» </w:t>
      </w:r>
      <w:r>
        <w:rPr>
          <w:rStyle w:val="FootnoteAnchor"/>
          <w:rtl w:val="true"/>
        </w:rPr>
        <w:footnoteReference w:id="1419"/>
      </w:r>
      <w:r>
        <w:rPr>
          <w:rFonts w:ascii="IRNazanin" w:hAnsi="IRNazanin" w:eastAsia="IRNazanin"/>
          <w:color w:val="111111"/>
          <w:sz w:val="28"/>
          <w:sz w:val="28"/>
          <w:szCs w:val="28"/>
          <w:rtl w:val="true"/>
          <w:lang w:bidi="fa-IR"/>
        </w:rPr>
        <w:t>، و ظاهر التعلیلین فی الروایتین</w:t>
      </w:r>
    </w:p>
    <w:p>
      <w:pPr>
        <w:pStyle w:val="BookText"/>
        <w:rPr/>
      </w:pPr>
      <w:r>
        <w:rPr>
          <w:rFonts w:ascii="IRNazanin" w:hAnsi="IRNazanin" w:eastAsia="IRNazanin"/>
          <w:color w:val="111111"/>
          <w:sz w:val="28"/>
          <w:sz w:val="28"/>
          <w:szCs w:val="28"/>
          <w:rtl w:val="true"/>
          <w:lang w:bidi="fa-IR"/>
        </w:rPr>
        <w:t xml:space="preserve">المتقدّمتین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المتابعة فی الأفعال فی مقام التعلیم من العادیات، فلا یدلّ علی رجحانها فضلا عن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روایات المتابعة و التبعیض، فقد عرفت الحال فیها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جواز التمسّک بالإجماع المنقول مستفیضا علی وجوب الموالاة و اعتبارها فی الوضوء، بناء علی أنّ الظاهر من لفظ الموالاة الواقع فی معاقد الإجماعات هی المتابعة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بأنّ نقلة الإجماع </w:t>
      </w:r>
      <w:r>
        <w:rPr>
          <w:rStyle w:val="FootnoteAnchor"/>
          <w:rtl w:val="true"/>
        </w:rPr>
        <w:footnoteReference w:id="1421"/>
      </w:r>
      <w:r>
        <w:rPr>
          <w:rFonts w:ascii="IRNazanin" w:hAnsi="IRNazanin" w:eastAsia="IRNazanin"/>
          <w:color w:val="111111"/>
          <w:sz w:val="28"/>
          <w:sz w:val="28"/>
          <w:szCs w:val="28"/>
          <w:rtl w:val="true"/>
          <w:lang w:bidi="fa-IR"/>
        </w:rPr>
        <w:t>قد ذکروا وقوع الخلاف بین المجمعین فی معناها، فیکشف ذلک عن عدم کون الإجماع علی اعتبار مفهوم هذا اللفظ حتّی یرجع فیه إلی الظاهر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یندفع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جواز التمسّک لاعتبار الموالاة بمعنی عدم الجفاف بالإجماع علیها المدّعی فی کلام کلّ من فسّر الموالاة بعدم الجفاف </w:t>
      </w:r>
      <w:r>
        <w:rPr>
          <w:rStyle w:val="FootnoteAnchor"/>
          <w:rtl w:val="true"/>
        </w:rPr>
        <w:footnoteReference w:id="1422"/>
      </w:r>
      <w:r>
        <w:rPr>
          <w:rFonts w:ascii="IRNazanin" w:hAnsi="IRNazanin" w:eastAsia="IRNazanin"/>
          <w:color w:val="111111"/>
          <w:sz w:val="28"/>
          <w:sz w:val="28"/>
          <w:szCs w:val="28"/>
          <w:rtl w:val="true"/>
          <w:lang w:bidi="fa-IR"/>
        </w:rPr>
        <w:t>بتنزیل معقد إجماعه علی تفسیره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تصریحهم بالخلاف فی معنی الموالاة یکشف عن أنّ معقد الإجماع هی الموالاة بالمعنی المردّد بین المعانی المختلف فیها، لا مفهوم اللفظ عرفا حتّی یکون مقتضی التبادر دلیلا علی اعتبار المتابعة الحقیقة،</w:t>
      </w:r>
    </w:p>
    <w:p>
      <w:pPr>
        <w:pStyle w:val="BookText"/>
        <w:rPr/>
      </w:pPr>
      <w:r>
        <w:rPr>
          <w:rFonts w:ascii="IRNazanin" w:hAnsi="IRNazanin" w:eastAsia="IRNazanin"/>
          <w:color w:val="111111"/>
          <w:sz w:val="28"/>
          <w:sz w:val="28"/>
          <w:szCs w:val="28"/>
          <w:rtl w:val="true"/>
          <w:lang w:bidi="fa-IR"/>
        </w:rPr>
        <w:t>و لا المعنی الذی عیّنه مدّعی الإجماع حتّی یکون دلیلا علی اعتبار ذلک المعنی المعیّن، فافهم ذلک، فإنّه ینفعک فی کثیر من الموارد، مثل دعوی الإجماع علی نجاسة الکافر، و علی التخییر بین القصر و الإتمام فی الحائر، و غیر ذلک من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الإجماع، و اقتضاء الأمر المتعلّق بکلّ عضو من أعضاء الوضوء للفور، کما عن الخلاف </w:t>
      </w:r>
      <w:r>
        <w:rPr>
          <w:rStyle w:val="FootnoteAnchor"/>
          <w:rtl w:val="true"/>
        </w:rPr>
        <w:footnoteReference w:id="1423"/>
      </w:r>
      <w:r>
        <w:rPr>
          <w:rFonts w:ascii="IRNazanin" w:hAnsi="IRNazanin" w:eastAsia="IRNazanin"/>
          <w:color w:val="111111"/>
          <w:sz w:val="28"/>
          <w:sz w:val="28"/>
          <w:szCs w:val="28"/>
          <w:rtl w:val="true"/>
          <w:lang w:bidi="fa-IR"/>
        </w:rPr>
        <w:t>، و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وضوءک بعضه بعضا</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xml:space="preserve">، کما فی المعتبر </w:t>
      </w:r>
      <w:r>
        <w:rPr>
          <w:rStyle w:val="FootnoteAnchor"/>
          <w:rtl w:val="true"/>
        </w:rPr>
        <w:footnoteReference w:id="1425"/>
      </w:r>
      <w:r>
        <w:rPr>
          <w:rFonts w:ascii="IRNazanin" w:hAnsi="IRNazanin" w:eastAsia="IRNazanin"/>
          <w:color w:val="111111"/>
          <w:sz w:val="28"/>
          <w:sz w:val="28"/>
          <w:szCs w:val="28"/>
          <w:rtl w:val="true"/>
          <w:lang w:bidi="fa-IR"/>
        </w:rPr>
        <w:t>، و نحوه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 بین الوضوء کما أمر اللّٰه</w:t>
      </w:r>
      <w:r>
        <w:rPr>
          <w:rFonts w:eastAsia="IRNazanin" w:cs="IRNazanin"/>
          <w:color w:val="111111"/>
          <w:sz w:val="28"/>
          <w:szCs w:val="28"/>
          <w:rtl w:val="true"/>
          <w:lang w:bidi="fa-IR"/>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حکایة الإجماع موهونة بوجود الخلاف کما صرّح به جماعة </w:t>
      </w:r>
      <w:r>
        <w:rPr>
          <w:rStyle w:val="FootnoteAnchor"/>
          <w:rtl w:val="true"/>
        </w:rPr>
        <w:footnoteReference w:id="1427"/>
      </w:r>
      <w:r>
        <w:rPr>
          <w:rFonts w:ascii="IRNazanin" w:hAnsi="IRNazanin" w:eastAsia="IRNazanin"/>
          <w:color w:val="111111"/>
          <w:sz w:val="28"/>
          <w:sz w:val="28"/>
          <w:szCs w:val="28"/>
          <w:rtl w:val="true"/>
          <w:lang w:bidi="fa-IR"/>
        </w:rPr>
        <w:t>، و بعدم دلالته علی الوجوب بمعنی ترتّب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استدلاله بکون الأمر للفور الظاهر فی إرادة الإثم بالتأخیر، معارض باستدلاله بالشکّ فی الصحّة مع عدم الموالاة، الظاهر فی إرادة الوجوب الشرطی، مع أنّ الثانی أظهر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بکون الأمر بإیقاع أفعال الوضوء مفیدا للفور، فلم أتحقّق وجهه و لو بعد تسلیم اقتضاء الأمر للفور، فإنّ الفوریّة بالنسبة إلی الفعل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للإجماع و لا یفید المطلوب، و أمّا</w:t>
      </w:r>
    </w:p>
    <w:p>
      <w:pPr>
        <w:pStyle w:val="BookText"/>
        <w:rPr/>
      </w:pPr>
      <w:r>
        <w:rPr>
          <w:rFonts w:ascii="IRNazanin" w:hAnsi="IRNazanin" w:eastAsia="IRNazanin"/>
          <w:color w:val="111111"/>
          <w:sz w:val="28"/>
          <w:sz w:val="28"/>
          <w:szCs w:val="28"/>
          <w:rtl w:val="true"/>
          <w:lang w:bidi="fa-IR"/>
        </w:rPr>
        <w:t>الأیدی فهی معطوفة علی الوجه، فإذا لم یکن الأمر بالغسل فی المعطوف علیه للفور، فکیف یفیده فی المعطوف؟ کما یظهر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 و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هنا قولا اختصّ به الشهید فی الدروس،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فرّق و لم یجفّ فلا إثم و لا إبطال إلّا أن یفحش التراخی فیأثم </w:t>
      </w:r>
      <w:r>
        <w:rPr>
          <w:rStyle w:val="FootnoteAnchor"/>
          <w:rtl w:val="true"/>
        </w:rPr>
        <w:footnoteReference w:id="14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أعثر علی وجه له، و یمکن أن یکون قائلا بالإثم فی ترک المتابعة، إلّا أنّ التفریق الغیر المتفاحش غیر قادح عنده فی صدق المتابعة، و لا ینافی ذلک اختیاره </w:t>
      </w:r>
      <w:r>
        <w:rPr>
          <w:rStyle w:val="FootnoteAnchor"/>
          <w:rtl w:val="true"/>
        </w:rPr>
        <w:footnoteReference w:id="1429"/>
      </w:r>
      <w:r>
        <w:rPr>
          <w:rFonts w:ascii="IRNazanin" w:hAnsi="IRNazanin" w:eastAsia="IRNazanin"/>
          <w:color w:val="111111"/>
          <w:sz w:val="28"/>
          <w:sz w:val="28"/>
          <w:szCs w:val="28"/>
          <w:rtl w:val="true"/>
          <w:lang w:bidi="fa-IR"/>
        </w:rPr>
        <w:t>فی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کالذکری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الموالاة مراعاة الجفاف، لاحتمال کون المتابعة أمرا آخرا واجبا غیر الموالاة ثبت وجوبه بمثل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وضوءک بعضه بعضا</w:t>
      </w:r>
      <w:r>
        <w:rPr>
          <w:rFonts w:eastAsia="IRNazanin" w:cs="IRNazanin"/>
          <w:color w:val="111111"/>
          <w:sz w:val="28"/>
          <w:szCs w:val="28"/>
          <w:rtl w:val="true"/>
          <w:lang w:bidi="fa-IR"/>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عرفت أنّ الأقوی عدم الإثم لا بترک المتابعة و لا بترک الموالاة بمعنی عدم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جفّ بالتفریق فربما یتحقّق الإثم من جهة النهی عن إبطال العمل، بناء علی القول بعموم النهی عنه فی جمیع الأعمال إلّا ما خرج، و علیه فلا فرق بین الوضوء الواجب و المندوب، لکن المبنی المذکور ممنوع، کما حرّر فی موضعه، و علی القول بالإثم بالتفریق لو فرّق فی الوضوء المتقرّب، فإنّ أتمّ الوضوء أثم بالتفریق، و إن رفع الید عنه حتّی حصل الجفاف فلا إثم بناء علی منع حرمة إبطال مطلق العمل،</w:t>
      </w:r>
    </w:p>
    <w:p>
      <w:pPr>
        <w:pStyle w:val="BookText"/>
        <w:rPr/>
      </w:pPr>
      <w:r>
        <w:rPr>
          <w:rFonts w:ascii="IRNazanin" w:hAnsi="IRNazanin" w:eastAsia="IRNazanin"/>
          <w:color w:val="111111"/>
          <w:sz w:val="28"/>
          <w:sz w:val="28"/>
          <w:szCs w:val="28"/>
          <w:rtl w:val="true"/>
          <w:lang w:bidi="fa-IR"/>
        </w:rPr>
        <w:t>و یحتمل الإثم مع البناء علی الإتمام و إن بدا له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 هو أنّ کثیرا ممّن حکی لنا کلامه، بل الأصحاب بأسرهم، کما هو ظاهر الذکری </w:t>
      </w:r>
      <w:r>
        <w:rPr>
          <w:rStyle w:val="FootnoteAnchor"/>
          <w:rtl w:val="true"/>
        </w:rPr>
        <w:footnoteReference w:id="1432"/>
      </w:r>
      <w:r>
        <w:rPr>
          <w:rFonts w:ascii="IRNazanin" w:hAnsi="IRNazanin" w:eastAsia="IRNazanin"/>
          <w:color w:val="111111"/>
          <w:sz w:val="28"/>
          <w:sz w:val="28"/>
          <w:szCs w:val="28"/>
          <w:rtl w:val="true"/>
          <w:lang w:bidi="fa-IR"/>
        </w:rPr>
        <w:t xml:space="preserve">قد قیّدوا عدم الجفاف بصورة اعتدال الهواء، و استظهرنا تبعا للمحقّق الخوانساری </w:t>
      </w:r>
      <w:r>
        <w:rPr>
          <w:rStyle w:val="FootnoteAnchor"/>
          <w:rtl w:val="true"/>
        </w:rPr>
        <w:footnoteReference w:id="1433"/>
      </w:r>
      <w:r>
        <w:rPr>
          <w:rFonts w:ascii="IRNazanin" w:hAnsi="IRNazanin" w:eastAsia="IRNazanin"/>
          <w:color w:val="111111"/>
          <w:sz w:val="28"/>
          <w:sz w:val="28"/>
          <w:szCs w:val="28"/>
          <w:rtl w:val="true"/>
          <w:lang w:bidi="fa-IR"/>
        </w:rPr>
        <w:t xml:space="preserve">و ولده جمال الدین </w:t>
      </w:r>
      <w:r>
        <w:rPr>
          <w:rStyle w:val="FootnoteAnchor"/>
          <w:rtl w:val="true"/>
        </w:rPr>
        <w:footnoteReference w:id="1434"/>
      </w:r>
      <w:r>
        <w:rPr>
          <w:rFonts w:ascii="IRNazanin" w:hAnsi="IRNazanin" w:eastAsia="IRNazanin"/>
          <w:color w:val="111111"/>
          <w:sz w:val="28"/>
          <w:sz w:val="28"/>
          <w:szCs w:val="28"/>
          <w:rtl w:val="true"/>
          <w:lang w:bidi="fa-IR"/>
        </w:rPr>
        <w:t>من هذا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تقدیر لمقدار زمان التفریق، و أنّ تأخیر الجفاف فی الهواء الرطب ممّا لا ینفع، کما أنّ تعجیله فی الهواء الحارّ لا یضرّ، لکن صرّح فی الذکری بأنّ هذا القید للاحتراز عن إفراطه فی الحرارة، و أنّه لو بقی البلل فی الهواء المفرط فی الرطوبة و البرودة کفی فی صحّة الوضوء، و کذا لو أسبغ وضوءه بماء کثیر فبقی البلل </w:t>
      </w:r>
      <w:r>
        <w:rPr>
          <w:rStyle w:val="FootnoteAnchor"/>
          <w:rtl w:val="true"/>
        </w:rPr>
        <w:footnoteReference w:id="1435"/>
      </w:r>
      <w:r>
        <w:rPr>
          <w:rFonts w:ascii="IRNazanin" w:hAnsi="IRNazanin" w:eastAsia="IRNazanin"/>
          <w:color w:val="111111"/>
          <w:sz w:val="28"/>
          <w:sz w:val="28"/>
          <w:szCs w:val="28"/>
          <w:rtl w:val="true"/>
          <w:lang w:bidi="fa-IR"/>
        </w:rPr>
        <w:t>، و تبعه غیره فصرّح بأنّ المعتبر فی الجفاف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 لا التقدیریّ </w:t>
      </w:r>
      <w:r>
        <w:rPr>
          <w:rStyle w:val="FootnoteAnchor"/>
          <w:rtl w:val="true"/>
        </w:rPr>
        <w:footnoteReference w:id="1436"/>
      </w:r>
      <w:r>
        <w:rPr>
          <w:rFonts w:ascii="IRNazanin" w:hAnsi="IRNazanin" w:eastAsia="IRNazanin"/>
          <w:color w:val="111111"/>
          <w:sz w:val="28"/>
          <w:sz w:val="28"/>
          <w:szCs w:val="28"/>
          <w:rtl w:val="true"/>
          <w:lang w:bidi="fa-IR"/>
        </w:rPr>
        <w:t>، و لا بدّ من ذکر کلمات المتعرّضین لهذا القید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انقطع عنه الماء انتظره، فإذا وصل إلیه و کان ما غسله علیه نداوة صحّ الوضوء </w:t>
      </w:r>
      <w:r>
        <w:rPr>
          <w:rStyle w:val="FootnoteAnchor"/>
          <w:rtl w:val="true"/>
        </w:rPr>
        <w:footnoteReference w:id="1437"/>
      </w:r>
      <w:r>
        <w:rPr>
          <w:rFonts w:ascii="IRNazanin" w:hAnsi="IRNazanin" w:eastAsia="IRNazanin"/>
          <w:color w:val="111111"/>
          <w:sz w:val="28"/>
          <w:sz w:val="28"/>
          <w:szCs w:val="28"/>
          <w:rtl w:val="true"/>
          <w:lang w:bidi="fa-IR"/>
        </w:rPr>
        <w:t xml:space="preserve">، و إن لم یبق علیه </w:t>
      </w:r>
      <w:r>
        <w:rPr>
          <w:rStyle w:val="FootnoteAnchor"/>
          <w:rtl w:val="true"/>
        </w:rPr>
        <w:footnoteReference w:id="1438"/>
      </w:r>
      <w:r>
        <w:rPr>
          <w:rFonts w:ascii="Amiri" w:hAnsi="Amiri" w:eastAsia="Amiri" w:cs="Amiri"/>
          <w:color w:val="111111"/>
          <w:sz w:val="28"/>
          <w:sz w:val="28"/>
          <w:szCs w:val="28"/>
          <w:rtl w:val="true"/>
          <w:lang w:bidi="ar-SA"/>
        </w:rPr>
        <w:t xml:space="preserve">نداوة مع اعتدال الهواء أعاد الوضوء من أوّله </w:t>
      </w:r>
      <w:r>
        <w:rPr>
          <w:rStyle w:val="FootnoteAnchor"/>
          <w:rtl w:val="true"/>
        </w:rPr>
        <w:footnoteReference w:id="14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أنّ القید للاحتراز عن</w:t>
      </w:r>
    </w:p>
    <w:p>
      <w:pPr>
        <w:pStyle w:val="BookText"/>
        <w:rPr/>
      </w:pPr>
      <w:r>
        <w:rPr>
          <w:rFonts w:ascii="IRNazanin" w:hAnsi="IRNazanin" w:eastAsia="IRNazanin"/>
          <w:color w:val="111111"/>
          <w:sz w:val="28"/>
          <w:sz w:val="28"/>
          <w:szCs w:val="28"/>
          <w:rtl w:val="true"/>
          <w:lang w:bidi="fa-IR"/>
        </w:rPr>
        <w:t>الإفراط فی الحرارة، إذ عدم البقاء مع إفراط البرودة أولی بالإبطال و إیجاب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ترک الموالاة حتّی یجفّ المتقدّم لم یجزه، اللّٰهم إلّا أن یکون الحرّ شدیدا و الریح یجفّ منه العضو المتقدّم </w:t>
      </w:r>
      <w:r>
        <w:rPr>
          <w:rStyle w:val="FootnoteAnchor"/>
          <w:rtl w:val="true"/>
        </w:rPr>
        <w:footnoteReference w:id="144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فرّق لعذر لم یعد إلّا مع الجفاف فی الهواء المعتدل، و لو جفّ لعذر جاز البناء، و لا یجوز استئناف ماء جدید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 من أقوال أصحابنا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لا یجفّ غسل العضو المقدّم فی الهواء المعتدل، و لا یجوز التفریق بین الوضوء بمقدار ما یجفّ </w:t>
      </w:r>
      <w:r>
        <w:rPr>
          <w:rStyle w:val="FootnoteAnchor"/>
          <w:rtl w:val="true"/>
        </w:rPr>
        <w:footnoteReference w:id="1442"/>
      </w:r>
      <w:r>
        <w:rPr>
          <w:rFonts w:ascii="IRNazanin" w:hAnsi="IRNazanin" w:eastAsia="IRNazanin"/>
          <w:color w:val="111111"/>
          <w:sz w:val="28"/>
          <w:sz w:val="28"/>
          <w:szCs w:val="28"/>
          <w:rtl w:val="true"/>
          <w:lang w:bidi="fa-IR"/>
        </w:rPr>
        <w:t xml:space="preserve">غسل العضو الذی انتهی إلیه و قطع الموالاة منه فی الهواء المعتدل </w:t>
      </w:r>
      <w:r>
        <w:rPr>
          <w:rStyle w:val="FootnoteAnchor"/>
          <w:rtl w:val="true"/>
        </w:rPr>
        <w:footnoteReference w:id="14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فحوی هذا الکلام أولویّة إبطال الجفاف فی الهواء المفرط فی البرودة، فتعیّن أن یکون الاحتراز عن الجفاف الحاصل مع إفراط الحرارة فقط، فالقید راجع إلی الجفاف المنفیّ، لا لنفی الجفاف لیکون عدمه المقیّد باعتدال الهواء شرطا، حتّی یکون انتفاء هذا العدم المقیّد، تارة بالجفاف المقیّد بالاعتدال، و اخری بعدمه مع عدم الاعتدال، إمّا لفرط الحرارة، و إمّا لفرط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واجبة، و هی أن تغسل الیدین و الوجه رطب و تمسح الرأس و الرجلین، و الیدان رطبتان فی الهواء المعتدل </w:t>
      </w:r>
      <w:r>
        <w:rPr>
          <w:rStyle w:val="FootnoteAnchor"/>
          <w:rtl w:val="true"/>
        </w:rPr>
        <w:footnoteReference w:id="14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القید الأخیر راجع إلی تقیید غسل کلّ عضو برطوبة ما قبله، فیسقط هذا التقیید مع عدم الاعتدال، فیخرج إفراط الحرارة، لا مقابله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فرّق فی وضوئه حتّی یبس أعاده </w:t>
      </w:r>
      <w:r>
        <w:rPr>
          <w:rStyle w:val="FootnoteAnchor"/>
          <w:rtl w:val="true"/>
        </w:rPr>
        <w:footnoteReference w:id="14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العبارات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الجفاف الفعلی دون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یوهم ظاهر جملة من العبارات التقدیر بمقدار زمان الجفاف فی الهواء المعتدل، فلا عبرة بالجفاف قبله، و لا ینفع عدمه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فی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فرّق بمقدار ما یجفّ معه غسل العضو الذی انتهی إلیه و قطع منه الموالاة فی الهواء المعتدل، وجب علیه إعادة الوضوء </w:t>
      </w:r>
      <w:r>
        <w:rPr>
          <w:rStyle w:val="FootnoteAnchor"/>
          <w:rtl w:val="true"/>
        </w:rPr>
        <w:footnoteReference w:id="144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أبو المکارم قدّس سرّه فی الغنیة فی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لا یؤخّر غسل الأعضاء </w:t>
      </w:r>
      <w:r>
        <w:rPr>
          <w:rStyle w:val="FootnoteAnchor"/>
          <w:rtl w:val="true"/>
        </w:rPr>
        <w:footnoteReference w:id="1447"/>
      </w:r>
      <w:r>
        <w:rPr>
          <w:rFonts w:ascii="IRNazanin" w:hAnsi="IRNazanin" w:eastAsia="IRNazanin"/>
          <w:color w:val="111111"/>
          <w:sz w:val="28"/>
          <w:sz w:val="28"/>
          <w:szCs w:val="28"/>
          <w:rtl w:val="true"/>
          <w:lang w:bidi="fa-IR"/>
        </w:rPr>
        <w:t xml:space="preserve">بمقدار ما یجفّ ما تقدّم فی الهواء المعتدل </w:t>
      </w:r>
      <w:r>
        <w:rPr>
          <w:rStyle w:val="FootnoteAnchor"/>
          <w:rtl w:val="true"/>
        </w:rPr>
        <w:footnoteReference w:id="14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متابعة بعض الأعضاء ببعض، فلا یؤخّر المؤخّر</w:t>
      </w:r>
    </w:p>
    <w:p>
      <w:pPr>
        <w:pStyle w:val="BookText"/>
        <w:rPr/>
      </w:pPr>
      <w:r>
        <w:rPr>
          <w:rFonts w:ascii="Amiri" w:hAnsi="Amiri" w:eastAsia="Amiri" w:cs="Amiri"/>
          <w:color w:val="111111"/>
          <w:sz w:val="28"/>
          <w:sz w:val="28"/>
          <w:szCs w:val="28"/>
          <w:rtl w:val="true"/>
          <w:lang w:bidi="ar-SA"/>
        </w:rPr>
        <w:t xml:space="preserve">عما تقدّم </w:t>
      </w:r>
      <w:r>
        <w:rPr>
          <w:rStyle w:val="FootnoteAnchor"/>
          <w:rtl w:val="true"/>
        </w:rPr>
        <w:footnoteReference w:id="1449"/>
      </w:r>
      <w:r>
        <w:rPr>
          <w:rFonts w:ascii="IRNazanin" w:hAnsi="IRNazanin" w:eastAsia="IRNazanin"/>
          <w:color w:val="111111"/>
          <w:sz w:val="28"/>
          <w:sz w:val="28"/>
          <w:szCs w:val="28"/>
          <w:rtl w:val="true"/>
          <w:lang w:bidi="fa-IR"/>
        </w:rPr>
        <w:t xml:space="preserve">بمقدار ما یجفّ المتقدّم فی الزمان المعتدل </w:t>
      </w:r>
      <w:r>
        <w:rPr>
          <w:rStyle w:val="FootnoteAnchor"/>
          <w:rtl w:val="true"/>
        </w:rPr>
        <w:footnoteReference w:id="14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یوهم ظاهر هذه العبارات الثلاث، تحدید التفریق المبطل بمقدار حصول الجفاف فی الهواء المعتدل، فیقدّر ذلک فی إفراط الحرارة و البرودة، إلّا أنّ التأمّل فیها یقضی بعدم ظهورها فی المقدار النوعیّ للجفاف فی الهواء المعتدل، و هو الزمان الموازی لزمان الجفاف، بل یحتمل قریبا إرادة نفس الزمان الشخصی للجفاف، فهو فی قوّة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یؤخّر إلی أن یجفّ، کما صرّح بذلک فی العبائر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العبارة قابلة للأمرین، لا ظاهرة فی المقدار النوعیّ، 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النظائر العرفیّة لهذا الکلام،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عند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عنده بمقدار أن یصلّی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یشهد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السرائر </w:t>
      </w:r>
      <w:r>
        <w:rPr>
          <w:rStyle w:val="FootnoteAnchor"/>
          <w:rtl w:val="true"/>
        </w:rPr>
        <w:footnoteReference w:id="1451"/>
      </w:r>
      <w:r>
        <w:rPr>
          <w:rFonts w:ascii="IRNazanin" w:hAnsi="IRNazanin" w:eastAsia="IRNazanin"/>
          <w:color w:val="111111"/>
          <w:sz w:val="28"/>
          <w:sz w:val="28"/>
          <w:szCs w:val="28"/>
          <w:rtl w:val="true"/>
          <w:lang w:bidi="fa-IR"/>
        </w:rPr>
        <w:t xml:space="preserve">فی ذیل کلامه بالمقدار، مع أنّ صدره کما عرفت کالصریح فی اعتبار الجفاف الفعلی، و کذلک ملاحظة عبارة القاضی فی المهذّب </w:t>
      </w:r>
      <w:r>
        <w:rPr>
          <w:rStyle w:val="FootnoteAnchor"/>
          <w:rtl w:val="true"/>
        </w:rPr>
        <w:footnoteReference w:id="1452"/>
      </w:r>
      <w:r>
        <w:rPr>
          <w:rFonts w:ascii="IRNazanin" w:hAnsi="IRNazanin" w:eastAsia="IRNazanin"/>
          <w:color w:val="111111"/>
          <w:sz w:val="28"/>
          <w:sz w:val="28"/>
          <w:szCs w:val="28"/>
          <w:rtl w:val="true"/>
          <w:lang w:bidi="fa-IR"/>
        </w:rPr>
        <w:t>و الکامل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 من مفاد الکلمات المذکورة، فهی ساکتة عن حکم التفریق مع إفراط حرارة الهواء، و مع قلّة الماء، أو حرارة البدن، أو بطؤ الاستعمال، أو تجفیف البدن، فلا یظهر منها إلّا حکم الجفاف بالتفریق مع اعتدال الهواء و حکم الجفاف بدون التفریق مع إفراط حرارته و لو مع</w:t>
      </w:r>
    </w:p>
    <w:p>
      <w:pPr>
        <w:pStyle w:val="BookText"/>
        <w:rPr/>
      </w:pPr>
      <w:r>
        <w:rPr>
          <w:rFonts w:ascii="IRNazanin" w:hAnsi="IRNazanin" w:eastAsia="IRNazanin"/>
          <w:color w:val="111111"/>
          <w:sz w:val="28"/>
          <w:sz w:val="28"/>
          <w:szCs w:val="28"/>
          <w:rtl w:val="true"/>
          <w:lang w:bidi="fa-IR"/>
        </w:rPr>
        <w:t>اعتدال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تلک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ظهورها فی اعتبار الجفاف الفعلیّ و عدم التقدیر فی الهواء المفرط فی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أنّ التفریق الموجب للجفاف و التأخیر فی الهواء المفرط فی الحرارة غیر مضرّ، خصوصا عبارات المبسوط و المهذّب و التحریر </w:t>
      </w:r>
      <w:r>
        <w:rPr>
          <w:rStyle w:val="FootnoteAnchor"/>
          <w:rtl w:val="true"/>
        </w:rPr>
        <w:footnoteReference w:id="1453"/>
      </w:r>
      <w:r>
        <w:rPr>
          <w:rFonts w:ascii="IRNazanin" w:hAnsi="IRNazanin" w:eastAsia="IRNazanin"/>
          <w:color w:val="111111"/>
          <w:sz w:val="28"/>
          <w:sz w:val="28"/>
          <w:szCs w:val="28"/>
          <w:rtl w:val="true"/>
          <w:lang w:bidi="fa-IR"/>
        </w:rPr>
        <w:t>، حیث فرض التقیید بالاعتدال فیها فی صورة التفریق و ترک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ظهور ذیل عبارة التحریر فی أنّه حدّ مرخّص فی البناء مع الجفاف، و لا یرخّص فی تجدید الماء للمسح، و هذا لا یکون إلّا مع التمکّن من إبقاء بلل الوضوء بالمتابعة أو بإکثار الماء أو بالذهاب إلی مکان معتدل، و احتمال سقوط المسح رأسا فی غایة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المحکی عن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فلم یتعرّض هؤلاء المجوّزون للتفریق الموجب للجفاف مع إفراط الحرارة لمقدار الرخصة فی التفریق فی هذا الفرض، فلا بدّ إمّا من ترخیص التفریق فی الهواء الحارّ مطلقا، أو تقدیر ذلک بمقدار الجفاف فی الهواء المعتدل، مع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ممّا استظهرناه من عبائرهم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یبرموا بالتقدیر فی إفراط الرطوبة، فیرد علیهم سؤال الفرق</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ما استظهره شارح الدروس </w:t>
      </w:r>
      <w:r>
        <w:rPr>
          <w:rStyle w:val="FootnoteAnchor"/>
          <w:rtl w:val="true"/>
        </w:rPr>
        <w:footnoteReference w:id="1454"/>
      </w:r>
      <w:r>
        <w:rPr>
          <w:rFonts w:ascii="IRNazanin" w:hAnsi="IRNazanin" w:eastAsia="IRNazanin"/>
          <w:color w:val="111111"/>
          <w:sz w:val="28"/>
          <w:sz w:val="28"/>
          <w:szCs w:val="28"/>
          <w:rtl w:val="true"/>
          <w:lang w:bidi="fa-IR"/>
        </w:rPr>
        <w:t>و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ظهور کلامهم فی التقدیر فی صورتی </w:t>
      </w:r>
      <w:r>
        <w:rPr>
          <w:rStyle w:val="FootnoteAnchor"/>
          <w:rtl w:val="true"/>
        </w:rPr>
        <w:footnoteReference w:id="1456"/>
      </w:r>
      <w:r>
        <w:rPr>
          <w:rFonts w:ascii="IRNazanin" w:hAnsi="IRNazanin" w:eastAsia="IRNazanin"/>
          <w:color w:val="111111"/>
          <w:sz w:val="28"/>
          <w:sz w:val="28"/>
          <w:szCs w:val="28"/>
          <w:rtl w:val="true"/>
          <w:lang w:bidi="fa-IR"/>
        </w:rPr>
        <w:t>الإفراط لا یرد علیهم شی‌ء،</w:t>
      </w:r>
    </w:p>
    <w:p>
      <w:pPr>
        <w:pStyle w:val="BookText"/>
        <w:rPr/>
      </w:pPr>
      <w:r>
        <w:rPr>
          <w:rFonts w:ascii="IRNazanin" w:hAnsi="IRNazanin" w:eastAsia="IRNazanin"/>
          <w:color w:val="111111"/>
          <w:sz w:val="28"/>
          <w:sz w:val="28"/>
          <w:szCs w:val="28"/>
          <w:rtl w:val="true"/>
          <w:lang w:bidi="fa-IR"/>
        </w:rPr>
        <w:t>لکنّک عرفت ظهور کلماتهم فی عدم تقدیر الجفاف فی إفراط الرطوبة، و سکوتهم عن حکم مقدار التفریق الذی رخّصوه فی ظاهر کلماتهم فی إفراط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صرّح جماعة ممّن تأخّر عن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کالشهیدین فی الألفیّة و شرحها، و المحقّق الثانی فی الجعفریّة و شارحها </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التفریق الموجب للجفاف مبطل، حتّی مع عدم الاعتدال، بأن فرض تفریق یسیر أوجب الجفاف، لإفراط الحرارة، و أنّه لا </w:t>
      </w:r>
      <w:r>
        <w:rPr>
          <w:rStyle w:val="FootnoteAnchor"/>
          <w:rtl w:val="true"/>
        </w:rPr>
        <w:footnoteReference w:id="1458"/>
      </w:r>
      <w:r>
        <w:rPr>
          <w:rFonts w:ascii="IRNazanin" w:hAnsi="IRNazanin" w:eastAsia="IRNazanin"/>
          <w:color w:val="111111"/>
          <w:sz w:val="28"/>
          <w:sz w:val="28"/>
          <w:szCs w:val="28"/>
          <w:rtl w:val="true"/>
          <w:lang w:bidi="fa-IR"/>
        </w:rPr>
        <w:t>یسقط اشتراط الموالاة إلّا فی صورة تعذّر إبقاء البلل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الألفیّة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متابعة الأفعال بحیث لا یجفّ السابق إلّا مع التعذّر، کشدّة الحرّ و قلّة الماء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الشارح فی 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اجتماعهما معا فیسقط اعتبار ذلک </w:t>
      </w:r>
      <w:r>
        <w:rPr>
          <w:rStyle w:val="FootnoteAnchor"/>
          <w:rtl w:val="true"/>
        </w:rPr>
        <w:footnoteReference w:id="14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الجعفریة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تکمل الطهارة </w:t>
      </w:r>
      <w:r>
        <w:rPr>
          <w:rStyle w:val="FootnoteAnchor"/>
          <w:rtl w:val="true"/>
        </w:rPr>
        <w:footnoteReference w:id="1461"/>
      </w:r>
      <w:r>
        <w:rPr>
          <w:rFonts w:ascii="IRNazanin" w:hAnsi="IRNazanin" w:eastAsia="IRNazanin"/>
          <w:color w:val="111111"/>
          <w:sz w:val="28"/>
          <w:sz w:val="28"/>
          <w:szCs w:val="28"/>
          <w:rtl w:val="true"/>
          <w:lang w:bidi="fa-IR"/>
        </w:rPr>
        <w:t xml:space="preserve">قبل جفاف ما تقدّم، و مع التعذّر لشدّة الحرّ و قلّة الماء قیل بالسقوط، و لیس ببعید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الشارح قولا آخر بوجوب التیمّم و ضعّفه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ظاهر المتن أنّ سقوط اعتبار الموالاة إنّما هو فی الصورة التی اختلف فیها بین المسح بماء جدید و بین التیمّم، و إنّه لا یسقط اعتبارها فی مقام لا یحتاج معه إلی تجدید الماء، بل ظاهر عبارة العلّامة فی التحریر ذلک أیضا </w:t>
      </w:r>
      <w:r>
        <w:rPr>
          <w:rStyle w:val="FootnoteAnchor"/>
          <w:rtl w:val="true"/>
        </w:rPr>
        <w:footnoteReference w:id="1464"/>
      </w:r>
      <w:r>
        <w:rPr>
          <w:rFonts w:ascii="IRNazanin" w:hAnsi="IRNazanin" w:eastAsia="IRNazanin"/>
          <w:color w:val="111111"/>
          <w:sz w:val="28"/>
          <w:sz w:val="28"/>
          <w:szCs w:val="28"/>
          <w:rtl w:val="true"/>
          <w:lang w:bidi="fa-IR"/>
        </w:rPr>
        <w:t>، و إن استظهرنا من صدرها خلافه، بناء علی إسقاط حرف النفی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1465"/>
      </w:r>
      <w:r>
        <w:rPr>
          <w:rFonts w:ascii="IRNazanin" w:hAnsi="IRNazanin" w:eastAsia="IRNazanin"/>
          <w:color w:val="111111"/>
          <w:sz w:val="28"/>
          <w:sz w:val="28"/>
          <w:szCs w:val="28"/>
          <w:rtl w:val="true"/>
          <w:lang w:bidi="fa-IR"/>
        </w:rPr>
        <w:t>، فإنّه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فی صورة تعذّر إبقاء البلل بیانا لما احترز عنه بقید الهواء المعتدل، و ظاهره أنّ جواز البناء إنّما هو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استظهار ذلک من عبارة المعتبر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إطلاق الحکم بإبطال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لو جفّ ماء الوضوء من الحرّ المفرط و الهواء المحرق، جاز البناء و استئناف الماء الجدید دفعا للحرج </w:t>
      </w:r>
      <w:r>
        <w:rPr>
          <w:rStyle w:val="FootnoteAnchor"/>
          <w:rtl w:val="true"/>
        </w:rPr>
        <w:footnoteReference w:id="14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نحوها عبارة المنتهی </w:t>
      </w:r>
      <w:r>
        <w:rPr>
          <w:rStyle w:val="FootnoteAnchor"/>
          <w:rtl w:val="true"/>
        </w:rPr>
        <w:footnoteReference w:id="1467"/>
      </w:r>
      <w:r>
        <w:rPr>
          <w:rFonts w:ascii="Amiri" w:hAnsi="Amiri" w:eastAsia="Amiri" w:cs="Amiri"/>
          <w:color w:val="111111"/>
          <w:sz w:val="28"/>
          <w:sz w:val="28"/>
          <w:szCs w:val="28"/>
          <w:rtl w:val="true"/>
          <w:lang w:bidi="ar-SA"/>
        </w:rPr>
        <w:t xml:space="preserve">، فإنّ تعلیق </w:t>
      </w:r>
      <w:r>
        <w:rPr>
          <w:rStyle w:val="FootnoteAnchor"/>
          <w:rtl w:val="true"/>
        </w:rPr>
        <w:footnoteReference w:id="1468"/>
      </w:r>
      <w:r>
        <w:rPr>
          <w:rFonts w:ascii="IRNazanin" w:hAnsi="IRNazanin" w:eastAsia="IRNazanin"/>
          <w:color w:val="111111"/>
          <w:sz w:val="28"/>
          <w:sz w:val="28"/>
          <w:szCs w:val="28"/>
          <w:rtl w:val="true"/>
          <w:lang w:bidi="fa-IR"/>
        </w:rPr>
        <w:t>جواز البناء علی الجفاف</w:t>
      </w:r>
    </w:p>
    <w:p>
      <w:pPr>
        <w:pStyle w:val="BookText"/>
        <w:rPr/>
      </w:pPr>
      <w:r>
        <w:rPr>
          <w:rFonts w:ascii="IRNazanin" w:hAnsi="IRNazanin" w:eastAsia="IRNazanin"/>
          <w:color w:val="111111"/>
          <w:sz w:val="28"/>
          <w:sz w:val="28"/>
          <w:szCs w:val="28"/>
          <w:rtl w:val="true"/>
          <w:lang w:bidi="fa-IR"/>
        </w:rPr>
        <w:t>الحاصل من الحرّ، ربما یستظهر منه عدم جوازه لو کان الجفاف بمدخلیّة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فالظاهر عدم مخالفة باقی الأصحاب للشهید و من تبعه، و کیف کان، فالمتّبع هو الدلیل، و قد عرفت عدم الدلیل علی البطلان بالجفاف مع الموالاة، و لا فرق فی ذلک بین حصوله اختیارا بتجفیف أو تقلیل ماء، و بین حصوله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بعدم القدح ما لو وقع علی العضو الممسوح أو المغسول ماء استهلک معه رطوبة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مذهب الشهید و من تبعه یحتمل إلحاقه بالجفاف، تنزیلا لاستهلاکه منزلة عدمه، و الأقوی العدم، و لهذا اتّفقوا علی أنّ الغسلة الثالثة لا تبطل الوضوء لو لم یمسح برطوبتها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العبرة بعد الاستهلاک بجفاف تمام الرطوبة، نظرا إلی بقاء </w:t>
      </w:r>
      <w:r>
        <w:rPr>
          <w:rStyle w:val="FootnoteAnchor"/>
          <w:rtl w:val="true"/>
        </w:rPr>
        <w:footnoteReference w:id="1469"/>
      </w:r>
      <w:r>
        <w:rPr>
          <w:rFonts w:ascii="IRNazanin" w:hAnsi="IRNazanin" w:eastAsia="IRNazanin"/>
          <w:color w:val="111111"/>
          <w:sz w:val="28"/>
          <w:sz w:val="28"/>
          <w:szCs w:val="28"/>
          <w:rtl w:val="true"/>
          <w:lang w:bidi="fa-IR"/>
        </w:rPr>
        <w:t xml:space="preserve">بعض الرطوبة الأصلیّة معها ما دامت باقیة، أو یقدّر زمانه بما لو لم یطرأ علیه هذه الرطوبة؟ قطع بالثانی بعض متأخّری المتأخّرین </w:t>
      </w:r>
      <w:r>
        <w:rPr>
          <w:rStyle w:val="FootnoteAnchor"/>
          <w:rtl w:val="true"/>
        </w:rPr>
        <w:footnoteReference w:id="1470"/>
      </w:r>
      <w:r>
        <w:rPr>
          <w:rFonts w:ascii="IRNazanin" w:hAnsi="IRNazanin" w:eastAsia="IRNazanin"/>
          <w:color w:val="111111"/>
          <w:sz w:val="28"/>
          <w:sz w:val="28"/>
          <w:szCs w:val="28"/>
          <w:rtl w:val="true"/>
          <w:lang w:bidi="fa-IR"/>
        </w:rPr>
        <w:t>، و فیه نظر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الأکثر أنّ القادح هو جفاف جمیع ما تقدّم، لاستصحاب الصحّة، و لعدم حصول التبعیض بالمذکور </w:t>
      </w:r>
      <w:r>
        <w:rPr>
          <w:rStyle w:val="FootnoteAnchor"/>
          <w:rtl w:val="true"/>
        </w:rPr>
        <w:footnoteReference w:id="1471"/>
      </w:r>
      <w:r>
        <w:rPr>
          <w:rFonts w:ascii="IRNazanin" w:hAnsi="IRNazanin" w:eastAsia="IRNazanin"/>
          <w:color w:val="111111"/>
          <w:sz w:val="28"/>
          <w:sz w:val="28"/>
          <w:szCs w:val="28"/>
          <w:rtl w:val="true"/>
          <w:lang w:bidi="fa-IR"/>
        </w:rPr>
        <w:t>إلّا بذلک، و لأنّه الظاهر من قوله علیه السلام فی الروایة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یبس وضوءک</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للمعتبر </w:t>
      </w:r>
      <w:r>
        <w:rPr>
          <w:rStyle w:val="FootnoteAnchor"/>
          <w:rtl w:val="true"/>
        </w:rPr>
        <w:footnoteReference w:id="1473"/>
      </w:r>
      <w:r>
        <w:rPr>
          <w:rFonts w:ascii="IRNazanin" w:hAnsi="IRNazanin" w:eastAsia="IRNazanin"/>
          <w:color w:val="111111"/>
          <w:sz w:val="28"/>
          <w:sz w:val="28"/>
          <w:szCs w:val="28"/>
          <w:rtl w:val="true"/>
          <w:lang w:bidi="fa-IR"/>
        </w:rPr>
        <w:t xml:space="preserve">و المنتهی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من النصّ </w:t>
      </w:r>
      <w:r>
        <w:rPr>
          <w:rStyle w:val="FootnoteAnchor"/>
          <w:rtl w:val="true"/>
        </w:rPr>
        <w:footnoteReference w:id="1475"/>
      </w:r>
      <w:r>
        <w:rPr>
          <w:rFonts w:ascii="IRNazanin" w:hAnsi="IRNazanin" w:eastAsia="IRNazanin"/>
          <w:color w:val="111111"/>
          <w:sz w:val="28"/>
          <w:sz w:val="28"/>
          <w:szCs w:val="28"/>
          <w:rtl w:val="true"/>
          <w:lang w:bidi="fa-IR"/>
        </w:rPr>
        <w:t>و الإجماع علی الأخذ من اللحیة و الحواجب و الأشفار إذا نسی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تخصیصها بالذکر لأجل قابلیّتها للأخذ منها، بخلاف البلل الکائن علی باقی الأعضاء، فإنّها و إن بلّت لکنّها غالبا لا تقبل للأخذ منها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أنّه قد ذکر اللحیة و الحواجب من اعتبر بلل خصوص العضو السابق علی العضو المنقطع علیه کالحلیّ فإنّه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ناسی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بلّة أخذ من حاجبیه أو لحیته أو أشفار عینیه </w:t>
      </w:r>
      <w:r>
        <w:rPr>
          <w:rStyle w:val="FootnoteAnchor"/>
          <w:rtl w:val="true"/>
        </w:rPr>
        <w:footnoteReference w:id="1476"/>
      </w:r>
      <w:r>
        <w:rPr>
          <w:rFonts w:ascii="IRNazanin" w:hAnsi="IRNazanin" w:eastAsia="IRNazanin"/>
          <w:color w:val="111111"/>
          <w:sz w:val="28"/>
          <w:sz w:val="28"/>
          <w:szCs w:val="28"/>
          <w:rtl w:val="true"/>
          <w:lang w:bidi="fa-IR"/>
        </w:rPr>
        <w:t xml:space="preserve">إن کان فی ذلک نداوة </w:t>
      </w:r>
      <w:r>
        <w:rPr>
          <w:rStyle w:val="FootnoteAnchor"/>
          <w:rtl w:val="true"/>
        </w:rPr>
        <w:footnoteReference w:id="147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جفاف الید، و هو مبطل عند الحلّی تبعا للسیّد، کما عرفت من السرائر و الناصریّات </w:t>
      </w:r>
      <w:r>
        <w:rPr>
          <w:rStyle w:val="FootnoteAnchor"/>
          <w:rtl w:val="true"/>
        </w:rPr>
        <w:footnoteReference w:id="1478"/>
      </w:r>
      <w:r>
        <w:rPr>
          <w:rFonts w:ascii="IRNazanin" w:hAnsi="IRNazanin" w:eastAsia="IRNazanin"/>
          <w:color w:val="111111"/>
          <w:sz w:val="28"/>
          <w:sz w:val="28"/>
          <w:szCs w:val="28"/>
          <w:rtl w:val="true"/>
          <w:lang w:bidi="fa-IR"/>
        </w:rPr>
        <w:t xml:space="preserve">و حکی عن المراسم </w:t>
      </w:r>
      <w:r>
        <w:rPr>
          <w:rStyle w:val="FootnoteAnchor"/>
          <w:rtl w:val="true"/>
        </w:rPr>
        <w:footnoteReference w:id="1479"/>
      </w:r>
      <w:r>
        <w:rPr>
          <w:rFonts w:ascii="Amiri" w:hAnsi="Amiri" w:eastAsia="Amiri" w:cs="Amiri"/>
          <w:color w:val="111111"/>
          <w:sz w:val="28"/>
          <w:sz w:val="28"/>
          <w:szCs w:val="28"/>
          <w:rtl w:val="true"/>
          <w:lang w:bidi="ar-SA"/>
        </w:rPr>
        <w:t xml:space="preserve">و المهذّب </w:t>
      </w:r>
      <w:r>
        <w:rPr>
          <w:rStyle w:val="FootnoteAnchor"/>
          <w:rtl w:val="true"/>
        </w:rPr>
        <w:footnoteReference w:id="1480"/>
      </w:r>
      <w:r>
        <w:rPr>
          <w:rFonts w:ascii="Amiri" w:hAnsi="Amiri" w:eastAsia="Amiri" w:cs="Amiri"/>
          <w:color w:val="111111"/>
          <w:sz w:val="28"/>
          <w:sz w:val="28"/>
          <w:szCs w:val="28"/>
          <w:rtl w:val="true"/>
          <w:lang w:bidi="ar-SA"/>
        </w:rPr>
        <w:t xml:space="preserve">و الإشارة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المحکیّ عن الإسکافی </w:t>
      </w:r>
      <w:r>
        <w:rPr>
          <w:rStyle w:val="FootnoteAnchor"/>
          <w:rtl w:val="true"/>
        </w:rPr>
        <w:footnoteReference w:id="1482"/>
      </w:r>
      <w:r>
        <w:rPr>
          <w:rFonts w:ascii="IRNazanin" w:hAnsi="IRNazanin" w:eastAsia="IRNazanin"/>
          <w:color w:val="111111"/>
          <w:sz w:val="28"/>
          <w:sz w:val="28"/>
          <w:szCs w:val="28"/>
          <w:rtl w:val="true"/>
          <w:lang w:bidi="fa-IR"/>
        </w:rPr>
        <w:t>اعتبار وجود البلل علی مجموع الأعضاء، و لعلّه لصدق تبعّض الوضوء عند جفاف بعض الأعضاء، 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فیکفی بلل الغسل المستحبّ إذا لم یکن استحبابه من جهة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فکلّ بلل یجوز المسح به یکفی بقاؤه فی الموالاة، و قد یکفی فی الموالاة ما لا یجوز المسح، کما إذا انصبّ علی یده الیمنی ماء أجنبیّ استهلکت رطوبتها، فإنّ بقاء هذه الرطوبة کاف فی الموالاة، و لا یجوز المسح بها، کما إذا اغترف بالیمنی غرفة لغسل الیسری المستحبّ فجفّ ما عدا الکفّ المغترفة لهذا الغسل، فإنّه کاف فی البلل، لکن لا یجوز المسح به لو فرض البداء له فی الغسلة المستحبّة، فترکها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إشکال فی رجحان الموالاة بمعنی المتابعة، لرجحان المبادرة و المسارعة إلی الطاعة، و أمّا رجحانها بمعنی کونها من مستحبّات الوضوء فلا دلیل علیه، إلّا الوضوءات البیانیّة </w:t>
      </w:r>
      <w:r>
        <w:rPr>
          <w:rStyle w:val="FootnoteAnchor"/>
          <w:rtl w:val="true"/>
        </w:rPr>
        <w:footnoteReference w:id="1483"/>
      </w:r>
      <w:r>
        <w:rPr>
          <w:rFonts w:ascii="IRNazanin" w:hAnsi="IRNazanin" w:eastAsia="IRNazanin"/>
          <w:color w:val="111111"/>
          <w:sz w:val="28"/>
          <w:sz w:val="28"/>
          <w:szCs w:val="28"/>
          <w:rtl w:val="true"/>
          <w:lang w:bidi="fa-IR"/>
        </w:rPr>
        <w:t>، بناء علی رجحان التأسّی فیما لا یعلم وجهه خصوصا أو عموما من حیث وقوعه بیانا لمجمل، و فی دلالتها علی المدّعی نظر، لاحتمال کون المتابعة فیها من باب جریان العادة بذلک فی الفعل البیانی فی مقام التعلیم، مع أنّه لا یثبت إلّا ما هو المتیقّن من رجحان المتابعة نفسا لا کونه من مستحبّات الوضوء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یعلم أنّه لو نذر الموالاة بمعنی المتابعة و عدم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اشتراطه فی الصحّة، إذا لم یحصل الجفاف فی وضوء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نذر مستحبّا مستقلّا فی عبادة، لا یوجب حنثه إلّا الکفّارة، و لم یتعلّق نذره بالفرد المستحبّ من العبادة، حتّی یمکن أن یدّعی أنّ المستحبّ الغیری صار بالنذر واجبا غیریّا، فیقدح الإخلال به فی صحّة الوضوء، مع أنّه لو فرض صیرورته واجبا غیریّا بالنذر، کما لو صرّح بنذر الوضوء المتّصف بالتوالی لم یلزم من بطلان هذا الوضوء المقیّد بالموالاة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مطابقته للمأمور به بالأمر النذری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الوضوء بمعنی مخالفته للمأمور به بالأمر الأصلی المتعلّق بالوضوء، لأنّ الأمر الأصلی و الأمر النذری لیسا من قبیل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فرق بین أن یقصد بفعله الإتیان بالمنذور أو لا یقصد، مع تعیّن الموالاة علیه فی ذلک الوضوء أو فی ذلک الوقت، و لنذکر بعض کلمات الأصحاب التی هی بین ترجیح الصحّة، و التردّد، و ترجیح بطلانه، و تفصیل بین نذر الموالاة و نذر الوضوء الموالی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الوضوء موالیا فأخلّ بها فالأقرب الصحّة و الکفّارة </w:t>
      </w:r>
      <w:r>
        <w:rPr>
          <w:rStyle w:val="FootnoteAnchor"/>
          <w:rtl w:val="true"/>
        </w:rPr>
        <w:footnoteReference w:id="148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الإیضاح احتمل صحّة الوضوء، لأنّ المنذور یشترط فیه ما یشترط فی الواجب، و الموالاة لیست شرطا فی صحّة الواجب بل واجبة فیه، فیصحّ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الصحّة، لأنّ الصفة المشترطة فی النذر، لم تحصل، فیبطل، لأنّ فائدة الشرط ذلک، و لأنّه لم یأت بالمنذور و قد نواه، فیبطل، فإن قلنا بالبطلان و الوقت باق أعاد و لا کفّارة، و إن قلنا بالصحّة وجب الکفّارة، و إن خرج الوقت وجب الکفّارة سواء قلنا بالبطلان</w:t>
      </w:r>
    </w:p>
    <w:p>
      <w:pPr>
        <w:pStyle w:val="BookText"/>
        <w:rPr/>
      </w:pPr>
      <w:r>
        <w:rPr>
          <w:rFonts w:ascii="Amiri" w:hAnsi="Amiri" w:eastAsia="Amiri" w:cs="Amiri"/>
          <w:color w:val="111111"/>
          <w:sz w:val="28"/>
          <w:sz w:val="28"/>
          <w:szCs w:val="28"/>
          <w:rtl w:val="true"/>
          <w:lang w:bidi="ar-SA"/>
        </w:rPr>
        <w:t xml:space="preserve">أو الصحّة </w:t>
      </w:r>
      <w:r>
        <w:rPr>
          <w:rStyle w:val="FootnoteAnchor"/>
          <w:rtl w:val="true"/>
        </w:rPr>
        <w:footnoteReference w:id="148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نذر المتابعة فی الوضوء فأخلّ بها و لم یجفّ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الصحّة وجهین، مبنیین علی اعتبار حال الفعل و أصله، فعلی الأوّل لا یصحّ، و علی الثانی یصحّ، أمّا الکفّارة فلازمة مع تشخّص الزمان قطعا، لتحقّق المخالفة، و هذا یطّرد فی کلّ مستحبّ وجب لعارض </w:t>
      </w:r>
      <w:r>
        <w:rPr>
          <w:rStyle w:val="FootnoteAnchor"/>
          <w:rtl w:val="true"/>
        </w:rPr>
        <w:footnoteReference w:id="148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استنادا إلی عدم المطابقة، لأنّ المعتبر فی صحّة النذر هو </w:t>
      </w:r>
      <w:r>
        <w:rPr>
          <w:rStyle w:val="FootnoteAnchor"/>
          <w:rtl w:val="true"/>
        </w:rPr>
        <w:footnoteReference w:id="1487"/>
      </w:r>
      <w:r>
        <w:rPr>
          <w:rFonts w:ascii="IRNazanin" w:hAnsi="IRNazanin" w:eastAsia="IRNazanin"/>
          <w:color w:val="111111"/>
          <w:sz w:val="28"/>
          <w:sz w:val="28"/>
          <w:szCs w:val="28"/>
          <w:rtl w:val="true"/>
          <w:lang w:bidi="fa-IR"/>
        </w:rPr>
        <w:t xml:space="preserve">حاله الذی اقتضاه النذر، فما نواه لم یقع، و ما وقع لم ینوه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التتابع فیه و أخلّ بها صحّ، لأنّ النذر أمر خارج عن حقیقته، کما لو نذر القنوت فی الصلاة، و القول بالبطلان ضعیف، أمّا لو کان المنذور هو الوضوء المتتابع فیه اتّجه البطلان، لعدم المطابقة </w:t>
      </w:r>
      <w:r>
        <w:rPr>
          <w:rStyle w:val="FootnoteAnchor"/>
          <w:rtl w:val="true"/>
        </w:rPr>
        <w:footnoteReference w:id="14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المطابقة بین المأتی به و المأمور به بأوامر الوضوء حاصلة، و قصد الإتیان بالمنذور لا ینافی قصد الإتیان بالمأمور به الأصلی، کما لا یخفی، و عدم قصد المنذور أیضا لا یضرّ بالمأتی به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یقتضی النهی عن ضدّه الخاصّ، لأنّ فوات الموالاة یوجب فوات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المنذور إذا فرض تعیّن زمانه، فیتمّ الوضوء بقصد امتثال الأمر الأصلیّ به، و لا یقدح لو قصد امتثال الوضوء المنذور فی أوّل العمل، لأنّه مشتمل علی قصد الأمر الأصلیّ أیضا، فافهم، و اللّٰه العالم</w:t>
      </w:r>
      <w:r>
        <w:rPr>
          <w:rFonts w:eastAsia="IRNazanin" w:cs="IRNazanin"/>
          <w:color w:val="111111"/>
          <w:sz w:val="28"/>
          <w:szCs w:val="28"/>
          <w:rtl w:val="true"/>
          <w:lang w:bidi="fa-IR"/>
        </w:rPr>
        <w:t>.</w:t>
      </w:r>
      <w:bookmarkStart w:id="165" w:name="pg13035_131831"/>
    </w:p>
    <w:p>
      <w:pPr>
        <w:pStyle w:val="Heading6"/>
        <w:numPr>
          <w:ilvl w:val="5"/>
          <w:numId w:val="1"/>
        </w:numPr>
        <w:rPr/>
      </w:pPr>
      <w:bookmarkStart w:id="166" w:name="__RefHeading___Toc6369976_3224264995"/>
      <w:bookmarkStart w:id="167" w:name="_Toc65"/>
      <w:bookmarkEnd w:id="165"/>
      <w:bookmarkEnd w:id="166"/>
      <w:r>
        <w:rPr>
          <w:rtl w:val="true"/>
        </w:rPr>
        <w:t>[</w:t>
      </w:r>
      <w:r>
        <w:rPr>
          <w:rtl w:val="true"/>
        </w:rPr>
        <w:t>المسألة الثالثة الفرض و السنة فی الغسلات</w:t>
      </w:r>
      <w:r>
        <w:rPr>
          <w:rtl w:val="true"/>
        </w:rPr>
        <w:t>]</w:t>
      </w:r>
      <w:bookmarkEnd w:id="167"/>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الفرض فی الغسلات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کلّ عضو 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بغرفات متعدّدة، بلا خلاف و لا إشکال، للکتاب </w:t>
      </w:r>
      <w:r>
        <w:rPr>
          <w:rStyle w:val="FootnoteAnchor"/>
          <w:rtl w:val="true"/>
        </w:rPr>
        <w:footnoteReference w:id="1490"/>
      </w:r>
      <w:r>
        <w:rPr>
          <w:rFonts w:ascii="IRNazanin" w:hAnsi="IRNazanin" w:eastAsia="IRNazanin"/>
          <w:color w:val="111111"/>
          <w:sz w:val="28"/>
          <w:sz w:val="28"/>
          <w:szCs w:val="28"/>
          <w:rtl w:val="true"/>
          <w:lang w:bidi="fa-IR"/>
        </w:rPr>
        <w:t xml:space="preserve">و السنّة المتواترة معنی </w:t>
      </w:r>
      <w:r>
        <w:rPr>
          <w:rStyle w:val="FootnoteAnchor"/>
          <w:rtl w:val="true"/>
        </w:rPr>
        <w:footnoteReference w:id="14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فالمشهور بل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جماعة </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مثنی مثنی، و من زاد لم یؤجر</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بناء علی إرادة المشروعیّة، لعدم وجوب الثانیة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الوضوء واحدة واحدة، و وضع رسول اللّٰه صلّی اللّٰه علیه و آله و سلم اثنتین اثنتین</w:t>
      </w:r>
      <w:r>
        <w:rPr>
          <w:rFonts w:eastAsia="IRNazanin" w:cs="IRNazanin"/>
          <w:color w:val="111111"/>
          <w:sz w:val="28"/>
          <w:szCs w:val="28"/>
          <w:rtl w:val="true"/>
          <w:lang w:bidi="fa-IR"/>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لأعجب ممّن یرغب أن یتوضّأ اثنتین اثنتین و قد</w:t>
      </w:r>
    </w:p>
    <w:p>
      <w:pPr>
        <w:pStyle w:val="BookText"/>
        <w:rPr/>
      </w:pPr>
      <w:r>
        <w:rPr>
          <w:rFonts w:ascii="Amiri" w:hAnsi="Amiri" w:eastAsia="Amiri" w:cs="Amiri"/>
          <w:color w:val="111111"/>
          <w:sz w:val="28"/>
          <w:sz w:val="28"/>
          <w:szCs w:val="28"/>
          <w:rtl w:val="true"/>
          <w:lang w:bidi="ar-SA"/>
        </w:rPr>
        <w:t>توضّأ رسول اللّٰه صلّی اللّٰه علیه و آله و سلّم اثنتین اثنتین</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مرّة فریضة، و اثنتان إسباغ</w:t>
      </w:r>
      <w:r>
        <w:rPr>
          <w:rFonts w:eastAsia="IRNazanin" w:cs="IRNazanin"/>
          <w:color w:val="111111"/>
          <w:sz w:val="28"/>
          <w:szCs w:val="28"/>
          <w:rtl w:val="true"/>
          <w:lang w:bidi="fa-IR"/>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فی الوسائل عن الکشّی بسنده عن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عدّة الطهارة؟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أوجب اللّٰه تعالی فواحدة، و أضاف إلیها </w:t>
      </w:r>
      <w:r>
        <w:rPr>
          <w:rStyle w:val="FootnoteAnchor"/>
          <w:rtl w:val="true"/>
        </w:rPr>
        <w:footnoteReference w:id="1497"/>
      </w:r>
      <w:r>
        <w:rPr>
          <w:rFonts w:ascii="IRNazanin" w:hAnsi="IRNazanin" w:eastAsia="IRNazanin"/>
          <w:color w:val="111111"/>
          <w:sz w:val="28"/>
          <w:sz w:val="28"/>
          <w:szCs w:val="28"/>
          <w:rtl w:val="true"/>
          <w:lang w:bidi="fa-IR"/>
        </w:rPr>
        <w:t>رسول اللّٰه صلّی اللّٰه علیه و آله واحدة، لضعف الناس، و من توضّأ ثلاثا ثلاثا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معه فی ذا </w:t>
      </w:r>
      <w:r>
        <w:rPr>
          <w:rStyle w:val="FootnoteAnchor"/>
          <w:rtl w:val="true"/>
        </w:rPr>
        <w:footnoteReference w:id="1498"/>
      </w:r>
      <w:r>
        <w:rPr>
          <w:rFonts w:ascii="IRNazanin" w:hAnsi="IRNazanin" w:eastAsia="IRNazanin"/>
          <w:color w:val="111111"/>
          <w:sz w:val="28"/>
          <w:sz w:val="28"/>
          <w:szCs w:val="28"/>
          <w:rtl w:val="true"/>
          <w:lang w:bidi="fa-IR"/>
        </w:rPr>
        <w:t xml:space="preserve">حتّی جاء داود بن زربی، فسأله عن عدّة الطهارة، فقال له </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ثلاثا، من نقص عنه </w:t>
      </w:r>
      <w:r>
        <w:rPr>
          <w:rStyle w:val="FootnoteAnchor"/>
          <w:rtl w:val="true"/>
        </w:rPr>
        <w:footnoteReference w:id="1500"/>
      </w:r>
      <w:r>
        <w:rPr>
          <w:rFonts w:ascii="IRNazanin" w:hAnsi="IRNazanin" w:eastAsia="IRNazanin"/>
          <w:color w:val="111111"/>
          <w:sz w:val="28"/>
          <w:sz w:val="28"/>
          <w:szCs w:val="28"/>
          <w:rtl w:val="true"/>
          <w:lang w:bidi="fa-IR"/>
        </w:rPr>
        <w:t>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فرائصی </w:t>
      </w:r>
      <w:r>
        <w:rPr>
          <w:rStyle w:val="FootnoteAnchor"/>
          <w:rtl w:val="true"/>
        </w:rPr>
        <w:footnoteReference w:id="1501"/>
      </w:r>
      <w:r>
        <w:rPr>
          <w:rFonts w:ascii="IRNazanin" w:hAnsi="IRNazanin" w:eastAsia="IRNazanin"/>
          <w:color w:val="111111"/>
          <w:sz w:val="28"/>
          <w:sz w:val="28"/>
          <w:szCs w:val="28"/>
          <w:rtl w:val="true"/>
          <w:lang w:bidi="fa-IR"/>
        </w:rPr>
        <w:t xml:space="preserve">، و کاد أن یدخلنی الشیطان، فأبصر بی أبو عبد اللّٰه علیه السلام </w:t>
      </w:r>
      <w:r>
        <w:rPr>
          <w:rStyle w:val="FootnoteAnchor"/>
          <w:rtl w:val="true"/>
        </w:rPr>
        <w:footnoteReference w:id="1502"/>
      </w:r>
      <w:r>
        <w:rPr>
          <w:rFonts w:ascii="IRNazanin" w:hAnsi="IRNazanin" w:eastAsia="IRNazanin"/>
          <w:color w:val="111111"/>
          <w:sz w:val="28"/>
          <w:sz w:val="28"/>
          <w:szCs w:val="28"/>
          <w:rtl w:val="true"/>
          <w:lang w:bidi="fa-IR"/>
        </w:rPr>
        <w:t>و قد تغیّر لونی،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داود، هذا هو الکفر أو ضرب الأعناق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داود بن زربی إلی جوار بستان</w:t>
      </w:r>
    </w:p>
    <w:p>
      <w:pPr>
        <w:pStyle w:val="BookText"/>
        <w:rPr/>
      </w:pPr>
      <w:r>
        <w:rPr>
          <w:rFonts w:ascii="IRNazanin" w:hAnsi="IRNazanin" w:eastAsia="IRNazanin"/>
          <w:color w:val="111111"/>
          <w:sz w:val="28"/>
          <w:sz w:val="28"/>
          <w:szCs w:val="28"/>
          <w:rtl w:val="true"/>
          <w:lang w:bidi="fa-IR"/>
        </w:rPr>
        <w:t xml:space="preserve">أبی جعفر المنصور، و کان قد القی إلی أبی جعفر </w:t>
      </w:r>
      <w:r>
        <w:rPr>
          <w:rStyle w:val="FootnoteAnchor"/>
          <w:rtl w:val="true"/>
        </w:rPr>
        <w:footnoteReference w:id="1503"/>
      </w:r>
      <w:r>
        <w:rPr>
          <w:rFonts w:ascii="IRNazanin" w:hAnsi="IRNazanin" w:eastAsia="IRNazanin"/>
          <w:color w:val="111111"/>
          <w:sz w:val="28"/>
          <w:sz w:val="28"/>
          <w:szCs w:val="28"/>
          <w:rtl w:val="true"/>
          <w:lang w:bidi="fa-IR"/>
        </w:rPr>
        <w:t xml:space="preserve">أمر داود بن زربیّ، و أنّه رافضیّ یختلف إلی جعفر بن محمّد علیهما السلام، فقال المنصور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مطّلع علی طهارته </w:t>
      </w:r>
      <w:r>
        <w:rPr>
          <w:rStyle w:val="FootnoteAnchor"/>
          <w:rtl w:val="true"/>
        </w:rPr>
        <w:footnoteReference w:id="1505"/>
      </w:r>
      <w:r>
        <w:rPr>
          <w:rFonts w:ascii="IRNazanin" w:hAnsi="IRNazanin" w:eastAsia="IRNazanin"/>
          <w:color w:val="111111"/>
          <w:sz w:val="28"/>
          <w:sz w:val="28"/>
          <w:szCs w:val="28"/>
          <w:rtl w:val="true"/>
          <w:lang w:bidi="fa-IR"/>
        </w:rPr>
        <w:t>، فإن توضّأ وضوء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لأعرف </w:t>
      </w:r>
      <w:r>
        <w:rPr>
          <w:rStyle w:val="FootnoteAnchor"/>
          <w:rtl w:val="true"/>
        </w:rPr>
        <w:footnoteReference w:id="1506"/>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علیه القول، و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و داود بن زربیّ یتهیّأ للصلاة من حیث لا یراه، فأسبغ الوضوء ثلاثا ثلاثا کما أمره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أتمّ وضوئه حتّی بعث إلیه المنصور فدعاه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507"/>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دخلت علیه </w:t>
      </w:r>
      <w:r>
        <w:rPr>
          <w:rStyle w:val="FootnoteAnchor"/>
          <w:rtl w:val="true"/>
        </w:rPr>
        <w:footnoteReference w:id="1508"/>
      </w:r>
      <w:r>
        <w:rPr>
          <w:rFonts w:ascii="IRNazanin" w:hAnsi="IRNazanin" w:eastAsia="IRNazanin"/>
          <w:color w:val="111111"/>
          <w:sz w:val="28"/>
          <w:sz w:val="28"/>
          <w:szCs w:val="28"/>
          <w:rtl w:val="true"/>
          <w:lang w:bidi="fa-IR"/>
        </w:rPr>
        <w:t>رحّب 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w:t>
      </w:r>
      <w:r>
        <w:rPr>
          <w:rStyle w:val="FootnoteAnchor"/>
          <w:rtl w:val="true"/>
        </w:rPr>
        <w:footnoteReference w:id="1509"/>
      </w:r>
      <w:r>
        <w:rPr>
          <w:rFonts w:ascii="IRNazanin" w:hAnsi="IRNazanin" w:eastAsia="IRNazanin"/>
          <w:color w:val="111111"/>
          <w:sz w:val="28"/>
          <w:sz w:val="28"/>
          <w:szCs w:val="28"/>
          <w:rtl w:val="true"/>
          <w:lang w:bidi="fa-IR"/>
        </w:rPr>
        <w:t>، قیل فیک شی‌ء باطل، و ما أنت کذلک، قد اطّلعت علی طهارتک، و لیست طهارتک طهارة الرافضة، فاجعلنی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له بمائة ألف درهم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فالتقیت أنا و داود بن زربیّ عند أبی عبد اللّٰه علیه السلام، فقال له </w:t>
      </w:r>
      <w:r>
        <w:rPr>
          <w:rStyle w:val="FootnoteAnchor"/>
          <w:rtl w:val="true"/>
        </w:rPr>
        <w:footnoteReference w:id="1510"/>
      </w:r>
      <w:r>
        <w:rPr>
          <w:rFonts w:ascii="IRNazanin" w:hAnsi="IRNazanin" w:eastAsia="IRNazanin"/>
          <w:color w:val="111111"/>
          <w:sz w:val="28"/>
          <w:sz w:val="28"/>
          <w:szCs w:val="28"/>
          <w:rtl w:val="true"/>
          <w:lang w:bidi="fa-IR"/>
        </w:rPr>
        <w:t>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حقنت دماءنا فی دار الدنیا و نرجوا أن ندخل بیمنک و برکتک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صلوات جمیع خلقه علیه و علی آبائه الطاهرین و أولاده المعصومین و لعنات اللّٰه</w:t>
      </w:r>
    </w:p>
    <w:p>
      <w:pPr>
        <w:pStyle w:val="BookText"/>
        <w:rPr/>
      </w:pPr>
      <w:r>
        <w:rPr>
          <w:rFonts w:ascii="IRNazanin" w:hAnsi="IRNazanin" w:eastAsia="IRNazanin"/>
          <w:color w:val="111111"/>
          <w:sz w:val="28"/>
          <w:sz w:val="28"/>
          <w:szCs w:val="28"/>
          <w:rtl w:val="true"/>
          <w:lang w:bidi="fa-IR"/>
        </w:rPr>
        <w:t>و لعنات جمیع خلقه علی أعدائهم و الشاکّین فیهم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اللّٰه ذلک بک و بإخوانک من جمیع المؤمنین،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داود الرقّی بما مرّ علیکم حتّی تسکن روعته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بالأمر کلّه،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r>
        <w:rPr>
          <w:rStyle w:val="FootnoteAnchor"/>
          <w:rtl w:val="true"/>
        </w:rPr>
        <w:footnoteReference w:id="1511"/>
      </w:r>
      <w:r>
        <w:rPr>
          <w:rFonts w:ascii="IRNazanin" w:hAnsi="IRNazanin" w:eastAsia="IRNazanin"/>
          <w:color w:val="111111"/>
          <w:sz w:val="28"/>
          <w:sz w:val="28"/>
          <w:szCs w:val="28"/>
          <w:rtl w:val="true"/>
          <w:lang w:bidi="fa-IR"/>
        </w:rPr>
        <w:t xml:space="preserve">أفتیته، لأنّه کان أشرف </w:t>
      </w:r>
      <w:r>
        <w:rPr>
          <w:rStyle w:val="FootnoteAnchor"/>
          <w:rtl w:val="true"/>
        </w:rPr>
        <w:footnoteReference w:id="1512"/>
      </w:r>
      <w:r>
        <w:rPr>
          <w:rFonts w:ascii="IRNazanin" w:hAnsi="IRNazanin" w:eastAsia="IRNazanin"/>
          <w:color w:val="111111"/>
          <w:sz w:val="28"/>
          <w:sz w:val="28"/>
          <w:szCs w:val="28"/>
          <w:rtl w:val="true"/>
          <w:lang w:bidi="fa-IR"/>
        </w:rPr>
        <w:t xml:space="preserve">علی القتل من ید هذا العدوّ </w:t>
      </w:r>
      <w:r>
        <w:rPr>
          <w:rStyle w:val="FootnoteAnchor"/>
          <w:rtl w:val="true"/>
        </w:rPr>
        <w:footnoteReference w:id="151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بن زربیّ، توضأ مثنی مثنی، و لا تزدنّ علیه، و إنّک إن </w:t>
      </w:r>
      <w:r>
        <w:rPr>
          <w:rStyle w:val="FootnoteAnchor"/>
          <w:rtl w:val="true"/>
        </w:rPr>
        <w:footnoteReference w:id="1514"/>
      </w:r>
      <w:r>
        <w:rPr>
          <w:rFonts w:ascii="IRNazanin" w:hAnsi="IRNazanin" w:eastAsia="IRNazanin"/>
          <w:color w:val="111111"/>
          <w:sz w:val="28"/>
          <w:sz w:val="28"/>
          <w:szCs w:val="28"/>
          <w:rtl w:val="true"/>
          <w:lang w:bidi="fa-IR"/>
        </w:rPr>
        <w:t xml:space="preserve">زدت علیه فلا صلاة لک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نقص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إلزام التثلیث علی ابن زربیّ حتّی یداوم علیه و لا یهمله من إن لم یجب التثلیث عند العامّة أیضا فی ذلک الزمان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إلزام ما لیس بلازم عندهم 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الوسائل عن إرشاد المفید من حکایة أمر أبی الحسن علیه السلام علیّ بن یقطین فی مکاتبته، حیث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الوضوء الذی آمرک به فی ذلک </w:t>
      </w:r>
      <w:r>
        <w:rPr>
          <w:rStyle w:val="FootnoteAnchor"/>
          <w:rtl w:val="true"/>
        </w:rPr>
        <w:footnoteReference w:id="1517"/>
      </w:r>
      <w:r>
        <w:rPr>
          <w:rFonts w:ascii="IRNazanin" w:hAnsi="IRNazanin" w:eastAsia="IRNazanin"/>
          <w:color w:val="111111"/>
          <w:sz w:val="28"/>
          <w:sz w:val="28"/>
          <w:szCs w:val="28"/>
          <w:rtl w:val="true"/>
          <w:lang w:bidi="fa-IR"/>
        </w:rPr>
        <w:t>أن تمضمض ثلاثا، و تستنشق ثلاثا، و تغسل وجهک ثلاثا، و تخلّل شعر لحیتک، و تغسل یدیک إلی المرفقین ثلاثا، و تمسح رأسک کلّه، و تمسح ظاهر أذنیک و باطنهما، و تغسل</w:t>
      </w:r>
    </w:p>
    <w:p>
      <w:pPr>
        <w:pStyle w:val="BookText"/>
        <w:rPr/>
      </w:pPr>
      <w:r>
        <w:rPr>
          <w:rFonts w:ascii="IRNazanin" w:hAnsi="IRNazanin" w:eastAsia="IRNazanin"/>
          <w:color w:val="111111"/>
          <w:sz w:val="28"/>
          <w:sz w:val="28"/>
          <w:szCs w:val="28"/>
          <w:rtl w:val="true"/>
          <w:lang w:bidi="fa-IR"/>
        </w:rPr>
        <w:t xml:space="preserve">رجلیک إلی الکعبین ثلاثا </w:t>
      </w:r>
      <w:r>
        <w:rPr>
          <w:rStyle w:val="FootnoteAnchor"/>
          <w:rtl w:val="true"/>
        </w:rPr>
        <w:footnoteReference w:id="1518"/>
      </w:r>
      <w:r>
        <w:rPr>
          <w:rFonts w:ascii="IRNazanin" w:hAnsi="IRNazanin" w:eastAsia="IRNazanin"/>
          <w:color w:val="111111"/>
          <w:sz w:val="28"/>
          <w:sz w:val="28"/>
          <w:szCs w:val="28"/>
          <w:rtl w:val="true"/>
          <w:lang w:bidi="fa-IR"/>
        </w:rPr>
        <w:t>و لا تخالف ذلک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w:t>
      </w:r>
      <w:r>
        <w:rPr>
          <w:rStyle w:val="FootnoteAnchor"/>
          <w:rtl w:val="true"/>
        </w:rPr>
        <w:footnoteReference w:id="1519"/>
      </w:r>
      <w:r>
        <w:rPr>
          <w:rFonts w:ascii="IRNazanin" w:hAnsi="IRNazanin" w:eastAsia="IRNazanin"/>
          <w:color w:val="111111"/>
          <w:sz w:val="28"/>
          <w:sz w:val="28"/>
          <w:szCs w:val="28"/>
          <w:rtl w:val="true"/>
          <w:lang w:bidi="fa-IR"/>
        </w:rPr>
        <w:t xml:space="preserve">الکتاب إلی علی بن یقطین تعجّب بما رسم له أبو الحسن علیه السلام ممّا جمیع </w:t>
      </w:r>
      <w:r>
        <w:rPr>
          <w:rStyle w:val="FootnoteAnchor"/>
          <w:rtl w:val="true"/>
        </w:rPr>
        <w:footnoteReference w:id="1520"/>
      </w:r>
      <w:r>
        <w:rPr>
          <w:rFonts w:ascii="IRNazanin" w:hAnsi="IRNazanin" w:eastAsia="IRNazanin"/>
          <w:color w:val="111111"/>
          <w:sz w:val="28"/>
          <w:sz w:val="28"/>
          <w:szCs w:val="28"/>
          <w:rtl w:val="true"/>
          <w:lang w:bidi="fa-IR"/>
        </w:rPr>
        <w:t>العصابة علی خلافه،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أعلم بما قال، و أنا أمتثل أمره، فکان یعمل فی وضوئه علی هذا الحدّ، و یخالف ما علیه </w:t>
      </w:r>
      <w:r>
        <w:rPr>
          <w:rStyle w:val="FootnoteAnchor"/>
          <w:rtl w:val="true"/>
        </w:rPr>
        <w:footnoteReference w:id="1521"/>
      </w:r>
      <w:r>
        <w:rPr>
          <w:rFonts w:ascii="IRNazanin" w:hAnsi="IRNazanin" w:eastAsia="IRNazanin"/>
          <w:color w:val="111111"/>
          <w:sz w:val="28"/>
          <w:sz w:val="28"/>
          <w:szCs w:val="28"/>
          <w:rtl w:val="true"/>
          <w:lang w:bidi="fa-IR"/>
        </w:rPr>
        <w:t>جمیع الشیعة، امتثالا لأمر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سعی بعلیّ </w:t>
      </w:r>
      <w:r>
        <w:rPr>
          <w:rStyle w:val="FootnoteAnchor"/>
          <w:rtl w:val="true"/>
        </w:rPr>
        <w:footnoteReference w:id="1522"/>
      </w:r>
      <w:r>
        <w:rPr>
          <w:rFonts w:ascii="IRNazanin" w:hAnsi="IRNazanin" w:eastAsia="IRNazanin"/>
          <w:color w:val="111111"/>
          <w:sz w:val="28"/>
          <w:sz w:val="28"/>
          <w:szCs w:val="28"/>
          <w:rtl w:val="true"/>
          <w:lang w:bidi="fa-IR"/>
        </w:rPr>
        <w:t>بن یقطین إلی الرشید،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رافضیّ، فامتحنه الرشید من حیث لا یشعر، فلمّا نظر إلی وضوئه ناداه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أنّک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صلحت حاله عنده، و ورد علیه کتاب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ابتدئ من </w:t>
      </w:r>
      <w:r>
        <w:rPr>
          <w:rStyle w:val="FootnoteAnchor"/>
          <w:rtl w:val="true"/>
        </w:rPr>
        <w:footnoteReference w:id="1523"/>
      </w:r>
      <w:r>
        <w:rPr>
          <w:rFonts w:ascii="IRNazanin" w:hAnsi="IRNazanin" w:eastAsia="IRNazanin"/>
          <w:color w:val="111111"/>
          <w:sz w:val="28"/>
          <w:sz w:val="28"/>
          <w:szCs w:val="28"/>
          <w:rtl w:val="true"/>
          <w:lang w:bidi="fa-IR"/>
        </w:rPr>
        <w:t xml:space="preserve">الآن یا علیّ ابن یقطین، توضأ کما أمرک اللّٰه تعالی، اغسل وجهک مرّة فریضة، و اخری إسباغا، و اغسل یدیک من المرفقین کذلک، و امسح بمقدّم رأسک و ظاهر قدمیک من فضل نداوة وضوئک، فقد زال ما کنّا نخاف منه علیک، و السلام </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نقلنا الحدیثین بطولهما تیمنا، و هو المرجوّ من کلّ 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التوقیع الوارد إلی العریضی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و الیدین و مسح الرأس و الرجلین واحد، و اثنان إسباغ الوضوء، و إن زاد أثم</w:t>
      </w:r>
      <w:r>
        <w:rPr>
          <w:rFonts w:eastAsia="IRNazanin" w:cs="IRNazanin"/>
          <w:color w:val="111111"/>
          <w:sz w:val="28"/>
          <w:szCs w:val="28"/>
          <w:rtl w:val="true"/>
          <w:lang w:bidi="fa-IR"/>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نعثر علیه فی تضاعیف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کثرتها مع اعتضادها بما عرفت، مع صحّة بعضها، یغنی عن الالتفات إلی التسامح فی أدلّة السنن، لیرد علیه قیام احتمال عدم الاستحباب الموجب لاستهلاک ماء الوضوء، فیفسد المسح به، نظیر ما سیأتی فی الغسلة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البزنطی </w:t>
      </w:r>
      <w:r>
        <w:rPr>
          <w:rStyle w:val="FootnoteAnchor"/>
          <w:rtl w:val="true"/>
        </w:rPr>
        <w:footnoteReference w:id="1527"/>
      </w:r>
      <w:r>
        <w:rPr>
          <w:rFonts w:ascii="IRNazanin" w:hAnsi="IRNazanin" w:eastAsia="IRNazanin"/>
          <w:color w:val="111111"/>
          <w:sz w:val="28"/>
          <w:sz w:val="28"/>
          <w:szCs w:val="28"/>
          <w:rtl w:val="true"/>
          <w:lang w:bidi="fa-IR"/>
        </w:rPr>
        <w:t xml:space="preserve">و الکلینی </w:t>
      </w:r>
      <w:r>
        <w:rPr>
          <w:rStyle w:val="FootnoteAnchor"/>
          <w:rtl w:val="true"/>
        </w:rPr>
        <w:footnoteReference w:id="1528"/>
      </w:r>
      <w:r>
        <w:rPr>
          <w:rFonts w:ascii="IRNazanin" w:hAnsi="IRNazanin" w:eastAsia="IRNazanin"/>
          <w:color w:val="111111"/>
          <w:sz w:val="28"/>
          <w:sz w:val="28"/>
          <w:szCs w:val="28"/>
          <w:rtl w:val="true"/>
          <w:lang w:bidi="fa-IR"/>
        </w:rPr>
        <w:t xml:space="preserve">و الصدوق </w:t>
      </w:r>
      <w:r>
        <w:rPr>
          <w:rStyle w:val="FootnoteAnchor"/>
          <w:rtl w:val="true"/>
        </w:rPr>
        <w:footnoteReference w:id="1529"/>
      </w:r>
      <w:r>
        <w:rPr>
          <w:rFonts w:ascii="IRNazanin" w:hAnsi="IRNazanin" w:eastAsia="IRNazanin"/>
          <w:color w:val="111111"/>
          <w:sz w:val="28"/>
          <w:sz w:val="28"/>
          <w:szCs w:val="28"/>
          <w:rtl w:val="true"/>
          <w:lang w:bidi="fa-IR"/>
        </w:rPr>
        <w:t xml:space="preserve">من الحکم بعدم الاستحباب، و وافقهم بعض متأخّری المتأخّرین ککاشف اللثام </w:t>
      </w:r>
      <w:r>
        <w:rPr>
          <w:rStyle w:val="FootnoteAnchor"/>
          <w:rtl w:val="true"/>
        </w:rPr>
        <w:footnoteReference w:id="1530"/>
      </w:r>
      <w:r>
        <w:rPr>
          <w:rFonts w:ascii="IRNazanin" w:hAnsi="IRNazanin" w:eastAsia="IRNazanin"/>
          <w:color w:val="111111"/>
          <w:sz w:val="28"/>
          <w:sz w:val="28"/>
          <w:szCs w:val="28"/>
          <w:rtl w:val="true"/>
          <w:lang w:bidi="fa-IR"/>
        </w:rPr>
        <w:t xml:space="preserve">و غیره </w:t>
      </w:r>
      <w:r>
        <w:rPr>
          <w:rStyle w:val="FootnoteAnchor"/>
          <w:rtl w:val="true"/>
        </w:rPr>
        <w:footnoteReference w:id="1531"/>
      </w:r>
      <w:r>
        <w:rPr>
          <w:rFonts w:ascii="IRNazanin" w:hAnsi="IRNazanin" w:eastAsia="IRNazanin"/>
          <w:color w:val="111111"/>
          <w:sz w:val="28"/>
          <w:sz w:val="28"/>
          <w:szCs w:val="28"/>
          <w:rtl w:val="true"/>
          <w:lang w:bidi="fa-IR"/>
        </w:rPr>
        <w:t xml:space="preserve">، للوضوءات البیانیة </w:t>
      </w:r>
      <w:r>
        <w:rPr>
          <w:rStyle w:val="FootnoteAnchor"/>
          <w:rtl w:val="true"/>
        </w:rPr>
        <w:footnoteReference w:id="1532"/>
      </w:r>
      <w:r>
        <w:rPr>
          <w:rFonts w:ascii="IRNazanin" w:hAnsi="IRNazanin" w:eastAsia="IRNazanin"/>
          <w:color w:val="111111"/>
          <w:sz w:val="28"/>
          <w:sz w:val="28"/>
          <w:szCs w:val="28"/>
          <w:rtl w:val="true"/>
          <w:lang w:bidi="fa-IR"/>
        </w:rPr>
        <w:t xml:space="preserve">خصوصا بملاحظة وضوء أمیر المؤمنین صلوات اللّٰه علیه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کان وضوء رسول اللّٰه صلّی اللّٰه علیه و آله و سلّم إلّا مرّة مرّة</w:t>
      </w:r>
      <w:r>
        <w:rPr>
          <w:rFonts w:eastAsia="Amiri" w:cs="Amiri" w:ascii="Amiri" w:hAnsi="Amiri"/>
          <w:color w:val="111111"/>
          <w:sz w:val="28"/>
          <w:szCs w:val="28"/>
          <w:rtl w:val="true"/>
          <w:lang w:bidi="ar-SA"/>
        </w:rPr>
        <w:t xml:space="preserve">» </w:t>
      </w:r>
      <w:r>
        <w:rPr>
          <w:rStyle w:val="FootnoteAnchor"/>
          <w:rtl w:val="true"/>
        </w:rPr>
        <w:footnoteReference w:id="15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وضوء علی علیه السلام إلّا مرّة</w:t>
      </w:r>
      <w:r>
        <w:rPr>
          <w:rFonts w:eastAsia="IRNazanin" w:cs="IRNazanin"/>
          <w:color w:val="111111"/>
          <w:sz w:val="28"/>
          <w:szCs w:val="28"/>
          <w:rtl w:val="true"/>
          <w:lang w:bidi="fa-IR"/>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بیّن فیه أفعال الوضوء قولا،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إلی وضوئک، فإنّه من تمام صلاتک، تمضمض ثلاثا و استنشق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بعضها من قوله علیه السلام بعد الفراغ عن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 حدثا، یعنی به التعدّی فی الوضوء</w:t>
      </w:r>
      <w:r>
        <w:rPr>
          <w:rFonts w:eastAsia="IRNazanin" w:cs="IRNazanin"/>
          <w:color w:val="111111"/>
          <w:sz w:val="28"/>
          <w:szCs w:val="28"/>
          <w:rtl w:val="true"/>
          <w:lang w:bidi="fa-IR"/>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تعدّی فی الوضوء کان کناقضه</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نوادر البزنطی عن عبد الکریم بن عمرو، عن ابن أبی یعفور،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الفضل فی واحدة، و من زاد علی اثنتین لم یوجر</w:t>
      </w:r>
      <w:r>
        <w:rPr>
          <w:rFonts w:eastAsia="IRNazanin" w:cs="IRNazanin"/>
          <w:color w:val="111111"/>
          <w:sz w:val="28"/>
          <w:szCs w:val="28"/>
          <w:rtl w:val="true"/>
          <w:lang w:bidi="fa-IR"/>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میسرة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واحدة واحدة</w:t>
      </w:r>
      <w:r>
        <w:rPr>
          <w:rFonts w:eastAsia="IRNazanin" w:cs="IRNazanin"/>
          <w:color w:val="111111"/>
          <w:sz w:val="28"/>
          <w:szCs w:val="28"/>
          <w:rtl w:val="true"/>
          <w:lang w:bidi="fa-IR"/>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أرسل الصدوق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مرّتین لم یؤجر</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أرسل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مرّة فریضة، و الثانیة لا تؤجر، و الثالثة بدعة</w:t>
      </w:r>
      <w:r>
        <w:rPr>
          <w:rFonts w:eastAsia="IRNazanin" w:cs="IRNazanin"/>
          <w:color w:val="111111"/>
          <w:sz w:val="28"/>
          <w:szCs w:val="28"/>
          <w:rtl w:val="true"/>
          <w:lang w:bidi="fa-IR"/>
        </w:rPr>
        <w:t xml:space="preserve">» </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بأنّ الثابت هو استحباب المرّة الثانیة بقصد الإسباغ و المبالغة فی استیعاب الماء لتمام العضو لیکون الغسلتان غسلة تامّة سابغة، و المنفیّ غسلة مستقلّة فی مقابل الغسلة الاولی، و أمّا ما تضمّن الإجزاء و الحلف علی توحید الغسلات فی وضوء النبیّ صلّی اللّٰه علیه و آله و سلّم و الوصیّ صلوات اللّٰه علیهما و آلهما فلعلّه فی مقابل العامّة القائلین بالتثلیث أو بالتثنیة علی وجه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مداومتهما علی التوحید، فلأنّهما معصومان من أن یغفلا عن بعض الوضوء فی الغسلة الاولی، فلا یحتاجان إلی الإسباغ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أضاف إلیها رسول اللّٰه صلّی اللّٰه علیه و آله مرّة لضعف الناس</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 xml:space="preserve">، علی </w:t>
      </w:r>
      <w:r>
        <w:rPr>
          <w:rStyle w:val="FootnoteAnchor"/>
          <w:rtl w:val="true"/>
        </w:rPr>
        <w:footnoteReference w:id="1544"/>
      </w:r>
      <w:r>
        <w:rPr>
          <w:rFonts w:ascii="IRNazanin" w:hAnsi="IRNazanin" w:eastAsia="IRNazanin"/>
          <w:color w:val="111111"/>
          <w:sz w:val="28"/>
          <w:sz w:val="28"/>
          <w:szCs w:val="28"/>
          <w:rtl w:val="true"/>
          <w:lang w:bidi="fa-IR"/>
        </w:rPr>
        <w:t>أن یکون المراد قصورهم عن الإسباغ فی المرّة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الوضوءات البیانیّة فمع خلوّها عن کثیر من المستحبّات لیست إلّا فی مقام تعلیم کیفیّة الأفعال لا کمّیتها، فتأمّل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یراد بأخبار التثنیة </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تثنیة الغرفة، لا بمعنی تعاقب الغرفتین ثمّ الشروع فی الغسل، حتّی ینافیه ظواهر أکثر الأخبار، بل صبّ غرفة و استعمالها علی وجه الإسباغ، فإذا قلّ جریانه صبّ غرفة أخری، فیحصل الإسباغ بالمجموع، لا بخصوص الأخیرة، مع تحقّق أقلّ الغسل الواجب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إلیه قول زرارة و بکیر فی الصحیحة الحاکیة لوضوء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فالغرفة الواحدة تجزی للوجه و غرفة للذراع؟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بالغت فیها، و الثنتان تأتیان علی ذلک کلّه</w:t>
      </w:r>
      <w:r>
        <w:rPr>
          <w:rFonts w:eastAsia="IRNazanin" w:cs="IRNazanin"/>
          <w:color w:val="111111"/>
          <w:sz w:val="28"/>
          <w:szCs w:val="28"/>
          <w:rtl w:val="true"/>
          <w:lang w:bidi="fa-IR"/>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الفضل فی واحدة</w:t>
      </w:r>
      <w:r>
        <w:rPr>
          <w:rFonts w:eastAsia="IRNazanin" w:cs="IRNazanin"/>
          <w:color w:val="111111"/>
          <w:sz w:val="28"/>
          <w:szCs w:val="28"/>
          <w:rtl w:val="true"/>
          <w:lang w:bidi="fa-IR"/>
        </w:rPr>
        <w:t xml:space="preserve">» </w:t>
      </w:r>
      <w:r>
        <w:rPr>
          <w:rStyle w:val="FootnoteAnchor"/>
          <w:rtl w:val="true"/>
        </w:rPr>
        <w:footnoteReference w:id="1547"/>
      </w:r>
      <w:r>
        <w:rPr>
          <w:rFonts w:ascii="IRNazanin" w:hAnsi="IRNazanin" w:eastAsia="IRNazanin"/>
          <w:color w:val="111111"/>
          <w:sz w:val="28"/>
          <w:sz w:val="28"/>
          <w:szCs w:val="28"/>
          <w:rtl w:val="true"/>
          <w:lang w:bidi="fa-IR"/>
        </w:rPr>
        <w:t>، فیحتمل أن یراد الواحدة الزائدة علی الفرض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زاد علی اثنتین لم یؤجر</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 xml:space="preserve">، إذ لو انحصر الفضل فی الواحدة المفروضة، کان غیر المأجور من زاد علی الواحدة، لا الثنتین </w:t>
      </w:r>
      <w:r>
        <w:rPr>
          <w:rStyle w:val="FootnoteAnchor"/>
          <w:rtl w:val="true"/>
        </w:rPr>
        <w:footnoteReference w:id="1549"/>
      </w:r>
      <w:r>
        <w:rPr>
          <w:rFonts w:ascii="IRNazanin" w:hAnsi="IRNazanin" w:eastAsia="IRNazanin"/>
          <w:color w:val="111111"/>
          <w:sz w:val="28"/>
          <w:sz w:val="28"/>
          <w:szCs w:val="28"/>
          <w:rtl w:val="true"/>
          <w:lang w:bidi="fa-IR"/>
        </w:rPr>
        <w:t>، بل کان من زاد علی الواحدة مأزورا، لأنّ المفروض عدم استحباب الزائد، فیکون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من أفعال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تشریعا محرّما، و لذا استدلّ بذلک فی المعتبر </w:t>
      </w:r>
      <w:r>
        <w:rPr>
          <w:rStyle w:val="FootnoteAnchor"/>
          <w:rtl w:val="true"/>
        </w:rPr>
        <w:footnoteReference w:id="1550"/>
      </w:r>
      <w:r>
        <w:rPr>
          <w:rFonts w:ascii="IRNazanin" w:hAnsi="IRNazanin" w:eastAsia="IRNazanin"/>
          <w:color w:val="111111"/>
          <w:sz w:val="28"/>
          <w:sz w:val="28"/>
          <w:szCs w:val="28"/>
          <w:rtl w:val="true"/>
          <w:lang w:bidi="fa-IR"/>
        </w:rPr>
        <w:t>علی کون الثالثة بدعة، بل یبطل المسح بمائه علی ما اخترناه سابقا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صحّ نسبة القول بالتحریم إلی کلّ من أنکر الاستحباب، کما یظهر من الحلّی، حیث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دعوی الإجماع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یعتدّ بخلاف من خالف الأصحاب بأنّه لا یجوز الثانیة </w:t>
      </w:r>
      <w:r>
        <w:rPr>
          <w:rStyle w:val="FootnoteAnchor"/>
          <w:rtl w:val="true"/>
        </w:rPr>
        <w:footnoteReference w:id="1551"/>
      </w:r>
      <w:r>
        <w:rPr>
          <w:rFonts w:ascii="IRNazanin" w:hAnsi="IRNazanin" w:eastAsia="IRNazanin"/>
          <w:color w:val="111111"/>
          <w:sz w:val="28"/>
          <w:sz w:val="28"/>
          <w:szCs w:val="28"/>
          <w:rtl w:val="true"/>
          <w:lang w:bidi="fa-IR"/>
        </w:rPr>
        <w:t>، إلّا أنّ الظاهر من ثقة الإسلام خلاف 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الروایة</w:t>
      </w:r>
    </w:p>
    <w:p>
      <w:pPr>
        <w:pStyle w:val="BookText"/>
        <w:rPr/>
      </w:pPr>
      <w:r>
        <w:rPr>
          <w:rFonts w:ascii="IRNazanin" w:hAnsi="IRNazanin" w:eastAsia="IRNazanin"/>
          <w:color w:val="111111"/>
          <w:sz w:val="28"/>
          <w:sz w:val="28"/>
          <w:szCs w:val="28"/>
          <w:rtl w:val="true"/>
          <w:lang w:bidi="fa-IR"/>
        </w:rPr>
        <w:t>المتضمّنة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وضوء علیّ علیه السلام إلّا مرّة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أنّ الوضوء مرّة، لأنّه علیه السلام کان إذا ورد علیه أمران کلاهما طاعة للّٰه، أخذ بأحوطهما و أشدّهما علی بدنه، و أنّ الذی جاء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یقنعه مرّة و استزاده،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زاد علی مرّتین لم یؤجر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غایة الحدّ فی الوضوء الذی من تجاوزه أثم، و لم یکن له وضوء، و کان کمن صلّی الظهر خمس رکعات، و لو لم یطلق فی المرّتین کان سبیلها سبیل الثلاث </w:t>
      </w:r>
      <w:r>
        <w:rPr>
          <w:rStyle w:val="FootnoteAnchor"/>
          <w:rtl w:val="true"/>
        </w:rPr>
        <w:footnoteReference w:id="155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فتصیر الأقوال فی المسألة ثلاثة، کما هو صریح المحکیّ عن الخلاف،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فی الغسلات مرّة واحدة، و الثانیة سنّة، و الثالثة بدعة، 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بمعوّل علیه،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الثانیة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بأنّها بدعة، و الصحیح الأوّل </w:t>
      </w:r>
      <w:r>
        <w:rPr>
          <w:rStyle w:val="FootnoteAnchor"/>
          <w:rtl w:val="true"/>
        </w:rPr>
        <w:footnoteReference w:id="155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بنی علی تغایر الکلفة و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مرسلة ابن أبی عمیر </w:t>
      </w:r>
      <w:r>
        <w:rPr>
          <w:rStyle w:val="FootnoteAnchor"/>
          <w:rtl w:val="true"/>
        </w:rPr>
        <w:footnoteReference w:id="1554"/>
      </w:r>
      <w:r>
        <w:rPr>
          <w:rFonts w:ascii="Amiri" w:hAnsi="Amiri" w:eastAsia="Amiri" w:cs="Amiri"/>
          <w:color w:val="111111"/>
          <w:sz w:val="28"/>
          <w:sz w:val="28"/>
          <w:szCs w:val="28"/>
          <w:rtl w:val="true"/>
          <w:lang w:bidi="ar-SA"/>
        </w:rPr>
        <w:t xml:space="preserve">و جماعة </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فیزید الأقوال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الأمالی فی وصف دین الإمامیّة 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مرّة مرّة، و من توضّأ مرّتین فهو جائز إلّا أنّه لا یوجر علیه </w:t>
      </w:r>
      <w:r>
        <w:rPr>
          <w:rStyle w:val="FootnoteAnchor"/>
          <w:rtl w:val="true"/>
        </w:rPr>
        <w:footnoteReference w:id="15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التثلیث تکلّف، و من زاد علی ثلاث فقد أبدع و کان مأزورا </w:t>
      </w:r>
      <w:r>
        <w:rPr>
          <w:rStyle w:val="FootnoteAnchor"/>
          <w:rtl w:val="true"/>
        </w:rPr>
        <w:footnoteReference w:id="155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تعدّی المرّتین لم یؤجر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الثالثة زیادة غیر محتاج إلیها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زاد علی الاثنین تکلّف غیر مجز </w:t>
      </w:r>
      <w:r>
        <w:rPr>
          <w:rStyle w:val="FootnoteAnchor"/>
          <w:rtl w:val="true"/>
        </w:rPr>
        <w:footnoteReference w:id="15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الکلفة و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طبیعة الغسل المتحقّقة بالمرّة و المرّتین، نظیر سائر الماهیات التدریجیة المخیّر فیها بین الأقلّ و الأکثر، و الثالثة أو الرابعة علی اختلاف القولین زائد علی المشروع، فیکون بدعة، و یحمل أخبار التثنیة علی بیان حدّ الجواز و دفع توهّم استحباب التثلیث أو جوازه، علی أن یکون الثلاثة فردا من المأمور به، و حینئذ فیکون مرجع الأقوال إلی أنّ الواجب أقلّ أفراد الغسل الحاصل بالمرّة الاولی، و لم یشرع الزائد، فیکون غیر مشروع محرّما، و هو القول بحرمة الثانیة، أو مشروع علی وجه الاستحباب، و هو قول المشهور، أو أنّ الواجب القدر المشترک بین المرّة و المرّتین، فیکون الثانیة جزءا من الواجب غیر مأجور علیه بالخصوص، بل الأجر علی الطبیعة المتحقّقة فی ضمنها، و هو قول من قال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الثانیة تکلّف أو جائز غیر مأجور علیه، أو أنّه القدر المشترک بین المرّة و المرّتین و الثلاث، و الزائد غیر مشروع فیکون محرّما، و هو قول المفید و الإسکافی و العمّانی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ذکرنا فی الأصول الإشکال فی اتّصاف الزائد علی المرّة بالوجوب فی الأمور التدریجیة الغیر المتّصلة، بحیث یعدّ الزائد فردا واحدا کالناقص، نظیر القراءة و المشی و التکلّم، خصوصا إذا لم یتّصف الفرد الأکثر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اختلفوا فیما إذا کان الأکثر أفضل الفردین فی اتّصاف الزائد بالوجوب أو الاستحباب، مع أنّ الأقوی فی مثل المقام عدم اتّصافه إلّا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فالأحوط عدم تکرار الغسلة الثانیة، و تحصیل الإسباغ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بغرفة واحدة، و إمّا بغسلتین ناقصتین، و اللّٰه العالم، کما أنّ الأحوط بل المتعیّن </w:t>
      </w:r>
      <w:r>
        <w:rPr>
          <w:rStyle w:val="FootnoteAnchor"/>
          <w:rtl w:val="true"/>
        </w:rPr>
        <w:footnoteReference w:id="1561"/>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عندنا، کما عن المبسوط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أصالة عدم المشروعیّة، فیکون فعلها بقصد المشروعیّة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فیما تقدّم من توقیع العریضی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زاد أثم</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 xml:space="preserve">، و قوله علیه السلام فی مرسلة ابن أبی عمیر المتقدّمة </w:t>
      </w:r>
      <w:r>
        <w:rPr>
          <w:rStyle w:val="FootnoteAnchor"/>
          <w:rtl w:val="true"/>
        </w:rPr>
        <w:footnoteReference w:id="1564"/>
      </w:r>
      <w:r>
        <w:rPr>
          <w:rFonts w:ascii="IRNazanin" w:hAnsi="IRNazanin" w:eastAsia="IRNazanin"/>
          <w:color w:val="111111"/>
          <w:sz w:val="28"/>
          <w:sz w:val="28"/>
          <w:szCs w:val="28"/>
          <w:rtl w:val="true"/>
          <w:lang w:bidi="fa-IR"/>
        </w:rPr>
        <w:t>، بل مقتضی غیر واحد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کظاهر المحکیّ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الوضوء</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1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قوله علیه السلام فی صدر روایة داود الرقّی المتقدّمة </w:t>
      </w:r>
      <w:r>
        <w:rPr>
          <w:rStyle w:val="FootnoteAnchor"/>
          <w:rtl w:val="true"/>
        </w:rPr>
        <w:footnoteReference w:id="15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ثلاثا فلا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زدت فلا صلاة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تعدّی فی الوضوء کان کناقضه</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بالضاد المعجمة أو الصاد المهملة، و هی محمولة علی ما إذا مسح برطوبتها، کما هو دأب المداومین علیها، بل مجرّد قصد الإتیان بها علی أنّها من الوضوء قصد لإتیان غیر ما أمر به، فلا یقع الوضوء من أوّل الأمر إلّا باطلا، فإنّ من اعتقد غیر المأمور به، فنواه امتثالا للمأمور به، غیر معذور فی ذلک إذا کان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إتیان جمیع الأجزاء السابقة امتثالا للأمر المتعلّق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القول بعدم الفساد إلی أن یغسل الیسری ثالثة، فیبطل، لتعذّر المسح ببلل الوضوء علی ما تقدّم، مع أنّ فی الصحّة هنا أیضا شکّا،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نوی بالغسلة الثانیة الوجوب، بناء علی أنّ نیّة الخلاف توجب بطلان الفعل، فیکون غسلا أجنبیّا عن الوضوء</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المنتهی </w:t>
      </w:r>
      <w:r>
        <w:rPr>
          <w:rStyle w:val="FootnoteAnchor"/>
          <w:rtl w:val="true"/>
        </w:rPr>
        <w:footnoteReference w:id="1568"/>
      </w:r>
      <w:r>
        <w:rPr>
          <w:rFonts w:ascii="IRNazanin" w:hAnsi="IRNazanin" w:eastAsia="IRNazanin"/>
          <w:color w:val="111111"/>
          <w:sz w:val="28"/>
          <w:sz w:val="28"/>
          <w:szCs w:val="28"/>
          <w:rtl w:val="true"/>
          <w:lang w:bidi="fa-IR"/>
        </w:rPr>
        <w:t xml:space="preserve">و المدارک </w:t>
      </w:r>
      <w:r>
        <w:rPr>
          <w:rStyle w:val="FootnoteAnchor"/>
          <w:rtl w:val="true"/>
        </w:rPr>
        <w:footnoteReference w:id="1569"/>
      </w:r>
      <w:r>
        <w:rPr>
          <w:rFonts w:ascii="IRNazanin" w:hAnsi="IRNazanin" w:eastAsia="IRNazanin"/>
          <w:color w:val="111111"/>
          <w:sz w:val="28"/>
          <w:sz w:val="28"/>
          <w:szCs w:val="28"/>
          <w:rtl w:val="true"/>
          <w:lang w:bidi="fa-IR"/>
        </w:rPr>
        <w:t>الفرق بین الأمرین، و عدم البطلان بالمسح ببلل الثانیة المنویّ بها الوجوب، لعدم خروجه بذلک عن ماء الوضوء، بخلاف الثالثة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فلا ریب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المسح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عندنا، لا وجوبا و لا استحبابا، و یکفی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فإن کرّر بقصد المشروعیّة فلا یبطل، إلّا إذا ابتلّ الید الماسحة ببلل الممسوح، و منعنا من المسح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نوی التکرار مشروعا من أوّل الأمر جاء فیه </w:t>
      </w:r>
      <w:r>
        <w:rPr>
          <w:rStyle w:val="FootnoteAnchor"/>
          <w:rtl w:val="true"/>
        </w:rPr>
        <w:footnoteReference w:id="1570"/>
      </w:r>
      <w:r>
        <w:rPr>
          <w:rFonts w:ascii="Amiri" w:hAnsi="Amiri" w:eastAsia="Amiri" w:cs="Amiri"/>
          <w:color w:val="111111"/>
          <w:sz w:val="28"/>
          <w:sz w:val="28"/>
          <w:szCs w:val="28"/>
          <w:rtl w:val="true"/>
          <w:lang w:bidi="ar-SA"/>
        </w:rPr>
        <w:t>ما تقدّم فی قصد جزئیّة الغسل، و اللّٰه العالم</w:t>
      </w:r>
      <w:r>
        <w:rPr>
          <w:rFonts w:eastAsia="Amiri" w:cs="Amiri" w:ascii="Amiri" w:hAnsi="Amiri"/>
          <w:color w:val="111111"/>
          <w:sz w:val="28"/>
          <w:szCs w:val="28"/>
          <w:rtl w:val="true"/>
          <w:lang w:bidi="ar-SA"/>
        </w:rPr>
        <w:t>.</w:t>
      </w:r>
      <w:bookmarkStart w:id="168" w:name="pg13035_131845"/>
    </w:p>
    <w:p>
      <w:pPr>
        <w:pStyle w:val="Heading6"/>
        <w:numPr>
          <w:ilvl w:val="5"/>
          <w:numId w:val="1"/>
        </w:numPr>
        <w:rPr/>
      </w:pPr>
      <w:bookmarkStart w:id="169" w:name="__RefHeading___Toc6369978_3224264995"/>
      <w:bookmarkStart w:id="170" w:name="_Toc66"/>
      <w:bookmarkEnd w:id="168"/>
      <w:bookmarkEnd w:id="169"/>
      <w:r>
        <w:rPr>
          <w:rtl w:val="true"/>
        </w:rPr>
        <w:t>[</w:t>
      </w:r>
      <w:r>
        <w:rPr>
          <w:rtl w:val="true"/>
        </w:rPr>
        <w:t>المسألة الرابعة کفایة مسمی الغسل</w:t>
      </w:r>
      <w:r>
        <w:rPr>
          <w:rtl w:val="true"/>
        </w:rPr>
        <w:t>]</w:t>
      </w:r>
      <w:bookmarkEnd w:id="170"/>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غسلا </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فاعله غاسلا، و لا یعتبر انفصال بعض الماء المغسول به، کما یعتبر فی غسل النجاسات، بل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r>
        <w:rPr>
          <w:rStyle w:val="FootnoteAnchor"/>
          <w:rtl w:val="true"/>
        </w:rPr>
        <w:footnoteReference w:id="1572"/>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الفعل مثل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المقصود إیصال الماء إلی جمیع العضو، لا إزالة وسخ من المغسول و إذهابه عنه مع الماء المنفصل عنه، کما هو الملحوظ فی رفع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التشبیه بالدهن فی عبارات الأصحاب کالماتن فی کتبه </w:t>
      </w:r>
      <w:r>
        <w:rPr>
          <w:rStyle w:val="FootnoteAnchor"/>
          <w:rtl w:val="true"/>
        </w:rPr>
        <w:footnoteReference w:id="1573"/>
      </w:r>
      <w:r>
        <w:rPr>
          <w:rFonts w:ascii="IRNazanin" w:hAnsi="IRNazanin" w:eastAsia="IRNazanin"/>
          <w:color w:val="111111"/>
          <w:sz w:val="28"/>
          <w:sz w:val="28"/>
          <w:szCs w:val="28"/>
          <w:rtl w:val="true"/>
          <w:lang w:bidi="fa-IR"/>
        </w:rPr>
        <w:t xml:space="preserve">، و العلّامة قدّس سرّه فی القواعد و غیرها </w:t>
      </w:r>
      <w:r>
        <w:rPr>
          <w:rStyle w:val="FootnoteAnchor"/>
          <w:rtl w:val="true"/>
        </w:rPr>
        <w:footnoteReference w:id="1574"/>
      </w:r>
      <w:r>
        <w:rPr>
          <w:rFonts w:ascii="IRNazanin" w:hAnsi="IRNazanin" w:eastAsia="IRNazanin"/>
          <w:color w:val="111111"/>
          <w:sz w:val="28"/>
          <w:sz w:val="28"/>
          <w:szCs w:val="28"/>
          <w:rtl w:val="true"/>
          <w:lang w:bidi="fa-IR"/>
        </w:rPr>
        <w:t>، تبعا للنصوص</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صحیحة زرارة و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الوضوء حدّ من حدود اللّٰه لیعلم اللّٰه من یطیعه و من یعصیه، و أنّ المؤمن لا ینجّسه شی‌ء، و إنّما یکفیه</w:t>
      </w:r>
    </w:p>
    <w:p>
      <w:pPr>
        <w:pStyle w:val="BookText"/>
        <w:rPr/>
      </w:pPr>
      <w:r>
        <w:rPr>
          <w:rFonts w:ascii="IRNazanin" w:hAnsi="IRNazanin" w:eastAsia="IRNazanin"/>
          <w:color w:val="111111"/>
          <w:sz w:val="28"/>
          <w:sz w:val="28"/>
          <w:szCs w:val="28"/>
          <w:rtl w:val="true"/>
          <w:lang w:bidi="fa-IR"/>
        </w:rPr>
        <w:t>مثل الدهن</w:t>
      </w:r>
      <w:r>
        <w:rPr>
          <w:rFonts w:eastAsia="IRNazanin" w:cs="IRNazanin"/>
          <w:color w:val="111111"/>
          <w:sz w:val="28"/>
          <w:szCs w:val="28"/>
          <w:rtl w:val="true"/>
          <w:lang w:bidi="fa-IR"/>
        </w:rPr>
        <w:t xml:space="preserve">» </w:t>
      </w:r>
      <w:r>
        <w:rPr>
          <w:rStyle w:val="FootnoteAnchor"/>
          <w:rtl w:val="true"/>
        </w:rPr>
        <w:footnoteReference w:id="1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دلالة واضحة علی ما ذکرنا، من أنّ التشبیه بالدهن من حیث کون المقصود إیصال الماء إلی الأعضاء، لا إذهاب قذارة من المحلّ لغلبة الماء علیه، ثم انفصاله عنه، کما هو الملحوظ فی رفع القذارات الشرعیّة و العرفیّة، و لیس وجه الشبه کفایة مجرّد الإمساس سواء جری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إسحاق بن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الجنابة و الوضوء یجزئ منه ما أجزأ من الدهن الذی یبلّ الجسد</w:t>
      </w:r>
      <w:r>
        <w:rPr>
          <w:rFonts w:eastAsia="IRNazanin" w:cs="IRNazanin"/>
          <w:color w:val="111111"/>
          <w:sz w:val="28"/>
          <w:szCs w:val="28"/>
          <w:rtl w:val="true"/>
          <w:lang w:bidi="fa-IR"/>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زرارة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 علی رأسک ثلاث أکفّ، و علی یمینک، و علی یسارک، إنما یکفیک مثل الدهن</w:t>
      </w:r>
      <w:r>
        <w:rPr>
          <w:rFonts w:eastAsia="IRNazanin" w:cs="IRNazanin"/>
          <w:color w:val="111111"/>
          <w:sz w:val="28"/>
          <w:szCs w:val="28"/>
          <w:rtl w:val="true"/>
          <w:lang w:bidi="fa-IR"/>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فالتشبیه بالدهن فی النصوص و الفتاوی یحتمل کونه من حیث القلّة، و کونه من حیث إنّ الغرض من استعماله مساس </w:t>
      </w:r>
      <w:r>
        <w:rPr>
          <w:rStyle w:val="FootnoteAnchor"/>
          <w:rtl w:val="true"/>
        </w:rPr>
        <w:footnoteReference w:id="1578"/>
      </w:r>
      <w:r>
        <w:rPr>
          <w:rFonts w:ascii="IRNazanin" w:hAnsi="IRNazanin" w:eastAsia="IRNazanin"/>
          <w:color w:val="111111"/>
          <w:sz w:val="28"/>
          <w:sz w:val="28"/>
          <w:szCs w:val="28"/>
          <w:rtl w:val="true"/>
          <w:lang w:bidi="fa-IR"/>
        </w:rPr>
        <w:t>البدن دون انفصاله عنه بوسخ، و یحتمل من حیث کون الاستعمال فیه أعمّ من کونه علی وجه التمسّح أو الإجراء، و علی الأوّلین فهو ساکت عن نفی اعتبار الجریان و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علی الثالثة ظاهر فی نفی اعتباره، لکنّه خلاف النصوص و الفتاوی فلا یرفع به الید عن أدلّة الغسل من الکتاب </w:t>
      </w:r>
      <w:r>
        <w:rPr>
          <w:rStyle w:val="FootnoteAnchor"/>
          <w:rtl w:val="true"/>
        </w:rPr>
        <w:footnoteReference w:id="1579"/>
      </w:r>
      <w:r>
        <w:rPr>
          <w:rFonts w:ascii="IRNazanin" w:hAnsi="IRNazanin" w:eastAsia="IRNazanin"/>
          <w:color w:val="111111"/>
          <w:sz w:val="28"/>
          <w:sz w:val="28"/>
          <w:szCs w:val="28"/>
          <w:rtl w:val="true"/>
          <w:lang w:bidi="fa-IR"/>
        </w:rPr>
        <w:t xml:space="preserve">و السنّة، خصوصا ما نصّ فیه علی الجریان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تنافی بین هذه الأخبار و بین ما دلّ من الکتاب و السنّة علی اعتبار تحقّق الغسل بناء علی أنّ المأخوذ فیه إجراء الماء علی العضو، کما صرح به غیر واحد </w:t>
      </w:r>
      <w:r>
        <w:rPr>
          <w:rStyle w:val="FootnoteAnchor"/>
          <w:rtl w:val="true"/>
        </w:rPr>
        <w:footnoteReference w:id="1581"/>
      </w:r>
      <w:r>
        <w:rPr>
          <w:rFonts w:ascii="IRNazanin" w:hAnsi="IRNazanin" w:eastAsia="IRNazanin"/>
          <w:color w:val="111111"/>
          <w:sz w:val="28"/>
          <w:sz w:val="28"/>
          <w:szCs w:val="28"/>
          <w:rtl w:val="true"/>
          <w:lang w:bidi="fa-IR"/>
        </w:rPr>
        <w:t>، فلا داعی إلی التزام کفایة مثل الدهن فی مقابل أدلّة الغسل، فیکون قد اکتفی الشارع عن الغسل بما لیس غسلا، مستشهدا علی ذلک بما دلّ علی کفایة مسّ الماء للجلد و مسحه به و إصابته له، مثل قوله علیه السلام فی صحیحة زرارة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جلدک الماء فحسبک</w:t>
      </w:r>
      <w:r>
        <w:rPr>
          <w:rFonts w:eastAsia="IRNazanin" w:cs="IRNazanin"/>
          <w:color w:val="111111"/>
          <w:sz w:val="28"/>
          <w:szCs w:val="28"/>
          <w:rtl w:val="true"/>
          <w:lang w:bidi="fa-IR"/>
        </w:rPr>
        <w:t xml:space="preserve">» </w:t>
      </w:r>
      <w:r>
        <w:rPr>
          <w:rStyle w:val="FootnoteAnchor"/>
          <w:rtl w:val="true"/>
        </w:rPr>
        <w:footnoteReference w:id="1582"/>
      </w:r>
      <w:r>
        <w:rPr>
          <w:rFonts w:ascii="IRNazanin" w:hAnsi="IRNazanin" w:eastAsia="IRNazanin"/>
          <w:color w:val="111111"/>
          <w:sz w:val="28"/>
          <w:sz w:val="28"/>
          <w:szCs w:val="28"/>
          <w:rtl w:val="true"/>
          <w:lang w:bidi="fa-IR"/>
        </w:rPr>
        <w:t>و صحیحة ابن سنان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أبی من الجنابة،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أبقیت لمعة فی ظهرک لم یصبها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علیک لو سکتّ؟ ثمّ مسح تلک اللمعة بیده</w:t>
      </w:r>
      <w:r>
        <w:rPr>
          <w:rFonts w:eastAsia="IRNazanin" w:cs="IRNazanin"/>
          <w:color w:val="111111"/>
          <w:sz w:val="28"/>
          <w:szCs w:val="28"/>
          <w:rtl w:val="true"/>
          <w:lang w:bidi="fa-IR"/>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 الالتزام المذکور من التعسّف، و التأویل فی أدلّة وجوب الغسل فی الوضوء و الغسل، بحملها علی بیان الفرد الغالب من فردی الواجب التخییری، أو الأفضل منها، و طرح ما ظاهره اعتبار الجریان، مثل قوله علیه السلام فی حسنة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ما جری علیه الماء من جسده قلیله و کثیره، فقد أجزأه</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أحاط به الشعر فلیس للعباد أن یبحثوا عنه و لکن یجری علیه الماء</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و قوله فی صحیحة ابن مسلم الواردة</w:t>
      </w:r>
    </w:p>
    <w:p>
      <w:pPr>
        <w:pStyle w:val="BookText"/>
        <w:rPr/>
      </w:pPr>
      <w:r>
        <w:rPr>
          <w:rFonts w:ascii="IRNazanin" w:hAnsi="IRNazanin" w:eastAsia="IRNazanin"/>
          <w:color w:val="111111"/>
          <w:sz w:val="28"/>
          <w:sz w:val="28"/>
          <w:szCs w:val="28"/>
          <w:rtl w:val="true"/>
          <w:lang w:bidi="fa-IR"/>
        </w:rPr>
        <w:t>فی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جری علیه الماء فقد طهر</w:t>
      </w:r>
      <w:r>
        <w:rPr>
          <w:rFonts w:eastAsia="IRNazanin" w:cs="IRNazanin"/>
          <w:color w:val="111111"/>
          <w:sz w:val="28"/>
          <w:szCs w:val="28"/>
          <w:rtl w:val="true"/>
          <w:lang w:bidi="fa-IR"/>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 و موثّقة إسحاق بن عمّار المتقدّمة </w:t>
      </w:r>
      <w:r>
        <w:rPr>
          <w:rStyle w:val="FootnoteAnchor"/>
          <w:rtl w:val="true"/>
        </w:rPr>
        <w:footnoteReference w:id="1587"/>
      </w:r>
      <w:r>
        <w:rPr>
          <w:rFonts w:ascii="IRNazanin" w:hAnsi="IRNazanin" w:eastAsia="IRNazanin"/>
          <w:color w:val="111111"/>
          <w:sz w:val="28"/>
          <w:sz w:val="28"/>
          <w:szCs w:val="28"/>
          <w:rtl w:val="true"/>
          <w:lang w:bidi="fa-IR"/>
        </w:rPr>
        <w:t xml:space="preserve">، 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بالراء المهملة، کما یظهر من التذکرة </w:t>
      </w:r>
      <w:r>
        <w:rPr>
          <w:rStyle w:val="FootnoteAnchor"/>
          <w:rtl w:val="true"/>
        </w:rPr>
        <w:footnoteReference w:id="1588"/>
      </w:r>
      <w:r>
        <w:rPr>
          <w:rFonts w:ascii="IRNazanin" w:hAnsi="IRNazanin" w:eastAsia="IRNazanin"/>
          <w:color w:val="111111"/>
          <w:sz w:val="28"/>
          <w:sz w:val="28"/>
          <w:szCs w:val="28"/>
          <w:rtl w:val="true"/>
          <w:lang w:bidi="fa-IR"/>
        </w:rPr>
        <w:t xml:space="preserve">و غیرها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اشتهر اعتبار الجریان عند الأصحاب، حتّی أنّ المحکیّ عن المجلسی فی حاشیة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الأصحاب الاتّفاق علیه </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الشهید الثانی فی بعض تحقیقاته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المعروف بین الفقهاء سیّما المتأخّرین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کذلک فی العرف و اللغة </w:t>
      </w:r>
      <w:r>
        <w:rPr>
          <w:rStyle w:val="FootnoteAnchor"/>
          <w:rtl w:val="true"/>
        </w:rPr>
        <w:footnoteReference w:id="1592"/>
      </w:r>
      <w:r>
        <w:rPr>
          <w:rFonts w:ascii="IRNazanin" w:hAnsi="IRNazanin" w:eastAsia="IRNazanin"/>
          <w:color w:val="111111"/>
          <w:sz w:val="28"/>
          <w:sz w:val="28"/>
          <w:szCs w:val="28"/>
          <w:rtl w:val="true"/>
          <w:lang w:bidi="fa-IR"/>
        </w:rPr>
        <w:t>، و نحوه الحلّی فی السرائر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أقلّ ما یجزئ من الماء فی الأعضاء المغسولة ما یکون به غاسلا و إن کان مثل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یکون جاریا علی العضو، و إلّا فلا یجزیه، لأنّه یکون ماسحا، و فی أصحابنا من أطلق الدّهن، من غیر تقیید للجریان، و قیّده بذلک فی کتاب آخر له، و الصحیح تقییده بالجریان </w:t>
      </w:r>
      <w:r>
        <w:rPr>
          <w:rStyle w:val="FootnoteAnchor"/>
          <w:rtl w:val="true"/>
        </w:rPr>
        <w:footnoteReference w:id="1593"/>
      </w:r>
      <w:r>
        <w:rPr>
          <w:rFonts w:ascii="IRNazanin" w:hAnsi="IRNazanin" w:eastAsia="IRNazanin"/>
          <w:color w:val="111111"/>
          <w:sz w:val="28"/>
          <w:sz w:val="28"/>
          <w:szCs w:val="28"/>
          <w:rtl w:val="true"/>
          <w:lang w:bidi="fa-IR"/>
        </w:rPr>
        <w:t>، لأنّه موافق للبیان الذی أنزل 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حکی عن السیّد فی الناصریات </w:t>
      </w:r>
      <w:r>
        <w:rPr>
          <w:rStyle w:val="FootnoteAnchor"/>
          <w:rtl w:val="true"/>
        </w:rPr>
        <w:footnoteReference w:id="1594"/>
      </w:r>
      <w:r>
        <w:rPr>
          <w:rFonts w:ascii="IRNazanin" w:hAnsi="IRNazanin" w:eastAsia="IRNazanin"/>
          <w:color w:val="111111"/>
          <w:sz w:val="28"/>
          <w:sz w:val="28"/>
          <w:szCs w:val="28"/>
          <w:rtl w:val="true"/>
          <w:lang w:bidi="fa-IR"/>
        </w:rPr>
        <w:t>حمل</w:t>
      </w:r>
    </w:p>
    <w:p>
      <w:pPr>
        <w:pStyle w:val="BookText"/>
        <w:rPr/>
      </w:pPr>
      <w:r>
        <w:rPr>
          <w:rFonts w:ascii="IRNazanin" w:hAnsi="IRNazanin" w:eastAsia="IRNazanin"/>
          <w:color w:val="111111"/>
          <w:sz w:val="28"/>
          <w:sz w:val="28"/>
          <w:szCs w:val="28"/>
          <w:rtl w:val="true"/>
          <w:lang w:bidi="fa-IR"/>
        </w:rPr>
        <w:t xml:space="preserve">أخبار الدهن علی دهن یجری علی العضو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المتبادر من الغسل فی العرف معنی لا یصدق علی مثل الدّهن، بل یعتبر فیه استیلاء الماء علی المحلّ، و انفصال بعضه عنه، فالغسل عندهم لا ینفکّ عن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إمّا من التزام ما ذکر سابقا من کون الدّهن مقابلا للغسل، و قد عرفت بعده عن ظواهر اعتبار الغسل و الجریان </w:t>
      </w:r>
      <w:r>
        <w:rPr>
          <w:rStyle w:val="FootnoteAnchor"/>
          <w:rtl w:val="true"/>
        </w:rPr>
        <w:footnoteReference w:id="1596"/>
      </w:r>
      <w:r>
        <w:rPr>
          <w:rFonts w:ascii="IRNazanin" w:hAnsi="IRNazanin" w:eastAsia="IRNazanin"/>
          <w:color w:val="111111"/>
          <w:sz w:val="28"/>
          <w:sz w:val="28"/>
          <w:szCs w:val="28"/>
          <w:rtl w:val="true"/>
          <w:lang w:bidi="fa-IR"/>
        </w:rPr>
        <w:t>، و إمّا من حمل ذلک علی بیان الفرد الخفیّ للغسل، بل قد یتردّد فی صدق الغسل علی هذا الفرد، من جهة تبادر غیره المردّد بین التبادر الوضعیّ و الإطلاقی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عدم اعتبار إمرار الید فی الغسل، لما دلّ علی کفایة الوصول و الجریان و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الإمرار فی الوضوءات البیانیّة للعادة، حیث إنّ استیعاب الغسل للعضو بالماء القلیل لا یکون إلّا بالإمرار، مع أنّ فی ثبوت الوجوب بها إشکالا، فیجوز غمس الأعضاء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 من جهة المسح بالید المغموسة، إلّا أن ینوی الغسل بالخروج، أو بالدخول و الخروج معا، و الأحوط ترک غمس المقدار الذی یمسح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 خاتم أو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ممّا لا یصل إلیه الماء بمجرّد الصبّ علی العضو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إیصال الماء إلی 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کان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تخصیص السیر و الخاتم بالذکر فی بعض العبارات بیان للفرد الغالب أو الأسهل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وصول الماء إلی ما تحته بدون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فرضا نادرا فی الغسل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العلاج، لحصول الوصول، و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 له تحریکه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لم یحصل القطع بالوصول وجب التحریک، و إن قطع به لم یبق محلّ للاحتیاط إلّا استحباب الإیصال بالتحریک، لا استحباب التحریک للإیصال بعد العلم بالوصول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دفع الشکّ الواقع بعد ذلک، الموجب لکلفة العود إن کان قبل الفراغ، و لتزلزل النفس من حیث الواقع إن کان بعده، أو لدفع تبیّن عدم وصول الماء إلیه، الموجب لکلفة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 من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أبی العلاء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الخاتم إذا اغتسلت؟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من مکانه، و قال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تدیره، فإن نسیت حتّی تقوم فی الصلاة فلا آمرک أن تعید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8"/>
      </w:r>
      <w:r>
        <w:rPr>
          <w:rFonts w:ascii="IRNazanin" w:hAnsi="IRNazanin" w:eastAsia="IRNazanin"/>
          <w:color w:val="111111"/>
          <w:sz w:val="28"/>
          <w:sz w:val="28"/>
          <w:szCs w:val="28"/>
          <w:rtl w:val="true"/>
          <w:lang w:bidi="fa-IR"/>
        </w:rPr>
        <w:t>، بحملها بقرینة نفی الإعادة علی الخاتم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نفی الإعادة من جهة کون الشکّ بعد الفراغ، لکن سیأتی أنّه لو کان شاکّا فنسی و لم یلتفت ثمّ التفت بعد الفراغ، لم یدخل فی الشکّ بعد الفراغ، إلّا أن یدّعی دخوله بهذه الروایة، أو یحمل النسیان علی عدم الالتفات إلی هذا الشکّ من أوّل الأمر، و سیأتی تمام الکلام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المصنّف لم یتعرّض فی صریح کلامه لحکم الشکّ فی وصول الماء</w:t>
      </w:r>
    </w:p>
    <w:p>
      <w:pPr>
        <w:pStyle w:val="BookText"/>
        <w:rPr/>
      </w:pPr>
      <w:r>
        <w:rPr>
          <w:rFonts w:ascii="IRNazanin" w:hAnsi="IRNazanin" w:eastAsia="IRNazanin"/>
          <w:color w:val="111111"/>
          <w:sz w:val="28"/>
          <w:sz w:val="28"/>
          <w:szCs w:val="28"/>
          <w:rtl w:val="true"/>
          <w:lang w:bidi="fa-IR"/>
        </w:rPr>
        <w:t>إلیه بدون التخلیل، و فی العمل علی أصالة عدم الوصول، أو علی أصالة عدم کون الجسد محجوبا وجهان، مبنیّان علی اعتبار الأصل المثبت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صور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یتعلّق بوجود الحاجب علی جزء من محلّ الوضوء، کما لو شکّ فی وجود شی‌ء من القیر أو الشمع أو الوسخ الحاجب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یتعلّق بحجب الشی‌ء الموجود، کما لو علم بلصوق وسخ أو جسم رقیق آخر ببدنه، إلّا أنّه یشکّ فی أنّ مثله یحجب الماء و یمنعه عن النفوذ إلی البدن، و قد یمثّل له بالخاتم و السیر المشکوک فی سعته و ضیقه، و یردّه أنّه من قبیل الأوّل، لأنّ الشکّ حینئذ فی اتّصال أطراف الخاتم و لصوقها بجمیع ما یحاذیها من البدن و انفصال بعضها، و مجرّد وجود الحاجب مع الشکّ فی اتّصاله و لصوقه لا یخرجه عن الشکّ فی وجود الحاجب، لأنّ مناط الشکّ فی الصفة أو الموصوف أن یکون ما عدا المشکوک من الأمور التی لها دخل فی الحجب معلوما، فالشکّ فی لصوق الخاتم بجمیع ما یحاذیه من البدن مع العلم بحجبه علی تقدیر اللصوق شکّ فی وجود الحاجب علی جزء من البدن، إلّا أن یراد من وجود الحاجب لصوقه بالبدن فی الجملة، فیکون الشکّ فی وجوده بمعنی الشکّ فی أصل لصوقه فی الجملة، کما لو شکّ أنّ بیده خاتما، و الشکّ فی حجبه بمعنی الشکّ فی لصوقه التامّ بجمیع أطرافه، علی جمیع ما یحاذیها من البدن، بل لو بنی علی المداقّة التامّة فی حصول اللصوق التامّ لم یوجد شکّ فی الحجب، لأنّ کلّ جسم لصق بالمحلّ لصوقا تامّا یمنع عن تخلّل جسم آخر بینها حتّی الماء، فهو مقطوع الحجب، فمنشأ الشکّ فی الحجب دائما الشکّ فی اللصوق التامّ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فالشکّ فی کلّ من الحجب و الحاجب مشترک فی کونه</w:t>
      </w:r>
    </w:p>
    <w:p>
      <w:pPr>
        <w:pStyle w:val="BookText"/>
        <w:rPr/>
      </w:pPr>
      <w:r>
        <w:rPr>
          <w:rFonts w:ascii="IRNazanin" w:hAnsi="IRNazanin" w:eastAsia="IRNazanin"/>
          <w:color w:val="111111"/>
          <w:sz w:val="28"/>
          <w:sz w:val="28"/>
          <w:szCs w:val="28"/>
          <w:rtl w:val="true"/>
          <w:lang w:bidi="fa-IR"/>
        </w:rPr>
        <w:t>مجری أصالة عدم احتجاب البدن بحاجب، إلّا أنّ عدم احتجابه بحاجب لا ینفع فی المطلوب الذی هو وصول الماء إلی البدن و مسّه للجسد، لأنّ العدم المستصحب لا یثبت به ما یلزمه من الأمور الغیر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کوصول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ترتّب علی هذه الأمور أحکام شرعیّة، إلّا أن یقوم الإجماع کما ادّعاه بعض </w:t>
      </w:r>
      <w:r>
        <w:rPr>
          <w:rStyle w:val="FootnoteAnchor"/>
          <w:rtl w:val="true"/>
        </w:rPr>
        <w:footnoteReference w:id="1599"/>
      </w:r>
      <w:r>
        <w:rPr>
          <w:rFonts w:ascii="IRNazanin" w:hAnsi="IRNazanin" w:eastAsia="IRNazanin"/>
          <w:color w:val="111111"/>
          <w:sz w:val="28"/>
          <w:sz w:val="28"/>
          <w:szCs w:val="28"/>
          <w:rtl w:val="true"/>
          <w:lang w:bidi="fa-IR"/>
        </w:rPr>
        <w:t>أو استقرار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آخر </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الاعتناء بالشکّ فی وجود الحاجب بالمعنی الأخیر المتقدّم، مثل الشکّ فی أنّ بیده خاتما، أو یدّعی أنّ أصالة العدم من الأمارات المعتبرة من باب الظنّ النوعیّ، فحالها حال سائر الأمارات الکاشفة عن الواقع یثبت بها جمیع ما یقارن مجراها من اللوازم </w:t>
      </w:r>
      <w:r>
        <w:rPr>
          <w:rStyle w:val="FootnoteAnchor"/>
          <w:rtl w:val="true"/>
        </w:rPr>
        <w:footnoteReference w:id="1601"/>
      </w:r>
      <w:r>
        <w:rPr>
          <w:rFonts w:ascii="IRNazanin" w:hAnsi="IRNazanin" w:eastAsia="IRNazanin"/>
          <w:color w:val="111111"/>
          <w:sz w:val="28"/>
          <w:sz w:val="28"/>
          <w:szCs w:val="28"/>
          <w:rtl w:val="true"/>
          <w:lang w:bidi="fa-IR"/>
        </w:rPr>
        <w:t>و المقارنات، لا من باب التعبّد بها ظاهرا حتّی یقتصر فیها علی ترتیب اللوازم الشرعیّة، و تمام الکلام فی ثبوت اعتبارها علی هذا الوجه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فالحدس القطعی بتحقّقه غیر حاصل، لعدم تعرّض جلّ الأصحاب لهذا الفرع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منه دعوی استقرار السیرة علی وجه یکون إجماعا عملیّا کاشفا عن الواقع، إذ الغالب عدم التفات الناس إلی احتمال وجود الحاجب، أو اطمئنانهم بعدمه، علی وجه لا یعبئون بمجرّد إمکان وجوده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دعوی الإجماع و السیرة فی بعض أفراد هذا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الشکّ فی وجود قلنسوة علی الرأس أو جورب فی الرجل أو وجود لباس آخر</w:t>
      </w:r>
    </w:p>
    <w:p>
      <w:pPr>
        <w:pStyle w:val="BookText"/>
        <w:rPr/>
      </w:pPr>
      <w:r>
        <w:rPr>
          <w:rFonts w:ascii="IRNazanin" w:hAnsi="IRNazanin" w:eastAsia="IRNazanin"/>
          <w:color w:val="111111"/>
          <w:sz w:val="28"/>
          <w:sz w:val="28"/>
          <w:szCs w:val="28"/>
          <w:rtl w:val="true"/>
          <w:lang w:bidi="fa-IR"/>
        </w:rPr>
        <w:t>علی البدن أغلظ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مجازفة، و الفرق بین کون الحاجب المشکوک فی وجوده رقیقا أو غلیظا اقتراح، و الحوالة علی موارد السیرة فرار عن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وصول الماء إلی البشرة و إن کان من اللوازم الغیر الشرعیّة، إلّا أنّ ما یترتّب علیه من الحکم الشرعیّ یعدّ فی العرف من اللوازم و الأحکام الشرعیّة لنفس خلوّ البدن عن المانع، بحیث یلغی فی العرف وساطة اللازم الغیر الشرعی بین المستصحب و ذلک الحکم الشرعیّ، و قد بیّنا </w:t>
      </w:r>
      <w:r>
        <w:rPr>
          <w:rStyle w:val="FootnoteAnchor"/>
          <w:rtl w:val="true"/>
        </w:rPr>
        <w:footnoteReference w:id="1602"/>
      </w:r>
      <w:r>
        <w:rPr>
          <w:rFonts w:ascii="IRNazanin" w:hAnsi="IRNazanin" w:eastAsia="IRNazanin"/>
          <w:color w:val="111111"/>
          <w:sz w:val="28"/>
          <w:sz w:val="28"/>
          <w:szCs w:val="28"/>
          <w:rtl w:val="true"/>
          <w:lang w:bidi="fa-IR"/>
        </w:rPr>
        <w:t xml:space="preserve">أنّه یثبت للمستصحب الأحکام الشرعیّة المترتّبة علی اللوازم الغیر الشرعیّة الثابتة له، إذا عدّت الأحکام فی العرف من أحکام نفس المستصحب، و عدم المداقّة فی توسّط اللازم الغیر الشرعیّ بینهما </w:t>
      </w:r>
      <w:r>
        <w:rPr>
          <w:rStyle w:val="FootnoteAnchor"/>
          <w:rtl w:val="true"/>
        </w:rPr>
        <w:footnoteReference w:id="1603"/>
      </w:r>
      <w:r>
        <w:rPr>
          <w:rFonts w:ascii="IRNazanin" w:hAnsi="IRNazanin" w:eastAsia="IRNazanin"/>
          <w:color w:val="111111"/>
          <w:sz w:val="28"/>
          <w:sz w:val="28"/>
          <w:szCs w:val="28"/>
          <w:rtl w:val="true"/>
          <w:lang w:bidi="fa-IR"/>
        </w:rPr>
        <w:t>نظیر استصحاب رطوبة الملاقی للنجس، فإنّ الرطوبة لا یترتّب علیها النجاسة، بل هی من أحکام تأثّر الملاقی بالنجاسة، و هو لازم غیر شرعیّ للرطوبة، إلّا أنّه ملغی فی نظر العرف، حتّی أنّ الفقهاء یجعلون التنجّس من أحکام ملاقاة الشی‌ء للنجس مع رطوبة أحدهما، لکن هذا أیضا لا یتمّ فی جمیع موارد هذا الشکّ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ینبغی الإشکال فی عدم جواز البناء علی هذا الأصل فی صورة کون الشکّ عرفا فی نفس الحجب، لعدم الإجماع و لا السیرة، و لم یدّعهما مدّع، فأصالة عدم وصول الماء المقتضیة لوجوب التخلیل و التحریک سلیمة عمّا 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صحیحة علیّ بن جعفر عن أخیه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علیها السوار و الدملج فی بعض ذراعها، لا تدری یجری الماء تحته أم لا، کیف تصنع إذا توضّأت أو اغتسلت؟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 أو تنزعه حتّی یدخل الماء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الخاتم الضیّق، لا یدری یجری الماء تحته إذا توضّأ أم لا،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 الماء لا یدخله فلیخرجه إذا توضّأ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یعارض صدرها بذیلها، من حیث إنّ مفهوم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عدم العلم لا یجب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المنطوق أقوی دلالة، مع أنّه من قبیل المقیّد، و المفهوم من قبیل المطلق، لشمول عدم العلم بعدم الوصول لصورتی عدم العلم بالوصول، و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السؤال فی المنطوق </w:t>
      </w:r>
      <w:r>
        <w:rPr>
          <w:rStyle w:val="FootnoteAnchor"/>
          <w:rtl w:val="true"/>
        </w:rPr>
        <w:footnoteReference w:id="1606"/>
      </w:r>
      <w:r>
        <w:rPr>
          <w:rFonts w:ascii="Amiri" w:hAnsi="Amiri" w:eastAsia="Amiri" w:cs="Amiri"/>
          <w:color w:val="111111"/>
          <w:sz w:val="28"/>
          <w:sz w:val="28"/>
          <w:szCs w:val="28"/>
          <w:rtl w:val="true"/>
          <w:lang w:bidi="ar-SA"/>
        </w:rPr>
        <w:t xml:space="preserve">صورة عدم العلم بالوصول فالمنطوق </w:t>
      </w:r>
      <w:r>
        <w:rPr>
          <w:rStyle w:val="FootnoteAnchor"/>
          <w:rtl w:val="true"/>
        </w:rPr>
        <w:footnoteReference w:id="1607"/>
      </w:r>
      <w:r>
        <w:rPr>
          <w:rFonts w:ascii="IRNazanin" w:hAnsi="IRNazanin" w:eastAsia="IRNazanin"/>
          <w:color w:val="111111"/>
          <w:sz w:val="28"/>
          <w:sz w:val="28"/>
          <w:szCs w:val="28"/>
          <w:rtl w:val="true"/>
          <w:lang w:bidi="fa-IR"/>
        </w:rPr>
        <w:t>بالنسبة إلیها نصّ غیر قابل للتقیید بما عداه، إذ یصیر المنطوق و المفهوم کلاهما أجنبیا عن مورد السؤال، کما لا یخفی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عدم جواز الترجیح بکون الصدر منطوقا، لأنّ المفهوم إذا جی‌ء به لبیان الحکم فی مورد السؤال، فالجملة الشرطیّة نصّ فی المفهوم، لا ظاهر، لعدم احتمال خلوّها عنه، فیکون فی حکم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فتعارض المنطوق و المفهوم المذکورین هنا من قبیل المتکافئین، لا رجحان للمنطوق علی المفهوم لا بالتقیید و لا بکونه منطوقا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کون الکلام نصّا فی مورد السؤال، فلا یجری علیه بالنسبة إلیه فی باب الترجیح حکم المطلق، و لا حکم المفهوم، فالأوفق الجمع بینهما بحمل العلم بعدم الدخول، علی العلم بعدم استمرار الدخول، بجعل النفی الداخل علی المضارع المشعر بالاستمرار راجعا إلی نفی الاستمرار، لا إلی أصل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أنّه لیس بحیث یدخله الماء دائما بمجرّد الإجراء فلیخرجه، و هذا و إن کان خلاف الظاهر، إلّا أنّه لا بأس به فی مقابل الصدر، بل لعلّ هذا المعنی هو الظاهر بملاحظة أنّ إحالة الجواب عن موارد السؤال إلی المفهوم، و ذکر المنطوق الأجنبیّ عنه فی غایة البعد، بل کان ینبغی أن یصرّح بعدم وجوب الإخراج فی مورد السؤال، فلا بدّ من حمل المنطوق علی معنی ینطبق علی مورد السؤال، و هو الشکّ فی وصول الماء تحت الخاتم من جهة أنّه قد یتّفق الدخول و قد لا یتّفق،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بحیث لا یدخله علی وجه الاستمرار فلیخرجه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أنّه لا یدور الأمر بین مخالفة ظاهر النفی، بحمله علی نفی الاستمرار، و بین حمل الأمر علی الاستحباب، و هو أولی، فإنّ الدلیل بنفسه ظاهر فی هذا المعنی، مع أنّ الحمل علی الاستحباب کأنّه بعید عن مساق السؤال، لأنّ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عمّا یجب علی المرأة حین الوضوء، فالمناسب بیان نفی الوجوب، لا بیان الاستحباب،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ما ذکرنا استدلّ فی الذکری بالصحیحة المذکورة </w:t>
      </w:r>
      <w:r>
        <w:rPr>
          <w:rStyle w:val="FootnoteAnchor"/>
          <w:rtl w:val="true"/>
        </w:rPr>
        <w:footnoteReference w:id="1608"/>
      </w:r>
      <w:r>
        <w:rPr>
          <w:rFonts w:ascii="IRNazanin" w:hAnsi="IRNazanin" w:eastAsia="IRNazanin"/>
          <w:color w:val="111111"/>
          <w:sz w:val="28"/>
          <w:sz w:val="28"/>
          <w:szCs w:val="28"/>
          <w:rtl w:val="true"/>
          <w:lang w:bidi="fa-IR"/>
        </w:rPr>
        <w:t>، و لم یلتفت إلی معارضة صدرها بذیلها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کلّه فی وجوب تحصیل الیقین بوصول الماء مع الشکّ فیه عند غسل العضو، و أمّا الشکّ الحادث بعد الفراغ فسیجی‌ء تفصیل القول فیه فی مسألة الشکّ فی أفعال الوضوء إن شاء اللّٰه تعالی</w:t>
      </w:r>
      <w:r>
        <w:rPr>
          <w:rFonts w:eastAsia="IRNazanin" w:cs="IRNazanin"/>
          <w:color w:val="111111"/>
          <w:sz w:val="28"/>
          <w:szCs w:val="28"/>
          <w:rtl w:val="true"/>
          <w:lang w:bidi="fa-IR"/>
        </w:rPr>
        <w:t>.</w:t>
      </w:r>
      <w:bookmarkStart w:id="171" w:name="pg13035_131857"/>
    </w:p>
    <w:p>
      <w:pPr>
        <w:pStyle w:val="Heading6"/>
        <w:numPr>
          <w:ilvl w:val="5"/>
          <w:numId w:val="1"/>
        </w:numPr>
        <w:rPr/>
      </w:pPr>
      <w:bookmarkStart w:id="172" w:name="__RefHeading___Toc6369980_3224264995"/>
      <w:bookmarkStart w:id="173" w:name="_Toc67"/>
      <w:bookmarkEnd w:id="171"/>
      <w:bookmarkEnd w:id="172"/>
      <w:r>
        <w:rPr>
          <w:rtl w:val="true"/>
        </w:rPr>
        <w:t>[</w:t>
      </w:r>
      <w:r>
        <w:rPr>
          <w:rtl w:val="true"/>
        </w:rPr>
        <w:t>المسألة الخامسة فی الجبیرة و کیفیة الوضوء معها</w:t>
      </w:r>
      <w:r>
        <w:rPr>
          <w:rtl w:val="true"/>
        </w:rPr>
        <w:t>]</w:t>
      </w:r>
      <w:bookmarkEnd w:id="173"/>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من کان علی بعض أعضاء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المغسولة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جبیرة، و هی فی الأصل الألواح المشدودة علی العضو المکسور، قال شارح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الفقهاء یطلقونها علی ما یشدّ به </w:t>
      </w:r>
      <w:r>
        <w:rPr>
          <w:rStyle w:val="FootnoteAnchor"/>
          <w:rtl w:val="true"/>
        </w:rPr>
        <w:footnoteReference w:id="1609"/>
      </w:r>
      <w:r>
        <w:rPr>
          <w:rFonts w:ascii="IRNazanin" w:hAnsi="IRNazanin" w:eastAsia="IRNazanin"/>
          <w:color w:val="111111"/>
          <w:sz w:val="28"/>
          <w:sz w:val="28"/>
          <w:szCs w:val="28"/>
          <w:rtl w:val="true"/>
          <w:lang w:bidi="fa-IR"/>
        </w:rPr>
        <w:t xml:space="preserve">القروح و الجروح أیضا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یراد بها هنا الأعمّ منها و من کلّ ما یجعل علی المکسور أو المجروح أو المقروح، شدّا أو لطوخا أو ضمادا، و لم أعثر فی الأخبار علی استعمالها فی غیر الکسر، فالتعدّی عنه فی موارد مخالفة الأصل یحتاج إلی تتبّع دلیل 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محلّها بأحد الوجوه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نزعها أو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غسلها أو غمس العضو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حتّی یصل البشرة </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 و لا خلاف فی التخییر بین الوجوه، و إن أوهم ظاهر بعض العبائر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 فیما إذا حصل من التکرار وصول البلل، مع عدم تحقّق الجریان المعتبر فی مفهوم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یضعّفه ما تقدّم </w:t>
      </w:r>
      <w:r>
        <w:rPr>
          <w:rStyle w:val="FootnoteAnchor"/>
          <w:rtl w:val="true"/>
        </w:rPr>
        <w:footnoteReference w:id="1612"/>
      </w:r>
      <w:r>
        <w:rPr>
          <w:rFonts w:ascii="IRNazanin" w:hAnsi="IRNazanin" w:eastAsia="IRNazanin"/>
          <w:color w:val="111111"/>
          <w:sz w:val="28"/>
          <w:sz w:val="28"/>
          <w:szCs w:val="28"/>
          <w:rtl w:val="true"/>
          <w:lang w:bidi="fa-IR"/>
        </w:rPr>
        <w:t>فی أوّل المسألة السابقة من أنّ اعتبار الجریان إنّما هو فی مقابل إیصال البلل بمسّ الید الرطبة للمحلّ علی نحو الوضع أو الإمرار، و إلّا فلا إشکال فی صدق الغسل بمجرّد استیلاء الماء علی العضو من دون إجراء، کما فی الغمس أو وضع قطرة من الماء علی جزء من العضو، بحیث لا یتحرّک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فی من انکسر ساعده و لا یقدر أن یحلّه لحال الجبر،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إناء فیه ماء و یضع موضع الجبر فی الماء، حتّی یصل الماء إلی جلده، و قد أجزأه ذلک من غیر أن یحلّه</w:t>
      </w:r>
      <w:r>
        <w:rPr>
          <w:rFonts w:eastAsia="IRNazanin" w:cs="IRNazanin"/>
          <w:color w:val="111111"/>
          <w:sz w:val="28"/>
          <w:szCs w:val="28"/>
          <w:rtl w:val="true"/>
          <w:lang w:bidi="fa-IR"/>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علی غسل بشرة العضو المجبور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 المسح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ما تحتها بلا خلاف، لقوله علیه السلام فی حسنة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تکون به القرحة فی ذراعه </w:t>
      </w:r>
      <w:r>
        <w:rPr>
          <w:rStyle w:val="FootnoteAnchor"/>
          <w:rtl w:val="true"/>
        </w:rPr>
        <w:footnoteReference w:id="1614"/>
      </w:r>
      <w:r>
        <w:rPr>
          <w:rFonts w:ascii="IRNazanin" w:hAnsi="IRNazanin" w:eastAsia="IRNazanin"/>
          <w:color w:val="111111"/>
          <w:sz w:val="28"/>
          <w:sz w:val="28"/>
          <w:szCs w:val="28"/>
          <w:rtl w:val="true"/>
          <w:lang w:bidi="fa-IR"/>
        </w:rPr>
        <w:t xml:space="preserve">، أو نحو ذلک من موضع الوضوء، فیعصبها بالخرقة </w:t>
      </w:r>
      <w:r>
        <w:rPr>
          <w:rStyle w:val="FootnoteAnchor"/>
          <w:rtl w:val="true"/>
        </w:rPr>
        <w:footnoteReference w:id="1615"/>
      </w:r>
      <w:r>
        <w:rPr>
          <w:rFonts w:ascii="IRNazanin" w:hAnsi="IRNazanin" w:eastAsia="IRNazanin"/>
          <w:color w:val="111111"/>
          <w:sz w:val="28"/>
          <w:sz w:val="28"/>
          <w:szCs w:val="28"/>
          <w:rtl w:val="true"/>
          <w:lang w:bidi="fa-IR"/>
        </w:rPr>
        <w:t xml:space="preserve">، فیتوضّأ و یمسح علیها إذا توضّأ؟ فقال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یؤذیه الماء فلیمسح علی الخرقة، و إن کان لا یؤذیه الماء فلینزع الخرقة ثمّ لیغسلها</w:t>
      </w:r>
      <w:r>
        <w:rPr>
          <w:rFonts w:eastAsia="IRNazanin" w:cs="IRNazanin"/>
          <w:color w:val="111111"/>
          <w:sz w:val="28"/>
          <w:szCs w:val="28"/>
          <w:rtl w:val="true"/>
          <w:lang w:bidi="fa-IR"/>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کلیب الأسدی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إذا کان کسیرا، کیف یصنع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یتخوّف علی نفسه فلیمسح علی جبائره و لیصلّ</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تفسیر العیّاشی بسنده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الجبائر تکون علی الکسیر کیف یتوضّأ صاحبها؟ و کیف یغتسل إذا أجنب؟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المسح بالماء علیها فی الجنابة و الوضوء</w:t>
      </w:r>
      <w:r>
        <w:rPr>
          <w:rFonts w:eastAsia="IRNazanin" w:cs="IRNazanin"/>
          <w:color w:val="111111"/>
          <w:sz w:val="28"/>
          <w:szCs w:val="28"/>
          <w:rtl w:val="true"/>
          <w:lang w:bidi="fa-IR"/>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عیسی، عن الوشّاء،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الدواء یکون علی یدی الرجل أ یجزیه أن یمسح فی الوضوء علی الدواء المطلیّ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یجزیه أن یمسح علیه</w:t>
      </w:r>
      <w:r>
        <w:rPr>
          <w:rFonts w:eastAsia="IRNazanin" w:cs="IRNazanin"/>
          <w:color w:val="111111"/>
          <w:sz w:val="28"/>
          <w:szCs w:val="28"/>
          <w:rtl w:val="true"/>
          <w:lang w:bidi="fa-IR"/>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یعارضها عدم التعرّض للمسح علی الجبیرة فی صحیحة ابن الحجّاج،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الکسیر تکون علیه </w:t>
      </w:r>
      <w:r>
        <w:rPr>
          <w:rStyle w:val="FootnoteAnchor"/>
          <w:rtl w:val="true"/>
        </w:rPr>
        <w:footnoteReference w:id="1621"/>
      </w:r>
      <w:r>
        <w:rPr>
          <w:rFonts w:ascii="IRNazanin" w:hAnsi="IRNazanin" w:eastAsia="IRNazanin"/>
          <w:color w:val="111111"/>
          <w:sz w:val="28"/>
          <w:sz w:val="28"/>
          <w:szCs w:val="28"/>
          <w:rtl w:val="true"/>
          <w:lang w:bidi="fa-IR"/>
        </w:rPr>
        <w:t xml:space="preserve">الجبائر أو تکون به الجراحة، کیف یصنع بالوضوء، و عند </w:t>
      </w:r>
      <w:r>
        <w:rPr>
          <w:rStyle w:val="FootnoteAnchor"/>
          <w:rtl w:val="true"/>
        </w:rPr>
        <w:footnoteReference w:id="1622"/>
      </w:r>
      <w:r>
        <w:rPr>
          <w:rFonts w:ascii="Amiri" w:hAnsi="Amiri" w:eastAsia="Amiri" w:cs="Amiri"/>
          <w:color w:val="111111"/>
          <w:sz w:val="28"/>
          <w:sz w:val="28"/>
          <w:szCs w:val="28"/>
          <w:rtl w:val="true"/>
          <w:lang w:bidi="ar-SA"/>
        </w:rPr>
        <w:t xml:space="preserve">غسل الجنابة و غسل الجمعة؟ فقال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ما وصل إلیه الغسل ممّا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لیس علیه</w:t>
      </w:r>
    </w:p>
    <w:p>
      <w:pPr>
        <w:pStyle w:val="BookText"/>
        <w:rPr/>
      </w:pPr>
      <w:r>
        <w:rPr>
          <w:rFonts w:ascii="IRNazanin" w:hAnsi="IRNazanin" w:eastAsia="IRNazanin"/>
          <w:color w:val="111111"/>
          <w:sz w:val="28"/>
          <w:sz w:val="28"/>
          <w:szCs w:val="28"/>
          <w:rtl w:val="true"/>
          <w:lang w:bidi="fa-IR"/>
        </w:rPr>
        <w:t>الجبائر</w:t>
      </w:r>
      <w:r>
        <w:rPr>
          <w:rFonts w:eastAsia="IRNazanin" w:cs="IRNazanin"/>
          <w:color w:val="111111"/>
          <w:sz w:val="28"/>
          <w:szCs w:val="28"/>
          <w:rtl w:val="true"/>
          <w:lang w:bidi="fa-IR"/>
        </w:rPr>
        <w:t xml:space="preserve">) </w:t>
      </w:r>
      <w:r>
        <w:rPr>
          <w:rStyle w:val="FootnoteAnchor"/>
          <w:rtl w:val="true"/>
        </w:rPr>
        <w:footnoteReference w:id="1624"/>
      </w:r>
      <w:r>
        <w:rPr>
          <w:rFonts w:ascii="IRNazanin" w:hAnsi="IRNazanin" w:eastAsia="IRNazanin"/>
          <w:color w:val="111111"/>
          <w:sz w:val="28"/>
          <w:sz w:val="28"/>
          <w:szCs w:val="28"/>
          <w:rtl w:val="true"/>
          <w:lang w:bidi="fa-IR"/>
        </w:rPr>
        <w:t xml:space="preserve">و یدع ما سوی ذلک ممّا لا یستطیع غسله، و لا ینزع </w:t>
      </w:r>
      <w:r>
        <w:rPr>
          <w:rStyle w:val="FootnoteAnchor"/>
          <w:rtl w:val="true"/>
        </w:rPr>
        <w:footnoteReference w:id="1625"/>
      </w:r>
      <w:r>
        <w:rPr>
          <w:rFonts w:ascii="IRNazanin" w:hAnsi="IRNazanin" w:eastAsia="IRNazanin"/>
          <w:color w:val="111111"/>
          <w:sz w:val="28"/>
          <w:sz w:val="28"/>
          <w:szCs w:val="28"/>
          <w:rtl w:val="true"/>
          <w:lang w:bidi="fa-IR"/>
        </w:rPr>
        <w:t>الجبائر و لا یعبث بجراحته</w:t>
      </w:r>
      <w:r>
        <w:rPr>
          <w:rFonts w:eastAsia="IRNazanin" w:cs="IRNazanin"/>
          <w:color w:val="111111"/>
          <w:sz w:val="28"/>
          <w:szCs w:val="28"/>
          <w:rtl w:val="true"/>
          <w:lang w:bidi="fa-IR"/>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ظهور هذه الروایة من حیث السکوت عن المسح لا یعارض ظهور تلک الأخبار فی وجوب المسح، حتّی یحمل علی الاستحباب، کما استجوده صاحب المدارک </w:t>
      </w:r>
      <w:r>
        <w:rPr>
          <w:rStyle w:val="FootnoteAnchor"/>
          <w:rtl w:val="true"/>
        </w:rPr>
        <w:footnoteReference w:id="1627"/>
      </w:r>
      <w:r>
        <w:rPr>
          <w:rFonts w:ascii="IRNazanin" w:hAnsi="IRNazanin" w:eastAsia="IRNazanin"/>
          <w:color w:val="111111"/>
          <w:sz w:val="28"/>
          <w:sz w:val="28"/>
          <w:szCs w:val="28"/>
          <w:rtl w:val="true"/>
          <w:lang w:bidi="fa-IR"/>
        </w:rPr>
        <w:t>لو لا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ذلک معارضة تلک الأخبار بما یأتی </w:t>
      </w:r>
      <w:r>
        <w:rPr>
          <w:rStyle w:val="FootnoteAnchor"/>
          <w:rtl w:val="true"/>
        </w:rPr>
        <w:footnoteReference w:id="1628"/>
      </w:r>
      <w:r>
        <w:rPr>
          <w:rFonts w:ascii="IRNazanin" w:hAnsi="IRNazanin" w:eastAsia="IRNazanin"/>
          <w:color w:val="111111"/>
          <w:sz w:val="28"/>
          <w:sz w:val="28"/>
          <w:szCs w:val="28"/>
          <w:rtl w:val="true"/>
          <w:lang w:bidi="fa-IR"/>
        </w:rPr>
        <w:t>من حسنة الحلبی و صحیحة ابن سنان من الأمر بغسل ما حول الجرح، لأنّها محمولة علی الجرح المجرّد، لأنّ ما تقدّم نصّ فی الجرح ذی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السؤال فی هذه الروایة و حسنة الحلبی، کونه عن قیام الجبیرة مقام البشرة فی کفایة وصول الماء إلیها، و إنّ المراد بالمسح المسئول عنه، هو إمرار الید علی الحائل فی مقام الغسل، لأنّه الذی یسبق إلی الأذهان جوازه شرعا فیسأل عنه، دون المسح فی مقابل الغسل، فإنّ مشروعیته فی محلّ الغسل، و صیرورة مسح البدل مقام غسل المبدل، ممّا لا منشأ لتوهّم إجزائه قبل الاطّلاع علی تعبّد الشارع به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التحریر،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الجبائر تنزع و یمسح علی العضو</w:t>
      </w:r>
    </w:p>
    <w:p>
      <w:pPr>
        <w:pStyle w:val="BookText"/>
        <w:rPr/>
      </w:pPr>
      <w:r>
        <w:rPr>
          <w:rFonts w:ascii="IRNazanin" w:hAnsi="IRNazanin" w:eastAsia="IRNazanin"/>
          <w:color w:val="111111"/>
          <w:sz w:val="28"/>
          <w:sz w:val="28"/>
          <w:szCs w:val="28"/>
          <w:rtl w:val="true"/>
          <w:lang w:bidi="fa-IR"/>
        </w:rPr>
        <w:t xml:space="preserve">مع المکنة، أو یکرّر الماء حتّی یصل إلی البشرة، و إلّا مسح علیها </w:t>
      </w:r>
      <w:r>
        <w:rPr>
          <w:rStyle w:val="FootnoteAnchor"/>
          <w:rtl w:val="true"/>
        </w:rPr>
        <w:footnoteReference w:id="1629"/>
      </w:r>
      <w:r>
        <w:rPr>
          <w:rFonts w:ascii="IRNazanin" w:hAnsi="IRNazanin" w:eastAsia="IRNazanin"/>
          <w:color w:val="111111"/>
          <w:sz w:val="28"/>
          <w:sz w:val="28"/>
          <w:szCs w:val="28"/>
          <w:rtl w:val="true"/>
          <w:lang w:bidi="fa-IR"/>
        </w:rPr>
        <w:t>، انتهی، فجعل المسح علی الجبیرة مقابل المسح علی البشرة، إلّا أنّ الظاهر من کلمات جماعة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المسح بالمعنی المقابل للغسل، فإنّ الشیخ فی المبسوط جعل استیعاب الجبیرة بالمسح أحوط </w:t>
      </w:r>
      <w:r>
        <w:rPr>
          <w:rStyle w:val="FootnoteAnchor"/>
          <w:rtl w:val="true"/>
        </w:rPr>
        <w:footnoteReference w:id="1630"/>
      </w:r>
      <w:r>
        <w:rPr>
          <w:rFonts w:ascii="IRNazanin" w:hAnsi="IRNazanin" w:eastAsia="IRNazanin"/>
          <w:color w:val="111111"/>
          <w:sz w:val="28"/>
          <w:sz w:val="28"/>
          <w:szCs w:val="28"/>
          <w:rtl w:val="true"/>
          <w:lang w:bidi="fa-IR"/>
        </w:rPr>
        <w:t xml:space="preserve">، و استشکل وجوب الاستیعاب فی الذکری </w:t>
      </w:r>
      <w:r>
        <w:rPr>
          <w:rStyle w:val="FootnoteAnchor"/>
          <w:rtl w:val="true"/>
        </w:rPr>
        <w:footnoteReference w:id="1631"/>
      </w:r>
      <w:r>
        <w:rPr>
          <w:rFonts w:ascii="IRNazanin" w:hAnsi="IRNazanin" w:eastAsia="IRNazanin"/>
          <w:color w:val="111111"/>
          <w:sz w:val="28"/>
          <w:sz w:val="28"/>
          <w:szCs w:val="28"/>
          <w:rtl w:val="true"/>
          <w:lang w:bidi="fa-IR"/>
        </w:rPr>
        <w:t xml:space="preserve">، لصدق المسح علی الجبیرة بالمسح علی بعضها، کما فی مسح الرأس </w:t>
      </w:r>
      <w:r>
        <w:rPr>
          <w:rStyle w:val="FootnoteAnchor"/>
          <w:rtl w:val="true"/>
        </w:rPr>
        <w:footnoteReference w:id="1632"/>
      </w:r>
      <w:r>
        <w:rPr>
          <w:rFonts w:ascii="IRNazanin" w:hAnsi="IRNazanin" w:eastAsia="IRNazanin"/>
          <w:color w:val="111111"/>
          <w:sz w:val="28"/>
          <w:sz w:val="28"/>
          <w:szCs w:val="28"/>
          <w:rtl w:val="true"/>
          <w:lang w:bidi="fa-IR"/>
        </w:rPr>
        <w:t>و القدم، فلو أرید به الإمرار المتحقّق فی ضمن الغسل لم یکن وجه لاحتمال کون المسح علی الجبیرة نظیر المسح علی الرأس و القدم فی کفایة المسمّی، حتّی یجعل الاستغراق أحوط، لأنّ غسل مسمّی الجبیرة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الجبائر تنزع إن أمکن، و إلّا مسح علیها، و لو فی موضع الغسل، و هو مذهب الأصحاب </w:t>
      </w:r>
      <w:r>
        <w:rPr>
          <w:rStyle w:val="FootnoteAnchor"/>
          <w:rtl w:val="true"/>
        </w:rPr>
        <w:footnoteReference w:id="1633"/>
      </w:r>
      <w:r>
        <w:rPr>
          <w:rFonts w:ascii="IRNazanin" w:hAnsi="IRNazanin" w:eastAsia="IRNazanin"/>
          <w:color w:val="111111"/>
          <w:sz w:val="28"/>
          <w:sz w:val="28"/>
          <w:szCs w:val="28"/>
          <w:rtl w:val="true"/>
          <w:lang w:bidi="fa-IR"/>
        </w:rPr>
        <w:t xml:space="preserve">، انتهی، ثمّ استدلّ بحسنة الحلبی </w:t>
      </w:r>
      <w:r>
        <w:rPr>
          <w:rStyle w:val="FootnoteAnchor"/>
          <w:rtl w:val="true"/>
        </w:rPr>
        <w:footnoteReference w:id="1634"/>
      </w:r>
      <w:r>
        <w:rPr>
          <w:rFonts w:ascii="IRNazanin" w:hAnsi="IRNazanin" w:eastAsia="IRNazanin"/>
          <w:color w:val="111111"/>
          <w:sz w:val="28"/>
          <w:sz w:val="28"/>
          <w:szCs w:val="28"/>
          <w:rtl w:val="true"/>
          <w:lang w:bidi="fa-IR"/>
        </w:rPr>
        <w:t>، فإنّ ظاهر المقابلة إرادة المسح بالمعنی الأخصّ</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ذلک قوله فی باب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استیعاب الجبیرة بالمسح، لأنّ المسح بدل عن الغسل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الجبائر تنزع مع المکنة، و إلا مسح علیها، و أجزأ عن الغسل </w:t>
      </w:r>
      <w:r>
        <w:rPr>
          <w:rStyle w:val="FootnoteAnchor"/>
          <w:rtl w:val="true"/>
        </w:rPr>
        <w:footnoteReference w:id="163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بالغسل غسل البشرة، إلّا أنّ التعبیر فیها بالغسل و فی الجبائر بالمسح، ینافی إرادة مطلق الإمرار المتحقّق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الجبیرة إن أمکن نزعها أو إیصال الماء إلی البشرة وجب، تحصیلا لمسمّی الغسل و المسح، و إن تعذّرا مسح علیها و لو فی موضع الغسل </w:t>
      </w:r>
      <w:r>
        <w:rPr>
          <w:rStyle w:val="FootnoteAnchor"/>
          <w:rtl w:val="true"/>
        </w:rPr>
        <w:footnoteReference w:id="1637"/>
      </w:r>
      <w:r>
        <w:rPr>
          <w:rFonts w:ascii="IRNazanin" w:hAnsi="IRNazanin" w:eastAsia="IRNazanin"/>
          <w:color w:val="111111"/>
          <w:sz w:val="28"/>
          <w:sz w:val="28"/>
          <w:szCs w:val="28"/>
          <w:rtl w:val="true"/>
          <w:lang w:bidi="fa-IR"/>
        </w:rPr>
        <w:t xml:space="preserve">، انتهی، ثمّ نقل عن المعتبر أنّه مذهب الأصحاب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أظهر من ذلک کلامه فی موضع آخر، حیث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استحسان قول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الاستیعاب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یجب إجراء الماء علیها، لأنّه لم یتعبّد بغسلها إذا لم یصل الماء إلی أصلها </w:t>
      </w:r>
      <w:r>
        <w:rPr>
          <w:rStyle w:val="FootnoteAnchor"/>
          <w:rtl w:val="true"/>
        </w:rPr>
        <w:footnoteReference w:id="16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بعینه عبارتا الروض </w:t>
      </w:r>
      <w:r>
        <w:rPr>
          <w:rStyle w:val="FootnoteAnchor"/>
          <w:rtl w:val="true"/>
        </w:rPr>
        <w:footnoteReference w:id="1640"/>
      </w:r>
      <w:r>
        <w:rPr>
          <w:rFonts w:ascii="IRNazanin" w:hAnsi="IRNazanin" w:eastAsia="IRNazanin"/>
          <w:color w:val="111111"/>
          <w:sz w:val="28"/>
          <w:sz w:val="28"/>
          <w:szCs w:val="28"/>
          <w:rtl w:val="true"/>
          <w:lang w:bidi="fa-IR"/>
        </w:rPr>
        <w:t xml:space="preserve">و المسالک </w:t>
      </w:r>
      <w:r>
        <w:rPr>
          <w:rStyle w:val="FootnoteAnchor"/>
          <w:rtl w:val="true"/>
        </w:rPr>
        <w:footnoteReference w:id="1641"/>
      </w:r>
      <w:r>
        <w:rPr>
          <w:rFonts w:ascii="IRNazanin" w:hAnsi="IRNazanin" w:eastAsia="IRNazanin"/>
          <w:color w:val="111111"/>
          <w:sz w:val="28"/>
          <w:sz w:val="28"/>
          <w:szCs w:val="28"/>
          <w:rtl w:val="true"/>
          <w:lang w:bidi="fa-IR"/>
        </w:rPr>
        <w:t>، 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الجبیرة المسح المعهود فی الوضوء </w:t>
      </w:r>
      <w:r>
        <w:rPr>
          <w:rStyle w:val="FootnoteAnchor"/>
          <w:rtl w:val="true"/>
        </w:rPr>
        <w:footnoteReference w:id="1642"/>
      </w:r>
      <w:r>
        <w:rPr>
          <w:rFonts w:ascii="IRNazanin" w:hAnsi="IRNazanin" w:eastAsia="IRNazanin"/>
          <w:color w:val="111111"/>
          <w:sz w:val="28"/>
          <w:sz w:val="28"/>
          <w:szCs w:val="28"/>
          <w:rtl w:val="true"/>
          <w:lang w:bidi="fa-IR"/>
        </w:rPr>
        <w:t>، و قال شارح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الإجراء بل لا یجوز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أبعد ما بینه و بین ما نقل عن نهایة الإحکام من وجوب تحقّق أقلّ الغسل </w:t>
      </w:r>
      <w:r>
        <w:rPr>
          <w:rStyle w:val="FootnoteAnchor"/>
          <w:rtl w:val="true"/>
        </w:rPr>
        <w:footnoteReference w:id="1644"/>
      </w:r>
      <w:r>
        <w:rPr>
          <w:rFonts w:ascii="IRNazanin" w:hAnsi="IRNazanin" w:eastAsia="IRNazanin"/>
          <w:color w:val="111111"/>
          <w:sz w:val="28"/>
          <w:sz w:val="28"/>
          <w:szCs w:val="28"/>
          <w:rtl w:val="true"/>
          <w:lang w:bidi="fa-IR"/>
        </w:rPr>
        <w:t>، و عن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قوی، و الأخبار لا تنافیه </w:t>
      </w:r>
      <w:r>
        <w:rPr>
          <w:rStyle w:val="FootnoteAnchor"/>
          <w:rtl w:val="true"/>
        </w:rPr>
        <w:footnoteReference w:id="16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الفتاوی تنافیه، و قد بالغ الوحید البهبهانی قدّس سرّه فی شرح المفاتیح فی تقویة هذا القول، و تنزیل النصوص و الفتاوی علیه </w:t>
      </w:r>
      <w:r>
        <w:rPr>
          <w:rStyle w:val="FootnoteAnchor"/>
          <w:rtl w:val="true"/>
        </w:rPr>
        <w:footnoteReference w:id="1646"/>
      </w:r>
      <w:r>
        <w:rPr>
          <w:rFonts w:ascii="IRNazanin" w:hAnsi="IRNazanin" w:eastAsia="IRNazanin"/>
          <w:color w:val="111111"/>
          <w:sz w:val="28"/>
          <w:sz w:val="28"/>
          <w:szCs w:val="28"/>
          <w:rtl w:val="true"/>
          <w:lang w:bidi="fa-IR"/>
        </w:rPr>
        <w:t>،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إجراء الماء علی الجبیرة من المسح الوارد فی الأخبار مشکل، فحملها علی ما یتحقّق معه الغسل بعید، و تخصیصها بالمسح المقابل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المسح علی الرأس، حتّی لا یجوز أن یقصد إلّا المسح، بحیث لو قصد مجرّد إیصال الرطوبة إلی الجبیرة، مع عدم قصد الغسل و لا المسح لم یجز، و یلزمه المنع عن الوضوء و الغسل الارتماسیّین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هو مجرّد إیصال الماء إلی الجبیرة، سواء حصل أقلّ الغسل أو أکثره أو لم یحصل لم یکن بعیدا، و لا ینافیه الکلمات المذکورة، لأنّ معنی عدم التعبّد بالغسل فی کلام الشهیدین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إیجاب الشارع 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یراد من المسح فی کلماتهم، المعنی المقابل للغسل، إلّا أنّ الحکم به رخصة لا عزیمة، کما یشهد له استدلال المعتبر </w:t>
      </w:r>
      <w:r>
        <w:rPr>
          <w:rStyle w:val="FootnoteAnchor"/>
          <w:rtl w:val="true"/>
        </w:rPr>
        <w:footnoteReference w:id="1648"/>
      </w:r>
      <w:r>
        <w:rPr>
          <w:rFonts w:ascii="IRNazanin" w:hAnsi="IRNazanin" w:eastAsia="IRNazanin"/>
          <w:color w:val="111111"/>
          <w:sz w:val="28"/>
          <w:sz w:val="28"/>
          <w:szCs w:val="28"/>
          <w:rtl w:val="true"/>
          <w:lang w:bidi="fa-IR"/>
        </w:rPr>
        <w:t xml:space="preserve">و المنتهی </w:t>
      </w:r>
      <w:r>
        <w:rPr>
          <w:rStyle w:val="FootnoteAnchor"/>
          <w:rtl w:val="true"/>
        </w:rPr>
        <w:footnoteReference w:id="1649"/>
      </w:r>
      <w:r>
        <w:rPr>
          <w:rFonts w:ascii="IRNazanin" w:hAnsi="IRNazanin" w:eastAsia="IRNazanin"/>
          <w:color w:val="111111"/>
          <w:sz w:val="28"/>
          <w:sz w:val="28"/>
          <w:szCs w:val="28"/>
          <w:rtl w:val="true"/>
          <w:lang w:bidi="fa-IR"/>
        </w:rPr>
        <w:t>له بنفی</w:t>
      </w:r>
    </w:p>
    <w:p>
      <w:pPr>
        <w:pStyle w:val="BookText"/>
        <w:rPr/>
      </w:pPr>
      <w:r>
        <w:rPr>
          <w:rFonts w:ascii="IRNazanin" w:hAnsi="IRNazanin" w:eastAsia="IRNazanin"/>
          <w:color w:val="111111"/>
          <w:sz w:val="28"/>
          <w:sz w:val="28"/>
          <w:szCs w:val="28"/>
          <w:rtl w:val="true"/>
          <w:lang w:bidi="fa-IR"/>
        </w:rPr>
        <w:t>الضرر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فالاحتمالات فی النصوص، و الأقوال فی الفتاوی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إرادة المسح المقابل للغسل مع کون الحکم عزیمة، کما تقدّم عن جامع المقاصد </w:t>
      </w:r>
      <w:r>
        <w:rPr>
          <w:rStyle w:val="FootnoteAnchor"/>
          <w:rtl w:val="true"/>
        </w:rPr>
        <w:footnoteReference w:id="1650"/>
      </w:r>
      <w:r>
        <w:rPr>
          <w:rFonts w:ascii="IRNazanin" w:hAnsi="IRNazanin" w:eastAsia="IRNazanin"/>
          <w:color w:val="111111"/>
          <w:sz w:val="28"/>
          <w:sz w:val="28"/>
          <w:szCs w:val="28"/>
          <w:rtl w:val="true"/>
          <w:lang w:bidi="fa-IR"/>
        </w:rPr>
        <w:t xml:space="preserve">و شارح الجعفریّة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إرادته مع کون الحکم رخصة، کظاهر الشهیدین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إرادة ما یتحقّق الغسل، کما عن النهایة و کشف اللثام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إرادة الأعمّ منه، کما هو محتمل النصوص و أکثر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و بین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علی هذا القول إیصال الماء بحیث لا یسمّی غسلا و لا مسحا، لعدم الجریان و الإمرار، کما لو بلّ الجبیرة بمجرّد وضع الید، و القول بهذا غیر بعید من ظاهر الأخبار و أکثر الفتاوی، و إن لم أعثر علی مصرّح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الحرج العظیم فی إلزام المسح بالمعنی الأخصّ، و کذا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بمقتضی إطلاق النصوص و الفتاوی فی وجوب المسح علی الجبیرة و عدمه و غسلها الأقرب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أقوی بل 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استیعاب الجبیرة لمواضع الغسل و کونها علی بعضها، کما صرّح به الفاضلان و الشهیدان و غیرهم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 الجمیع جبائر أو دواء یتضرّر به، جاز المسح علی الجمیع، و لو استضرّ تیمّم </w:t>
      </w:r>
      <w:r>
        <w:rPr>
          <w:rStyle w:val="FootnoteAnchor"/>
          <w:rtl w:val="true"/>
        </w:rPr>
        <w:footnoteReference w:id="165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الجبائر علی جمیع أعضاء الغسل و تعذّر غسلها، مسح علی الجمیع مستوعبا بالماء، و مسح رأسه و رجلیه ببقیّة البلل، و لو تضرّر تیمّم </w:t>
      </w:r>
      <w:r>
        <w:rPr>
          <w:rStyle w:val="FootnoteAnchor"/>
          <w:rtl w:val="true"/>
        </w:rPr>
        <w:footnoteReference w:id="16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عمّت الجبائر أو الدواء الأعضاء، مسح علی الجمیع، و لو تضرّر بالمسح </w:t>
      </w:r>
      <w:r>
        <w:rPr>
          <w:rStyle w:val="FootnoteAnchor"/>
          <w:rtl w:val="true"/>
        </w:rPr>
        <w:footnoteReference w:id="1656"/>
      </w:r>
      <w:r>
        <w:rPr>
          <w:rFonts w:ascii="IRNazanin" w:hAnsi="IRNazanin" w:eastAsia="IRNazanin"/>
          <w:color w:val="111111"/>
          <w:sz w:val="28"/>
          <w:sz w:val="28"/>
          <w:szCs w:val="28"/>
          <w:rtl w:val="true"/>
          <w:lang w:bidi="fa-IR"/>
        </w:rPr>
        <w:t xml:space="preserve">تیمّم، و لا ینسحب الحکم إلی خائف البرد فیؤمر بوضع حائل، بل تیمّم لأنّه عذر نادر، و زواله سریع </w:t>
      </w:r>
      <w:r>
        <w:rPr>
          <w:rStyle w:val="FootnoteAnchor"/>
          <w:rtl w:val="true"/>
        </w:rPr>
        <w:footnoteReference w:id="165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أکثر الأخبار لا یشمل هذه الصورة، لکنّ المناط منقّح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أیضا فی ظاهر الإطلاقات بین التمکّن من نزع الجبیرة و المسح علی البشرة و عدمه، و إن کان مقتضی قاعدة وجوب مراعاة الأقرب إلی الواجب المتعذّر، تقدّم المسح علی البشرة علی المسح علی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دعوی اختصاص إطلاقات الأخبار، بل أکثر الفتاوی بصورة عدم التمکّن عن النزع، بل مسألة الجبیرة مفروضة فی کلام أکثرهم فی صورة تعذّر نزع الجبیرة و إن کان الغرض من هذا الفرد </w:t>
      </w:r>
      <w:r>
        <w:rPr>
          <w:rStyle w:val="FootnoteAnchor"/>
          <w:rtl w:val="true"/>
        </w:rPr>
        <w:footnoteReference w:id="1658"/>
      </w:r>
      <w:r>
        <w:rPr>
          <w:rFonts w:ascii="IRNazanin" w:hAnsi="IRNazanin" w:eastAsia="IRNazanin"/>
          <w:color w:val="111111"/>
          <w:sz w:val="28"/>
          <w:sz w:val="28"/>
          <w:szCs w:val="28"/>
          <w:rtl w:val="true"/>
          <w:lang w:bidi="fa-IR"/>
        </w:rPr>
        <w:t>بیان اعتبار تعذّر الغسل، لکن دعوی أنّ المناط فی حکم المسألة عندهم تعذّر الغسل و إن تیسّر النزع و المسح ممنوعة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الجبیرة تستر بعض العضو الصحیح، و لا دلیل علی جوازه مع عدم الحاجة، إلّا أن یلتزم بمسح الصحیح أو غسله، ثمّ وضع الجبیرة</w:t>
      </w:r>
    </w:p>
    <w:p>
      <w:pPr>
        <w:pStyle w:val="BookText"/>
        <w:rPr/>
      </w:pPr>
      <w:r>
        <w:rPr>
          <w:rFonts w:ascii="IRNazanin" w:hAnsi="IRNazanin" w:eastAsia="IRNazanin"/>
          <w:color w:val="111111"/>
          <w:sz w:val="28"/>
          <w:sz w:val="28"/>
          <w:szCs w:val="28"/>
          <w:rtl w:val="true"/>
          <w:lang w:bidi="fa-IR"/>
        </w:rPr>
        <w:t>و المسح علیها، و هم لا یلتزمون به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لم أعثر علی مصرّح بذلک، و ربما ینسب إلی ظاهر التذکرة، و هو توهّم یعرف بمراجعة التذکرة، فإنّه قدّس سرّه قال فیها </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الجبائر إن أمکن نزعها نزعت و غسل ما تحتها إن أمکن أو مسحت، و إن لم یمکن و أمکنه إیصال </w:t>
      </w:r>
      <w:r>
        <w:rPr>
          <w:rStyle w:val="FootnoteAnchor"/>
          <w:rtl w:val="true"/>
        </w:rPr>
        <w:footnoteReference w:id="1660"/>
      </w:r>
      <w:r>
        <w:rPr>
          <w:rFonts w:ascii="IRNazanin" w:hAnsi="IRNazanin" w:eastAsia="IRNazanin"/>
          <w:color w:val="111111"/>
          <w:sz w:val="28"/>
          <w:sz w:val="28"/>
          <w:szCs w:val="28"/>
          <w:rtl w:val="true"/>
          <w:lang w:bidi="fa-IR"/>
        </w:rPr>
        <w:t xml:space="preserve">الماء إلی ما تحتها بأن تکرّر علیه، أو یغمسه </w:t>
      </w:r>
      <w:r>
        <w:rPr>
          <w:rStyle w:val="FootnoteAnchor"/>
          <w:rtl w:val="true"/>
        </w:rPr>
        <w:footnoteReference w:id="1661"/>
      </w:r>
      <w:r>
        <w:rPr>
          <w:rFonts w:ascii="IRNazanin" w:hAnsi="IRNazanin" w:eastAsia="IRNazanin"/>
          <w:color w:val="111111"/>
          <w:sz w:val="28"/>
          <w:sz w:val="28"/>
          <w:szCs w:val="28"/>
          <w:rtl w:val="true"/>
          <w:lang w:bidi="fa-IR"/>
        </w:rPr>
        <w:t xml:space="preserve">فی الماء وجب، لأنّ غسل موضع الفرض ممکن، فلا یجزی المسح علی الحائل </w:t>
      </w:r>
      <w:r>
        <w:rPr>
          <w:rStyle w:val="FootnoteAnchor"/>
          <w:rtl w:val="true"/>
        </w:rPr>
        <w:footnoteReference w:id="166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توهّم النسبة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أنّ معناه أنّه إن لم یمکن الغسل مسحت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المناسب حینئذ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عطف المسح علی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یقیّد الغسل بالإمکان توجّه العطف بإرادة مانعة الخلوّ بالنسبة إلی مجموع صورتی الإمکان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ذیله المصرّح بأنّ المفروض فی مجموع هذا الکلام التمکّن من الغسل، فیراد من المسح فی کلامه مسح مواضع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ذیل کلامه مختصّ بموارد الغسل، و الترتیب بین نزعها و غسل محلّها، و بین غمسها، و تکرار الماء جری</w:t>
      </w:r>
    </w:p>
    <w:p>
      <w:pPr>
        <w:pStyle w:val="BookText"/>
        <w:rPr/>
      </w:pPr>
      <w:r>
        <w:rPr>
          <w:rFonts w:ascii="IRNazanin" w:hAnsi="IRNazanin" w:eastAsia="IRNazanin"/>
          <w:color w:val="111111"/>
          <w:sz w:val="28"/>
          <w:sz w:val="28"/>
          <w:szCs w:val="28"/>
          <w:rtl w:val="true"/>
          <w:lang w:bidi="fa-IR"/>
        </w:rPr>
        <w:t>علی العادة، لا لتعیین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التصق </w:t>
      </w:r>
      <w:r>
        <w:rPr>
          <w:rStyle w:val="FootnoteAnchor"/>
          <w:rtl w:val="true"/>
        </w:rPr>
        <w:footnoteReference w:id="1663"/>
      </w:r>
      <w:r>
        <w:rPr>
          <w:rFonts w:ascii="IRNazanin" w:hAnsi="IRNazanin" w:eastAsia="IRNazanin"/>
          <w:color w:val="111111"/>
          <w:sz w:val="28"/>
          <w:sz w:val="28"/>
          <w:szCs w:val="28"/>
          <w:rtl w:val="true"/>
          <w:lang w:bidi="fa-IR"/>
        </w:rPr>
        <w:t xml:space="preserve">بالجرح خرقة، أو قطنة أو نحوهما، و أمکن النزع، و إیصال الماء حال الطهارة، وجب، کما فی الجبیرة، و إلّا مسح علیه، و لو استفاد بالنزع غسل بعض الصحیح فالأقرب الوجوب، لأنّ المیسور لا یسقط بالمعسور، هذا مع عدم التضرّر بنزعه </w:t>
      </w:r>
      <w:r>
        <w:rPr>
          <w:rStyle w:val="FootnoteAnchor"/>
          <w:rtl w:val="true"/>
        </w:rPr>
        <w:footnoteReference w:id="16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یستفاد من عدم جزمهم بوجوب المسح علی الجرح المجرّد مع الإمکان، عدم الوجوب هنا بطریق أولی،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وجوب استیعاب الجبیرة بالمسح، لأنّه الظاهر من الأخبار، فاحتمال إلحاقه بالمسح علی الرأس و القدمین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کلّه إذا کانت الجبیرة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ما تحتها طاهرا أو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تعذّر إزالة نجاسته و وضع الجبیرة علیها، أمّا إذا کانت نجسة و أمکن تطهیرها، طهّرها و مسح علیها، و إلّا إن أمکن وضع جبیرة علیها فظاهر جماعة کالعلّامة قدّس سرّه </w:t>
      </w:r>
      <w:r>
        <w:rPr>
          <w:rStyle w:val="FootnoteAnchor"/>
          <w:rtl w:val="true"/>
        </w:rPr>
        <w:footnoteReference w:id="1665"/>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666"/>
      </w:r>
      <w:r>
        <w:rPr>
          <w:rFonts w:ascii="IRNazanin" w:hAnsi="IRNazanin" w:eastAsia="IRNazanin"/>
          <w:color w:val="111111"/>
          <w:sz w:val="28"/>
          <w:sz w:val="28"/>
          <w:szCs w:val="28"/>
          <w:rtl w:val="true"/>
          <w:lang w:bidi="fa-IR"/>
        </w:rPr>
        <w:t>وجوب وضع خرقة طاهرة علیها، بل عن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بأنّه إن کان لوجوب إیصال الماء إلی محلّ الوضوء أو ما قام مقامه، کان اللازم التزام وجوب إلصاق الجبیرة علی الجرح المجرّد، مع أنّهم</w:t>
      </w:r>
    </w:p>
    <w:p>
      <w:pPr>
        <w:pStyle w:val="BookText"/>
        <w:rPr/>
      </w:pPr>
      <w:r>
        <w:rPr>
          <w:rFonts w:ascii="IRNazanin" w:hAnsi="IRNazanin" w:eastAsia="IRNazanin"/>
          <w:color w:val="111111"/>
          <w:sz w:val="28"/>
          <w:sz w:val="28"/>
          <w:szCs w:val="28"/>
          <w:rtl w:val="true"/>
          <w:lang w:bidi="fa-IR"/>
        </w:rPr>
        <w:t xml:space="preserve">لا یقولون به، بل یکتفون بغسل ما حوله، بل لا یوجب بعضهم مسح البشرة مع الإمکان، و لو اعتذر هنا بإطلاق النصّ بغسل ما حوله لم یجز فیما </w:t>
      </w:r>
      <w:r>
        <w:rPr>
          <w:rStyle w:val="FootnoteAnchor"/>
          <w:rtl w:val="true"/>
        </w:rPr>
        <w:footnoteReference w:id="1668"/>
      </w:r>
      <w:r>
        <w:rPr>
          <w:rFonts w:ascii="IRNazanin" w:hAnsi="IRNazanin" w:eastAsia="IRNazanin"/>
          <w:color w:val="111111"/>
          <w:sz w:val="28"/>
          <w:sz w:val="28"/>
          <w:szCs w:val="28"/>
          <w:rtl w:val="true"/>
          <w:lang w:bidi="fa-IR"/>
        </w:rPr>
        <w:t xml:space="preserve">لو تعذّر المسح علیه، لنجاسته أو لعذر آخر، حیث لم یلتزموا بوجوب وضع الجبیرة، مع أنّ قیام الخرقة الموضوعة هنا مقام البشرة ممنوع، و قد حکم بعض ممّن حکم هنا بوجوب وضع الطاهر هنا </w:t>
      </w:r>
      <w:r>
        <w:rPr>
          <w:rStyle w:val="FootnoteAnchor"/>
          <w:rtl w:val="true"/>
        </w:rPr>
        <w:footnoteReference w:id="1669"/>
      </w:r>
      <w:r>
        <w:rPr>
          <w:rFonts w:ascii="IRNazanin" w:hAnsi="IRNazanin" w:eastAsia="IRNazanin"/>
          <w:color w:val="111111"/>
          <w:sz w:val="28"/>
          <w:sz w:val="28"/>
          <w:szCs w:val="28"/>
          <w:rtl w:val="true"/>
          <w:lang w:bidi="fa-IR"/>
        </w:rPr>
        <w:t>علی الجبیرة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کالعلّامة قدّس سرّه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موضع من البشرة نجسا وجب التیمّم </w:t>
      </w:r>
      <w:r>
        <w:rPr>
          <w:rStyle w:val="FootnoteAnchor"/>
          <w:rtl w:val="true"/>
        </w:rPr>
        <w:footnoteReference w:id="1670"/>
      </w:r>
      <w:r>
        <w:rPr>
          <w:rFonts w:ascii="IRNazanin" w:hAnsi="IRNazanin" w:eastAsia="IRNazanin"/>
          <w:color w:val="111111"/>
          <w:sz w:val="28"/>
          <w:sz w:val="28"/>
          <w:szCs w:val="28"/>
          <w:rtl w:val="true"/>
          <w:lang w:bidi="fa-IR"/>
        </w:rPr>
        <w:t>، فلم یحکم بوجوب وضع شی‌ء طاهر، و لیس ذلک إلّا لعدم الدلیل علی قیام ما یوضع مقام البشرة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عموم ما دلّ علی وجوب المسح علی الجبیرة </w:t>
      </w:r>
      <w:r>
        <w:rPr>
          <w:rStyle w:val="FootnoteAnchor"/>
          <w:rtl w:val="true"/>
        </w:rPr>
        <w:footnoteReference w:id="1671"/>
      </w:r>
      <w:r>
        <w:rPr>
          <w:rFonts w:ascii="IRNazanin" w:hAnsi="IRNazanin" w:eastAsia="IRNazanin"/>
          <w:color w:val="111111"/>
          <w:sz w:val="28"/>
          <w:sz w:val="28"/>
          <w:szCs w:val="28"/>
          <w:rtl w:val="true"/>
          <w:lang w:bidi="fa-IR"/>
        </w:rPr>
        <w:t>المتوقّف هنا علی وضع الطاهر، لأنّه یصیر جزءا من الجبیرة قابلا للمسح،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الأخبار مسح الموجود من الجبیرة، غایة الأمر وجوب تطهیرها من باب المقدّمة إن کانت قابلة للتطهیر، أمّا وضع شی‌ء علیها فلا یعدّ تطهیرا، خصوصا إذا لم یصدق علی الموضوع اسم الجبیرة، بأن وضعه ثمّ رفعه بعد المسح علیه، و لذلک کلّه احتمل فی الذکری الاکتفاء بغسل ما حوله </w:t>
      </w:r>
      <w:r>
        <w:rPr>
          <w:rStyle w:val="FootnoteAnchor"/>
          <w:rtl w:val="true"/>
        </w:rPr>
        <w:footnoteReference w:id="1672"/>
      </w:r>
      <w:r>
        <w:rPr>
          <w:rFonts w:ascii="IRNazanin" w:hAnsi="IRNazanin" w:eastAsia="IRNazanin"/>
          <w:color w:val="111111"/>
          <w:sz w:val="28"/>
          <w:sz w:val="28"/>
          <w:szCs w:val="28"/>
          <w:rtl w:val="true"/>
          <w:lang w:bidi="fa-IR"/>
        </w:rPr>
        <w:t>، و لا یخلو عن قرب، و إن کان الأحوط الجمع بین وضع الطاهر و غسل ما حوله، بل المسح علی الجبیرة النجسة، لحکایة القول بتعیّنه</w:t>
      </w:r>
    </w:p>
    <w:p>
      <w:pPr>
        <w:pStyle w:val="BookText"/>
        <w:rPr/>
      </w:pPr>
      <w:r>
        <w:rPr>
          <w:rFonts w:ascii="IRNazanin" w:hAnsi="IRNazanin" w:eastAsia="IRNazanin"/>
          <w:color w:val="111111"/>
          <w:sz w:val="28"/>
          <w:sz w:val="28"/>
          <w:szCs w:val="28"/>
          <w:rtl w:val="true"/>
          <w:lang w:bidi="fa-IR"/>
        </w:rPr>
        <w:t xml:space="preserve">عن بعض </w:t>
      </w:r>
      <w:r>
        <w:rPr>
          <w:rStyle w:val="FootnoteAnchor"/>
          <w:rtl w:val="true"/>
        </w:rPr>
        <w:footnoteReference w:id="1673"/>
      </w:r>
      <w:r>
        <w:rPr>
          <w:rFonts w:ascii="IRNazanin" w:hAnsi="IRNazanin" w:eastAsia="IRNazanin"/>
          <w:color w:val="111111"/>
          <w:sz w:val="28"/>
          <w:sz w:val="28"/>
          <w:szCs w:val="28"/>
          <w:rtl w:val="true"/>
          <w:lang w:bidi="fa-IR"/>
        </w:rPr>
        <w:t>، لإطلاق أخبار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یلحق بالجبیرة غیرها، ممّا التصق بالبشرة لحاجة، و قد ورد النصّ علی الطلاء و الخرقة و المرارة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ألصق الحاجب عبثا، أو التصق به اتّفاقا، و تعذّر نزعه، فصرّح فی الذکری بإلحاقه بالجبیرة </w:t>
      </w:r>
      <w:r>
        <w:rPr>
          <w:rStyle w:val="FootnoteAnchor"/>
          <w:rtl w:val="true"/>
        </w:rPr>
        <w:footnoteReference w:id="1675"/>
      </w:r>
      <w:r>
        <w:rPr>
          <w:rFonts w:ascii="IRNazanin" w:hAnsi="IRNazanin" w:eastAsia="IRNazanin"/>
          <w:color w:val="111111"/>
          <w:sz w:val="28"/>
          <w:sz w:val="28"/>
          <w:szCs w:val="28"/>
          <w:rtl w:val="true"/>
          <w:lang w:bidi="fa-IR"/>
        </w:rPr>
        <w:t>، و هو حسن، بناء علی أنّ حکم الجبیرة المتعذّر نزعها مطابق للقاعدة المستفادة من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1676"/>
      </w:r>
      <w:r>
        <w:rPr>
          <w:rFonts w:ascii="IRNazanin" w:hAnsi="IRNazanin" w:eastAsia="IRNazanin"/>
          <w:color w:val="111111"/>
          <w:sz w:val="28"/>
          <w:sz w:val="28"/>
          <w:szCs w:val="28"/>
          <w:rtl w:val="true"/>
          <w:lang w:bidi="fa-IR"/>
        </w:rPr>
        <w:t>و خصوص روایة عبد الأعلی مولی آل سام،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عثرت فانقطع ظفری، فجعلت علی إصبعی مرارة، فکیف أصنع بالوضوء؟ قال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یعرف هذا و أشباهه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677"/>
      </w:r>
      <w:r>
        <w:rPr>
          <w:rFonts w:ascii="IRNazanin" w:hAnsi="IRNazanin" w:eastAsia="IRNazanin"/>
          <w:color w:val="111111"/>
          <w:sz w:val="28"/>
          <w:sz w:val="28"/>
          <w:szCs w:val="28"/>
          <w:rtl w:val="true"/>
          <w:lang w:bidi="fa-IR"/>
        </w:rPr>
        <w:t xml:space="preserve">فإنّ أحاله استفادة المسح علی المرارة من مجرّد نفی وجوب المسح علی البشرة المستفادة من الآیة، ظاهرة فی أنّ الواجب هو الاقتصار فی الترک علی ما تعذّر من مباشرة الماسح للممسوح، من دون سقوط أصل </w:t>
      </w:r>
      <w:r>
        <w:rPr>
          <w:rStyle w:val="FootnoteAnchor"/>
          <w:rtl w:val="true"/>
        </w:rPr>
        <w:footnoteReference w:id="1678"/>
      </w:r>
      <w:r>
        <w:rPr>
          <w:rFonts w:ascii="IRNazanin" w:hAnsi="IRNazanin" w:eastAsia="IRNazanin"/>
          <w:color w:val="111111"/>
          <w:sz w:val="28"/>
          <w:sz w:val="28"/>
          <w:szCs w:val="28"/>
          <w:rtl w:val="true"/>
          <w:lang w:bidi="fa-IR"/>
        </w:rPr>
        <w:t>الواجب من الغسل أو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القاعدة المذکورة فی مثل المقام أوّلا، ثمّ عدم جواز العمل بها فی خصوص المقام علی تقدیر ثبوتها فی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تجری فی الأجزاء الخارجیة، دون القیود التی هی الأجزاء الذهنیة، و لو فرض جریانها فی القیود اختصّت بالقیود المنتزعة من الأمور الخارجیة، کما إذا تعذّرت الصلاة مع طهارة الثوب، لتعذّر غسله، أمّا مثل المباشرة فلا یعدّ من القیود، بل هی مقوّمة لمفهوم غسل الأعضاء المأمور به فی الوضوء، فإنّ غسل الوجه لا ینقسم إلی ما کان مع المباشرة 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یطلق مسامحة علی غسل القدر المشترک بین العضو و ما علیه من الحائل، لعدم التنبیه علیه فی الشکّ فی الحاجب، لکن هذا المقدار لا یجعل المسح علی الحائل قدرا میسورا من المسح الواجب فی الوضوء، فلا بدّ من حمل روایة عبد الأعلی علی أنّ الراوی کان عالما بدوران الأمر بین المسح علی المرارة و المسح علی العضو، و کان سؤاله عن وجوب رفع المرارة ثمّ وضعها، لعدم تعسّره أو سقوط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اللازم من إجراء القاعدة فی هذا المقام، وجوب غسل الجبیرة، و قد عرفت أنّ المشهور خلافه، بل اللازم منه ارتفاع التیمّم بالنسبة إلی المتضرّر بالغسل، لبرد أو مرض أو نحوهما، لأنّ کلّ مریض متمکّن مباشرة أو تولیة من مسح ما علیه من اللباس الساتر لبدنه، بل من مسح بدنه تدریجا بیده المبلولة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فقد اتّفقوا علی أنّ من تعذّر علیه الماء لبعض الأعضاء یرجع إلی التیمّم، و لا یشرع له الوضوء الناقص، و ألحق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إذا تضرّر بمسح الجبیرة، و ما إذا کان بعض مواضع الطهارة نجسا، إلی غیر ذلک ممّا ینافی الرجوع إلی 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فالبناء علی مراعاة ما تضمّنته ظاهر روایة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تعسّر القید لا یوجب سقوط المقیّد، خصوصا فی مثل قید المباشرة التی هی فی الحقیقة، من قبیل المقوّم للفعل المأمور به، لا المقسم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الفساد، و ارتکاب التخصیص فیها کما تری، مع أنّ سیاق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هذا و أشباهه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التخصیص، لأنّ ظاهره بیان عدم الحاجة إلی السؤال، مع أنّ العامّ المخصّص بتخصیصات کثیرة جدّا یحتاج العمل به إلی الفحص التامّ بجمیع أنواعه، و منها السؤال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فمثل هذا الکلام من الإمام إنّما یحسن فی مقام لا یحتاج إلی الفحص، إلّا بالنسبة إلی المخصّصات الشائعة الحاضرة فی أذهان أکثر المکلّفین هنا، مع کون الروایة غیر نقیّة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قاصرة الدلالة بالنسبة إلی المقام، لو أغمض عن أسنادها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 علی الجبیرة لا یوافق القاعدة، خصوصا مع التمکّن من مسح البشرة، بل لو ثبت غسل الجبیرة، کان مسح البشرة أقرب منه، کیف و لم یثبت؟ فإلحاق ما عدا مورد النصّ بالجبیرة، یحتاج إلی تنقیح</w:t>
      </w:r>
    </w:p>
    <w:p>
      <w:pPr>
        <w:pStyle w:val="BookText"/>
        <w:rPr/>
      </w:pPr>
      <w:r>
        <w:rPr>
          <w:rFonts w:ascii="IRNazanin" w:hAnsi="IRNazanin" w:eastAsia="IRNazanin"/>
          <w:color w:val="111111"/>
          <w:sz w:val="28"/>
          <w:sz w:val="28"/>
          <w:szCs w:val="28"/>
          <w:rtl w:val="true"/>
          <w:lang w:bidi="fa-IR"/>
        </w:rPr>
        <w:t xml:space="preserve">المناط، و لعلّه منقّح بالنسبة إلی کلّ ملصق لعذر، أمّا الملصق لا له، اتّفاقا، أو اختیارا، فمقتضی القاعدة غسله، لتعذّر مسح البشرة فیه، مع أنّه أحوط، بناء علی ما قدّمنا من عدم اعتبار خصوص قصد المسح، أو الغسل فی بلّ </w:t>
      </w:r>
      <w:r>
        <w:rPr>
          <w:rStyle w:val="FootnoteAnchor"/>
          <w:rtl w:val="true"/>
        </w:rPr>
        <w:footnoteReference w:id="1683"/>
      </w:r>
      <w:r>
        <w:rPr>
          <w:rFonts w:ascii="IRNazanin" w:hAnsi="IRNazanin" w:eastAsia="IRNazanin"/>
          <w:color w:val="111111"/>
          <w:sz w:val="28"/>
          <w:sz w:val="28"/>
          <w:szCs w:val="28"/>
          <w:rtl w:val="true"/>
          <w:lang w:bidi="fa-IR"/>
        </w:rPr>
        <w:t>الجبیرة، هذا کلّه بعد تقدیم الوضوء الناقص علی التیمّم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المصنّف قدّس سرّه لم یتعرّض لحکم الجرح المکشوف و نحوه، فالمعروف الاکتفاء بغسل ما حوله مع تعذّر المسح </w:t>
      </w:r>
      <w:r>
        <w:rPr>
          <w:rStyle w:val="FootnoteAnchor"/>
          <w:rtl w:val="true"/>
        </w:rPr>
        <w:footnoteReference w:id="1684"/>
      </w:r>
      <w:r>
        <w:rPr>
          <w:rFonts w:ascii="IRNazanin" w:hAnsi="IRNazanin" w:eastAsia="IRNazanin"/>
          <w:color w:val="111111"/>
          <w:sz w:val="28"/>
          <w:sz w:val="28"/>
          <w:szCs w:val="28"/>
          <w:rtl w:val="true"/>
          <w:lang w:bidi="fa-IR"/>
        </w:rPr>
        <w:t>علیه، لحسنة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الجرح، کیف أصنع به فی 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حوله</w:t>
      </w:r>
      <w:r>
        <w:rPr>
          <w:rFonts w:eastAsia="IRNazanin" w:cs="IRNazanin"/>
          <w:color w:val="111111"/>
          <w:sz w:val="28"/>
          <w:szCs w:val="28"/>
          <w:rtl w:val="true"/>
          <w:lang w:bidi="fa-IR"/>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روایة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الجرح کیف یصنع صاحبه؟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حوله</w:t>
      </w:r>
      <w:r>
        <w:rPr>
          <w:rFonts w:eastAsia="IRNazanin" w:cs="IRNazanin"/>
          <w:color w:val="111111"/>
          <w:sz w:val="28"/>
          <w:szCs w:val="28"/>
          <w:rtl w:val="true"/>
          <w:lang w:bidi="fa-IR"/>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إطلاقهما و السکوت عن وجوب مسح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منع انصرافه إلی الغالب من تضرّرها بالمسح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التمکّن من المسح علیه و عدمه، کما هو ظاهر جماعة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جماعة منهم الفاضلان </w:t>
      </w:r>
      <w:r>
        <w:rPr>
          <w:rStyle w:val="FootnoteAnchor"/>
          <w:rtl w:val="true"/>
        </w:rPr>
        <w:footnoteReference w:id="1687"/>
      </w:r>
      <w:r>
        <w:rPr>
          <w:rFonts w:ascii="IRNazanin" w:hAnsi="IRNazanin" w:eastAsia="IRNazanin"/>
          <w:color w:val="111111"/>
          <w:sz w:val="28"/>
          <w:sz w:val="28"/>
          <w:szCs w:val="28"/>
          <w:rtl w:val="true"/>
          <w:lang w:bidi="fa-IR"/>
        </w:rPr>
        <w:t>قدّس اللّٰه تعالی أسرارهم وجوب المسح، قال فی محکیّ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أحد الواجبین، و لتضمّن الغسل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w:t>
      </w:r>
      <w:r>
        <w:rPr>
          <w:rStyle w:val="FootnoteAnchor"/>
          <w:rtl w:val="true"/>
        </w:rPr>
        <w:footnoteReference w:id="1688"/>
      </w:r>
      <w:r>
        <w:rPr>
          <w:rFonts w:ascii="IRNazanin" w:hAnsi="IRNazanin" w:eastAsia="IRNazanin"/>
          <w:color w:val="111111"/>
          <w:sz w:val="28"/>
          <w:sz w:val="28"/>
          <w:szCs w:val="28"/>
          <w:rtl w:val="true"/>
          <w:lang w:bidi="fa-IR"/>
        </w:rPr>
        <w:t>حکمهم بترجیح غسل الرجلین علی مسح الخفّین لو أحوجت التقیّة إلی أحدهما،</w:t>
      </w:r>
    </w:p>
    <w:p>
      <w:pPr>
        <w:pStyle w:val="BookText"/>
        <w:rPr/>
      </w:pPr>
      <w:r>
        <w:rPr>
          <w:rFonts w:ascii="IRNazanin" w:hAnsi="IRNazanin" w:eastAsia="IRNazanin"/>
          <w:color w:val="111111"/>
          <w:sz w:val="28"/>
          <w:sz w:val="28"/>
          <w:szCs w:val="28"/>
          <w:rtl w:val="true"/>
          <w:lang w:bidi="fa-IR"/>
        </w:rPr>
        <w:t>و فیه تأمّل، لأنّ کونه أحد الواجبین لا یقتضی قیامه مقام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تضمّن الغسل إیّاه، 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بینهما قدر مشترک یتضمّنه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جاریة هنا حتّی لو أجریناها فی القیود، بل هو نظیر المباشرة التی عرفت حالها، و لذا لم یحکم الأکثر بکفایة مسح أعضاء الوضوء إذا لم یتمکّن من غسلها، بل حکموا بالعدول إلی التیمّم، و اعترضوا </w:t>
      </w:r>
      <w:r>
        <w:rPr>
          <w:rStyle w:val="FootnoteAnchor"/>
          <w:rtl w:val="true"/>
        </w:rPr>
        <w:footnoteReference w:id="1689"/>
      </w:r>
      <w:r>
        <w:rPr>
          <w:rFonts w:ascii="IRNazanin" w:hAnsi="IRNazanin" w:eastAsia="IRNazanin"/>
          <w:color w:val="111111"/>
          <w:sz w:val="28"/>
          <w:sz w:val="28"/>
          <w:szCs w:val="28"/>
          <w:rtl w:val="true"/>
          <w:lang w:bidi="fa-IR"/>
        </w:rPr>
        <w:t xml:space="preserve">علی الشیخ قدّس سرّه فی تقدیم التمسّح بالثلج علی التیمّم </w:t>
      </w:r>
      <w:r>
        <w:rPr>
          <w:rStyle w:val="FootnoteAnchor"/>
          <w:rtl w:val="true"/>
        </w:rPr>
        <w:footnoteReference w:id="1690"/>
      </w:r>
      <w:r>
        <w:rPr>
          <w:rFonts w:ascii="IRNazanin" w:hAnsi="IRNazanin" w:eastAsia="IRNazanin"/>
          <w:color w:val="111111"/>
          <w:sz w:val="28"/>
          <w:sz w:val="28"/>
          <w:szCs w:val="28"/>
          <w:rtl w:val="true"/>
          <w:lang w:bidi="fa-IR"/>
        </w:rPr>
        <w:t xml:space="preserve">و إن تبعه فی المنتهی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الفرق بین تعذّر الغسل لفقد الماء و تعذّره لغیره من الأعذار فیجزیه المسح فی الثانی دون الأوّل لصدق عدم وجدان الماء فیه مدفوعة بما سیتّضح من أنّ المناط فی التیمّم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الحرج فی استعمال الماء علی وجه الغسل لا خصوص 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استحباب المسح علی الجبیرة ربّما یدلّ بالفحوی علی المسح علی البشرة، لکن بعد ملاحظة تقدیم الجبیرة علی البشرة فی المسح و الاتّفاق علی المسح علی الجبیرة و الخلاف فی البشرة هنا لا تبقی الفحوی، و لأجل ما ذکرنا استشکل فی المسألة جماعة من متأخری المتأخّرین </w:t>
      </w:r>
      <w:r>
        <w:rPr>
          <w:rStyle w:val="FootnoteAnchor"/>
          <w:rtl w:val="true"/>
        </w:rPr>
        <w:footnoteReference w:id="1692"/>
      </w:r>
      <w:r>
        <w:rPr>
          <w:rFonts w:ascii="IRNazanin" w:hAnsi="IRNazanin" w:eastAsia="IRNazanin"/>
          <w:color w:val="111111"/>
          <w:sz w:val="28"/>
          <w:sz w:val="28"/>
          <w:szCs w:val="28"/>
          <w:rtl w:val="true"/>
          <w:lang w:bidi="fa-IR"/>
        </w:rPr>
        <w:t>، بل عن المدارک أنّه ینبغی القطع</w:t>
      </w:r>
    </w:p>
    <w:p>
      <w:pPr>
        <w:pStyle w:val="BookText"/>
        <w:rPr/>
      </w:pPr>
      <w:r>
        <w:rPr>
          <w:rFonts w:ascii="IRNazanin" w:hAnsi="IRNazanin" w:eastAsia="IRNazanin"/>
          <w:color w:val="111111"/>
          <w:sz w:val="28"/>
          <w:sz w:val="28"/>
          <w:szCs w:val="28"/>
          <w:rtl w:val="true"/>
          <w:lang w:bidi="fa-IR"/>
        </w:rPr>
        <w:t xml:space="preserve">بالاکتفاء بغسل ما حوله </w:t>
      </w:r>
      <w:r>
        <w:rPr>
          <w:rStyle w:val="FootnoteAnchor"/>
          <w:rtl w:val="true"/>
        </w:rPr>
        <w:footnoteReference w:id="1693"/>
      </w:r>
      <w:r>
        <w:rPr>
          <w:rFonts w:ascii="IRNazanin" w:hAnsi="IRNazanin" w:eastAsia="IRNazanin"/>
          <w:color w:val="111111"/>
          <w:sz w:val="28"/>
          <w:sz w:val="28"/>
          <w:szCs w:val="28"/>
          <w:rtl w:val="true"/>
          <w:lang w:bidi="fa-IR"/>
        </w:rPr>
        <w:t xml:space="preserve">، بل عن جامع المقاصد نسبة ذلک إلی نصّ الأصحاب و ورود الأخبار </w:t>
      </w:r>
      <w:r>
        <w:rPr>
          <w:rStyle w:val="FootnoteAnchor"/>
          <w:rtl w:val="true"/>
        </w:rPr>
        <w:footnoteReference w:id="1694"/>
      </w:r>
      <w:r>
        <w:rPr>
          <w:rFonts w:ascii="IRNazanin" w:hAnsi="IRNazanin" w:eastAsia="IRNazanin"/>
          <w:color w:val="111111"/>
          <w:sz w:val="28"/>
          <w:sz w:val="28"/>
          <w:szCs w:val="28"/>
          <w:rtl w:val="true"/>
          <w:lang w:bidi="fa-IR"/>
        </w:rPr>
        <w:t>، لکن یحتمل بقرینة النسبة إلی الأخبار أن یکون ذلک بالنسبة إلی عدم وجوب التیمّم لا عدم وجوب الزائد علی غسل ما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الأحوط ما ذکره الجماعة، و علیه فلو تعذّر المسح علی البشرة لتضرّره، ففی وجوب وضع الجبیرة قولان، أقواهما العدم، خصوصا إن أرید الوضع قبل غسل ما حوله المستلزم لستر بعض الصحیح، لإطلاق الروایتین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وجوب المسح علی الجبیرة فی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یتخوّف علی نفسه فلیمسح علی جبائره</w:t>
      </w:r>
      <w:r>
        <w:rPr>
          <w:rFonts w:eastAsia="IRNazanin" w:cs="IRNazanin"/>
          <w:color w:val="111111"/>
          <w:sz w:val="28"/>
          <w:szCs w:val="28"/>
          <w:rtl w:val="true"/>
          <w:lang w:bidi="fa-IR"/>
        </w:rPr>
        <w:t xml:space="preserve">» </w:t>
      </w:r>
      <w:r>
        <w:rPr>
          <w:rStyle w:val="FootnoteAnchor"/>
          <w:rtl w:val="true"/>
        </w:rPr>
        <w:footnoteReference w:id="1695"/>
      </w:r>
      <w:r>
        <w:rPr>
          <w:rFonts w:ascii="IRNazanin" w:hAnsi="IRNazanin" w:eastAsia="IRNazanin"/>
          <w:color w:val="111111"/>
          <w:sz w:val="28"/>
          <w:sz w:val="28"/>
          <w:szCs w:val="28"/>
          <w:rtl w:val="true"/>
          <w:lang w:bidi="fa-IR"/>
        </w:rPr>
        <w:t>مفروضا فی ذی الجبیرة و إن کان السؤال فیه عن مطلق الکسر الشامل للمجرّد عن الجبیرة، فیتوهّم ظهوره فی الوجوب المطلق فیجب تحصیل 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جدّا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حکی فی الریاض دعوی عدم الخلاف فی وجوب وضع الجبیرة ما لم یستر شیئا من الصحیح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تعذّر المسح بسبب النجاسة، ففی إلحاقها بالجبیرة النجسة فی وجوب وضع طاهر علیها ثمّ المسح علیه، أو بالبشرة الصحیحة النجسة</w:t>
      </w:r>
    </w:p>
    <w:p>
      <w:pPr>
        <w:pStyle w:val="BookText"/>
        <w:rPr/>
      </w:pPr>
      <w:r>
        <w:rPr>
          <w:rFonts w:ascii="IRNazanin" w:hAnsi="IRNazanin" w:eastAsia="IRNazanin"/>
          <w:color w:val="111111"/>
          <w:sz w:val="28"/>
          <w:sz w:val="28"/>
          <w:szCs w:val="28"/>
          <w:rtl w:val="true"/>
          <w:lang w:bidi="fa-IR"/>
        </w:rPr>
        <w:t xml:space="preserve">التی حکم فیها فی المبسوط </w:t>
      </w:r>
      <w:r>
        <w:rPr>
          <w:rStyle w:val="FootnoteAnchor"/>
          <w:rtl w:val="true"/>
        </w:rPr>
        <w:footnoteReference w:id="1697"/>
      </w:r>
      <w:r>
        <w:rPr>
          <w:rFonts w:ascii="IRNazanin" w:hAnsi="IRNazanin" w:eastAsia="IRNazanin"/>
          <w:color w:val="111111"/>
          <w:sz w:val="28"/>
          <w:sz w:val="28"/>
          <w:szCs w:val="28"/>
          <w:rtl w:val="true"/>
          <w:lang w:bidi="fa-IR"/>
        </w:rPr>
        <w:t xml:space="preserve">و المعتبر </w:t>
      </w:r>
      <w:r>
        <w:rPr>
          <w:rStyle w:val="FootnoteAnchor"/>
          <w:rtl w:val="true"/>
        </w:rPr>
        <w:footnoteReference w:id="1698"/>
      </w:r>
      <w:r>
        <w:rPr>
          <w:rFonts w:ascii="IRNazanin" w:hAnsi="IRNazanin" w:eastAsia="IRNazanin"/>
          <w:color w:val="111111"/>
          <w:sz w:val="28"/>
          <w:sz w:val="28"/>
          <w:szCs w:val="28"/>
          <w:rtl w:val="true"/>
          <w:lang w:bidi="fa-IR"/>
        </w:rPr>
        <w:t xml:space="preserve">و التذکرة </w:t>
      </w:r>
      <w:r>
        <w:rPr>
          <w:rStyle w:val="FootnoteAnchor"/>
          <w:rtl w:val="true"/>
        </w:rPr>
        <w:footnoteReference w:id="1699"/>
      </w:r>
      <w:r>
        <w:rPr>
          <w:rFonts w:ascii="IRNazanin" w:hAnsi="IRNazanin" w:eastAsia="IRNazanin"/>
          <w:color w:val="111111"/>
          <w:sz w:val="28"/>
          <w:sz w:val="28"/>
          <w:szCs w:val="28"/>
          <w:rtl w:val="true"/>
          <w:lang w:bidi="fa-IR"/>
        </w:rPr>
        <w:t xml:space="preserve">بانتقاله إلی التیمّم، أو بالبشرة المجروحة التی لا یمکن مسحها بناء علی ما انتصرناه فیها، أو المسح علی الموضع النجس کما عن بعض </w:t>
      </w:r>
      <w:r>
        <w:rPr>
          <w:rStyle w:val="FootnoteAnchor"/>
          <w:rtl w:val="true"/>
        </w:rPr>
        <w:footnoteReference w:id="1700"/>
      </w:r>
      <w:r>
        <w:rPr>
          <w:rFonts w:ascii="IRNazanin" w:hAnsi="IRNazanin" w:eastAsia="IRNazanin"/>
          <w:color w:val="111111"/>
          <w:sz w:val="28"/>
          <w:sz w:val="28"/>
          <w:szCs w:val="28"/>
          <w:rtl w:val="true"/>
          <w:lang w:bidi="fa-IR"/>
        </w:rPr>
        <w:t>فی مسألة الجبیرة،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أقواها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عبارة الذکری فی حکم الجرح المجرّد بأقسامه، قال قدّس سرّه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أمکن المسح علی محلّ الجرح المجرّد بغیر خوف تلف و لا زیادة فیه، ففی وجوب المسح علیه احتمال، مال إلیه فی المعتبر </w:t>
      </w:r>
      <w:r>
        <w:rPr>
          <w:rStyle w:val="FootnoteAnchor"/>
          <w:rtl w:val="true"/>
        </w:rPr>
        <w:footnoteReference w:id="1701"/>
      </w:r>
      <w:r>
        <w:rPr>
          <w:rFonts w:ascii="IRNazanin" w:hAnsi="IRNazanin" w:eastAsia="IRNazanin"/>
          <w:color w:val="111111"/>
          <w:sz w:val="28"/>
          <w:sz w:val="28"/>
          <w:szCs w:val="28"/>
          <w:rtl w:val="true"/>
          <w:lang w:bidi="fa-IR"/>
        </w:rPr>
        <w:t xml:space="preserve">، و تبعه فی التذکرة </w:t>
      </w:r>
      <w:r>
        <w:rPr>
          <w:rStyle w:val="FootnoteAnchor"/>
          <w:rtl w:val="true"/>
        </w:rPr>
        <w:footnoteReference w:id="1702"/>
      </w:r>
      <w:r>
        <w:rPr>
          <w:rFonts w:ascii="IRNazanin" w:hAnsi="IRNazanin" w:eastAsia="IRNazanin"/>
          <w:color w:val="111111"/>
          <w:sz w:val="28"/>
          <w:sz w:val="28"/>
          <w:szCs w:val="28"/>
          <w:rtl w:val="true"/>
          <w:lang w:bidi="fa-IR"/>
        </w:rPr>
        <w:t xml:space="preserve">، تحصیلا لشبه الغسل عند تعذّر حقیقته، و کأنّه یحمل الروایة بغسل ما حوله علی ما إذا خاف الضرر بمسحه، مع أنّه لیس فیها نفی لمسحه، فیجوز استفادته من دلیل آخر، فإن قلنا به و تعذّر ففی وجوب وضع لصوق و المسح علیه احتمال أیضا، لأنّ المسح بدل عن الغسل فینسب إلیه </w:t>
      </w:r>
      <w:r>
        <w:rPr>
          <w:rStyle w:val="FootnoteAnchor"/>
          <w:rtl w:val="true"/>
        </w:rPr>
        <w:footnoteReference w:id="1703"/>
      </w:r>
      <w:r>
        <w:rPr>
          <w:rFonts w:ascii="IRNazanin" w:hAnsi="IRNazanin" w:eastAsia="IRNazanin"/>
          <w:color w:val="111111"/>
          <w:sz w:val="28"/>
          <w:sz w:val="28"/>
          <w:szCs w:val="28"/>
          <w:rtl w:val="true"/>
          <w:lang w:bidi="fa-IR"/>
        </w:rPr>
        <w:t>بقدر الإمکان، و إن قلنا بعدم المسح علی الجرح المجرّد مع إمکانه أمکن وجوب هذا الوضع لتحاذی الجبیرة و ما علیه لصوق ابتداء، و الروایة دالّة علی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الجواز فإن لم یستلزم ستر شی‌ء من الصحیح فلا إشکال فیه،</w:t>
      </w:r>
    </w:p>
    <w:p>
      <w:pPr>
        <w:pStyle w:val="BookText"/>
        <w:rPr/>
      </w:pPr>
      <w:r>
        <w:rPr>
          <w:rFonts w:ascii="IRNazanin" w:hAnsi="IRNazanin" w:eastAsia="IRNazanin"/>
          <w:color w:val="111111"/>
          <w:sz w:val="28"/>
          <w:sz w:val="28"/>
          <w:szCs w:val="28"/>
          <w:rtl w:val="true"/>
          <w:lang w:bidi="fa-IR"/>
        </w:rPr>
        <w:t xml:space="preserve">و إذا استلزم أمکن المنع، لأنّه ترک للغسل الواجب، و الجواز، عملا بتکمیل الطهارة بالمسح </w:t>
      </w:r>
      <w:r>
        <w:rPr>
          <w:rStyle w:val="FootnoteAnchor"/>
          <w:rtl w:val="true"/>
        </w:rPr>
        <w:footnoteReference w:id="1704"/>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فی المقام إشکال، تفطّن له جماعة منهم المحقّق الثانی قدّس سرّه </w:t>
      </w:r>
      <w:r>
        <w:rPr>
          <w:rStyle w:val="FootnoteAnchor"/>
          <w:rtl w:val="true"/>
        </w:rPr>
        <w:footnoteReference w:id="1705"/>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الأخبار بل فتاوی الأصحاب وقع فی المجروح و المقروح و الکسر بالتیمّم علی وجه ینافی ما ذکر هنا من النصّ و الفتوی، فلا بدّ من ذکر الأخبار و الفتاوی فی التیمّم، ثمّ بیان مقتضی القاعدة عند دوران الأمر بین الوضوء الناقص و التیمّم، حتّی یرجع إلیه عند التوقّف فی الأخبار، ثمّ بیان ما یصلح محملا لتلک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الأخبار،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به القرح و الجراحة یجنب،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لا یغتسل و یتیمّم</w:t>
      </w:r>
      <w:r>
        <w:rPr>
          <w:rFonts w:eastAsia="IRNazanin" w:cs="IRNazanin"/>
          <w:color w:val="111111"/>
          <w:sz w:val="28"/>
          <w:szCs w:val="28"/>
          <w:rtl w:val="true"/>
          <w:lang w:bidi="fa-IR"/>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جعفر بن إبراهیم الجعفری،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أصابته جنابة علی جرح کان به، فأمر بالغسل، فکزّ،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إنّما کان دواء العیّ السؤال</w:t>
      </w:r>
      <w:r>
        <w:rPr>
          <w:rFonts w:eastAsia="IRNazanin" w:cs="IRNazanin"/>
          <w:color w:val="111111"/>
          <w:sz w:val="28"/>
          <w:szCs w:val="28"/>
          <w:rtl w:val="true"/>
          <w:lang w:bidi="fa-IR"/>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علیه کان هو التیمّم دون الغسل، لا المسح علی الجبیرة دون غسل البشرة، بقرینة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البزنطی عن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تصیبه الجنابة و به قروح، أو جروح، أو یکون یخاف علی نفسه من البرد،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یغتسل و یتیمّم</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 xml:space="preserve">، و مثلها روایة داود بن سرحان عن أبی عبد اللّٰه علیه السلام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مسلم، عن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تکون به القروح فی جسده، فتصیبه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w:t>
      </w:r>
      <w:r>
        <w:rPr>
          <w:rFonts w:eastAsia="IRNazanin" w:cs="IRNazanin"/>
          <w:color w:val="111111"/>
          <w:sz w:val="28"/>
          <w:szCs w:val="28"/>
          <w:rtl w:val="true"/>
          <w:lang w:bidi="fa-IR"/>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المبطون و الکسیر یؤمّمان و لا یغتسلان</w:t>
      </w:r>
      <w:r>
        <w:rPr>
          <w:rFonts w:eastAsia="IRNazanin" w:cs="IRNazanin"/>
          <w:color w:val="111111"/>
          <w:sz w:val="28"/>
          <w:szCs w:val="28"/>
          <w:rtl w:val="true"/>
          <w:lang w:bidi="fa-IR"/>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ابن أبی عمیر عن محمّد بن مسکین و غیره،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فلانا أصابته جنابة و هو مجدور، فغسّلوه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أ لا سألوا أ لا یمّموه، إنّ شفاء العیّ السؤال</w:t>
      </w:r>
      <w:r>
        <w:rPr>
          <w:rFonts w:eastAsia="IRNazanin" w:cs="IRNazanin"/>
          <w:color w:val="111111"/>
          <w:sz w:val="28"/>
          <w:szCs w:val="28"/>
          <w:rtl w:val="true"/>
          <w:lang w:bidi="fa-IR"/>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ذلک فی الکسیر و المبطون، یتیمّم و لا یغتسل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وصل إلینا من الأخبار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الفتاوی المخالفة بظاهرها لما ذکر هنا، ففی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و الجرح و القرح التی علیها جبیرة أو خرقة، فإنّ ظاهرهم الاتّفاق فی باب الوضوء علی وجه المسح علیها، و أطلقوا فی باب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الکسیر و المجروح و المقروح، بل کلّ من لم یتمکّن من غسل بعض أعضاء الطهارة تیمّم، و لا یکتفی بغسل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التنافی یرتفع بأدنی تتبّع فی کلماتهم فإنّه یحصل القطع أنّ مرادهم فی باب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الجبائر و الخرق المشدودة علی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و الجرح و القرح المجرّد، و عمدة الاضطراب هنا، و لنذکر عباراتهم،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 فی باب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فی بعض جسده أو بعض أعضاء طهارته ما لا ضرر علیه، و الباقی علیه جراح، أو علیه ضرر فی إیصال الماء إلیه، جاز له التیمّم، و لا یجب علیه غسل الأعضاء الصحیحة، فإن غسلها و تیمّم کان أحوط، سواء کان الأکثر صحیحا أم علیلا، و إذا حصل علی بعض أعضاء طهارته نجاسة و لا یقدر علی غسلها لألم فیه أو قرح أو جرح، تیمّم و صلّی و لا إعادة علیه </w:t>
      </w:r>
      <w:r>
        <w:rPr>
          <w:rStyle w:val="FootnoteAnchor"/>
          <w:rtl w:val="true"/>
        </w:rPr>
        <w:footnoteReference w:id="171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نحو ذلک بعینه فی الخلاف </w:t>
      </w:r>
      <w:r>
        <w:rPr>
          <w:rStyle w:val="FootnoteAnchor"/>
          <w:rtl w:val="true"/>
        </w:rPr>
        <w:footnoteReference w:id="1715"/>
      </w:r>
      <w:r>
        <w:rPr>
          <w:rFonts w:ascii="IRNazanin" w:hAnsi="IRNazanin" w:eastAsia="IRNazanin"/>
          <w:color w:val="111111"/>
          <w:sz w:val="28"/>
          <w:sz w:val="28"/>
          <w:szCs w:val="28"/>
          <w:rtl w:val="true"/>
          <w:lang w:bidi="fa-IR"/>
        </w:rPr>
        <w:t xml:space="preserve">، و استدلّ علیه بآیة نفی الحرج </w:t>
      </w:r>
      <w:r>
        <w:rPr>
          <w:rStyle w:val="FootnoteAnchor"/>
          <w:rtl w:val="true"/>
        </w:rPr>
        <w:footnoteReference w:id="1716"/>
      </w:r>
      <w:r>
        <w:rPr>
          <w:rFonts w:ascii="IRNazanin" w:hAnsi="IRNazanin" w:eastAsia="IRNazanin"/>
          <w:color w:val="111111"/>
          <w:sz w:val="28"/>
          <w:sz w:val="28"/>
          <w:szCs w:val="28"/>
          <w:rtl w:val="true"/>
          <w:lang w:bidi="fa-IR"/>
        </w:rPr>
        <w:t xml:space="preserve">، و ما قدّمه من الأخبار، و أشار إلی روایتی محمد بن مسکین و داود بن سرحان المتقدّمین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تضرّر بعض أعضائه بالماء لمرض، تیمّم، و لم</w:t>
      </w:r>
    </w:p>
    <w:p>
      <w:pPr>
        <w:pStyle w:val="BookText"/>
        <w:rPr/>
      </w:pPr>
      <w:r>
        <w:rPr>
          <w:rFonts w:ascii="IRNazanin" w:hAnsi="IRNazanin" w:eastAsia="IRNazanin"/>
          <w:color w:val="111111"/>
          <w:sz w:val="28"/>
          <w:sz w:val="28"/>
          <w:szCs w:val="28"/>
          <w:rtl w:val="true"/>
          <w:lang w:bidi="fa-IR"/>
        </w:rPr>
        <w:t>یغسل الصحیح، 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غسلها و تیمّم کان أحوط، و کذا لو کان بعض أعضائه نجسا و لا یقدر علی طهارته تیمّم و صلّی و لا یعید </w:t>
      </w:r>
      <w:r>
        <w:rPr>
          <w:rStyle w:val="FootnoteAnchor"/>
          <w:rtl w:val="true"/>
        </w:rPr>
        <w:footnoteReference w:id="17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أنّ هذا الکلام شامل للضرر لأجل الجرح أو القرح </w:t>
      </w:r>
      <w:r>
        <w:rPr>
          <w:rStyle w:val="FootnoteAnchor"/>
          <w:rtl w:val="true"/>
        </w:rPr>
        <w:footnoteReference w:id="1719"/>
      </w:r>
      <w:r>
        <w:rPr>
          <w:rFonts w:ascii="IRNazanin" w:hAnsi="IRNazanin" w:eastAsia="IRNazanin"/>
          <w:color w:val="111111"/>
          <w:sz w:val="28"/>
          <w:sz w:val="28"/>
          <w:szCs w:val="28"/>
          <w:rtl w:val="true"/>
          <w:lang w:bidi="fa-IR"/>
        </w:rPr>
        <w:t>المجرّدین المتعذّر مسحهما، بقرینة حکایة قول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تضرّر بعض أعضائه بالماء تیمّم و لم یغسل الصحیح، قال فی الخلاف 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غسل الصحیح و تیمّم کان أحوط، و کذا لو کان بعض أعضائه نجسا و لا یقدر علی طهارته بالماء تیمّم و صلّی </w:t>
      </w:r>
      <w:r>
        <w:rPr>
          <w:rStyle w:val="FootnoteAnchor"/>
          <w:rtl w:val="true"/>
        </w:rPr>
        <w:footnoteReference w:id="172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الصراحة فی الجرح و القرح المجرّدین کعبارة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الجریح لو أمکنه غسل بعض جسده أو بعض أعضائه فی الوضوء جاز له التیمم،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غسل الأعضاء الصحیحة أصلا، و لو غسلها ثمّ تیمّم کان أحوط، و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الجرح ممّا یمکن أن یشدّه و غسل باقی العضو و مسح باقی الخرقة التی علیه وجب و لا تیمّم، و إن لم یتمکّن من ذلک تیمّم </w:t>
      </w:r>
      <w:r>
        <w:rPr>
          <w:rStyle w:val="FootnoteAnchor"/>
          <w:rtl w:val="true"/>
        </w:rPr>
        <w:footnoteReference w:id="172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الجریح إن أمکنه غسل ما عدا الجرح وجب، ثمّ إن أمکنه اللصوق علی الجرح فعل و مسح علیه، و لو استوعب العذر عضوا تیمّم، و احتاط الشیخ بغسل الصحیح و التیمّم الکامل </w:t>
      </w:r>
      <w:r>
        <w:rPr>
          <w:rStyle w:val="FootnoteAnchor"/>
          <w:rtl w:val="true"/>
        </w:rPr>
        <w:footnoteReference w:id="17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تضرّر بالماء فی بعض الأعضاء تیمّم، 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الصحیح و یتیمّم </w:t>
      </w:r>
      <w:r>
        <w:rPr>
          <w:rStyle w:val="FootnoteAnchor"/>
          <w:rtl w:val="true"/>
        </w:rPr>
        <w:footnoteReference w:id="172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استعماله و لو فی بعض الأعضاء کفقده </w:t>
      </w:r>
      <w:r>
        <w:rPr>
          <w:rStyle w:val="FootnoteAnchor"/>
          <w:rtl w:val="true"/>
        </w:rPr>
        <w:footnoteReference w:id="17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کلامه فی جامع المقاصد، فصرّح بالتیمم، ثمّ حکی احتیاط الشیخ بالجمع بین الوضوء و التیمّم، و نفی الریب عن ضعفه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الکلمات کما تری کلها صریحة، بقرینة حکایة قول المبسوط فی القروح و الجروح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عبارة البیان مختصّة بالجرح المستوعب للعضو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هؤلاء الأساطین فی النهایة، و المعتبر، و التذکرة، و کتب الشهید، و ما تقدم من جامع المقاصد ما ینافی بظاهره لذلک، فقال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الحکم بوجوب مسح الجبیرة و الخرقة المشدودة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جراحا غسل ما حولها و لیس علیه شی‌ء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 و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به جرح و لا جبیرة، غسل جسده و ترک الجرح، ثمّ ذکرا قول الشافعی بالجمع، و قول أحمد بالمسح علی الجرح و استجوداه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الأمر فتوی أکثرهم بوجوب مسحه إن أمکن بدون وضع لصوق أو معه، و أوّل من تنبّه لهذا المحقّق الثانی، 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حکینا عنه فی شرح قول العلّامة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تیمّم من لا یتمکّن من غسل بعض أعضائه و لا مسحه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هذا لا یتمشّی علی ظاهره، لأنّ الجرح الذی لا لصوق علیه و الکسر الذی لیس </w:t>
      </w:r>
      <w:r>
        <w:rPr>
          <w:rStyle w:val="FootnoteAnchor"/>
          <w:rtl w:val="true"/>
        </w:rPr>
        <w:footnoteReference w:id="1728"/>
      </w:r>
      <w:r>
        <w:rPr>
          <w:rFonts w:ascii="IRNazanin" w:hAnsi="IRNazanin" w:eastAsia="IRNazanin"/>
          <w:color w:val="111111"/>
          <w:sz w:val="28"/>
          <w:sz w:val="28"/>
          <w:szCs w:val="28"/>
          <w:rtl w:val="true"/>
          <w:lang w:bidi="fa-IR"/>
        </w:rPr>
        <w:t xml:space="preserve">علیه جبیرة إذا تضرّر بالماء یکفی غسل ما حوله، کما نصّوا علیه، و وردت به الأخبار، فکیف یجوز العدول عنه إلی التیمّم </w:t>
      </w:r>
      <w:r>
        <w:rPr>
          <w:rStyle w:val="FootnoteAnchor"/>
          <w:rtl w:val="true"/>
        </w:rPr>
        <w:footnoteReference w:id="17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المدارک فی باب 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فی کلام الأصحاب هنا إجمالا، فإنّهم صرّحوا هنا بإلحاق القرح و الجرح بالجبیرة سواء کان علیها خرقة أم لا، و فی التیمّم جعلوا من أسبابه الخوف من استعمال الماء بسبب القرح و الجرح و الشین، و لم یشترط أکثرهم فی ذلک تعذّر وضع شی‌ء علیها و المسح علیه </w:t>
      </w:r>
      <w:r>
        <w:rPr>
          <w:rStyle w:val="FootnoteAnchor"/>
          <w:rtl w:val="true"/>
        </w:rPr>
        <w:footnoteReference w:id="173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تفطّن لهذا التنافی جماعة ممّن تأخّر عنهم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تصدّوا للجمع بین کلماتهم فی المقامین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جامع المقاصد عقیب الکلام المتقدّم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الجمع بأنّ ما یسقط غسله و لا ینتقل معه إلی التیمّم ما کان الجرح و نحوه فی بعض العضو، فلو استوعب عضوا کاملا وجب الانتقال إلی التیمّم،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الجمع بأنّ</w:t>
      </w:r>
    </w:p>
    <w:p>
      <w:pPr>
        <w:pStyle w:val="BookText"/>
        <w:rPr/>
      </w:pPr>
      <w:r>
        <w:rPr>
          <w:rFonts w:ascii="IRNazanin" w:hAnsi="IRNazanin" w:eastAsia="IRNazanin"/>
          <w:color w:val="111111"/>
          <w:sz w:val="28"/>
          <w:sz w:val="28"/>
          <w:szCs w:val="28"/>
          <w:rtl w:val="true"/>
          <w:lang w:bidi="fa-IR"/>
        </w:rPr>
        <w:t>ما ورد النصّ بغسل ما حوله مع تعذّر غسله هو الجرح و القرح و الکسر، فلا ینتقل منه إلی التیمّم بمجرّد تعذّر غسله و إن کثر، بخلاف غیره، کما لو کان تعذّر الغسل لمرض آخر، فإنّه ینتقل إلی التیمّم هنا، إلّا أنّ عبارات الأصحاب تأبی عن ذلک، لأنّ المصنّف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عندنا لا تتبعّض، فلو کان بعض بدنه صحیحا و بعضه جریحا تیمّم، و کفاه عن غسل الصحیح </w:t>
      </w:r>
      <w:r>
        <w:rPr>
          <w:rStyle w:val="FootnoteAnchor"/>
          <w:rtl w:val="true"/>
        </w:rPr>
        <w:footnoteReference w:id="1732"/>
      </w:r>
      <w:r>
        <w:rPr>
          <w:rFonts w:ascii="IRNazanin" w:hAnsi="IRNazanin" w:eastAsia="IRNazanin"/>
          <w:color w:val="111111"/>
          <w:sz w:val="28"/>
          <w:sz w:val="28"/>
          <w:szCs w:val="28"/>
          <w:rtl w:val="true"/>
          <w:lang w:bidi="fa-IR"/>
        </w:rPr>
        <w:t xml:space="preserve">، و ظاهر هذه العبارة الإطلاق، فیکون الجمع الأوّل قریبا من الصواب، لأنّ اغتفار عضو کامل فی الطهارة بعید </w:t>
      </w:r>
      <w:r>
        <w:rPr>
          <w:rStyle w:val="FootnoteAnchor"/>
          <w:rtl w:val="true"/>
        </w:rPr>
        <w:footnoteReference w:id="173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کلمات الأصحاب فی باب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ذکرهم طرّا لاحتیاط الشیخ </w:t>
      </w:r>
      <w:r>
        <w:rPr>
          <w:rStyle w:val="FootnoteAnchor"/>
          <w:rtl w:val="true"/>
        </w:rPr>
        <w:footnoteReference w:id="1734"/>
      </w:r>
      <w:r>
        <w:rPr>
          <w:rFonts w:ascii="IRNazanin" w:hAnsi="IRNazanin" w:eastAsia="IRNazanin"/>
          <w:color w:val="111111"/>
          <w:sz w:val="28"/>
          <w:sz w:val="28"/>
          <w:szCs w:val="28"/>
          <w:rtl w:val="true"/>
          <w:lang w:bidi="fa-IR"/>
        </w:rPr>
        <w:t>بالجمع بین الوضوء و التیمّم، مع اختصاص مورد کلام الشیخ بالجرح و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صریحة فی عدم </w:t>
      </w:r>
      <w:r>
        <w:rPr>
          <w:rStyle w:val="FootnoteAnchor"/>
          <w:rtl w:val="true"/>
        </w:rPr>
        <w:footnoteReference w:id="1735"/>
      </w:r>
      <w:r>
        <w:rPr>
          <w:rFonts w:ascii="IRNazanin" w:hAnsi="IRNazanin" w:eastAsia="IRNazanin"/>
          <w:color w:val="111111"/>
          <w:sz w:val="28"/>
          <w:sz w:val="28"/>
          <w:szCs w:val="28"/>
          <w:rtl w:val="true"/>
          <w:lang w:bidi="fa-IR"/>
        </w:rPr>
        <w:t xml:space="preserve">اختصاص التیمّم عندهم بما عدا الجرح و القرح، فلا یحتاج إلی الاستشهاد بکلام التذکرة الذی لو أخذ بإطلاقه لزم منه فساد الجمع الأوّل الذی استصوبه و أشیر إلیه فی عبارة البیان المتقدّمة </w:t>
      </w:r>
      <w:r>
        <w:rPr>
          <w:rStyle w:val="FootnoteAnchor"/>
          <w:rtl w:val="true"/>
        </w:rPr>
        <w:footnoteReference w:id="1736"/>
      </w:r>
      <w:r>
        <w:rPr>
          <w:rFonts w:ascii="IRNazanin" w:hAnsi="IRNazanin" w:eastAsia="IRNazanin"/>
          <w:color w:val="111111"/>
          <w:sz w:val="28"/>
          <w:sz w:val="28"/>
          <w:szCs w:val="28"/>
          <w:rtl w:val="true"/>
          <w:lang w:bidi="fa-IR"/>
        </w:rPr>
        <w:t xml:space="preserve">، لأنّ عدم تبعض الطهارة شامل لما إذا کان الجرح علی بعض عضو منه بحیث یمکن غسل ما حوله و مسحه، أو مسح شی‌ء موضوع علیه، بل ملاحظة عبارة التذکرة الحاکیة هنا لاستدلال الشافعی القائل بالجمع فی المسألة بین الغسل و التیمّم </w:t>
      </w:r>
      <w:r>
        <w:rPr>
          <w:rStyle w:val="FootnoteAnchor"/>
          <w:rtl w:val="true"/>
        </w:rPr>
        <w:footnoteReference w:id="1737"/>
      </w:r>
      <w:r>
        <w:rPr>
          <w:rFonts w:ascii="IRNazanin" w:hAnsi="IRNazanin" w:eastAsia="IRNazanin"/>
          <w:color w:val="111111"/>
          <w:sz w:val="28"/>
          <w:sz w:val="28"/>
          <w:szCs w:val="28"/>
          <w:rtl w:val="true"/>
          <w:lang w:bidi="fa-IR"/>
        </w:rPr>
        <w:t>، و فی فرع آخر ذکره بعد ذلک لبیان</w:t>
      </w:r>
    </w:p>
    <w:p>
      <w:pPr>
        <w:pStyle w:val="BookText"/>
        <w:rPr/>
      </w:pPr>
      <w:r>
        <w:rPr>
          <w:rFonts w:ascii="IRNazanin" w:hAnsi="IRNazanin" w:eastAsia="IRNazanin"/>
          <w:color w:val="111111"/>
          <w:sz w:val="28"/>
          <w:sz w:val="28"/>
          <w:szCs w:val="28"/>
          <w:rtl w:val="true"/>
          <w:lang w:bidi="fa-IR"/>
        </w:rPr>
        <w:t xml:space="preserve">کیفیة التبعیض علی قول الشافعی </w:t>
      </w:r>
      <w:r>
        <w:rPr>
          <w:rStyle w:val="FootnoteAnchor"/>
          <w:rtl w:val="true"/>
        </w:rPr>
        <w:footnoteReference w:id="1738"/>
      </w:r>
      <w:r>
        <w:rPr>
          <w:rFonts w:ascii="IRNazanin" w:hAnsi="IRNazanin" w:eastAsia="IRNazanin"/>
          <w:color w:val="111111"/>
          <w:sz w:val="28"/>
          <w:sz w:val="28"/>
          <w:szCs w:val="28"/>
          <w:rtl w:val="true"/>
          <w:lang w:bidi="fa-IR"/>
        </w:rPr>
        <w:t xml:space="preserve">، یوجب القطع بأنّ عنوان مسألة تبعیض الطهارة و عدمه فی التذکرة یشمل الجرح الکائن علی بعض عضو من أعضاء الوضوء، و کذا ملاحظة کلامه فی الجرح المجرّد عن الجبیرة المتعذّر غسله و مسحه، و استدلاله علی کفایة غسل الباقی بأنّ اعتلال بعض الأعضاء لا ینقص عن فقدانه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الوجهین غیر مستقیم فی الجمع، بعد ما عرفت من صراحة کلماتهم فی شمول مورد التیمّم للجروح و القروح الغیر المستوعبة، و شمول مورد غسل الباقی للمستوعب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یحضرنی فی الجمع بین هذه الکلمات وجه یطمئنّ به النفس، و کذلک بین تلک الأخبار المتقدّمة، و إن ذکر جماعة من أصحابنا وجوها لذلک، بحمل أخبار التیمّم علی غیر ذی الجبیرة، و حمل تلک الأخبار علی ذی الجبیرة </w:t>
      </w:r>
      <w:r>
        <w:rPr>
          <w:rStyle w:val="FootnoteAnchor"/>
          <w:rtl w:val="true"/>
        </w:rPr>
        <w:footnoteReference w:id="1740"/>
      </w:r>
      <w:r>
        <w:rPr>
          <w:rFonts w:ascii="IRNazanin" w:hAnsi="IRNazanin" w:eastAsia="IRNazanin"/>
          <w:color w:val="111111"/>
          <w:sz w:val="28"/>
          <w:sz w:val="28"/>
          <w:szCs w:val="28"/>
          <w:rtl w:val="true"/>
          <w:lang w:bidi="fa-IR"/>
        </w:rPr>
        <w:t xml:space="preserve">، أو حمل أخبار التیمم علی المستوعب و تلک الأخبار علی غیره </w:t>
      </w:r>
      <w:r>
        <w:rPr>
          <w:rStyle w:val="FootnoteAnchor"/>
          <w:rtl w:val="true"/>
        </w:rPr>
        <w:footnoteReference w:id="1741"/>
      </w:r>
      <w:r>
        <w:rPr>
          <w:rFonts w:ascii="IRNazanin" w:hAnsi="IRNazanin" w:eastAsia="IRNazanin"/>
          <w:color w:val="111111"/>
          <w:sz w:val="28"/>
          <w:sz w:val="28"/>
          <w:szCs w:val="28"/>
          <w:rtl w:val="true"/>
          <w:lang w:bidi="fa-IR"/>
        </w:rPr>
        <w:t xml:space="preserve">، أو حمل أخبار التیمّم علی ما لا یمکن مسحه أو مسح خرقة یشدّ علیه و حمل تلک الأخبار علی ما یمکن </w:t>
      </w:r>
      <w:r>
        <w:rPr>
          <w:rStyle w:val="FootnoteAnchor"/>
          <w:rtl w:val="true"/>
        </w:rPr>
        <w:footnoteReference w:id="1742"/>
      </w:r>
      <w:r>
        <w:rPr>
          <w:rFonts w:ascii="IRNazanin" w:hAnsi="IRNazanin" w:eastAsia="IRNazanin"/>
          <w:color w:val="111111"/>
          <w:sz w:val="28"/>
          <w:sz w:val="28"/>
          <w:szCs w:val="28"/>
          <w:rtl w:val="true"/>
          <w:lang w:bidi="fa-IR"/>
        </w:rPr>
        <w:t xml:space="preserve">، أو حمل أخبار التیمّم علی الغسل و تلک الأخبار علی الوضوء </w:t>
      </w:r>
      <w:r>
        <w:rPr>
          <w:rStyle w:val="FootnoteAnchor"/>
          <w:rtl w:val="true"/>
        </w:rPr>
        <w:footnoteReference w:id="1743"/>
      </w:r>
      <w:r>
        <w:rPr>
          <w:rFonts w:ascii="IRNazanin" w:hAnsi="IRNazanin" w:eastAsia="IRNazanin"/>
          <w:color w:val="111111"/>
          <w:sz w:val="28"/>
          <w:sz w:val="28"/>
          <w:szCs w:val="28"/>
          <w:rtl w:val="true"/>
          <w:lang w:bidi="fa-IR"/>
        </w:rPr>
        <w:t>أو غسل ذی الجبیرة و الخرقة کما هو مورد</w:t>
      </w:r>
    </w:p>
    <w:p>
      <w:pPr>
        <w:pStyle w:val="BookText"/>
        <w:rPr/>
      </w:pPr>
      <w:r>
        <w:rPr>
          <w:rFonts w:ascii="IRNazanin" w:hAnsi="IRNazanin" w:eastAsia="IRNazanin"/>
          <w:color w:val="111111"/>
          <w:sz w:val="28"/>
          <w:sz w:val="28"/>
          <w:szCs w:val="28"/>
          <w:rtl w:val="true"/>
          <w:lang w:bidi="fa-IR"/>
        </w:rPr>
        <w:t xml:space="preserve">صحیحة عبد الرحمن بن الحجّاج </w:t>
      </w:r>
      <w:r>
        <w:rPr>
          <w:rStyle w:val="FootnoteAnchor"/>
          <w:rtl w:val="true"/>
        </w:rPr>
        <w:footnoteReference w:id="1744"/>
      </w:r>
      <w:r>
        <w:rPr>
          <w:rFonts w:ascii="IRNazanin" w:hAnsi="IRNazanin" w:eastAsia="IRNazanin"/>
          <w:color w:val="111111"/>
          <w:sz w:val="28"/>
          <w:sz w:val="28"/>
          <w:szCs w:val="28"/>
          <w:rtl w:val="true"/>
          <w:lang w:bidi="fa-IR"/>
        </w:rPr>
        <w:t xml:space="preserve">، أو حمل أخبار التیمّم علی صورة الضرر بغسل الصحیح و تلک الأخبار علی غیرها </w:t>
      </w:r>
      <w:r>
        <w:rPr>
          <w:rStyle w:val="FootnoteAnchor"/>
          <w:rtl w:val="true"/>
        </w:rPr>
        <w:footnoteReference w:id="1745"/>
      </w:r>
      <w:r>
        <w:rPr>
          <w:rFonts w:ascii="IRNazanin" w:hAnsi="IRNazanin" w:eastAsia="IRNazanin"/>
          <w:color w:val="111111"/>
          <w:sz w:val="28"/>
          <w:sz w:val="28"/>
          <w:szCs w:val="28"/>
          <w:rtl w:val="true"/>
          <w:lang w:bidi="fa-IR"/>
        </w:rPr>
        <w:t xml:space="preserve">، أو حمل أخبار الطرفین علی التخییر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الکلّ بعید و إن کان ما قبل الأخیر منها لا یخلو عن قرب، بل ظهور بالنسبة إلی أکثر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بدّ من ملاحظة ما یقتضیه الأصل فیما هو غیر داخل تحت المنصوص </w:t>
      </w:r>
      <w:r>
        <w:rPr>
          <w:rStyle w:val="FootnoteAnchor"/>
          <w:rtl w:val="true"/>
        </w:rPr>
        <w:footnoteReference w:id="1747"/>
      </w:r>
      <w:r>
        <w:rPr>
          <w:rFonts w:ascii="IRNazanin" w:hAnsi="IRNazanin" w:eastAsia="IRNazanin"/>
          <w:color w:val="111111"/>
          <w:sz w:val="28"/>
          <w:sz w:val="28"/>
          <w:szCs w:val="28"/>
          <w:rtl w:val="true"/>
          <w:lang w:bidi="fa-IR"/>
        </w:rPr>
        <w:t>من الأمراض المانعة عن غسل العضو، و أنّه التیمّم، أو الوضوء الناقص مع مسح الموضع، أو جبیرة موضوعة علیه،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شارح الدروس قدّس سرّه </w:t>
      </w:r>
      <w:r>
        <w:rPr>
          <w:rStyle w:val="FootnoteAnchor"/>
          <w:rtl w:val="true"/>
        </w:rPr>
        <w:footnoteReference w:id="1748"/>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المأمور به لمّا تعذّر بعض أفعاله سقط الأمر به، لأنّه تکلیف واحد بمجموع الأفعال، لا تکالیف متعدّدة، و التکلیف بالتیمّم فی الآیة لا یشمل بظاهره هذه الصورة، فیجب الرجوع إلی الأصل و هو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 وجوب شی‌ء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التخییر، إلّا أنّ الأحوط هو الجمع، و هو مبنیّ علی أنّ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یدرک کلّه </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أمرتکم بشی‌ء </w:t>
      </w:r>
      <w:r>
        <w:rPr>
          <w:rFonts w:eastAsia="IRNazanin" w:cs="IRNazanin"/>
          <w:color w:val="111111"/>
          <w:sz w:val="28"/>
          <w:szCs w:val="28"/>
          <w:rtl w:val="true"/>
          <w:lang w:bidi="fa-IR"/>
        </w:rPr>
        <w:t xml:space="preserve">..» </w:t>
      </w:r>
      <w:r>
        <w:rPr>
          <w:rStyle w:val="FootnoteAnchor"/>
          <w:rtl w:val="true"/>
        </w:rPr>
        <w:footnoteReference w:id="175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أسنادها، بل لقصور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لتأسیس قاعدة فی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 انجبار ضعفها بتمسّک العلماء بها قدیما و حدیثا، مع ما حررناه فی مقام آخر من عدم قصور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بسقوط التکلیف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بعض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البراءة فی مقابل هذه الأخبار فی غایة الجرأة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قیل أو یقال من أنّ المقام مقام استصحاب الحال، لثبوت التکلیف قبل التعذّر، و هذا الاستصحاب و إن کان غیر جار بمقتضی الدقّة فی تعیین موضوع المستصحب، إلّا أنّ الظاهر من الأصحاب فی بعض المقامات کفایة إحراز الموضوع و لو بالمسامحة العرفیّة، کما یستصحب کرّیة الماء الذی أخذ منه بعد العلم بکرّیته،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کان کرّا و یشکّ فی ارتفاع کرّیته، مع أنّ هذا الماء الموجود لم یعلم بکرّیته، فیراد من الماء فی القضیّتین هو القدر المشترک بین ما قبل الأخذ و ما بعده، و کذلک یقال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کان واجبا قبل هذا العذر و الأصل بقاؤه بعده، فیراد بالوضوء فی القضیّتین القدر المشترک بین ما قبل التعذّر و ما بعده، أو یراد من الوجوب فی القضیّتین مطلق الثبوت المشترک بین النفسی و الغیری، فلا ینافی کون المتیقّن سابقا هو الغیری، و المشکوک فیه لاحقا هو النفسی، و لذا أطلق علیه عدم السقوط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الوجوب الغیریّ السابق ساقط قطعا، و النفسی اللاحق لم یکن له ثبوت حتّی یتصوّر فیه سقوط</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w:t>
      </w:r>
      <w:r>
        <w:rPr>
          <w:rStyle w:val="FootnoteAnchor"/>
          <w:rtl w:val="true"/>
        </w:rPr>
        <w:footnoteReference w:id="1752"/>
      </w:r>
      <w:r>
        <w:rPr>
          <w:rFonts w:ascii="Amiri" w:hAnsi="Amiri" w:eastAsia="Amiri" w:cs="Amiri"/>
          <w:color w:val="111111"/>
          <w:sz w:val="28"/>
          <w:sz w:val="28"/>
          <w:szCs w:val="28"/>
          <w:rtl w:val="true"/>
          <w:lang w:bidi="ar-SA"/>
        </w:rPr>
        <w:t xml:space="preserve">من عدم شمول آیة التیمّم لما نحن فیه، فهو حقّ بملاحظة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قوله تعالی فی آخر</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 وَ لٰکِنْ یُرِیدُ لِیُطَهِّرَکُمْ</w:t>
      </w:r>
      <w:r>
        <w:rPr>
          <w:rFonts w:eastAsia="Amiri" w:cs="Amiri" w:ascii="Amiri" w:hAnsi="Amiri"/>
          <w:color w:val="111111"/>
          <w:sz w:val="28"/>
          <w:szCs w:val="28"/>
          <w:rtl w:val="true"/>
          <w:lang w:bidi="ar-SA"/>
        </w:rPr>
        <w:t xml:space="preserve">) </w:t>
      </w:r>
      <w:r>
        <w:rPr>
          <w:rStyle w:val="FootnoteAnchor"/>
          <w:rtl w:val="true"/>
        </w:rPr>
        <w:footnoteReference w:id="1753"/>
      </w:r>
      <w:r>
        <w:rPr>
          <w:rFonts w:ascii="IRNazanin" w:hAnsi="IRNazanin" w:eastAsia="IRNazanin"/>
          <w:color w:val="111111"/>
          <w:sz w:val="28"/>
          <w:sz w:val="28"/>
          <w:szCs w:val="28"/>
          <w:rtl w:val="true"/>
          <w:lang w:bidi="fa-IR"/>
        </w:rPr>
        <w:t>ظاهر فی أنّ مناط شرعیة التیمّم هو ثبوت الحرج و الضیق فی إتیان أفعال الوضوء المتقدّمة سابقا، سواء کان لفقد الماء، أو التضرّر فی تحصیله، أو باستعماله فی جمیع الأعضاء أو بعضها علی الوجه المعتبر من الغسل و المسح، أو مطلقا، فمحصّل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صدرها و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کلّ ما کان فی الإتیان بالأفعال المعهودة للوضوء حرج علی المکلّف وجب علیه التیمّم، کما أنّ محصّل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تعذّر الإتیان بجمیع أفعال الوضوء وجب الإتیان ببعضها المتمکّن، و حیث علم بالإجماع عدم اجتماع الطهارتین علی مکلّف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تقدّم عن الشافعی </w:t>
      </w:r>
      <w:r>
        <w:rPr>
          <w:rStyle w:val="FootnoteAnchor"/>
          <w:rtl w:val="true"/>
        </w:rPr>
        <w:footnoteReference w:id="1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تعارضت الأدلّة من الطرفین بالعموم من وجه، فیرجع فی مادّة الاجتماع إلی الاحتیاط بالجمع بین الأمرین، لاستصحاب بقاء المنع عن </w:t>
      </w:r>
      <w:r>
        <w:rPr>
          <w:rStyle w:val="FootnoteAnchor"/>
          <w:rtl w:val="true"/>
        </w:rPr>
        <w:footnoteReference w:id="1755"/>
      </w:r>
      <w:r>
        <w:rPr>
          <w:rFonts w:ascii="IRNazanin" w:hAnsi="IRNazanin" w:eastAsia="IRNazanin"/>
          <w:color w:val="111111"/>
          <w:sz w:val="28"/>
          <w:sz w:val="28"/>
          <w:szCs w:val="28"/>
          <w:rtl w:val="true"/>
          <w:lang w:bidi="fa-IR"/>
        </w:rPr>
        <w:t>الدخول فی الصلاة و عدم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مقتضی النظر الدقیق حکومة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أدلّة التیمّم، لأنّ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البعض المیسور علی المکلّف فی زمان تیسّر الکلّ لیس مقیّدا و منوطا بعدم تعسّر شی‌ء من الأجزاء حتّی یسقط بتعسّره، بل هو ثابت علی کلّ حال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اکتفاء الشارع بالمستطاع فی امتثال الأوامر، فیکشف عن أنّ الأمر بکلّ مرکّب أمر بالمقدار</w:t>
      </w:r>
    </w:p>
    <w:p>
      <w:pPr>
        <w:pStyle w:val="BookText"/>
        <w:rPr/>
      </w:pPr>
      <w:r>
        <w:rPr>
          <w:rFonts w:ascii="IRNazanin" w:hAnsi="IRNazanin" w:eastAsia="IRNazanin"/>
          <w:color w:val="111111"/>
          <w:sz w:val="28"/>
          <w:sz w:val="28"/>
          <w:szCs w:val="28"/>
          <w:rtl w:val="true"/>
          <w:lang w:bidi="fa-IR"/>
        </w:rPr>
        <w:t>المتمکّن منه، کلّا کان أو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حینئذ فالأمر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1756"/>
      </w:r>
      <w:r>
        <w:rPr>
          <w:rFonts w:ascii="IRNazanin" w:hAnsi="IRNazanin" w:eastAsia="IRNazanin"/>
          <w:color w:val="111111"/>
          <w:sz w:val="28"/>
          <w:sz w:val="28"/>
          <w:szCs w:val="28"/>
          <w:rtl w:val="true"/>
          <w:lang w:bidi="fa-IR"/>
        </w:rPr>
        <w:t>غیر مقیّد بالتمکّن من مسح الرأس و الرجل، و کذا العکس فالأمر بکلّ من الأجزاء مشروط بالتمکّن من نفسه غیر مشروط بالتمکن من جزء آخر، فالمتمکّن من الغسل العاجز عن المسح مثلا داخل تحت الأمر المنجّز بغسل الوجه و الأیدی، لأنّه متمکّن منه و إن لم یجب علیه المسح لعدم التمکّن، فتکون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متکفّلة لحکم الوضوءات الناقصة، و کفایتها عند إرادة القیام إلی الصلاة،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بملاحظة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مختصّا بمن کان الحرج فی وضوئه و لو ناقصا، بأن لم یتمکّن من الأفعال رأسا، فیرجع إلی ما یکون الآیة ظاهرة فیه قبل ملاحظة ذیلها و هو الفاقد للماء رأسا، من حیث إنّه ناظر إلی المعلّق و حاکم علی ظهوره فی ارتباطه بالأمر المتعلّق بالأجزاء</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 ما ذکرنا تری جماعة من الأصحاب، کالشیخ فی الخلاف </w:t>
      </w:r>
      <w:r>
        <w:rPr>
          <w:rStyle w:val="FootnoteAnchor"/>
          <w:rtl w:val="true"/>
        </w:rPr>
        <w:footnoteReference w:id="1758"/>
      </w:r>
      <w:r>
        <w:rPr>
          <w:rFonts w:ascii="IRNazanin" w:hAnsi="IRNazanin" w:eastAsia="IRNazanin"/>
          <w:color w:val="111111"/>
          <w:sz w:val="28"/>
          <w:sz w:val="28"/>
          <w:szCs w:val="28"/>
          <w:rtl w:val="true"/>
          <w:lang w:bidi="fa-IR"/>
        </w:rPr>
        <w:t xml:space="preserve">و الفاضلین فی المعتبر </w:t>
      </w:r>
      <w:r>
        <w:rPr>
          <w:rStyle w:val="FootnoteAnchor"/>
          <w:rtl w:val="true"/>
        </w:rPr>
        <w:footnoteReference w:id="1759"/>
      </w:r>
      <w:r>
        <w:rPr>
          <w:rFonts w:ascii="IRNazanin" w:hAnsi="IRNazanin" w:eastAsia="IRNazanin"/>
          <w:color w:val="111111"/>
          <w:sz w:val="28"/>
          <w:sz w:val="28"/>
          <w:szCs w:val="28"/>
          <w:rtl w:val="true"/>
          <w:lang w:bidi="fa-IR"/>
        </w:rPr>
        <w:t xml:space="preserve">و المنتهی </w:t>
      </w:r>
      <w:r>
        <w:rPr>
          <w:rStyle w:val="FootnoteAnchor"/>
          <w:rtl w:val="true"/>
        </w:rPr>
        <w:footnoteReference w:id="1760"/>
      </w:r>
      <w:r>
        <w:rPr>
          <w:rFonts w:ascii="IRNazanin" w:hAnsi="IRNazanin" w:eastAsia="IRNazanin"/>
          <w:color w:val="111111"/>
          <w:sz w:val="28"/>
          <w:sz w:val="28"/>
          <w:szCs w:val="28"/>
          <w:rtl w:val="true"/>
          <w:lang w:bidi="fa-IR"/>
        </w:rPr>
        <w:t xml:space="preserve">و غیرهم </w:t>
      </w:r>
      <w:r>
        <w:rPr>
          <w:rStyle w:val="FootnoteAnchor"/>
          <w:rtl w:val="true"/>
        </w:rPr>
        <w:footnoteReference w:id="1761"/>
      </w:r>
      <w:r>
        <w:rPr>
          <w:rFonts w:ascii="IRNazanin" w:hAnsi="IRNazanin" w:eastAsia="IRNazanin"/>
          <w:color w:val="111111"/>
          <w:sz w:val="28"/>
          <w:sz w:val="28"/>
          <w:szCs w:val="28"/>
          <w:rtl w:val="true"/>
          <w:lang w:bidi="fa-IR"/>
        </w:rPr>
        <w:t>یقتصرون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مسألة المسح علی الحائل ممّا تعذّر فیه الإتیان ببعض واجبات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إثبات</w:t>
      </w:r>
    </w:p>
    <w:p>
      <w:pPr>
        <w:pStyle w:val="BookText"/>
        <w:rPr/>
      </w:pPr>
      <w:r>
        <w:rPr>
          <w:rFonts w:ascii="IRNazanin" w:hAnsi="IRNazanin" w:eastAsia="IRNazanin"/>
          <w:color w:val="111111"/>
          <w:sz w:val="28"/>
          <w:sz w:val="28"/>
          <w:szCs w:val="28"/>
          <w:rtl w:val="true"/>
          <w:lang w:bidi="fa-IR"/>
        </w:rPr>
        <w:t>سقوط ذلک الواجب بآیة نفی الحرج، و لا یتعرّضون لإثبات التکلیف بالوضوء الناقص، و لیس ذلک إلّا لأجل التسالم علی بقاء التکلیف بالطهارة، و عدم سقوطه بسقوط بعض واجباتها، و إلّا فلا بدّ لهم أوّلا أن یثبتوا بقاء التکلیف بالطهارة المائیة و عدم انتقاله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الموارد التی عمل فیها علی طبق هذه القاعدة فی النصوص و الفتاوی بالنسبة إلی الموارد التی ترک فیها العمل بهذه القاعدة فی باب الطهارة فی غایة القلّة، بل لو بنی علی إعمال القاعدة المذکورة بالنسبة إلی القیود المتعذّرة انحصر مورد التیمّم بفاقد الماء رأسا، و خرج المرض من عداد الأسباب المسوّغة للتیمّم مع نصّ الکتاب </w:t>
      </w:r>
      <w:r>
        <w:rPr>
          <w:rStyle w:val="FootnoteAnchor"/>
          <w:rtl w:val="true"/>
        </w:rPr>
        <w:footnoteReference w:id="1762"/>
      </w:r>
      <w:r>
        <w:rPr>
          <w:rFonts w:ascii="IRNazanin" w:hAnsi="IRNazanin" w:eastAsia="IRNazanin"/>
          <w:color w:val="111111"/>
          <w:sz w:val="28"/>
          <w:sz w:val="28"/>
          <w:szCs w:val="28"/>
          <w:rtl w:val="true"/>
          <w:lang w:bidi="fa-IR"/>
        </w:rPr>
        <w:t xml:space="preserve">و السنّة القطعیة </w:t>
      </w:r>
      <w:r>
        <w:rPr>
          <w:rStyle w:val="FootnoteAnchor"/>
          <w:rtl w:val="true"/>
        </w:rPr>
        <w:footnoteReference w:id="1763"/>
      </w:r>
      <w:r>
        <w:rPr>
          <w:rFonts w:ascii="IRNazanin" w:hAnsi="IRNazanin" w:eastAsia="IRNazanin"/>
          <w:color w:val="111111"/>
          <w:sz w:val="28"/>
          <w:sz w:val="28"/>
          <w:szCs w:val="28"/>
          <w:rtl w:val="true"/>
          <w:lang w:bidi="fa-IR"/>
        </w:rPr>
        <w:t>علی کونه من أسبابه، إذ ما من مریض إلّا و یمکن أن یمسّ بنفسه أو بغیره بعض جسده أو بعض الثوب الملاصق ببدنه الذی هو بمنزلة الجبیرة، و هذا واضح لمن تتبّع النصوص 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فی غایة الإشکال، إلّا أنّ ترک العمل بتلک القاعدة فی باب الطهارة فی غیر الموارد التی عمل فیها المعظم لعلّه لا یخلو عن قوّة، فیحکم فیها بالتیمّم، لکنّ الأحوط فی غیر موارد الإجماع أو النصّ علی الطهارة المائیة الجمع بینها و بین الطهارة الترابیة، و اللّٰه العالم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تعرف ممّا ذکرنا من حکم الجروح و القروح الکائنة فی محلّ الغسل حکم الکائن منها فی محل المسح، فیمسح علی الجبیرة مراعیا لکیفیّة المسح علی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وجوب تکرار الماء حتّی یمسّ البشرة وجه استظهره فی جامع المقاصد </w:t>
      </w:r>
      <w:r>
        <w:rPr>
          <w:rStyle w:val="FootnoteAnchor"/>
          <w:rtl w:val="true"/>
        </w:rPr>
        <w:footnoteReference w:id="1764"/>
      </w:r>
      <w:r>
        <w:rPr>
          <w:rFonts w:ascii="IRNazanin" w:hAnsi="IRNazanin" w:eastAsia="IRNazanin"/>
          <w:color w:val="111111"/>
          <w:sz w:val="28"/>
          <w:sz w:val="28"/>
          <w:szCs w:val="28"/>
          <w:rtl w:val="true"/>
          <w:lang w:bidi="fa-IR"/>
        </w:rPr>
        <w:t>، تمسّکا بقاعدة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إمساس الماء للبشرة و إن لم یکن مسحا، کما یجب مسح محلّ الغسل المتعذّر غسله و إن لم یکن غسلا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حکمهم بترجیح غسل الرجلین علی مسح الخفّین لو أحوجت التقیّة إلی أحدهما، فإنّ المسألتین ظاهرا من واد واحد، و کذا کان الأقوی هنا أیضا ما تقدّم فی وضوء التقیّة من أنّه إذا زال العذر المسوّغ للوضوء الناقص أجزأ ما فعله من الغایات المشروطة بالطهارة، و استأنف الوضوء لما لم یفعله من العبادات، حتّی ما تطهّر لأجله، وفاقا للمبسوط </w:t>
      </w:r>
      <w:r>
        <w:rPr>
          <w:rStyle w:val="FootnoteAnchor"/>
          <w:rtl w:val="true"/>
        </w:rPr>
        <w:footnoteReference w:id="1765"/>
      </w:r>
      <w:r>
        <w:rPr>
          <w:rFonts w:ascii="IRNazanin" w:hAnsi="IRNazanin" w:eastAsia="IRNazanin"/>
          <w:color w:val="111111"/>
          <w:sz w:val="28"/>
          <w:sz w:val="28"/>
          <w:szCs w:val="28"/>
          <w:rtl w:val="true"/>
          <w:lang w:bidi="fa-IR"/>
        </w:rPr>
        <w:t xml:space="preserve">و ظاهر المعتبر </w:t>
      </w:r>
      <w:r>
        <w:rPr>
          <w:rStyle w:val="FootnoteAnchor"/>
          <w:rtl w:val="true"/>
        </w:rPr>
        <w:footnoteReference w:id="1766"/>
      </w:r>
      <w:r>
        <w:rPr>
          <w:rFonts w:ascii="IRNazanin" w:hAnsi="IRNazanin" w:eastAsia="IRNazanin"/>
          <w:color w:val="111111"/>
          <w:sz w:val="28"/>
          <w:sz w:val="28"/>
          <w:szCs w:val="28"/>
          <w:rtl w:val="true"/>
          <w:lang w:bidi="fa-IR"/>
        </w:rPr>
        <w:t xml:space="preserve">و الإیضاح </w:t>
      </w:r>
      <w:r>
        <w:rPr>
          <w:rStyle w:val="FootnoteAnchor"/>
          <w:rtl w:val="true"/>
        </w:rPr>
        <w:footnoteReference w:id="1767"/>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1768"/>
      </w:r>
      <w:r>
        <w:rPr>
          <w:rFonts w:ascii="IRNazanin" w:hAnsi="IRNazanin" w:eastAsia="IRNazanin"/>
          <w:color w:val="111111"/>
          <w:sz w:val="28"/>
          <w:sz w:val="28"/>
          <w:szCs w:val="28"/>
          <w:rtl w:val="true"/>
          <w:lang w:bidi="fa-IR"/>
        </w:rPr>
        <w:t xml:space="preserve">، لأصالة بقاء الحدث، و عدم إباحة الوضوء الناقص إلّا للغایة المأتی بها حال تعذّر الوضوء التامّ، فیبقی عموم الأمر به عند إرادة القیام إلی الصلاة </w:t>
      </w:r>
      <w:r>
        <w:rPr>
          <w:rStyle w:val="FootnoteAnchor"/>
          <w:rtl w:val="true"/>
        </w:rPr>
        <w:footnoteReference w:id="1769"/>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770"/>
      </w:r>
      <w:r>
        <w:rPr>
          <w:rFonts w:ascii="IRNazanin" w:hAnsi="IRNazanin" w:eastAsia="IRNazanin"/>
          <w:color w:val="111111"/>
          <w:sz w:val="28"/>
          <w:sz w:val="28"/>
          <w:szCs w:val="28"/>
          <w:rtl w:val="true"/>
          <w:lang w:bidi="fa-IR"/>
        </w:rPr>
        <w:t xml:space="preserve">علی حاله، خلافا للمحکیّ عن المختلف </w:t>
      </w:r>
      <w:r>
        <w:rPr>
          <w:rStyle w:val="FootnoteAnchor"/>
          <w:rtl w:val="true"/>
        </w:rPr>
        <w:footnoteReference w:id="1771"/>
      </w:r>
      <w:r>
        <w:rPr>
          <w:rFonts w:ascii="IRNazanin" w:hAnsi="IRNazanin" w:eastAsia="IRNazanin"/>
          <w:color w:val="111111"/>
          <w:sz w:val="28"/>
          <w:sz w:val="28"/>
          <w:szCs w:val="28"/>
          <w:rtl w:val="true"/>
          <w:lang w:bidi="fa-IR"/>
        </w:rPr>
        <w:t xml:space="preserve">و کتب الشهید </w:t>
      </w:r>
      <w:r>
        <w:rPr>
          <w:rStyle w:val="FootnoteAnchor"/>
          <w:rtl w:val="true"/>
        </w:rPr>
        <w:footnoteReference w:id="1772"/>
      </w:r>
      <w:r>
        <w:rPr>
          <w:rFonts w:ascii="IRNazanin" w:hAnsi="IRNazanin" w:eastAsia="IRNazanin"/>
          <w:color w:val="111111"/>
          <w:sz w:val="28"/>
          <w:sz w:val="28"/>
          <w:szCs w:val="28"/>
          <w:rtl w:val="true"/>
          <w:lang w:bidi="fa-IR"/>
        </w:rPr>
        <w:t>و جامع</w:t>
      </w:r>
    </w:p>
    <w:p>
      <w:pPr>
        <w:pStyle w:val="BookText"/>
        <w:rPr/>
      </w:pPr>
      <w:r>
        <w:rPr>
          <w:rFonts w:ascii="IRNazanin" w:hAnsi="IRNazanin" w:eastAsia="IRNazanin"/>
          <w:color w:val="111111"/>
          <w:sz w:val="28"/>
          <w:sz w:val="28"/>
          <w:szCs w:val="28"/>
          <w:rtl w:val="true"/>
          <w:lang w:bidi="fa-IR"/>
        </w:rPr>
        <w:t xml:space="preserve">المقاصد </w:t>
      </w:r>
      <w:r>
        <w:rPr>
          <w:rStyle w:val="FootnoteAnchor"/>
          <w:rtl w:val="true"/>
        </w:rPr>
        <w:footnoteReference w:id="1773"/>
      </w:r>
      <w:r>
        <w:rPr>
          <w:rFonts w:ascii="IRNazanin" w:hAnsi="IRNazanin" w:eastAsia="IRNazanin"/>
          <w:color w:val="111111"/>
          <w:sz w:val="28"/>
          <w:sz w:val="28"/>
          <w:szCs w:val="28"/>
          <w:rtl w:val="true"/>
          <w:lang w:bidi="fa-IR"/>
        </w:rPr>
        <w:t xml:space="preserve">و المدارک </w:t>
      </w:r>
      <w:r>
        <w:rPr>
          <w:rStyle w:val="FootnoteAnchor"/>
          <w:rtl w:val="true"/>
        </w:rPr>
        <w:footnoteReference w:id="1774"/>
      </w:r>
      <w:r>
        <w:rPr>
          <w:rFonts w:ascii="IRNazanin" w:hAnsi="IRNazanin" w:eastAsia="IRNazanin"/>
          <w:color w:val="111111"/>
          <w:sz w:val="28"/>
          <w:sz w:val="28"/>
          <w:szCs w:val="28"/>
          <w:rtl w:val="true"/>
          <w:lang w:bidi="fa-IR"/>
        </w:rPr>
        <w:t>فلم یوجبوا الاستئناف، و فرّعه فی جامع المقاصد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المأمور به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ینوی صاحب هذه الطهارة رفع الحدث، فیحصل له،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الرافع للحدث إلّا الحدث، و زوال السبب لیس من الأحداث إجماعا، فیجب استصحاب الحکم إلی أن یحصل حدث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فرّع علی هذه المقدّمات الحکم بعدم لزوم الإعادة فی وضوءی التقیّة و الجبیرة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علی الاولی أنّ الأمر بالوضوء لیس إلّا لأجل إحراز إباحة الصلاة عند الدخول فیها، و لیس المطلوب مجرّد إیجاده فی الخارج، فإذا وقع الکلام فی أنّ المباح بهذا الوضوء هی الصلاة المأتی بها حال العذر أو مطلق الصلاة فلا ینفع اقتضاء الأمر للإجزاء، لأنّ المأمور به حقیقة هو فعل الصلاة متطهّرا، أو الکون علی الطهارة عند الدخول فی الصلاة کما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777"/>
      </w:r>
      <w:r>
        <w:rPr>
          <w:rFonts w:ascii="IRNazanin" w:hAnsi="IRNazanin" w:eastAsia="IRNazanin"/>
          <w:color w:val="111111"/>
          <w:sz w:val="28"/>
          <w:sz w:val="28"/>
          <w:szCs w:val="28"/>
          <w:rtl w:val="true"/>
          <w:lang w:bidi="fa-IR"/>
        </w:rPr>
        <w:t>و الإتیان به فیما نحن فیه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یحسن هذا الکلام فی مثل غسل الجمعة من المطلوبات النفسیة إذا أتی به ناقصا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جواز نیّة رفع الحدث بل هو کالتیمّم، فیسقط المقدّمة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1778"/>
      </w:r>
      <w:r>
        <w:rPr>
          <w:rFonts w:ascii="IRNazanin" w:hAnsi="IRNazanin" w:eastAsia="IRNazanin"/>
          <w:color w:val="111111"/>
          <w:sz w:val="28"/>
          <w:sz w:val="28"/>
          <w:szCs w:val="28"/>
          <w:rtl w:val="true"/>
          <w:lang w:bidi="fa-IR"/>
        </w:rPr>
        <w:t xml:space="preserve">خصوصا مع تفسیره فی الروایة بالمطهّرین من الأحداث </w:t>
      </w:r>
      <w:r>
        <w:rPr>
          <w:rStyle w:val="FootnoteAnchor"/>
          <w:rtl w:val="true"/>
        </w:rPr>
        <w:footnoteReference w:id="1779"/>
      </w:r>
      <w:r>
        <w:rPr>
          <w:rFonts w:ascii="IRNazanin" w:hAnsi="IRNazanin" w:eastAsia="IRNazanin"/>
          <w:color w:val="111111"/>
          <w:sz w:val="28"/>
          <w:sz w:val="28"/>
          <w:szCs w:val="28"/>
          <w:rtl w:val="true"/>
          <w:lang w:bidi="fa-IR"/>
        </w:rPr>
        <w:t>، و قوله علیه السلام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حدث</w:t>
      </w:r>
      <w:r>
        <w:rPr>
          <w:rFonts w:eastAsia="IRNazanin" w:cs="IRNazanin"/>
          <w:color w:val="111111"/>
          <w:sz w:val="28"/>
          <w:szCs w:val="28"/>
          <w:rtl w:val="true"/>
          <w:lang w:bidi="fa-IR"/>
        </w:rPr>
        <w:t xml:space="preserve">» </w:t>
      </w:r>
      <w:r>
        <w:rPr>
          <w:rStyle w:val="FootnoteAnchor"/>
          <w:rtl w:val="true"/>
        </w:rPr>
        <w:footnoteReference w:id="1780"/>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فإیّاک أن تحدث وضوءا حتّی تستیقن أنّک أحدثت</w:t>
      </w:r>
      <w:r>
        <w:rPr>
          <w:rFonts w:eastAsia="IRNazanin" w:cs="IRNazanin"/>
          <w:color w:val="111111"/>
          <w:sz w:val="28"/>
          <w:szCs w:val="28"/>
          <w:rtl w:val="true"/>
          <w:lang w:bidi="fa-IR"/>
        </w:rPr>
        <w:t xml:space="preserve">» </w:t>
      </w:r>
      <w:r>
        <w:rPr>
          <w:rStyle w:val="FootnoteAnchor"/>
          <w:rtl w:val="true"/>
        </w:rPr>
        <w:footnoteReference w:id="1781"/>
      </w:r>
      <w:r>
        <w:rPr>
          <w:rFonts w:ascii="IRNazanin" w:hAnsi="IRNazanin" w:eastAsia="IRNazanin"/>
          <w:color w:val="111111"/>
          <w:sz w:val="28"/>
          <w:sz w:val="28"/>
          <w:szCs w:val="28"/>
          <w:rtl w:val="true"/>
          <w:lang w:bidi="fa-IR"/>
        </w:rPr>
        <w:t>أنّ الأصل فی کلّ وضوء مبیح أن یکون رافعا للحدث،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الطهارة فی الآیة و الروایة بمعنی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الحالة المانعة شأنا من الدخول فیما یشترط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أعمّ من المبیح أو الرافع للحدث بمعنی الحالة المانعة بالفعل، و مرجعه أیضا إلی المبیح، فلا یجوز أن ینوی به إلّا إباحة الصلاة المأتیّ بها حال العذر، لأنّها المتیقّنة من أثر هذا الوضوء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انصراف إطلاقه إلی الوضوء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الوضوء بقرینة نسبة النقض إلیه، هو الوضوء المؤثّر فی رفع الحدث، لأنّه المستعدّ للبقاء أبدا إذا لم یرفعه رافع،</w:t>
      </w:r>
    </w:p>
    <w:p>
      <w:pPr>
        <w:pStyle w:val="BookText"/>
        <w:rPr/>
      </w:pPr>
      <w:r>
        <w:rPr>
          <w:rFonts w:ascii="IRNazanin" w:hAnsi="IRNazanin" w:eastAsia="IRNazanin"/>
          <w:color w:val="111111"/>
          <w:sz w:val="28"/>
          <w:sz w:val="28"/>
          <w:szCs w:val="28"/>
          <w:rtl w:val="true"/>
          <w:lang w:bidi="fa-IR"/>
        </w:rPr>
        <w:t xml:space="preserve">و الکلام فی کون الوضوء الناقص کذلک، و إطلاق النقض علی بطلان التیمّم بوجود الماء فی بعض العبارات </w:t>
      </w:r>
      <w:r>
        <w:rPr>
          <w:rStyle w:val="FootnoteAnchor"/>
          <w:rtl w:val="true"/>
        </w:rPr>
        <w:footnoteReference w:id="1782"/>
      </w:r>
      <w:r>
        <w:rPr>
          <w:rFonts w:ascii="IRNazanin" w:hAnsi="IRNazanin" w:eastAsia="IRNazanin"/>
          <w:color w:val="111111"/>
          <w:sz w:val="28"/>
          <w:sz w:val="28"/>
          <w:szCs w:val="28"/>
          <w:rtl w:val="true"/>
          <w:lang w:bidi="fa-IR"/>
        </w:rPr>
        <w:t xml:space="preserve">و الروایات </w:t>
      </w:r>
      <w:r>
        <w:rPr>
          <w:rStyle w:val="FootnoteAnchor"/>
          <w:rtl w:val="true"/>
        </w:rPr>
        <w:footnoteReference w:id="1783"/>
      </w:r>
      <w:r>
        <w:rPr>
          <w:rFonts w:ascii="IRNazanin" w:hAnsi="IRNazanin" w:eastAsia="IRNazanin"/>
          <w:color w:val="111111"/>
          <w:sz w:val="28"/>
          <w:sz w:val="28"/>
          <w:szCs w:val="28"/>
          <w:rtl w:val="true"/>
          <w:lang w:bidi="fa-IR"/>
        </w:rPr>
        <w:t>توسّع، لا یصار إلیه عند الإطلاق، و أمّا جعل إسناد النقض إلی الوضوء المطلق قرینة علی کون مطلق الوضوء قابلا للنقض مستعدّا لبقاء أثره أبدا ما لم یرفعه رافع فهو فاسد، لأنّ الظاهر فی نظائره العرفیّة کون خصوص الفعل مقیّدا لإطلاق متعلّقه،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أعاد الوضوء </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استأنف الصلاة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تردّد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ینشأ من دخوله فیها دخولا مشروعا فیمضی، لاستصحاب الصحّة،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أَعْمٰالَکُمْ</w:t>
      </w:r>
      <w:r>
        <w:rPr>
          <w:rFonts w:eastAsia="Amiri" w:cs="Amiri" w:ascii="Amiri" w:hAnsi="Amiri"/>
          <w:color w:val="111111"/>
          <w:sz w:val="28"/>
          <w:szCs w:val="28"/>
          <w:rtl w:val="true"/>
          <w:lang w:bidi="ar-SA"/>
        </w:rPr>
        <w:t xml:space="preserve">) </w:t>
      </w:r>
      <w:r>
        <w:rPr>
          <w:rStyle w:val="FootnoteAnchor"/>
          <w:rtl w:val="true"/>
        </w:rPr>
        <w:footnoteReference w:id="1785"/>
      </w:r>
      <w:r>
        <w:rPr>
          <w:rFonts w:ascii="IRNazanin" w:hAnsi="IRNazanin" w:eastAsia="IRNazanin"/>
          <w:color w:val="111111"/>
          <w:sz w:val="28"/>
          <w:sz w:val="28"/>
          <w:szCs w:val="28"/>
          <w:rtl w:val="true"/>
          <w:lang w:bidi="fa-IR"/>
        </w:rPr>
        <w:t>، و من أنّ شرط الأجزاء الباقیة الطهارة و لم تحرز، لما تقدّم من أنّ المتیقّن تأثیر الوضوء فی الصلاة المأتیّ بها حال العذر، و لا محال لاستصحاب الإباحة، لأنّ إباحة الصلاة المأتیّ بها حال العذر المتیقّن بها سابقا متیقّن الارتفاع و إباحة ما عداها المشکوکة غیر متیقّن فی السابق، و الأصل عدمه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الصحّة، فغیر جار فی مثل المقام ممّا کان الشکّ فیه فی تحقّق جمیع ما عدا الأجزاء السابقة من الشرائط و الأجزاء، و إنّما یجری فی مورد الشکّ فی انقطاع الصلاة و ارتفاع الهیئة الاتّصالیة الملحوظة بین أجزائها کالتکلّم،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فلا تدلّ إلّا علی إیقاع المبطل للعمل الغیر الباطل فی نفسه، فإذا شکّ فی صحّة عمل فی نفسه أو بطلانه فلا یعلم أنّ رفع الید عنه إبطال له فلا یحرم،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إرادة مطلق رفع الید من الإبطال حتّی یکون تحریمه کاشفا عن صحّة العمل فهو خلاف الظاهر، مضافا إلی أنّ اللازم من العمل بعموم الآیة تخصیصه بالأکثر، بل الباقی تحت العموم کالقطرة فی جنب البحر الخارج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یظهر لک قوّة القول باستئناف الصلاة بطهارة جدیدة، مع أنّه أحوط فی الجملة، بل هو أحوط من الإتمام و الإعادة، لأنّه مستلزم لفوات قصد الوجه الذی قال الأکثر بوجوبه و إن لم نقل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تفریعا علی قول الشیخ بالإعادة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توهّم البرء فکشف فظهر عدمه، أمکن وجوب إعادة الوضوء لظهور ما یجب غسله، و وجه العدم ظهور بطلان ظنّه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للشکّ فی وجوب الإعادة مع فرض عدم تضرّر البشرة بالغسل و إن لم یستغن عن الجبیرة، و ظهور بطلان ظنّه لا یوجب عجزه عن الوضوء الصحیح، و لا مجال أیضا للشکّ فی عدمه مع فرض الضرر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تفریعا علی القول بعدم 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787"/>
      </w:r>
      <w:r>
        <w:rPr>
          <w:rFonts w:ascii="IRNazanin" w:hAnsi="IRNazanin" w:eastAsia="IRNazanin"/>
          <w:color w:val="111111"/>
          <w:sz w:val="28"/>
          <w:sz w:val="28"/>
          <w:szCs w:val="28"/>
          <w:rtl w:val="true"/>
          <w:lang w:bidi="fa-IR"/>
        </w:rPr>
        <w:t xml:space="preserve">لو ظهر سبق البرء و لمّا یعلم به حین الوضوء اتّجه الإعادة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لأنّه حین الوضوء متعبّد بظنّه بالضرر، فالعذر الواقعی فی حقّه منع الشارع له عن الوضوء التامّ، لا الضرر الواقعی حتّی یکون ظنّه طریقا إلیه، فیدخل فی مسألة من أدّی تکلیفه بالطریق الظاهری فانکشف خلافه</w:t>
      </w:r>
      <w:r>
        <w:rPr>
          <w:rFonts w:eastAsia="IRNazanin" w:cs="IRNazanin"/>
          <w:color w:val="111111"/>
          <w:sz w:val="28"/>
          <w:szCs w:val="28"/>
          <w:rtl w:val="true"/>
          <w:lang w:bidi="fa-IR"/>
        </w:rPr>
        <w:t>.</w:t>
      </w:r>
      <w:bookmarkStart w:id="174" w:name="pg13035_131895"/>
    </w:p>
    <w:p>
      <w:pPr>
        <w:pStyle w:val="Heading6"/>
        <w:numPr>
          <w:ilvl w:val="5"/>
          <w:numId w:val="1"/>
        </w:numPr>
        <w:rPr/>
      </w:pPr>
      <w:bookmarkStart w:id="175" w:name="__RefHeading___Toc6369982_3224264995"/>
      <w:bookmarkStart w:id="176" w:name="_Toc68"/>
      <w:bookmarkEnd w:id="174"/>
      <w:bookmarkEnd w:id="175"/>
      <w:r>
        <w:rPr>
          <w:rtl w:val="true"/>
        </w:rPr>
        <w:t>[</w:t>
      </w:r>
      <w:r>
        <w:rPr>
          <w:rtl w:val="true"/>
        </w:rPr>
        <w:t>المسألة السادسة فی وجوب المباشرة فی الوضوء مع الاختیار</w:t>
      </w:r>
      <w:r>
        <w:rPr>
          <w:rtl w:val="true"/>
        </w:rPr>
        <w:t>]</w:t>
      </w:r>
      <w:bookmarkEnd w:id="176"/>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وضوئه غیره </w:t>
      </w:r>
      <w:r>
        <w:rPr>
          <w:rStyle w:val="FootnoteAnchor"/>
          <w:rtl w:val="true"/>
        </w:rPr>
        <w:footnoteReference w:id="1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المخاطب به، و ظاهر الخطاب المباشرة، و إرادة الأعمّ منه و من التسبیب مجاز لا یصار إلیه إلّا مع القرینة، بل هو أبعد من إرادة خصوص التسبیب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هٰامٰانُ ابْنِ لِی صَرْحاً</w:t>
      </w:r>
      <w:r>
        <w:rPr>
          <w:rFonts w:eastAsia="IRNazanin" w:cs="IRNazanin"/>
          <w:color w:val="111111"/>
          <w:sz w:val="28"/>
          <w:szCs w:val="28"/>
          <w:rtl w:val="true"/>
          <w:lang w:bidi="fa-IR"/>
        </w:rPr>
        <w:t xml:space="preserve">) </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یدلّ الدلیل الخارجی علی أنّ غرض الآمر و داعیه إلی الأمر تحصیل المخاطب الفعل و لو بالتسبّب، بل قد یدلّ الدلیل علی کون الغرض حصول الفعل و لو من غیر تحصیل، فضلا عن المباشرة کما فی 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فظاهر الأمر عدم حصول الامتثال بغیر المباشرة، بل عدم سقوطه، إلّا أن یقوم الدلیل علی إرادة مطلق التحصیل، فیحصل الامتثال بالتسبیب، کما فی أمر الشارع ببناء المسجد، أو یدلّ دلیل علی کون الغرض مطلق الحصول فیسقط به، و لو من دون تحصیل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ما یقبل الاستنابة من العبادات فلیس فیها تعمیم المأمور به</w:t>
      </w:r>
    </w:p>
    <w:p>
      <w:pPr>
        <w:pStyle w:val="BookText"/>
        <w:rPr/>
      </w:pPr>
      <w:r>
        <w:rPr>
          <w:rFonts w:ascii="IRNazanin" w:hAnsi="IRNazanin" w:eastAsia="IRNazanin"/>
          <w:color w:val="111111"/>
          <w:sz w:val="28"/>
          <w:sz w:val="28"/>
          <w:szCs w:val="28"/>
          <w:rtl w:val="true"/>
          <w:lang w:bidi="fa-IR"/>
        </w:rPr>
        <w:t>بفعل المخاطب و فعل غیره، و إنّما ینزّل الغیر منزلة المخاطب بأدلّة قبول الفعل للنیابة، فإن کان أدلّته عامّة کانت محکّمة علی جمیع الأوامر و لو کانت من العبادات، لأنّ تقرّب النائب من حیث إنّه نائب تقرّب المنوب عنه، کما حقّق فی استئجار العبادات، و إن کانت خاصّة حکمت فی موردها، و ما لم یثبت فیه الدلیل لم یحکم فیه بذلک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فصدور الفعل من الفاعل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کوقوعه علی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مقوّمات المأمور به، لا من الأمور الخارجة عنه المعتبر فیه، فکما أنّ ضرب عمرو لیس فی شی‌ء من المأمور به فی قول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زیدا، کذلک ضرب ضارب آخر غیر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أنّه لا مجال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الأوامر لا یقتضی سوی کونه مأمورا بالمباشرة، و أمّا الشرطیّة فلا دلیل فیها علیه، فتبقی عمومات الوکالة و النیابة محکّمة یصحّ إثبات المشروعیّة بها، فیکون الأصل جواز الوکالة و النیابة فی جمیع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هذا القول، تسلیمه فی التوصّلیات و منعه فی العبادات، مستندا فی الفرق إلی ظهورها فی إرادة التعبّد الظاهر فی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الخلط فی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الشرط و المقوّم، و بین ما نحن فیه من التولیة فی الواجب و بین الوکالة و النیابة فی الواجبات، و بین العبادات و التوصّلیات مع اشتراک الکلّ فی إرادة التعبّد من الأمر فیها و إن سقط التعبّد بغیره فی التوصّلیات، و بین سقوط الأمر و حصول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بالتأمّل فیما ذکرناه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یستدلّ علی وجوب المباشرة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1791"/>
      </w:r>
      <w:r>
        <w:rPr>
          <w:rFonts w:ascii="IRNazanin" w:hAnsi="IRNazanin" w:eastAsia="IRNazanin"/>
          <w:color w:val="111111"/>
          <w:sz w:val="28"/>
          <w:sz w:val="28"/>
          <w:szCs w:val="28"/>
          <w:rtl w:val="true"/>
          <w:lang w:bidi="fa-IR"/>
        </w:rPr>
        <w:t>بناء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به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تحریم الإشراک فی العبادة، کقول أبی الحسن الرضا صلوات اللّٰه علیه للوشّاء لمّا أراد أن یصبّ علیه الماء للوضوء فنهاه عنه،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تنهانی أن أصبّ علی یدیک، تکره </w:t>
      </w:r>
      <w:r>
        <w:rPr>
          <w:rStyle w:val="FootnoteAnchor"/>
          <w:rtl w:val="true"/>
        </w:rPr>
        <w:footnoteReference w:id="1792"/>
      </w:r>
      <w:r>
        <w:rPr>
          <w:rFonts w:ascii="IRNazanin" w:hAnsi="IRNazanin" w:eastAsia="IRNazanin"/>
          <w:color w:val="111111"/>
          <w:sz w:val="28"/>
          <w:sz w:val="28"/>
          <w:szCs w:val="28"/>
          <w:rtl w:val="true"/>
          <w:lang w:bidi="fa-IR"/>
        </w:rPr>
        <w:t>أن أؤجر؟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تؤجر أنت و أوزر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ذلک؟ فقال أما سمعت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أنا أتوضّأ للصلاة و هی العبادة، فأکره أن یشرکنی </w:t>
      </w:r>
      <w:r>
        <w:rPr>
          <w:rStyle w:val="FootnoteAnchor"/>
          <w:rtl w:val="true"/>
        </w:rPr>
        <w:footnoteReference w:id="1793"/>
      </w:r>
      <w:r>
        <w:rPr>
          <w:rFonts w:ascii="IRNazanin" w:hAnsi="IRNazanin" w:eastAsia="IRNazanin"/>
          <w:color w:val="111111"/>
          <w:sz w:val="28"/>
          <w:sz w:val="28"/>
          <w:szCs w:val="28"/>
          <w:rtl w:val="true"/>
          <w:lang w:bidi="fa-IR"/>
        </w:rPr>
        <w:t xml:space="preserve">فیها أحد </w:t>
      </w:r>
      <w:r>
        <w:rPr>
          <w:rStyle w:val="FootnoteAnchor"/>
          <w:rtl w:val="true"/>
        </w:rPr>
        <w:footnoteReference w:id="1794"/>
      </w:r>
      <w:r>
        <w:rPr>
          <w:rFonts w:ascii="IRNazanin" w:hAnsi="IRNazanin" w:eastAsia="IRNazanin"/>
          <w:color w:val="111111"/>
          <w:sz w:val="28"/>
          <w:sz w:val="28"/>
          <w:szCs w:val="28"/>
          <w:rtl w:val="true"/>
          <w:lang w:bidi="fa-IR"/>
        </w:rPr>
        <w:t>و قوله صلوات اللّٰه علیه للمأمون لمّا صبّ الغلام علی یده الماء للوضوء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لا تشرک بعبادة ربّک أحدا</w:t>
      </w:r>
      <w:r>
        <w:rPr>
          <w:rFonts w:eastAsia="IRNazanin" w:cs="IRNazanin"/>
          <w:color w:val="111111"/>
          <w:sz w:val="28"/>
          <w:szCs w:val="28"/>
          <w:rtl w:val="true"/>
          <w:lang w:bidi="fa-IR"/>
        </w:rPr>
        <w:t xml:space="preserve">» </w:t>
      </w:r>
      <w:r>
        <w:rPr>
          <w:rStyle w:val="FootnoteAnchor"/>
          <w:rtl w:val="true"/>
        </w:rPr>
        <w:footnoteReference w:id="1795"/>
      </w:r>
      <w:r>
        <w:rPr>
          <w:rFonts w:ascii="IRNazanin" w:hAnsi="IRNazanin" w:eastAsia="IRNazanin"/>
          <w:color w:val="111111"/>
          <w:sz w:val="28"/>
          <w:sz w:val="28"/>
          <w:szCs w:val="28"/>
          <w:rtl w:val="true"/>
          <w:lang w:bidi="fa-IR"/>
        </w:rPr>
        <w:t xml:space="preserve">، و قریب منهما غیرهما ممّا استشهد فیه بالآیة علی النهی عن الإشراک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الإنصاف ضعف الاستدلال بها فی المقام، لأنّ الاستدلال إن کان بظاهرها </w:t>
      </w:r>
      <w:r>
        <w:rPr>
          <w:rStyle w:val="FootnoteAnchor"/>
          <w:rtl w:val="true"/>
        </w:rPr>
        <w:footnoteReference w:id="1797"/>
      </w:r>
      <w:r>
        <w:rPr>
          <w:rFonts w:ascii="IRNazanin" w:hAnsi="IRNazanin" w:eastAsia="IRNazanin"/>
          <w:color w:val="111111"/>
          <w:sz w:val="28"/>
          <w:sz w:val="28"/>
          <w:szCs w:val="28"/>
          <w:rtl w:val="true"/>
          <w:lang w:bidi="fa-IR"/>
        </w:rPr>
        <w:t>مع قطع النظر عمّا ورد فی تفسیرها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إنّما تدلّ علی النهی عن الإشراک فی العبادة، بأن یدخل غیره معه فی الفعل بقصد العبادة و الأجر من اللّٰه تعالی، لیشترکا فی عبادة اللّٰه عزّ و جلّ، و هذا لا یکون إلّا</w:t>
      </w:r>
    </w:p>
    <w:p>
      <w:pPr>
        <w:pStyle w:val="BookText"/>
        <w:rPr/>
      </w:pPr>
      <w:r>
        <w:rPr>
          <w:rFonts w:ascii="IRNazanin" w:hAnsi="IRNazanin" w:eastAsia="IRNazanin"/>
          <w:color w:val="111111"/>
          <w:sz w:val="28"/>
          <w:sz w:val="28"/>
          <w:szCs w:val="28"/>
          <w:rtl w:val="true"/>
          <w:lang w:bidi="fa-IR"/>
        </w:rPr>
        <w:t>إذا کان الفعل مستحبّا فی حقّ کلّ منهما، و هذا لیس محرّما و لا مکروها، و أمّا محلّ الکلام و هو مجرّد صدور الفعل منهما معا و إن لم یقصد شریکه العبادة، بل أعانه لغرض آخر من طمع أو خوف، فلا یدخل تحت المنهیّ عنه، ألا تری أنّ الإشراک مع الغیر فی بناء المسجد لأجرة جعلت له أو لغرض آخر غیر التقرّب إلی اللّٰه تعالی لا یعدّ من الإشراک فی العبادة؟</w:t>
      </w:r>
    </w:p>
    <w:p>
      <w:pPr>
        <w:pStyle w:val="BookText"/>
        <w:rPr/>
      </w:pPr>
      <w:r>
        <w:rPr>
          <w:rFonts w:ascii="IRNazanin" w:hAnsi="IRNazanin" w:eastAsia="IRNazanin"/>
          <w:color w:val="111111"/>
          <w:sz w:val="28"/>
          <w:sz w:val="28"/>
          <w:szCs w:val="28"/>
          <w:rtl w:val="true"/>
          <w:lang w:bidi="fa-IR"/>
        </w:rPr>
        <w:t>فتحصّل أنّ محلّ الکلام و مدلول الآیة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الاستدلال بملاحظة ما ورد فی تفسیرها،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متعارضة فی تفسیرها، ففی روایة جرّاح المدائنی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یعمل شیئا من الثواب لا یطلب به وجه اللّٰه و إنّما یطلب تزکیة الناس یشتهی أن یسمع به الناس، فهذا الذی أشرک بعبادة ربّه أحدا</w:t>
      </w:r>
      <w:r>
        <w:rPr>
          <w:rFonts w:eastAsia="IRNazanin" w:cs="IRNazanin"/>
          <w:color w:val="111111"/>
          <w:sz w:val="28"/>
          <w:szCs w:val="28"/>
          <w:rtl w:val="true"/>
          <w:lang w:bidi="fa-IR"/>
        </w:rPr>
        <w:t xml:space="preserve">» </w:t>
      </w:r>
      <w:r>
        <w:rPr>
          <w:rStyle w:val="FootnoteAnchor"/>
          <w:rtl w:val="true"/>
        </w:rPr>
        <w:footnoteReference w:id="1798"/>
      </w:r>
      <w:r>
        <w:rPr>
          <w:rFonts w:ascii="IRNazanin" w:hAnsi="IRNazanin" w:eastAsia="IRNazanin"/>
          <w:color w:val="111111"/>
          <w:sz w:val="28"/>
          <w:sz w:val="28"/>
          <w:szCs w:val="28"/>
          <w:rtl w:val="true"/>
          <w:lang w:bidi="fa-IR"/>
        </w:rPr>
        <w:t xml:space="preserve">، و لا ریب أنّ إرادة ما نحن فیه و إرادة هذا المعنی، لا یجتمعان فی الآیة من حیث استعمال اللفظ فیهما، لأنّ مرجع الإشراک فیما نحن فیه إلی إشراک الغیر فی العابدیّة و مرجعه فی روایة جرّاح المدائنی إلی إشراک الغیر فی العبودیة </w:t>
      </w:r>
      <w:r>
        <w:rPr>
          <w:rStyle w:val="FootnoteAnchor"/>
          <w:rtl w:val="true"/>
        </w:rPr>
        <w:footnoteReference w:id="1799"/>
      </w:r>
      <w:r>
        <w:rPr>
          <w:rFonts w:ascii="IRNazanin" w:hAnsi="IRNazanin" w:eastAsia="IRNazanin"/>
          <w:color w:val="111111"/>
          <w:sz w:val="28"/>
          <w:sz w:val="28"/>
          <w:szCs w:val="28"/>
          <w:rtl w:val="true"/>
          <w:lang w:bidi="fa-IR"/>
        </w:rPr>
        <w:t>، و الجمع بینهما فی استعمال واحد ممّا لا یجوز، و لا جامع بینهما، فلا بدّ من ترجیح أحد التفسیرین، و الأوفق بظاهری النهی و العموم هو ما فی روایة 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الواردة فی تفسیر الآیة فیما نحن فیه أظهر فی الکراهة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الروایتان المذکورتان هنا، فلأنّ الظاهر المتعارف بین أهل الکبر</w:t>
      </w:r>
    </w:p>
    <w:p>
      <w:pPr>
        <w:pStyle w:val="BookText"/>
        <w:rPr/>
      </w:pPr>
      <w:r>
        <w:rPr>
          <w:rFonts w:ascii="IRNazanin" w:hAnsi="IRNazanin" w:eastAsia="IRNazanin"/>
          <w:color w:val="111111"/>
          <w:sz w:val="28"/>
          <w:sz w:val="28"/>
          <w:szCs w:val="28"/>
          <w:rtl w:val="true"/>
          <w:lang w:bidi="fa-IR"/>
        </w:rPr>
        <w:t>صبّ الخادم الماء علی أیدیهم فیباشرون بها غسل الوجه و الأیدی، فیکفونهم مئونة حمل الإبریق و الصبّ، و لم یتعارف صبّ الخادم علی الوجه أو المرفق، 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تؤجر أنت و أوزر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الوزر فیه علی تبعة المکروه، و إلّا فحرمة قبول الإشراک علی وجه یبطل </w:t>
      </w:r>
      <w:r>
        <w:rPr>
          <w:rStyle w:val="FootnoteAnchor"/>
          <w:rtl w:val="true"/>
        </w:rPr>
        <w:footnoteReference w:id="1800"/>
      </w:r>
      <w:r>
        <w:rPr>
          <w:rFonts w:ascii="IRNazanin" w:hAnsi="IRNazanin" w:eastAsia="IRNazanin"/>
          <w:color w:val="111111"/>
          <w:sz w:val="28"/>
          <w:sz w:val="28"/>
          <w:szCs w:val="28"/>
          <w:rtl w:val="true"/>
          <w:lang w:bidi="fa-IR"/>
        </w:rPr>
        <w:t>العبادة لا یجامع کون الرجل مأجورا علی الاشتراک فی الوضوء، لأنّه عمل باطل، و لا علی إعانة الإمام علیه السلام، من حیث إنّها إعانة علی المحرّم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جعل العبادة فی الآیة عبارة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الاولی و غیرها ممّا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حرمة الاستعانة فی المقدّمات، مع أنّه لم یقل بها أحد، فهی قرینة أخری علی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الصدوق فی الفقیه و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 علیه السلام إذا توضّأ لم یدع أحدا یصبّ علیه الماء،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لم لا تدعهم یصبّون علیک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أشرک فی صلاتی أحدا، إنّ اللّٰه جلّ ذکره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لا أحبّ أن یشارکنی فیهما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وضوئی فإنّه من صلاتی، و صدقتی فإنّها من یدی إلی ید السائل فإنّها تقع فی ید الرحمن</w:t>
      </w:r>
      <w:r>
        <w:rPr>
          <w:rFonts w:eastAsia="IRNazanin" w:cs="IRNazanin"/>
          <w:color w:val="111111"/>
          <w:sz w:val="28"/>
          <w:szCs w:val="28"/>
          <w:rtl w:val="true"/>
          <w:lang w:bidi="fa-IR"/>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کلّها کما تری ظاهرة فی إرادة الکراهة، کما حکی فیما نحن فیه عن الإسکافی فی ظاهر کلامه،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للإنسان أن لا یشرک فی وضوئه بأنّ یوضّئه غیره أو یعینه علیه </w:t>
      </w:r>
      <w:r>
        <w:rPr>
          <w:rStyle w:val="FootnoteAnchor"/>
          <w:rtl w:val="true"/>
        </w:rPr>
        <w:footnoteReference w:id="1803"/>
      </w:r>
      <w:r>
        <w:rPr>
          <w:rFonts w:ascii="IRNazanin" w:hAnsi="IRNazanin" w:eastAsia="IRNazanin"/>
          <w:color w:val="111111"/>
          <w:sz w:val="28"/>
          <w:sz w:val="28"/>
          <w:szCs w:val="28"/>
          <w:rtl w:val="true"/>
          <w:lang w:bidi="fa-IR"/>
        </w:rPr>
        <w:t>، لکنّه ضعیف جدّا، لما تقدّم، لا لظاهر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الإسکافی من التوضئة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ماء الوضوء فی الید، و إلّا فظاهر التوضئة استقلال الغیر لا اشتراکه، و یرید من الإعانة غیرها من المقدّمات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أنّه قد یقوم الدلیل علی أنّ الغرض من الأمر و الداعی إلیه هو تحصیل المخاطب للمأمور به أعمّ من التسبیب له، و هذا التعمیم قد یکون علی الإطلاق، و قد یکون علی الترتیب، بأن یکون الغرض التحصیل مباشرة مع إمکانها، فإذا تعذّرت فالتسبّب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یتوهّم من ذلک استعمال الأوامر فی الأعمّ من المباشرة مع ثبوت قید المباشرة من الخارج، فیقتصر فیه علی صورة التمکّن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التولیة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الاضطرار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اندفاعه ممّا ذکرنا فی أنّ المباشرة لیست من قبیل القید، بل هی مقوّم للمأمور به،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تقوّم الفعل بالمحلّ الخاصّ کالغسل أو المسح بالبشرة لیس بأدون من تقوّمه بالفاعل، لاشتراک الفاعل و المفعول فی تقوّم الفعل، فمقتضی تفریع سقوط مباشرة المسح للبشرة فی روایة عبد الأعلی المتقدّمة </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علی نفی الحرج سقوط مباشرة المکلّف عند عجزه، و جواز تولیته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یؤیّد بما اشتهر روایة و عملا من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1806"/>
      </w:r>
      <w:r>
        <w:rPr>
          <w:rFonts w:ascii="IRNazanin" w:hAnsi="IRNazanin" w:eastAsia="IRNazanin"/>
          <w:color w:val="111111"/>
          <w:sz w:val="28"/>
          <w:sz w:val="28"/>
          <w:szCs w:val="28"/>
          <w:rtl w:val="true"/>
          <w:lang w:bidi="fa-IR"/>
        </w:rPr>
        <w:t>، فإنّها تدلّ علی نفی وجوب المباشرة لا إثبات وجوب 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الاستدلال بالقاعدة المستنبطة من روایة عبد الأعلی حسن، و إلیها أشار فی المعتبر، حیث استدلّ علی وجوب التولیة بأنّها توصل إلی الطهارة بالقدر الممکن </w:t>
      </w:r>
      <w:r>
        <w:rPr>
          <w:rStyle w:val="FootnoteAnchor"/>
          <w:rtl w:val="true"/>
        </w:rPr>
        <w:footnoteReference w:id="1807"/>
      </w:r>
      <w:r>
        <w:rPr>
          <w:rFonts w:ascii="IRNazanin" w:hAnsi="IRNazanin" w:eastAsia="IRNazanin"/>
          <w:color w:val="111111"/>
          <w:sz w:val="28"/>
          <w:sz w:val="28"/>
          <w:szCs w:val="28"/>
          <w:rtl w:val="true"/>
          <w:lang w:bidi="fa-IR"/>
        </w:rPr>
        <w:t xml:space="preserve">، لکن تقدّم فی مسألة الجبیرة </w:t>
      </w:r>
      <w:r>
        <w:rPr>
          <w:rStyle w:val="FootnoteAnchor"/>
          <w:rtl w:val="true"/>
        </w:rPr>
        <w:footnoteReference w:id="1808"/>
      </w:r>
      <w:r>
        <w:rPr>
          <w:rFonts w:ascii="IRNazanin" w:hAnsi="IRNazanin" w:eastAsia="IRNazanin"/>
          <w:color w:val="111111"/>
          <w:sz w:val="28"/>
          <w:sz w:val="28"/>
          <w:szCs w:val="28"/>
          <w:rtl w:val="true"/>
          <w:lang w:bidi="fa-IR"/>
        </w:rPr>
        <w:t xml:space="preserve">حسن هذا جدّا لو لا أنّ البناء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1809"/>
      </w:r>
      <w:r>
        <w:rPr>
          <w:rFonts w:ascii="IRNazanin" w:hAnsi="IRNazanin" w:eastAsia="IRNazanin"/>
          <w:color w:val="111111"/>
          <w:sz w:val="28"/>
          <w:sz w:val="28"/>
          <w:szCs w:val="28"/>
          <w:rtl w:val="true"/>
          <w:lang w:bidi="fa-IR"/>
        </w:rPr>
        <w:t>هذه القاعدة فی القیود، مع إمکان الفرق بین المباشرة بالنسبة إلی الفاعل کما فیما نحن فیه، و بینها بالنسبة إلی محلّ الوضوء الذی هو مورد روایة عبد الأعلی، و إن اشترکا فی تقویم الفعل الشخصی إلّا أنّ الفاعل مقوّم للمأمور به، و المفعول قید مقسّم له، و لذا یعقل أن یدّعی 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صوم غیره عند تعذّره، و لا یعقل دلالته علی وجوب صوم غیر المخاطب إذا تعذّر صومه، و إن کان مقتضی التأمّل أنّ هذا الفرق غیر مجد، إذ لیس معنی إلغاء المباشرة فیما نحن فیه إلّا دعوی أنّ مقصود الآمر مجرّد تحصیل المخاطب الفعل و لو بغیره، و هذا لیس بأبعد من إلغاء المباشرة فی المحلّ بإرادة غسل ما علیه من الحائل إذا تعذّرت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کفانا مئونة التکلّم فی إتمام القاعدة المستفادة من روایة عبد الأعلی قیام الإجماع فیما نحن فیه علی وجوب التولیة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ورد من وجوب التولیة فی تیمّم المجدور و التوبیخ علی ترکه لمّا غسلوه فمات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یستدلّ علیه بما دلّ علی جواز التولیة فی الغسل، مثل صحیحة سلیمان بن خالد عن أبی عبد 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وجعا شدید الوجع فأصابته جنابة و هو فی مکان بارد،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الغلمان </w:t>
      </w:r>
      <w:r>
        <w:rPr>
          <w:rStyle w:val="FootnoteAnchor"/>
          <w:rtl w:val="true"/>
        </w:rPr>
        <w:footnoteReference w:id="1811"/>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فاغسلونی، فحملونی و وضعونی علی خشبات، ثمّ صبّوا علیّ الماء فغسلونی</w:t>
      </w:r>
      <w:r>
        <w:rPr>
          <w:rFonts w:eastAsia="IRNazanin" w:cs="IRNazanin"/>
          <w:color w:val="111111"/>
          <w:sz w:val="28"/>
          <w:szCs w:val="28"/>
          <w:rtl w:val="true"/>
          <w:lang w:bidi="fa-IR"/>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محکیّة فی صحیحة محمّد بن مسلم بما ظاهره مباشرة الاغتسال، فإنّه روی عن أبی عبد اللّٰه علیه السلام فی حدیث أنّه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اضطرّ إلی الغسل و هو مریض فأتوا به مسخنا، فاغتسل،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 فیمکن حمل الروایة الأولی علی إعانته بالمقدّمات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کون ما تضمّنته الروایة مخالفة للقاعدة المقرّرة فی التیمّم، بل لأصول المذهب من عروض الاحتلام للإمام علیه السلام، لأنّ حملها علی تعمّد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الوجع الشدید المسقط للمباشرة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المحکّم فی صدق التشریک و 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عنهما اختیارا، المجوّزان 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العرف، و قد یخفی التشریک صدقا و کذبا، فقد یکون الغاسل حقیقة هو الصابّ، و المصبوب علیه خارجا بالمرّة، و قد یکون</w:t>
      </w:r>
    </w:p>
    <w:p>
      <w:pPr>
        <w:pStyle w:val="BookText"/>
        <w:rPr/>
      </w:pPr>
      <w:r>
        <w:rPr>
          <w:rFonts w:ascii="IRNazanin" w:hAnsi="IRNazanin" w:eastAsia="IRNazanin"/>
          <w:color w:val="111111"/>
          <w:sz w:val="28"/>
          <w:sz w:val="28"/>
          <w:szCs w:val="28"/>
          <w:rtl w:val="true"/>
          <w:lang w:bidi="fa-IR"/>
        </w:rPr>
        <w:t>بالعکس، و قد یشترکان فی الفعل، بمعنی اختصاص کلّ ببعض، أو بمعنی حصول کلّ بعض من المجموع، و أمثلته العرفیّة غیر خفیّة، لکن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التولیة التوضئة بصبّ الماء علی أعضاء الوضوء و إن تولّی هو الدلک </w:t>
      </w:r>
      <w:r>
        <w:rPr>
          <w:rStyle w:val="FootnoteAnchor"/>
          <w:rtl w:val="true"/>
        </w:rPr>
        <w:footnoteReference w:id="1814"/>
      </w:r>
      <w:r>
        <w:rPr>
          <w:rFonts w:ascii="IRNazanin" w:hAnsi="IRNazanin" w:eastAsia="IRNazanin"/>
          <w:color w:val="111111"/>
          <w:sz w:val="28"/>
          <w:sz w:val="28"/>
          <w:szCs w:val="28"/>
          <w:rtl w:val="true"/>
          <w:lang w:bidi="fa-IR"/>
        </w:rPr>
        <w:t>، انتهی،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المتولّی بین البالغ السلیم العاقل و غیره، لأنّه و إن کان یستند إلیه الغسل حقیقة، إلّا أنّه بالنسبة إلی الواجب علی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تحصیل غسل أعضائه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بمنزلة الآلة فی أنّه لا یلاحظ فیه إلّا تحقّق هذا التحصیل الواجب به، و حصول الفعل منه فی الخارج، فلا یلاحظ کونه عاملا، بل یلاحظ کونه قابلا </w:t>
      </w:r>
      <w:r>
        <w:rPr>
          <w:rStyle w:val="FootnoteAnchor"/>
          <w:rtl w:val="true"/>
        </w:rPr>
        <w:footnoteReference w:id="1815"/>
      </w:r>
      <w:r>
        <w:rPr>
          <w:rFonts w:ascii="IRNazanin" w:hAnsi="IRNazanin" w:eastAsia="IRNazanin"/>
          <w:color w:val="111111"/>
          <w:sz w:val="28"/>
          <w:sz w:val="28"/>
          <w:szCs w:val="28"/>
          <w:rtl w:val="true"/>
          <w:lang w:bidi="fa-IR"/>
        </w:rPr>
        <w:t xml:space="preserve">للفعل، و یتفرّع علی ذلک أنّه لا یعتبر فیه قصد التقرّب و لا النیابة، و أنّ المتولّی للنیة هو المأمور بالتولیة، و أنّه لو شکّ فی فعل المتولّی لا یبتنی علی صحّته، بمعنی عدم الاعتناء بالمشکوک فیه، بل مرجعه إلی شکّ </w:t>
      </w:r>
      <w:r>
        <w:rPr>
          <w:rStyle w:val="FootnoteAnchor"/>
          <w:rtl w:val="true"/>
        </w:rPr>
        <w:footnoteReference w:id="1816"/>
      </w:r>
      <w:r>
        <w:rPr>
          <w:rFonts w:ascii="IRNazanin" w:hAnsi="IRNazanin" w:eastAsia="IRNazanin"/>
          <w:color w:val="111111"/>
          <w:sz w:val="28"/>
          <w:sz w:val="28"/>
          <w:szCs w:val="28"/>
          <w:rtl w:val="true"/>
          <w:lang w:bidi="fa-IR"/>
        </w:rPr>
        <w:t xml:space="preserve">العاجز فی جزء من الواجب علیه، و هو تحصیل غسل هذا العضو و هذا </w:t>
      </w:r>
      <w:r>
        <w:rPr>
          <w:rStyle w:val="FootnoteAnchor"/>
          <w:rtl w:val="true"/>
        </w:rPr>
        <w:footnoteReference w:id="1817"/>
      </w:r>
      <w:r>
        <w:rPr>
          <w:rFonts w:ascii="IRNazanin" w:hAnsi="IRNazanin" w:eastAsia="IRNazanin"/>
          <w:color w:val="111111"/>
          <w:sz w:val="28"/>
          <w:sz w:val="28"/>
          <w:szCs w:val="28"/>
          <w:rtl w:val="true"/>
          <w:lang w:bidi="fa-IR"/>
        </w:rPr>
        <w:t>الجزء من العضو قبل الانتقال عن الوضوء فیجب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النیّة تتعلّق بالمباشر، لأنّه الفاعل حقیقة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 بأنّ العاجز متمکّن من النیّة فلا یجوز تولیة الغیر فیها </w:t>
      </w:r>
      <w:r>
        <w:rPr>
          <w:rStyle w:val="FootnoteAnchor"/>
          <w:rtl w:val="true"/>
        </w:rPr>
        <w:footnoteReference w:id="1819"/>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مبنی هذا القول علی أنّ هذه العبادة لما تعذّرت من المباشر وجب علیه تحصیلها بغیره، فالمتولّی حقیقة هو النائب عنه فی التعبّد، نظیر النائب فی سائر العبادات، کالصلاة و الحجّ، و النیّة إنّما وجبت علی المکلّف لکونه فاعلا، فإذا فرض عاجزا فلا معنی لنیّة الوضوء، و هی الأفعال الصادرة عن المتولّی، فلا بدّ من النظر فی أنّ أدلّة التولیة اقتضت الاستنابة فی الوضوء أو الاستعانة فیه و التسبّب، و هی العبادة فی حقّه؟</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التولیة إن کان ما ذکره فی المعتبر </w:t>
      </w:r>
      <w:r>
        <w:rPr>
          <w:rStyle w:val="FootnoteAnchor"/>
          <w:rtl w:val="true"/>
        </w:rPr>
        <w:footnoteReference w:id="1820"/>
      </w:r>
      <w:r>
        <w:rPr>
          <w:rFonts w:ascii="IRNazanin" w:hAnsi="IRNazanin" w:eastAsia="IRNazanin"/>
          <w:color w:val="111111"/>
          <w:sz w:val="28"/>
          <w:sz w:val="28"/>
          <w:szCs w:val="28"/>
          <w:rtl w:val="true"/>
          <w:lang w:bidi="fa-IR"/>
        </w:rPr>
        <w:t xml:space="preserve">و استفید من روایة عبد الأعلی </w:t>
      </w:r>
      <w:r>
        <w:rPr>
          <w:rStyle w:val="FootnoteAnchor"/>
          <w:rtl w:val="true"/>
        </w:rPr>
        <w:footnoteReference w:id="1821"/>
      </w:r>
      <w:r>
        <w:rPr>
          <w:rFonts w:ascii="IRNazanin" w:hAnsi="IRNazanin" w:eastAsia="IRNazanin"/>
          <w:color w:val="111111"/>
          <w:sz w:val="28"/>
          <w:sz w:val="28"/>
          <w:szCs w:val="28"/>
          <w:rtl w:val="true"/>
          <w:lang w:bidi="fa-IR"/>
        </w:rPr>
        <w:t>من وجوب التوصّل إلی الواجب بقدر الإمکان، فالواجب حقیقة یصدر من العاجز فیتولّی هو النیّة و لا یحتاج إلی نیّة من المتولّی، بل یجوز و إن یتولّاه حیوان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الدلیل هو الإجماع فالمکلّف مردّد بین الاستنابة و الاستعانة فلا بدّ من الجمع بین کلّ واحد من العاجز و المتولّی قابلا للإتیان بالعبادة ناویا،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فالظاهر وجوب المسح بید العاجز، لتمکّنه من المسح بیده و لو بالاستعانة، و لذا اتّفقوا ظاهرا علی أنّ المتولّی للتیمّم یمسح بیدی العاجز وجهه و کفّیه، بل استقرب فی الذکری الضرب بیدی العلیل أیضا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الغسل فلا یجب کونه بید العاجز، و الفرق بینه و بین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فی الغسل مجرّد آلة، بخلافها فی المسح</w:t>
      </w:r>
      <w:r>
        <w:rPr>
          <w:rFonts w:eastAsia="IRNazanin" w:cs="IRNazanin"/>
          <w:color w:val="111111"/>
          <w:sz w:val="28"/>
          <w:szCs w:val="28"/>
          <w:rtl w:val="true"/>
          <w:lang w:bidi="fa-IR"/>
        </w:rPr>
        <w:t>.</w:t>
      </w:r>
      <w:bookmarkStart w:id="177" w:name="pg13035_131905"/>
    </w:p>
    <w:p>
      <w:pPr>
        <w:pStyle w:val="Heading6"/>
        <w:numPr>
          <w:ilvl w:val="5"/>
          <w:numId w:val="1"/>
        </w:numPr>
        <w:rPr/>
      </w:pPr>
      <w:bookmarkStart w:id="178" w:name="__RefHeading___Toc6369984_3224264995"/>
      <w:bookmarkStart w:id="179" w:name="_Toc69"/>
      <w:bookmarkEnd w:id="177"/>
      <w:bookmarkEnd w:id="178"/>
      <w:r>
        <w:rPr>
          <w:rtl w:val="true"/>
        </w:rPr>
        <w:t>[</w:t>
      </w:r>
      <w:r>
        <w:rPr>
          <w:rtl w:val="true"/>
        </w:rPr>
        <w:t>المسألة السابعة فی حرمة مس المحدث کتابة القرآن</w:t>
      </w:r>
      <w:r>
        <w:rPr>
          <w:rtl w:val="true"/>
        </w:rPr>
        <w:t>]</w:t>
      </w:r>
      <w:bookmarkEnd w:id="179"/>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لا یجوز للمحدث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المتوضّی وضوءا مبیحا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کتابة القرآن </w:t>
      </w:r>
      <w:r>
        <w:rPr>
          <w:rStyle w:val="FootnoteAnchor"/>
          <w:rtl w:val="true"/>
        </w:rPr>
        <w:footnoteReference w:id="1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عن الخلاف </w:t>
      </w:r>
      <w:r>
        <w:rPr>
          <w:rStyle w:val="FootnoteAnchor"/>
          <w:rtl w:val="true"/>
        </w:rPr>
        <w:footnoteReference w:id="1824"/>
      </w:r>
      <w:r>
        <w:rPr>
          <w:rFonts w:ascii="IRNazanin" w:hAnsi="IRNazanin" w:eastAsia="IRNazanin"/>
          <w:color w:val="111111"/>
          <w:sz w:val="28"/>
          <w:sz w:val="28"/>
          <w:szCs w:val="28"/>
          <w:rtl w:val="true"/>
          <w:lang w:bidi="fa-IR"/>
        </w:rPr>
        <w:t xml:space="preserve">و ظاهر غیره </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علیه،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1826"/>
      </w:r>
      <w:r>
        <w:rPr>
          <w:rFonts w:ascii="IRNazanin" w:hAnsi="IRNazanin" w:eastAsia="IRNazanin"/>
          <w:color w:val="111111"/>
          <w:sz w:val="28"/>
          <w:sz w:val="28"/>
          <w:szCs w:val="28"/>
          <w:rtl w:val="true"/>
          <w:lang w:bidi="fa-IR"/>
        </w:rPr>
        <w:t>بناء علی رجوع الضمیر إلی القرآن، و کون النفی یراد به النهی، و إرادة التطهیر من الحدث، إمّا لکونه حقیقة فیه، و إمّا للإجماع علی عدم حرمته علی غیر المحدث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الإمام علیها بها فی المقام، ففی روایة إبراهیم ابن عبد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المصحف لا تمسّه علی غیر طهر و لا جنبا و لا تمسّ خیطه و لا تعلّقه،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علیه السلام قال لولده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اقرأ المصحف، فقال إنّی لست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 الکتاب و مسّ الورق و اقرأ</w:t>
      </w:r>
      <w:r>
        <w:rPr>
          <w:rFonts w:eastAsia="IRNazanin" w:cs="IRNazanin"/>
          <w:color w:val="111111"/>
          <w:sz w:val="28"/>
          <w:szCs w:val="28"/>
          <w:rtl w:val="true"/>
          <w:lang w:bidi="fa-IR"/>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أبی بصیر أو صحیحته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عمّن قرأ من المصحف و هو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لا یمسّ الکتاب</w:t>
      </w:r>
      <w:r>
        <w:rPr>
          <w:rFonts w:eastAsia="IRNazanin" w:cs="IRNazanin"/>
          <w:color w:val="111111"/>
          <w:sz w:val="28"/>
          <w:szCs w:val="28"/>
          <w:rtl w:val="true"/>
          <w:lang w:bidi="fa-IR"/>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لعدول الشیخ فی المبسوط </w:t>
      </w:r>
      <w:r>
        <w:rPr>
          <w:rStyle w:val="FootnoteAnchor"/>
          <w:rtl w:val="true"/>
        </w:rPr>
        <w:footnoteReference w:id="1830"/>
      </w:r>
      <w:r>
        <w:rPr>
          <w:rFonts w:ascii="IRNazanin" w:hAnsi="IRNazanin" w:eastAsia="IRNazanin"/>
          <w:color w:val="111111"/>
          <w:sz w:val="28"/>
          <w:sz w:val="28"/>
          <w:szCs w:val="28"/>
          <w:rtl w:val="true"/>
          <w:lang w:bidi="fa-IR"/>
        </w:rPr>
        <w:t xml:space="preserve">إلی الخلاف، و وافقه الحلّی </w:t>
      </w:r>
      <w:r>
        <w:rPr>
          <w:rStyle w:val="FootnoteAnchor"/>
          <w:rtl w:val="true"/>
        </w:rPr>
        <w:footnoteReference w:id="1831"/>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832"/>
      </w:r>
      <w:r>
        <w:rPr>
          <w:rFonts w:ascii="IRNazanin" w:hAnsi="IRNazanin" w:eastAsia="IRNazanin"/>
          <w:color w:val="111111"/>
          <w:sz w:val="28"/>
          <w:sz w:val="28"/>
          <w:szCs w:val="28"/>
          <w:rtl w:val="true"/>
          <w:lang w:bidi="fa-IR"/>
        </w:rPr>
        <w:t xml:space="preserve">و جمع من المتأخرین علی ما حکی عنهم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بعدم تمامیّة الدلالة، لاحتمال رجوع الضمیر إلی الکتاب المکنون، مع أنّ رجوعه إلی القرآن، لا یخلو عن نوع من الاستخدام، لأنّ الموجود فی الکتاب المکنون غیر النقوش الموجودة فی الدفاتر، فإنّ للقرآن الکریم وجودات مختلفة باعتبار وجوده العلمیّ و اللفظی و الکتبی، فالأولی إسناد المسّ إلی الموجود فی الکتاب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المنزّهون عن المعاصی، أو مطلق المعصومین، فإنّ الظاهر من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طهّره غیره لا من تطهّر بنفسه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 و إدراکه، و یؤیّد ذلک قوله تعالی بعد ذلک فی وصف هذا القرآن تَنْزِیلٌ مِنْ رَبِّ الْعٰالَمِینَ، فإنّ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الکتاب المکنون، أو الکلام الجاری علی لسان النبیّ صلّی اللّٰه علیه و آله، لا النقوش المصوّرة فی الدفاتر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روایة إبراهیم بن عبد الحمید، فهی موهنة </w:t>
      </w:r>
      <w:r>
        <w:rPr>
          <w:rStyle w:val="FootnoteAnchor"/>
          <w:rtl w:val="true"/>
        </w:rPr>
        <w:footnoteReference w:id="1834"/>
      </w:r>
      <w:r>
        <w:rPr>
          <w:rFonts w:ascii="IRNazanin" w:hAnsi="IRNazanin" w:eastAsia="IRNazanin"/>
          <w:color w:val="111111"/>
          <w:sz w:val="28"/>
          <w:sz w:val="28"/>
          <w:szCs w:val="28"/>
          <w:rtl w:val="true"/>
          <w:lang w:bidi="fa-IR"/>
        </w:rPr>
        <w:t xml:space="preserve">لدلالة الآیة علی المدّعی لا مؤیّدة، لأنّ ظاهرها کون الاستشهاد بالآیة لجمیع الأحکام السابقة لا لخصوص الأوّلین، فلا بدّ إمّا من حمل النهی علی مطلق المرجوحیّة خصوصا مع کون الجملة خبریة، أو علی الإخبار عن عدم مسّ من عدا </w:t>
      </w:r>
      <w:r>
        <w:rPr>
          <w:rStyle w:val="FootnoteAnchor"/>
          <w:rtl w:val="true"/>
        </w:rPr>
        <w:footnoteReference w:id="1835"/>
      </w:r>
      <w:r>
        <w:rPr>
          <w:rFonts w:ascii="IRNazanin" w:hAnsi="IRNazanin" w:eastAsia="IRNazanin"/>
          <w:color w:val="111111"/>
          <w:sz w:val="28"/>
          <w:sz w:val="28"/>
          <w:szCs w:val="28"/>
          <w:rtl w:val="true"/>
          <w:lang w:bidi="fa-IR"/>
        </w:rPr>
        <w:t>المعصومین للقرآن الموجود فی الکتاب المکنون، فلا ینبغی مسّ وجوده الکتبی الحاکی عن ذلک الموجود للجنب و المحدث، و کذا مسّ خطّه و تعلیقه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فهذه الروایة موهونة بالاستشهاد بالآیة، و الآیة موهونة بالاستشهاد بها للأحکام المذکورة فی الروایة، فلم یبق إلّا روایة </w:t>
      </w:r>
      <w:r>
        <w:rPr>
          <w:rStyle w:val="FootnoteAnchor"/>
          <w:rtl w:val="true"/>
        </w:rPr>
        <w:footnoteReference w:id="1836"/>
      </w:r>
      <w:r>
        <w:rPr>
          <w:rFonts w:ascii="IRNazanin" w:hAnsi="IRNazanin" w:eastAsia="IRNazanin"/>
          <w:color w:val="111111"/>
          <w:sz w:val="28"/>
          <w:sz w:val="28"/>
          <w:szCs w:val="28"/>
          <w:rtl w:val="true"/>
          <w:lang w:bidi="fa-IR"/>
        </w:rPr>
        <w:t xml:space="preserve">حریز و أبی بصیر </w:t>
      </w:r>
      <w:r>
        <w:rPr>
          <w:rStyle w:val="FootnoteAnchor"/>
          <w:rtl w:val="true"/>
        </w:rPr>
        <w:footnoteReference w:id="1837"/>
      </w:r>
      <w:r>
        <w:rPr>
          <w:rFonts w:ascii="IRNazanin" w:hAnsi="IRNazanin" w:eastAsia="IRNazanin"/>
          <w:color w:val="111111"/>
          <w:sz w:val="28"/>
          <w:sz w:val="28"/>
          <w:szCs w:val="28"/>
          <w:rtl w:val="true"/>
          <w:lang w:bidi="fa-IR"/>
        </w:rPr>
        <w:t>و لا بأس بالعمل بهما مع انجبارهما بالشهرة المحقّقة، مع أنّ سندهما لا یخلو عن اعتبار لوجود حمّاد فی المرسلة، و اشتراک أبی بصیر بین الموثّق 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جماعة منهم جامع المقاصد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الحروف،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التشدید و المدّ، و فی الإعراب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الدخول، لأنّها نقوش هیئات الألفاظ کما أنّ الحروف نقوش موادّها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کلماته و حروفه و ما قام مقامهما کالشدّة و الهمزة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دخول ما کتب فیه رسما و إن لم یتلفّظ به، کالألف بعد و أو الجمع، و أولی منه همزة الوصل و الحروف المبدلة بغیرها فی الإدغام و غیره کالنون المقلوب 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کتب هذا المیم أو نون التنوین بالحمرة للدلالة علی الملفوظ، ففی دخولهما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أنّهما نقش الملفوظ، و من کونهما علامة له لا حاکیا له، و لذا لو کتب متّصلا بالکلمة خرجت عن صورة تلک الکلمة و کان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المحکی عن جماعة </w:t>
      </w:r>
      <w:r>
        <w:rPr>
          <w:rStyle w:val="FootnoteAnchor"/>
          <w:rtl w:val="true"/>
        </w:rPr>
        <w:footnoteReference w:id="1840"/>
      </w:r>
      <w:r>
        <w:rPr>
          <w:rFonts w:ascii="IRNazanin" w:hAnsi="IRNazanin" w:eastAsia="IRNazanin"/>
          <w:color w:val="111111"/>
          <w:sz w:val="28"/>
          <w:sz w:val="28"/>
          <w:szCs w:val="28"/>
          <w:rtl w:val="true"/>
          <w:lang w:bidi="fa-IR"/>
        </w:rPr>
        <w:t xml:space="preserve">اختصاص الماسّ بما تحلّه الحیاة، و هو حسن بالنسبة إلی الشعر دون السنّ و الظفر، فإنّ فیهما تردّدا و إن کان مقتضی الأصل حینئذ الإباحة، لا کما ظنّ من أنّه یجب مع الشکّ فی صدق المسّ الاجتناب من باب المقدّمة </w:t>
      </w:r>
      <w:r>
        <w:rPr>
          <w:rStyle w:val="FootnoteAnchor"/>
          <w:rtl w:val="true"/>
        </w:rPr>
        <w:footnoteReference w:id="1841"/>
      </w:r>
      <w:r>
        <w:rPr>
          <w:rFonts w:ascii="IRNazanin" w:hAnsi="IRNazanin" w:eastAsia="IRNazanin"/>
          <w:color w:val="111111"/>
          <w:sz w:val="28"/>
          <w:sz w:val="28"/>
          <w:szCs w:val="28"/>
          <w:rtl w:val="true"/>
          <w:lang w:bidi="fa-IR"/>
        </w:rPr>
        <w:t>، فإنّه باطل جدّا، لأنّ المحکّم عند الشکّ فی تحقّق المفهوم المحرّم و عدمه هو الرجوع إلی أصالة الإباحة کما فی المشکوک فی کونه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المدار فی الممسوس علی ما کان من القرآن حتّی الکلمة الواحدة أو الحرف الواحد المکتوب بقصده، و ربما یتوهّم اختصاص الحرمة بمسّ الجزء فی ضمن مجموع القرآن، لأنّه الظاهر من الآیة و الروایات المتقدّمة، و الحق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أنواع الخطوط المصطلحة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اصطلح جدیدا علی ترسیم الحروف بصور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المحکوک وجهان، من صدق المسّ علی المواضع المحکوکة، و من أنّ ظاهر مسّ الکتابة المنهیّ عنه کون الکتابة قابلا، و المحکوک لیس کذلک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الحق بالقرآن لفظ الجلالة، بل جمیع أسمائه المختصّة به، و لعلّه</w:t>
      </w:r>
    </w:p>
    <w:p>
      <w:pPr>
        <w:pStyle w:val="BookText"/>
        <w:rPr/>
      </w:pPr>
      <w:r>
        <w:rPr>
          <w:rFonts w:ascii="IRNazanin" w:hAnsi="IRNazanin" w:eastAsia="IRNazanin"/>
          <w:color w:val="111111"/>
          <w:sz w:val="28"/>
          <w:sz w:val="28"/>
          <w:szCs w:val="28"/>
          <w:rtl w:val="true"/>
          <w:lang w:bidi="fa-IR"/>
        </w:rPr>
        <w:t>للفحوی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تلفّظ الجنب و الحائض بها مع حرمة تلفّظهما بالعزائم، فلعلّ لألفاظ الکتاب العزیز مدخلا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الإنصاف أنّ المستفاد من الآیة </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کرامة القرآن و شرافته، فالفحوی تامّة و لو الحق به باقی الصفات المراد بها الذات المقدّسة باعتبار بعض صفاته أو أفعاله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إلحاق أسماء الأنبیاء و الأئمة علیهم السلام بذلک وجه، اختاره فی الموجز </w:t>
      </w:r>
      <w:r>
        <w:rPr>
          <w:rStyle w:val="FootnoteAnchor"/>
          <w:rtl w:val="true"/>
        </w:rPr>
        <w:footnoteReference w:id="1843"/>
      </w:r>
      <w:r>
        <w:rPr>
          <w:rFonts w:ascii="IRNazanin" w:hAnsi="IRNazanin" w:eastAsia="IRNazanin"/>
          <w:color w:val="111111"/>
          <w:sz w:val="28"/>
          <w:sz w:val="28"/>
          <w:szCs w:val="28"/>
          <w:rtl w:val="true"/>
          <w:lang w:bidi="fa-IR"/>
        </w:rPr>
        <w:t>و شرحه،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الدراهم إن کان علیها القرآن لم یجز مسّه، و إن کان اسم الجلالة أو النبیّ أو أحد الأئمة علیهم السلام جاز، لمشقّة التحرّز </w:t>
      </w:r>
      <w:r>
        <w:rPr>
          <w:rStyle w:val="FootnoteAnchor"/>
          <w:rtl w:val="true"/>
        </w:rPr>
        <w:footnoteReference w:id="18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تتمّة ذلک فی أحکام الجنب إن شاء اللّٰه تعالی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إشکال فی کون التحریم مختصّا بالبالغین، و هل یجب علی الولیّ منع الصبی؟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وفاقا للمعتبر </w:t>
      </w:r>
      <w:r>
        <w:rPr>
          <w:rStyle w:val="FootnoteAnchor"/>
          <w:rtl w:val="true"/>
        </w:rPr>
        <w:footnoteReference w:id="1846"/>
      </w:r>
      <w:r>
        <w:rPr>
          <w:rFonts w:ascii="IRNazanin" w:hAnsi="IRNazanin" w:eastAsia="IRNazanin"/>
          <w:color w:val="111111"/>
          <w:sz w:val="28"/>
          <w:sz w:val="28"/>
          <w:szCs w:val="28"/>
          <w:rtl w:val="true"/>
          <w:lang w:bidi="fa-IR"/>
        </w:rPr>
        <w:t xml:space="preserve">و التذکرة </w:t>
      </w:r>
      <w:r>
        <w:rPr>
          <w:rStyle w:val="FootnoteAnchor"/>
          <w:rtl w:val="true"/>
        </w:rPr>
        <w:footnoteReference w:id="1847"/>
      </w:r>
      <w:r>
        <w:rPr>
          <w:rFonts w:ascii="IRNazanin" w:hAnsi="IRNazanin" w:eastAsia="IRNazanin"/>
          <w:color w:val="111111"/>
          <w:sz w:val="28"/>
          <w:sz w:val="28"/>
          <w:szCs w:val="28"/>
          <w:rtl w:val="true"/>
          <w:lang w:bidi="fa-IR"/>
        </w:rPr>
        <w:t xml:space="preserve">و الذکری </w:t>
      </w:r>
      <w:r>
        <w:rPr>
          <w:rStyle w:val="FootnoteAnchor"/>
          <w:rtl w:val="true"/>
        </w:rPr>
        <w:footnoteReference w:id="1848"/>
      </w:r>
      <w:r>
        <w:rPr>
          <w:rFonts w:ascii="IRNazanin" w:hAnsi="IRNazanin" w:eastAsia="IRNazanin"/>
          <w:color w:val="111111"/>
          <w:sz w:val="28"/>
          <w:sz w:val="28"/>
          <w:szCs w:val="28"/>
          <w:rtl w:val="true"/>
          <w:lang w:bidi="fa-IR"/>
        </w:rPr>
        <w:t xml:space="preserve">و شرح الموجز </w:t>
      </w:r>
      <w:r>
        <w:rPr>
          <w:rStyle w:val="FootnoteAnchor"/>
          <w:rtl w:val="true"/>
        </w:rPr>
        <w:footnoteReference w:id="1849"/>
      </w:r>
      <w:r>
        <w:rPr>
          <w:rFonts w:ascii="IRNazanin" w:hAnsi="IRNazanin" w:eastAsia="IRNazanin"/>
          <w:color w:val="111111"/>
          <w:sz w:val="28"/>
          <w:sz w:val="28"/>
          <w:szCs w:val="28"/>
          <w:rtl w:val="true"/>
          <w:lang w:bidi="fa-IR"/>
        </w:rPr>
        <w:t xml:space="preserve">و غیرهم </w:t>
      </w:r>
      <w:r>
        <w:rPr>
          <w:rStyle w:val="FootnoteAnchor"/>
          <w:rtl w:val="true"/>
        </w:rPr>
        <w:footnoteReference w:id="1850"/>
      </w:r>
      <w:r>
        <w:rPr>
          <w:rFonts w:ascii="IRNazanin" w:hAnsi="IRNazanin" w:eastAsia="IRNazanin"/>
          <w:color w:val="111111"/>
          <w:sz w:val="28"/>
          <w:sz w:val="28"/>
          <w:szCs w:val="28"/>
          <w:rtl w:val="true"/>
          <w:lang w:bidi="fa-IR"/>
        </w:rPr>
        <w:t>، لأنّ الظاهر من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المسوقة لبیان الاحترام خصوصا بملاحظة استفادة النهی فیه من الجملة الخبریة الموضوعة</w:t>
      </w:r>
    </w:p>
    <w:p>
      <w:pPr>
        <w:pStyle w:val="BookText"/>
        <w:rPr/>
      </w:pPr>
      <w:r>
        <w:rPr>
          <w:rFonts w:ascii="IRNazanin" w:hAnsi="IRNazanin" w:eastAsia="IRNazanin"/>
          <w:color w:val="111111"/>
          <w:sz w:val="28"/>
          <w:sz w:val="28"/>
          <w:szCs w:val="28"/>
          <w:rtl w:val="true"/>
          <w:lang w:bidi="fa-IR"/>
        </w:rPr>
        <w:t>لأنّ المسّ لا یقع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أن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 و بین إنشاء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فاعل الفعل هو المنهی فی الإنشاء، بخلاف الإخبار، و حینئذ فطلب عدم المسّ و إن کان من المکلّفین إلّا أنّ المسّ المطلوب عدمه عامّ لغیر البالغین، فیدلّ علی وجوب منع کلّ من یرید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المستثنی منه هو غیر المطهّر بمعنی عدم الملکة، 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شأنه التطهّر، لأنّه لا یتّصف به،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الملکة ملحوظة باعتبار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 من المستثنی البهائم، لعدم قابلیتها بالنوع للتطهّر، و لا یتّصف بالحدث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قضیة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المرسلة المتقدّمة </w:t>
      </w:r>
      <w:r>
        <w:rPr>
          <w:rStyle w:val="FootnoteAnchor"/>
          <w:rtl w:val="true"/>
        </w:rPr>
        <w:footnoteReference w:id="1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کون إسماعیل یومئذ غیر بالغ، خلافا للروض </w:t>
      </w:r>
      <w:r>
        <w:rPr>
          <w:rStyle w:val="FootnoteAnchor"/>
          <w:rtl w:val="true"/>
        </w:rPr>
        <w:footnoteReference w:id="1852"/>
      </w:r>
      <w:r>
        <w:rPr>
          <w:rFonts w:ascii="IRNazanin" w:hAnsi="IRNazanin" w:eastAsia="IRNazanin"/>
          <w:color w:val="111111"/>
          <w:sz w:val="28"/>
          <w:sz w:val="28"/>
          <w:szCs w:val="28"/>
          <w:rtl w:val="true"/>
          <w:lang w:bidi="fa-IR"/>
        </w:rPr>
        <w:t xml:space="preserve">و جماعة من المتأخّرین </w:t>
      </w:r>
      <w:r>
        <w:rPr>
          <w:rStyle w:val="FootnoteAnchor"/>
          <w:rtl w:val="true"/>
        </w:rPr>
        <w:footnoteReference w:id="1853"/>
      </w:r>
      <w:r>
        <w:rPr>
          <w:rFonts w:ascii="IRNazanin" w:hAnsi="IRNazanin" w:eastAsia="IRNazanin"/>
          <w:color w:val="111111"/>
          <w:sz w:val="28"/>
          <w:sz w:val="28"/>
          <w:szCs w:val="28"/>
          <w:rtl w:val="true"/>
          <w:lang w:bidi="fa-IR"/>
        </w:rPr>
        <w:t xml:space="preserve">، للأصل، و عدم الدلیل، لاختصاص أدلّة التحریم بالبالغین، و استمرار السیرة علی إعطاء المصاحف الصبیان </w:t>
      </w:r>
      <w:r>
        <w:rPr>
          <w:rStyle w:val="FootnoteAnchor"/>
          <w:rtl w:val="true"/>
        </w:rPr>
        <w:footnoteReference w:id="1854"/>
      </w:r>
      <w:r>
        <w:rPr>
          <w:rFonts w:ascii="IRNazanin" w:hAnsi="IRNazanin" w:eastAsia="IRNazanin"/>
          <w:color w:val="111111"/>
          <w:sz w:val="28"/>
          <w:sz w:val="28"/>
          <w:szCs w:val="28"/>
          <w:rtl w:val="true"/>
          <w:lang w:bidi="fa-IR"/>
        </w:rPr>
        <w:t>فی الکتاتیب، و لا ینفکّ ذلک عن مسّهم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الکاشفة ممنوعة، و الأصل مدفوع بما عرفت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جواز مسّ الصغیر بعد وضوئه مبنیّ علی شرعیّة وضوئه و تأثیره فی رفع الحدث، و هو الأقوی</w:t>
      </w:r>
      <w:r>
        <w:rPr>
          <w:rFonts w:eastAsia="IRNazanin" w:cs="IRNazanin"/>
          <w:color w:val="111111"/>
          <w:sz w:val="28"/>
          <w:szCs w:val="28"/>
          <w:rtl w:val="true"/>
          <w:lang w:bidi="fa-IR"/>
        </w:rPr>
        <w:t>.</w:t>
      </w:r>
      <w:bookmarkStart w:id="180" w:name="pg13035_131911"/>
    </w:p>
    <w:p>
      <w:pPr>
        <w:pStyle w:val="Heading6"/>
        <w:numPr>
          <w:ilvl w:val="5"/>
          <w:numId w:val="1"/>
        </w:numPr>
        <w:rPr/>
      </w:pPr>
      <w:bookmarkStart w:id="181" w:name="__RefHeading___Toc6369986_3224264995"/>
      <w:bookmarkStart w:id="182" w:name="_Toc70"/>
      <w:bookmarkEnd w:id="180"/>
      <w:bookmarkEnd w:id="181"/>
      <w:r>
        <w:rPr>
          <w:rtl w:val="true"/>
        </w:rPr>
        <w:t>[</w:t>
      </w:r>
      <w:r>
        <w:rPr>
          <w:rtl w:val="true"/>
        </w:rPr>
        <w:t>المسألة الثامنة حکم المسلوس</w:t>
      </w:r>
      <w:r>
        <w:rPr>
          <w:rtl w:val="true"/>
        </w:rPr>
        <w:t>]</w:t>
      </w:r>
      <w:bookmarkEnd w:id="182"/>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من به السلس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الداء الذی لا یستمسک معه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سلس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یستمسکه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له فترة یسع له </w:t>
      </w:r>
      <w:r>
        <w:rPr>
          <w:rStyle w:val="FootnoteAnchor"/>
          <w:rtl w:val="true"/>
        </w:rPr>
        <w:footnoteReference w:id="1856"/>
      </w:r>
      <w:r>
        <w:rPr>
          <w:rFonts w:ascii="IRNazanin" w:hAnsi="IRNazanin" w:eastAsia="IRNazanin"/>
          <w:color w:val="111111"/>
          <w:sz w:val="28"/>
          <w:sz w:val="28"/>
          <w:szCs w:val="28"/>
          <w:rtl w:val="true"/>
          <w:lang w:bidi="fa-IR"/>
        </w:rPr>
        <w:t>الوضوء و الصلاة وجب انتظارها، و إلّا فمقتضی الجمع بین أدلّة کون مطلق البول حدثا ناقضا للوضوء، و اعتبار الطهور فی الصلاة، و بطلانها بوقوع الفعل الکثیر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تکلیفه بالصلاة، إلّا أنّه خلاف الإجماع فلا بدّ من رفع الید عن بعض الأدلّة السابقة، و الأوفق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العفو عمّا یتقاطر من البول بغیر اختیاره، و هو الذی یحتمله عبارة المبسوط، قال فی آخر باب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لا یجوز لها أن تجمع بین فرضین بوضوء واحد، و أمّا من به سلس البول فیجوز له أن یصلّی بوضوء واحد صلوات کثیرة، لأنّه لا دلیل علی تجدید الوضوء علیه، و حمله علی</w:t>
      </w:r>
    </w:p>
    <w:p>
      <w:pPr>
        <w:pStyle w:val="BookText"/>
        <w:rPr/>
      </w:pPr>
      <w:r>
        <w:rPr>
          <w:rFonts w:ascii="IRNazanin" w:hAnsi="IRNazanin" w:eastAsia="IRNazanin"/>
          <w:color w:val="111111"/>
          <w:sz w:val="28"/>
          <w:sz w:val="28"/>
          <w:szCs w:val="28"/>
          <w:rtl w:val="true"/>
          <w:lang w:bidi="fa-IR"/>
        </w:rPr>
        <w:t xml:space="preserve">المستحاضة قیاس لا نقول به، و إنّما یجب علیه أن یشدّ رأس الإحلیل بقطن، أو یجعله </w:t>
      </w:r>
      <w:r>
        <w:rPr>
          <w:rStyle w:val="FootnoteAnchor"/>
          <w:rtl w:val="true"/>
        </w:rPr>
        <w:footnoteReference w:id="1858"/>
      </w:r>
      <w:r>
        <w:rPr>
          <w:rFonts w:ascii="IRNazanin" w:hAnsi="IRNazanin" w:eastAsia="IRNazanin"/>
          <w:color w:val="111111"/>
          <w:sz w:val="28"/>
          <w:sz w:val="28"/>
          <w:szCs w:val="28"/>
          <w:rtl w:val="true"/>
          <w:lang w:bidi="fa-IR"/>
        </w:rPr>
        <w:t xml:space="preserve">فی کیس أو خرقة و یحتاط فی ذلک </w:t>
      </w:r>
      <w:r>
        <w:rPr>
          <w:rStyle w:val="FootnoteAnchor"/>
          <w:rtl w:val="true"/>
        </w:rPr>
        <w:footnoteReference w:id="18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الجرح الذی لا یندمل و لا ینقطع دمه معفو عنه، و لا یجب شدّه عند کلّ صلاة، و حمله علی الاستحاضة قیاس لا نقول به </w:t>
      </w:r>
      <w:r>
        <w:rPr>
          <w:rStyle w:val="FootnoteAnchor"/>
          <w:rtl w:val="true"/>
        </w:rPr>
        <w:footnoteReference w:id="1860"/>
      </w:r>
      <w:r>
        <w:rPr>
          <w:rFonts w:ascii="IRNazanin" w:hAnsi="IRNazanin" w:eastAsia="IRNazanin"/>
          <w:color w:val="111111"/>
          <w:sz w:val="28"/>
          <w:sz w:val="28"/>
          <w:szCs w:val="28"/>
          <w:rtl w:val="true"/>
          <w:lang w:bidi="fa-IR"/>
        </w:rPr>
        <w:t xml:space="preserve">و کذا القول فی سلس البول علی ما بیّنا </w:t>
      </w:r>
      <w:r>
        <w:rPr>
          <w:rStyle w:val="FootnoteAnchor"/>
          <w:rtl w:val="true"/>
        </w:rPr>
        <w:footnoteReference w:id="18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تشبیه السلس من حیث الحدث بالجرح من حیث الخبث، و إلّا فقد ذکر فی السلس وجوب التحفّظ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کلامه احتمالین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علیه أن یتوضّأ عند دخول کلّ وقت من الأوقات الثلاثة، فیصلّی به ما شاء إلی أن دخل وقت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 البول فی حقّه غیر ناقض، و الحدث فی حقّه غیر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احتملناه أظهر، لکن فی غالب أفراد السلس، و هو الذی یبول قریبا من المتعارف ثمّ یقطر منه القطرات تدریجا، أمّا لو فرض أنّ جمیع بوله یخرج متقاطرا علی التدریج، فیحمل علی أحد الاحتمالین الأخیرین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فیمکن الاستدلال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عموم 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بحسنة منصور بن حازم بابن هاشم عن أبی عبد اللّٰه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یقطر منه و هو لا یقدر علی حبسه،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حبسه فاللّه أولی</w:t>
      </w:r>
    </w:p>
    <w:p>
      <w:pPr>
        <w:pStyle w:val="BookText"/>
        <w:rPr/>
      </w:pPr>
      <w:r>
        <w:rPr>
          <w:rFonts w:ascii="IRNazanin" w:hAnsi="IRNazanin" w:eastAsia="IRNazanin"/>
          <w:color w:val="111111"/>
          <w:sz w:val="28"/>
          <w:sz w:val="28"/>
          <w:szCs w:val="28"/>
          <w:rtl w:val="true"/>
          <w:lang w:bidi="fa-IR"/>
        </w:rPr>
        <w:t>بالعذر و لیجعل خریطة</w:t>
      </w:r>
      <w:r>
        <w:rPr>
          <w:rFonts w:eastAsia="IRNazanin" w:cs="IRNazanin"/>
          <w:color w:val="111111"/>
          <w:sz w:val="28"/>
          <w:szCs w:val="28"/>
          <w:rtl w:val="true"/>
          <w:lang w:bidi="fa-IR"/>
        </w:rPr>
        <w:t xml:space="preserve">» </w:t>
      </w:r>
      <w:r>
        <w:rPr>
          <w:rStyle w:val="FootnoteAnchor"/>
          <w:rtl w:val="true"/>
        </w:rPr>
        <w:footnoteReference w:id="1862"/>
      </w:r>
      <w:r>
        <w:rPr>
          <w:rFonts w:ascii="IRNazanin" w:hAnsi="IRNazanin" w:eastAsia="IRNazanin"/>
          <w:color w:val="111111"/>
          <w:sz w:val="28"/>
          <w:sz w:val="28"/>
          <w:szCs w:val="28"/>
          <w:rtl w:val="true"/>
          <w:lang w:bidi="fa-IR"/>
        </w:rPr>
        <w:t>دلّ علی أنّ ما لا یقدر علی حبسه فهو معذور فیه، فلا یوجب علیه إزالته لأجل الصلاة و لا تجدید طهارة، و إن کان بین 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عن أبی عبد اللّٰه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تقطیر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خریطة إذا صلّی</w:t>
      </w:r>
      <w:r>
        <w:rPr>
          <w:rFonts w:eastAsia="IRNazanin" w:cs="IRNazanin"/>
          <w:color w:val="111111"/>
          <w:sz w:val="28"/>
          <w:szCs w:val="28"/>
          <w:rtl w:val="true"/>
          <w:lang w:bidi="fa-IR"/>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مکاتبة عبد الرحمن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خصی یبول، فیلقی من ذلک شدّة و یری البلل بعد البلل،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ثمّ ینتضح ثوبه بالنهار </w:t>
      </w:r>
      <w:r>
        <w:rPr>
          <w:rStyle w:val="FootnoteAnchor"/>
          <w:rtl w:val="true"/>
        </w:rPr>
        <w:footnoteReference w:id="1864"/>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هذه الأخبار، و لذا لم یتمسّک الشیخ بما عدا الأصل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مسوقة لبیان أنّ ما غلب اللّٰه علیه من العارض المخلّ بالتکلیف لو فرض کونه لا من قبل اللّٰه، لم یکن معفوّا، فهو معفوّ عنه و لا یوجب شیئا علی المکلّف، فمورده فیما نحن فیه هو ما یتقاطر فی أثناء الصلاة ممّا یوجب بطلان الصلاة من حیث الحدثیّة و الخبثیّة لو لم یکن لمرض، دون ما یتقاطر بین الصلاتین، و منه یظهر أنّ مورد السؤال فی الروایة و محلّ تحیّر الراوی هو ما یتقاطر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 فمورد السؤال من حیث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الثالثة، فیحتمل أن یراد منها التوضّی لکلّ صلاة، لا توضّؤ واحد لصلوات النهار، فلم یبق إلّا الأصل و هو لا یعارض العمومات المتقدّمة التی لأجلها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1866"/>
      </w:r>
      <w:r>
        <w:rPr>
          <w:rFonts w:ascii="IRNazanin" w:hAnsi="IRNazanin" w:eastAsia="IRNazanin"/>
          <w:color w:val="111111"/>
          <w:sz w:val="28"/>
          <w:sz w:val="28"/>
          <w:szCs w:val="28"/>
          <w:rtl w:val="true"/>
          <w:lang w:bidi="fa-IR"/>
        </w:rPr>
        <w:t xml:space="preserve">بل نسب </w:t>
      </w:r>
      <w:r>
        <w:rPr>
          <w:rStyle w:val="FootnoteAnchor"/>
          <w:rtl w:val="true"/>
        </w:rPr>
        <w:footnoteReference w:id="1867"/>
      </w:r>
      <w:r>
        <w:rPr>
          <w:rFonts w:ascii="IRNazanin" w:hAnsi="IRNazanin" w:eastAsia="IRNazanin"/>
          <w:color w:val="111111"/>
          <w:sz w:val="28"/>
          <w:sz w:val="28"/>
          <w:szCs w:val="28"/>
          <w:rtl w:val="true"/>
          <w:lang w:bidi="fa-IR"/>
        </w:rPr>
        <w:t xml:space="preserve">إلی المشهور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لکلّ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الدلیل علی العفو عمّا یقع 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مقتضی ما ذکرنا عدم العفو عن ذلک من حیث الخبث إذا أمکن تطهیر الحشفة و تغییر القطنة لکلّ صلاة، کما أفتی به فی الذکری </w:t>
      </w:r>
      <w:r>
        <w:rPr>
          <w:rStyle w:val="FootnoteAnchor"/>
          <w:rtl w:val="true"/>
        </w:rPr>
        <w:footnoteReference w:id="1868"/>
      </w:r>
      <w:r>
        <w:rPr>
          <w:rFonts w:ascii="IRNazanin" w:hAnsi="IRNazanin" w:eastAsia="IRNazanin"/>
          <w:color w:val="111111"/>
          <w:sz w:val="28"/>
          <w:sz w:val="28"/>
          <w:szCs w:val="28"/>
          <w:rtl w:val="true"/>
          <w:lang w:bidi="fa-IR"/>
        </w:rPr>
        <w:t xml:space="preserve">و غیرها </w:t>
      </w:r>
      <w:r>
        <w:rPr>
          <w:rStyle w:val="FootnoteAnchor"/>
          <w:rtl w:val="true"/>
        </w:rPr>
        <w:footnoteReference w:id="1869"/>
      </w:r>
      <w:r>
        <w:rPr>
          <w:rFonts w:ascii="IRNazanin" w:hAnsi="IRNazanin" w:eastAsia="IRNazanin"/>
          <w:color w:val="111111"/>
          <w:sz w:val="28"/>
          <w:sz w:val="28"/>
          <w:szCs w:val="28"/>
          <w:rtl w:val="true"/>
          <w:lang w:bidi="fa-IR"/>
        </w:rPr>
        <w:t>، مع أنّ الظاهر من الحسنة المتقدّمة کفایة جعل الخریطة، بل مقتضی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العفو من حیث الحدث أیضا عمّا یقع فی الأثناء إذا أمکن تجدید الطهارة و البناء علی ما مضی من الصلاة، إذا لم یستلزم فعلا کثیرا، بأن کانت الطهارة تیمّما أو وضوءا ارتماسیّا لا یحتاج إلی فعل کثیر، و أمّا إذا احتاج إلی فعل کثیر، فیقع التعارض بین أدلّة إبطال الفعل الکثیر و أدلّة حدثیّة مطلق البول المنضمّة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قابلة لأن یثبت بها المعذوریّة فی حدثیّة ما یقع فی الصلاة، و أن یثبت بها تسویغ الفعل الکثیر فیها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استلزامه لمحو صورة الصلاة منقوضة بالتزام ذلک فی المبطون</w:t>
      </w:r>
    </w:p>
    <w:p>
      <w:pPr>
        <w:pStyle w:val="BookText"/>
        <w:rPr/>
      </w:pPr>
      <w:r>
        <w:rPr>
          <w:rFonts w:ascii="IRNazanin" w:hAnsi="IRNazanin" w:eastAsia="IRNazanin"/>
          <w:color w:val="111111"/>
          <w:sz w:val="28"/>
          <w:sz w:val="28"/>
          <w:szCs w:val="28"/>
          <w:rtl w:val="true"/>
          <w:lang w:bidi="fa-IR"/>
        </w:rPr>
        <w:t>کما سیجی‌ء، فلم یبق إلّا استصحاب عدم الحدث الناقض أو إباحته فی الصلاة، فهو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نوقش فیه </w:t>
      </w:r>
      <w:r>
        <w:rPr>
          <w:rStyle w:val="FootnoteAnchor"/>
          <w:rtl w:val="true"/>
        </w:rPr>
        <w:footnoteReference w:id="1871"/>
      </w:r>
      <w:r>
        <w:rPr>
          <w:rFonts w:ascii="IRNazanin" w:hAnsi="IRNazanin" w:eastAsia="IRNazanin"/>
          <w:color w:val="111111"/>
          <w:sz w:val="28"/>
          <w:sz w:val="28"/>
          <w:szCs w:val="28"/>
          <w:rtl w:val="true"/>
          <w:lang w:bidi="fa-IR"/>
        </w:rPr>
        <w:t>فلا أقلّ من أصالة البراءة من وجوب الوضوء فی الأثناء، و لا یعارض باستصحاب عدم انقطاع الصلاة بهذا الفعل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أصالة عدم مانعیّته، فالأمر دائر بین الشرطیة و القاطعیة، لأنّ الشکّ فی القاطعیة مسبّب عن الشکّ فی شرطیة الوضوء فإذا لم یعلم شرطیّته و الأمر به کان فعلا أجنبیا قاطعا، و دوران الأمر بین الشرطیّة و القاطعیة إنّما هو فیما کان کلّ من فعله و ترکه محتمل الشرطیّة، لا أن یکون فعله محتمل الشرطیّة، و یترتّب علی عدم شرطیته </w:t>
      </w:r>
      <w:r>
        <w:rPr>
          <w:rStyle w:val="FootnoteAnchor"/>
          <w:rtl w:val="true"/>
        </w:rPr>
        <w:footnoteReference w:id="1872"/>
      </w:r>
      <w:r>
        <w:rPr>
          <w:rFonts w:ascii="IRNazanin" w:hAnsi="IRNazanin" w:eastAsia="IRNazanin"/>
          <w:color w:val="111111"/>
          <w:sz w:val="28"/>
          <w:sz w:val="28"/>
          <w:szCs w:val="28"/>
          <w:rtl w:val="true"/>
          <w:lang w:bidi="fa-IR"/>
        </w:rPr>
        <w:t>المستلزم لکونه فعلا کثیرا أجنبیا کونه قاطعا،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یظهر ضعف ما فی السرائر </w:t>
      </w:r>
      <w:r>
        <w:rPr>
          <w:rStyle w:val="FootnoteAnchor"/>
          <w:rtl w:val="true"/>
        </w:rPr>
        <w:footnoteReference w:id="1873"/>
      </w:r>
      <w:r>
        <w:rPr>
          <w:rFonts w:ascii="IRNazanin" w:hAnsi="IRNazanin" w:eastAsia="IRNazanin"/>
          <w:color w:val="111111"/>
          <w:sz w:val="28"/>
          <w:sz w:val="28"/>
          <w:szCs w:val="28"/>
          <w:rtl w:val="true"/>
          <w:lang w:bidi="fa-IR"/>
        </w:rPr>
        <w:t>من الفصل بین من یتوالی منه التقاطر من غیر تراخ بین الأحوال فکالمشهور، و بین من تراخی فیه زمان الحدث فلیتوضّأ للصلاة، فإذا بدره و هو فیها خرج و توضّأ و بنی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یستأنس له بما سیأتی من الروایة فی المبطون، لکنّ المناط غیر منقّح</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ذکرنا </w:t>
      </w:r>
      <w:r>
        <w:rPr>
          <w:rStyle w:val="FootnoteAnchor"/>
          <w:rtl w:val="true"/>
        </w:rPr>
        <w:footnoteReference w:id="1874"/>
      </w:r>
      <w:r>
        <w:rPr>
          <w:rFonts w:ascii="IRNazanin" w:hAnsi="IRNazanin" w:eastAsia="IRNazanin"/>
          <w:color w:val="111111"/>
          <w:sz w:val="28"/>
          <w:sz w:val="28"/>
          <w:szCs w:val="28"/>
          <w:rtl w:val="true"/>
          <w:lang w:bidi="fa-IR"/>
        </w:rPr>
        <w:t>ظهر أنّ مذهب المشهور أوفق بالأصول، بناء علی أنّ مطلق استئناف الطهارة فی أثناء الصلاة فعل کثیر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 قول رابع أجمع الأقوال من حیث الدلیل، اختاره فی المنتهی </w:t>
      </w:r>
      <w:r>
        <w:rPr>
          <w:rStyle w:val="FootnoteAnchor"/>
          <w:rtl w:val="true"/>
        </w:rPr>
        <w:footnoteReference w:id="1875"/>
      </w:r>
      <w:r>
        <w:rPr>
          <w:rFonts w:ascii="IRNazanin" w:hAnsi="IRNazanin" w:eastAsia="IRNazanin"/>
          <w:color w:val="111111"/>
          <w:sz w:val="28"/>
          <w:sz w:val="28"/>
          <w:szCs w:val="28"/>
          <w:rtl w:val="true"/>
          <w:lang w:bidi="fa-IR"/>
        </w:rPr>
        <w:t xml:space="preserve">، و عن جماعة من متأخّری المتأخّرین </w:t>
      </w:r>
      <w:r>
        <w:rPr>
          <w:rStyle w:val="FootnoteAnchor"/>
          <w:rtl w:val="true"/>
        </w:rPr>
        <w:footnoteReference w:id="1876"/>
      </w:r>
      <w:r>
        <w:rPr>
          <w:rFonts w:ascii="IRNazanin" w:hAnsi="IRNazanin" w:eastAsia="IRNazanin"/>
          <w:color w:val="111111"/>
          <w:sz w:val="28"/>
          <w:sz w:val="28"/>
          <w:szCs w:val="28"/>
          <w:rtl w:val="true"/>
          <w:lang w:bidi="fa-IR"/>
        </w:rPr>
        <w:t>المیل إلیه،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یجمع بین الظهرین بوضوء و بین العشاءین بوضوء و للصبح وضوء، لصحیحة حریز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یقطر منه البول و الدم إذا کان حین الصلاة اتّخذ کیسا و جعل فیه قطنا ثمّ علّقه علیه و أدخل ذکره فیه ثمّ صلّی یجمع بین صلاتین الظهر و العصر، یؤخّر الظهر و یعجّل العصر بأذان و إقامتین، و یؤخّر المغرب و یعجّل العشاء بأذان و إقامتین، و یفعل ذلک فی الصبح</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 xml:space="preserve">، فإنّ الأمر بالجمع بین الصلاتین کالصریح فی عدم تجدید الوضوء، بل مقتضی عموم أدلّة مانعیّة ما یتقاطر من حیث الخبثیّة الاقتصار فی العفو علی ما یحدث فی مقدار صلاتین من الزمان، لکن ظهورها فی کفایة الوضوء لکلّ صلاتین من باب السکوت فی مقام البیان، فالجرأة علی رفع الید بها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878"/>
      </w:r>
      <w:r>
        <w:rPr>
          <w:rFonts w:ascii="IRNazanin" w:hAnsi="IRNazanin" w:eastAsia="IRNazanin"/>
          <w:color w:val="111111"/>
          <w:sz w:val="28"/>
          <w:sz w:val="28"/>
          <w:szCs w:val="28"/>
          <w:rtl w:val="true"/>
          <w:lang w:bidi="fa-IR"/>
        </w:rPr>
        <w:t>المنضم إلی عموم أدلّة حدثیّة البول مشکل، لکن ظاهرها وجوب المبادرة إلی الصلاة الثانیة بعد الفراغ عن الاولی، فالعفو عن النجاسة الزائدة بمقدار زمان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احتاج هو أو مقدّماته إلی زمان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دلیل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 حکم غیر سلس البول ممّن لا یستمسک حدثه بمقدار الصلاة، فإنّه إن لم یتمکّن من إتیان بعض الصلاة متطهرا توضّأ لکلّ</w:t>
      </w:r>
    </w:p>
    <w:p>
      <w:pPr>
        <w:pStyle w:val="BookText"/>
        <w:rPr/>
      </w:pPr>
      <w:r>
        <w:rPr>
          <w:rFonts w:ascii="IRNazanin" w:hAnsi="IRNazanin" w:eastAsia="IRNazanin"/>
          <w:color w:val="111111"/>
          <w:sz w:val="28"/>
          <w:sz w:val="28"/>
          <w:szCs w:val="28"/>
          <w:rtl w:val="true"/>
          <w:lang w:bidi="fa-IR"/>
        </w:rPr>
        <w:t>صلاة، لأصالة عدم إباحة أزید منها بوضوئه، و کذا لو تمکّن لکن احتاج تجدید الوضوء إلی فعل کثیر مبطل،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الطهارة فی أثناء الصلاة ماحیة لصورة الصلاة کما تقدّم، لأنّ تجدید الوضوء فی أثناء الصلاة قد عرفت أنّه لا دلیل علیه، و الأصل عدمه، مضافا إلی ما ذکرنا من الاستصحاب 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یستلزم تجدید الطهارة فعلا مبطلا، فمقتضی القاعدة وجوب الطهر فی أثناء الصلاة و البناء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حیث الحدثیة، و أمّا من حیث نجاسة ذلک الخارج، فمقتضی القاعدة و إن کان وجوب إزالتها حتّی فی الأثناء إذا لم یستلزم فعلا مبطلا، إلّا أنّ الحسنة المتقدّمة </w:t>
      </w:r>
      <w:r>
        <w:rPr>
          <w:rStyle w:val="FootnoteAnchor"/>
          <w:rtl w:val="true"/>
        </w:rPr>
        <w:footnoteReference w:id="1879"/>
      </w:r>
      <w:r>
        <w:rPr>
          <w:rFonts w:ascii="IRNazanin" w:hAnsi="IRNazanin" w:eastAsia="IRNazanin"/>
          <w:color w:val="111111"/>
          <w:sz w:val="28"/>
          <w:sz w:val="28"/>
          <w:szCs w:val="28"/>
          <w:rtl w:val="true"/>
          <w:lang w:bidi="fa-IR"/>
        </w:rPr>
        <w:t xml:space="preserve">دلّت علی أنّ النجاسة فی السلس معفوّ عنها، من حیث إنّه ممّا غلب اللّٰه، فیقتصر علی جعل الخریطة للتحفّظ عن سرایة النجاسة فیتعدّی إلی غیر البول، إلّا أن یدّعی أنّ المسلّم ظهور الحسنة فی العفو عمّا یقطر فی أثناء صلاة واحدة لا أزید، و لذا جزم فی السرائر بوجوبها لکلّ صلاة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 تغییر الکیس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أمکن، لوجوب تقلیل النجاسة عند تعذّر إزالتها، و أنکر وجوبه فی المعتبر </w:t>
      </w:r>
      <w:r>
        <w:rPr>
          <w:rStyle w:val="FootnoteAnchor"/>
          <w:rtl w:val="true"/>
        </w:rPr>
        <w:footnoteReference w:id="1881"/>
      </w:r>
      <w:r>
        <w:rPr>
          <w:rFonts w:ascii="IRNazanin" w:hAnsi="IRNazanin" w:eastAsia="IRNazanin"/>
          <w:color w:val="111111"/>
          <w:sz w:val="28"/>
          <w:sz w:val="28"/>
          <w:szCs w:val="28"/>
          <w:rtl w:val="true"/>
          <w:lang w:bidi="fa-IR"/>
        </w:rPr>
        <w:t xml:space="preserve">، مقتصرا علی موضع النصّ فی المستحاضة </w:t>
      </w:r>
      <w:r>
        <w:rPr>
          <w:rStyle w:val="FootnoteAnchor"/>
          <w:rtl w:val="true"/>
        </w:rPr>
        <w:footnoteReference w:id="188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کلّه مع قطع النظر عن ورود النصّ فی بعض الأفراد علی</w:t>
      </w:r>
    </w:p>
    <w:p>
      <w:pPr>
        <w:pStyle w:val="BookText"/>
        <w:rPr/>
      </w:pPr>
      <w:r>
        <w:rPr>
          <w:rFonts w:ascii="IRNazanin" w:hAnsi="IRNazanin" w:eastAsia="IRNazanin"/>
          <w:color w:val="111111"/>
          <w:sz w:val="28"/>
          <w:sz w:val="28"/>
          <w:szCs w:val="28"/>
          <w:rtl w:val="true"/>
          <w:lang w:bidi="fa-IR"/>
        </w:rPr>
        <w:t xml:space="preserve">خلاف مقتضی الأصل، و إلّا فهو المتّبع،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1883"/>
      </w:r>
      <w:r>
        <w:rPr>
          <w:rFonts w:ascii="IRNazanin" w:hAnsi="IRNazanin" w:eastAsia="IRNazanin"/>
          <w:color w:val="111111"/>
          <w:sz w:val="28"/>
          <w:sz w:val="28"/>
          <w:szCs w:val="28"/>
          <w:rtl w:val="true"/>
          <w:lang w:bidi="fa-IR"/>
        </w:rPr>
        <w:t xml:space="preserve">بل نسب </w:t>
      </w:r>
      <w:r>
        <w:rPr>
          <w:rStyle w:val="FootnoteAnchor"/>
          <w:rtl w:val="true"/>
        </w:rPr>
        <w:footnoteReference w:id="1884"/>
      </w:r>
      <w:r>
        <w:rPr>
          <w:rFonts w:ascii="IRNazanin" w:hAnsi="IRNazanin" w:eastAsia="IRNazanin"/>
          <w:color w:val="111111"/>
          <w:sz w:val="28"/>
          <w:sz w:val="28"/>
          <w:szCs w:val="28"/>
          <w:rtl w:val="true"/>
          <w:lang w:bidi="fa-IR"/>
        </w:rPr>
        <w:t>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مرض یوجب الإسهال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تجدّد حدثه فی الصلاة تطهّر و بنی </w:t>
      </w:r>
      <w:r>
        <w:rPr>
          <w:rStyle w:val="FootnoteAnchor"/>
          <w:rtl w:val="true"/>
        </w:rPr>
        <w:footnoteReference w:id="1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للروایات عن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إحداها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المبطون یبنی علی صلاته</w:t>
      </w:r>
      <w:r>
        <w:rPr>
          <w:rFonts w:eastAsia="IRNazanin" w:cs="IRNazanin"/>
          <w:color w:val="111111"/>
          <w:sz w:val="28"/>
          <w:szCs w:val="28"/>
          <w:rtl w:val="true"/>
          <w:lang w:bidi="fa-IR"/>
        </w:rPr>
        <w:t xml:space="preserve">» </w:t>
      </w:r>
      <w:r>
        <w:rPr>
          <w:rStyle w:val="FootnoteAnchor"/>
          <w:rtl w:val="true"/>
        </w:rPr>
        <w:footnoteReference w:id="1886"/>
      </w:r>
      <w:r>
        <w:rPr>
          <w:rFonts w:ascii="IRNazanin" w:hAnsi="IRNazanin" w:eastAsia="IRNazanin"/>
          <w:color w:val="111111"/>
          <w:sz w:val="28"/>
          <w:sz w:val="28"/>
          <w:szCs w:val="28"/>
          <w:rtl w:val="true"/>
          <w:lang w:bidi="fa-IR"/>
        </w:rPr>
        <w:t>، و فی الصحیحة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البطن الغالب یتوضّأ و یبنی علی صلاته</w:t>
      </w:r>
      <w:r>
        <w:rPr>
          <w:rFonts w:eastAsia="IRNazanin" w:cs="IRNazanin"/>
          <w:color w:val="111111"/>
          <w:sz w:val="28"/>
          <w:szCs w:val="28"/>
          <w:rtl w:val="true"/>
          <w:lang w:bidi="fa-IR"/>
        </w:rPr>
        <w:t xml:space="preserve">» </w:t>
      </w:r>
      <w:r>
        <w:rPr>
          <w:rStyle w:val="FootnoteAnchor"/>
          <w:rtl w:val="true"/>
        </w:rPr>
        <w:footnoteReference w:id="1887"/>
      </w:r>
      <w:r>
        <w:rPr>
          <w:rFonts w:ascii="IRNazanin" w:hAnsi="IRNazanin" w:eastAsia="IRNazanin"/>
          <w:color w:val="111111"/>
          <w:sz w:val="28"/>
          <w:sz w:val="28"/>
          <w:szCs w:val="28"/>
          <w:rtl w:val="true"/>
          <w:lang w:bidi="fa-IR"/>
        </w:rPr>
        <w:t>، و فی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یتوضّأ ثمّ یرجع فیتمّ ما بقی</w:t>
      </w:r>
      <w:r>
        <w:rPr>
          <w:rFonts w:eastAsia="IRNazanin" w:cs="IRNazanin"/>
          <w:color w:val="111111"/>
          <w:sz w:val="28"/>
          <w:szCs w:val="28"/>
          <w:rtl w:val="true"/>
          <w:lang w:bidi="fa-IR"/>
        </w:rPr>
        <w:t xml:space="preserve">» </w:t>
      </w:r>
      <w:r>
        <w:rPr>
          <w:rStyle w:val="FootnoteAnchor"/>
          <w:rtl w:val="true"/>
        </w:rPr>
        <w:footnoteReference w:id="1888"/>
      </w:r>
      <w:r>
        <w:rPr>
          <w:rFonts w:ascii="IRNazanin" w:hAnsi="IRNazanin" w:eastAsia="IRNazanin"/>
          <w:color w:val="111111"/>
          <w:sz w:val="28"/>
          <w:sz w:val="28"/>
          <w:szCs w:val="28"/>
          <w:rtl w:val="true"/>
          <w:lang w:bidi="fa-IR"/>
        </w:rPr>
        <w:t>، بناء علی أنّ المراد بالتوضّی إمّا خصوص التطهر من الحدث أو التطهّر عنه و عن الخبث، أمّا إذا أرید به الاستنجاء فقط، فلا یدلّ علی المدّعی إلّا بناء علی أنّ القول بوجوب الاستنجاء فی الأثناء ملازم للقول بوجوب التطهّر من الحدث و إن لم یعکس کما فی السلس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أکثر کتب العلّامة </w:t>
      </w:r>
      <w:r>
        <w:rPr>
          <w:rStyle w:val="FootnoteAnchor"/>
          <w:rtl w:val="true"/>
        </w:rPr>
        <w:footnoteReference w:id="1889"/>
      </w:r>
      <w:r>
        <w:rPr>
          <w:rFonts w:ascii="IRNazanin" w:hAnsi="IRNazanin" w:eastAsia="IRNazanin"/>
          <w:color w:val="111111"/>
          <w:sz w:val="28"/>
          <w:sz w:val="28"/>
          <w:szCs w:val="28"/>
          <w:rtl w:val="true"/>
          <w:lang w:bidi="fa-IR"/>
        </w:rPr>
        <w:t xml:space="preserve">فألحق المبطون </w:t>
      </w:r>
      <w:r>
        <w:rPr>
          <w:rStyle w:val="FootnoteAnchor"/>
          <w:rtl w:val="true"/>
        </w:rPr>
        <w:footnoteReference w:id="1890"/>
      </w:r>
      <w:r>
        <w:rPr>
          <w:rFonts w:ascii="IRNazanin" w:hAnsi="IRNazanin" w:eastAsia="IRNazanin"/>
          <w:color w:val="111111"/>
          <w:sz w:val="28"/>
          <w:sz w:val="28"/>
          <w:szCs w:val="28"/>
          <w:rtl w:val="true"/>
          <w:lang w:bidi="fa-IR"/>
        </w:rPr>
        <w:t>فی أنّه یتوضّأ لکلّ صلاة، بناء علی أنّه لا فائدة فی التجدید، لأنّ هذا المتکرّر إن نقض الطهارة نقض الصلاة، لما دلّ علی اشتراط الصلاة باستمرار الطهارة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عدم تخلّل الحدث فی أثناء الصلاة لا یدلّ إلّا علی</w:t>
      </w:r>
    </w:p>
    <w:p>
      <w:pPr>
        <w:pStyle w:val="BookText"/>
        <w:rPr/>
      </w:pPr>
      <w:r>
        <w:rPr>
          <w:rFonts w:ascii="IRNazanin" w:hAnsi="IRNazanin" w:eastAsia="IRNazanin"/>
          <w:color w:val="111111"/>
          <w:sz w:val="28"/>
          <w:sz w:val="28"/>
          <w:szCs w:val="28"/>
          <w:rtl w:val="true"/>
          <w:lang w:bidi="fa-IR"/>
        </w:rPr>
        <w:t>اشتراط الطهارة فی الصلاة التی هی عبارة عن الأفعال، فیکفی فیه وقوع الأفعال مع الطهارة، و لا یقدح من هذه الجهة تخلّل الحدث، إذ الطهر لأفعالها،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891"/>
      </w: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فی اعتبار وجودها فی أجزاء العمل، لا فی أحوال الکون فیه و إن لم یشتغل بجزء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تخلّل الحدث و کونه ناقضا للصلاة حکم آخر ثبت بالدلیل، لکنّ المفروض أنّ فقد هذا الشرط لا یقدح فی الصلاة إجماعا، فإهماله لا یوجب إهمال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تقدّم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أغمض عنها، لدعوی قصور فی دلالتها کان الأحسن الاستدلال علی هذا المذهب بأصالة البراءة عن وجوب تجدید الطهارة بعد تعارض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المنضم إلی أدلّة إطلاق حدثیّة هذا الحدث، مع ما دلّ علی بطلان الصلاة بالفعل الکثیر، فیرجع إلی أصالة البراءة من تجدید الوضوء، لأنّه مشکوک الشرطیّة، مضافا إلی ما تقدّم من استصحاب الإباحة و صحّة المضی فی الصلاة علی تقدیر الإغماض عمّا أوردنا علیه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وجوب إزالة الخبث عند تجدید الطهارة، لعموم أدلّته، أو عدمه، لمعارضتها بأدلّة إبطال الفعل الکثیر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ما اتّفق علی جوازه، و هو التطهّر من الحدث، فیرجع إلی أصالة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فیمن تمکّن من فعل بعض الصلاة بحیث لا یلزم علیه من</w:t>
      </w:r>
    </w:p>
    <w:p>
      <w:pPr>
        <w:pStyle w:val="BookText"/>
        <w:rPr/>
      </w:pPr>
      <w:r>
        <w:rPr>
          <w:rFonts w:ascii="IRNazanin" w:hAnsi="IRNazanin" w:eastAsia="IRNazanin"/>
          <w:color w:val="111111"/>
          <w:sz w:val="28"/>
          <w:sz w:val="28"/>
          <w:szCs w:val="28"/>
          <w:rtl w:val="true"/>
          <w:lang w:bidi="fa-IR"/>
        </w:rPr>
        <w:t>تجدید الطهارة و البناء علی ما مضی حرج شدید لتکرّره فی الصلاة، أمّا لو کان الحدث کثیر التکرّر بحیث یتعذّر أو یتعسّر التجدید و البناء رجع فیه إلی مقتضی القاعدة، و هو مذهب المشهور فی السلس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إطلاق المبطون فی کلام المشهور ینصرف إلی الأوّل، و حکم الثانی عندهم حکم السلس، کما أنّه قد یدّعی أنّ إطلاق السلس فی کلامهم أیضا ینصرف إلی من لا یتمکّن من التجدید و البناء، و أمّا المتمکّن منه فحکمه حکم المبطون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یخفی أنّ إلحاق الفرد من المبطون بالسلس لا یخالف شیئا من الأصول، بخلاف إلحاق الفرد من السلس بالمبطون، فإنّه مخالف لأصالة البراءة فی المشکوک الشرطیّة مع عدم التمکّن من الاحتیاط لدوران التجدید بین کونه شرطا أو مبطلا إلّا بتکرار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الإغماض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غلب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من دورانه بین أن یوجب المعذوریة فی ترک الطهارة أو فی إتیان الفعل الکثیر لأجل تحصیلها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إبطال الفعل الکثیر لا تنصرف إلی مثل المقام، و فساده غیر خفی، فإنّ نفس فعل الطهارة فی أثناء الصلاة مبطل قطعا، و لذا لو اشتغل أحد فی أثناء الصلاة بالوضوء التجدیدی بطلت قطعا، و إنّما وقع الشکّ فیما نحن فیه من جهة مزاحمة هذا بشی‌ء آخر و هو فعل بعض أفعال الصلاة مع الحدث، فلا بدّ من ملاحظة ما هو الأرجح فی نظر الشارع، إمّا لکونه أهمّ، و إمّا لکونه أیسر علی المکلّف، و مع الشکّ فی التعیین فالمرجع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ذکر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مستدام الحدث یخفّف الصلاة و لا یطیلها، و یقتصر فیها علی أدنی ما یجزی المصلّی عند الضرورة،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یجزیه أن یقرأ فی الأولیین بأمّ الکتاب وحده و فی الأخیرتین بتسبیح، یسبّح فی کلّ واحدة أربع تسبیحات، فإن لم یتمکّن من قراءة فاتحة الکتاب سبّح فی جمیع الرکعات، فإن لم یتمکّن من التسبیحات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لتوالی الحدث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فلیقتصر علی ما دون ذلک من </w:t>
      </w:r>
      <w:r>
        <w:rPr>
          <w:rStyle w:val="FootnoteAnchor"/>
          <w:rtl w:val="true"/>
        </w:rPr>
        <w:footnoteReference w:id="1894"/>
      </w:r>
      <w:r>
        <w:rPr>
          <w:rFonts w:ascii="IRNazanin" w:hAnsi="IRNazanin" w:eastAsia="IRNazanin"/>
          <w:color w:val="111111"/>
          <w:sz w:val="28"/>
          <w:sz w:val="28"/>
          <w:szCs w:val="28"/>
          <w:rtl w:val="true"/>
          <w:lang w:bidi="fa-IR"/>
        </w:rPr>
        <w:t xml:space="preserve">التسبیح فی العدد، و یجزیه منه تسبیحة واحدة فی قیامه، و تسبیحة فی رکوعه، و تسبیحة فی سجوده، و فی التشهّد ذکر الشهادتین خاصّة، و الصلاة علی محمّد و آله صلّی اللّٰه علیه و آله و علیهم السلام ممّا لا بدّ منه فی التشهّدین، و یصلّی علی أحوط ما یقدر علیه فی بدار الحدیث من جلوس أو اضطجاع، و إن کان صلاته بالإیماء أحوط له فی حفظ الحدث و منعه من الخروج صلّی مؤمیا، و یکون سجوده أخفض من رکوعه </w:t>
      </w:r>
      <w:r>
        <w:rPr>
          <w:rStyle w:val="FootnoteAnchor"/>
          <w:rtl w:val="true"/>
        </w:rPr>
        <w:footnoteReference w:id="189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الأخبار فی السلس و نحوه أنّ له أن یصلّی الصلاة المتعارفة، و أنّ هذا المرض موجب للعفو عن الحدث لا للرخصة فی ترک أکثر الواجبات، تحفّظا عن هذا الحدث، فتأمّل</w:t>
      </w:r>
      <w:r>
        <w:rPr>
          <w:rFonts w:eastAsia="IRNazanin" w:cs="IRNazanin"/>
          <w:color w:val="111111"/>
          <w:sz w:val="28"/>
          <w:szCs w:val="28"/>
          <w:rtl w:val="true"/>
          <w:lang w:bidi="fa-IR"/>
        </w:rPr>
        <w:t>.</w:t>
      </w:r>
      <w:bookmarkStart w:id="183" w:name="pg13035_131923"/>
    </w:p>
    <w:p>
      <w:pPr>
        <w:pStyle w:val="Heading6"/>
        <w:numPr>
          <w:ilvl w:val="5"/>
          <w:numId w:val="1"/>
        </w:numPr>
        <w:rPr/>
      </w:pPr>
      <w:bookmarkStart w:id="184" w:name="__RefHeading___Toc6369988_3224264995"/>
      <w:bookmarkStart w:id="185" w:name="_Toc71"/>
      <w:bookmarkEnd w:id="183"/>
      <w:bookmarkEnd w:id="184"/>
      <w:r>
        <w:rPr>
          <w:rtl w:val="true"/>
        </w:rPr>
        <w:t>[</w:t>
      </w:r>
      <w:r>
        <w:rPr>
          <w:rtl w:val="true"/>
        </w:rPr>
        <w:t>سنن الوضوء</w:t>
      </w:r>
      <w:r>
        <w:rPr>
          <w:rtl w:val="true"/>
        </w:rPr>
        <w:t>]</w:t>
      </w:r>
      <w:bookmarkEnd w:id="185"/>
    </w:p>
    <w:p>
      <w:pPr>
        <w:pStyle w:val="Heading6"/>
        <w:numPr>
          <w:ilvl w:val="5"/>
          <w:numId w:val="1"/>
        </w:numPr>
        <w:rPr/>
      </w:pPr>
      <w:bookmarkStart w:id="186" w:name="__RefHeading___Toc6369990_3224264995"/>
      <w:bookmarkStart w:id="187" w:name="_Toc72"/>
      <w:bookmarkEnd w:id="186"/>
      <w:r>
        <w:rPr>
          <w:rtl w:val="true"/>
        </w:rPr>
        <w:t>اشارة</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Heading6"/>
        <w:numPr>
          <w:ilvl w:val="5"/>
          <w:numId w:val="1"/>
        </w:numPr>
        <w:rPr/>
      </w:pPr>
      <w:bookmarkStart w:id="188" w:name="__RefHeading___Toc6369992_3224264995"/>
      <w:bookmarkStart w:id="189" w:name="_Toc73"/>
      <w:bookmarkEnd w:id="188"/>
      <w:r>
        <w:rPr>
          <w:rtl w:val="true"/>
        </w:rPr>
        <w:t>[</w:t>
      </w:r>
      <w:r>
        <w:rPr>
          <w:rtl w:val="true"/>
        </w:rPr>
        <w:t>استحباب التیامن فی وضع الإناء</w:t>
      </w:r>
      <w:r>
        <w:rPr>
          <w:rtl w:val="true"/>
        </w:rPr>
        <w:t>]</w:t>
      </w:r>
      <w:bookmarkEnd w:id="18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الإناء </w:t>
      </w:r>
      <w:r>
        <w:rPr>
          <w:rStyle w:val="FootnoteAnchor"/>
          <w:rtl w:val="true"/>
        </w:rPr>
        <w:footnoteReference w:id="1896"/>
      </w:r>
      <w:r>
        <w:rPr>
          <w:rFonts w:ascii="IRNazanin" w:hAnsi="IRNazanin" w:eastAsia="IRNazanin"/>
          <w:color w:val="111111"/>
          <w:sz w:val="28"/>
          <w:sz w:val="28"/>
          <w:szCs w:val="28"/>
          <w:rtl w:val="true"/>
          <w:lang w:bidi="fa-IR"/>
        </w:rPr>
        <w:t>علی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بل عن المعتبر </w:t>
      </w:r>
      <w:r>
        <w:rPr>
          <w:rStyle w:val="FootnoteAnchor"/>
          <w:rtl w:val="true"/>
        </w:rPr>
        <w:footnoteReference w:id="1897"/>
      </w:r>
      <w:r>
        <w:rPr>
          <w:rFonts w:ascii="IRNazanin" w:hAnsi="IRNazanin" w:eastAsia="IRNazanin"/>
          <w:color w:val="111111"/>
          <w:sz w:val="28"/>
          <w:sz w:val="28"/>
          <w:szCs w:val="28"/>
          <w:rtl w:val="true"/>
          <w:lang w:bidi="fa-IR"/>
        </w:rPr>
        <w:t xml:space="preserve">و الذکری </w:t>
      </w:r>
      <w:r>
        <w:rPr>
          <w:rStyle w:val="FootnoteAnchor"/>
          <w:rtl w:val="true"/>
        </w:rPr>
        <w:footnoteReference w:id="1898"/>
      </w:r>
      <w:r>
        <w:rPr>
          <w:rFonts w:ascii="IRNazanin" w:hAnsi="IRNazanin" w:eastAsia="IRNazanin"/>
          <w:color w:val="111111"/>
          <w:sz w:val="28"/>
          <w:sz w:val="28"/>
          <w:szCs w:val="28"/>
          <w:rtl w:val="true"/>
          <w:lang w:bidi="fa-IR"/>
        </w:rPr>
        <w:t xml:space="preserve">و غیرهما </w:t>
      </w:r>
      <w:r>
        <w:rPr>
          <w:rStyle w:val="FootnoteAnchor"/>
          <w:rtl w:val="true"/>
        </w:rPr>
        <w:footnoteReference w:id="1899"/>
      </w:r>
      <w:r>
        <w:rPr>
          <w:rFonts w:ascii="IRNazanin" w:hAnsi="IRNazanin" w:eastAsia="IRNazanin"/>
          <w:color w:val="111111"/>
          <w:sz w:val="28"/>
          <w:sz w:val="28"/>
          <w:szCs w:val="28"/>
          <w:rtl w:val="true"/>
          <w:lang w:bidi="fa-IR"/>
        </w:rPr>
        <w:t xml:space="preserve">نسبته إلی الأصحاب، و استدلّ علیه فی الکتابین </w:t>
      </w:r>
      <w:r>
        <w:rPr>
          <w:rStyle w:val="FootnoteAnchor"/>
          <w:rtl w:val="true"/>
        </w:rPr>
        <w:footnoteReference w:id="1900"/>
      </w:r>
      <w:r>
        <w:rPr>
          <w:rFonts w:ascii="Amiri" w:hAnsi="Amiri" w:eastAsia="Amiri" w:cs="Amiri"/>
          <w:color w:val="111111"/>
          <w:sz w:val="28"/>
          <w:sz w:val="28"/>
          <w:szCs w:val="28"/>
          <w:rtl w:val="true"/>
          <w:lang w:bidi="ar-SA"/>
        </w:rPr>
        <w:t xml:space="preserve">بما روی من أنّه صلّی اللّٰه علیه و آله کان یحبّ التیامن فی طهوره و تنعّله و شأنه کلّه </w:t>
      </w:r>
      <w:r>
        <w:rPr>
          <w:rStyle w:val="FootnoteAnchor"/>
          <w:rtl w:val="true"/>
        </w:rPr>
        <w:footnoteReference w:id="1901"/>
      </w:r>
      <w:r>
        <w:rPr>
          <w:rFonts w:ascii="IRNazanin" w:hAnsi="IRNazanin" w:eastAsia="IRNazanin"/>
          <w:color w:val="111111"/>
          <w:sz w:val="28"/>
          <w:sz w:val="28"/>
          <w:szCs w:val="28"/>
          <w:rtl w:val="true"/>
          <w:lang w:bidi="fa-IR"/>
        </w:rPr>
        <w:t>، لکن فی صحیحة زرارة الحاکیة لوضوء رسول اللّٰه صلّی اللّٰه علیه و آله،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بقعب فیه ماء فوضعه بین یدیه</w:t>
      </w:r>
      <w:r>
        <w:rPr>
          <w:rFonts w:eastAsia="IRNazanin" w:cs="IRNazanin"/>
          <w:color w:val="111111"/>
          <w:sz w:val="28"/>
          <w:szCs w:val="28"/>
          <w:rtl w:val="true"/>
          <w:lang w:bidi="fa-IR"/>
        </w:rPr>
        <w:t xml:space="preserve">» </w:t>
      </w:r>
      <w:r>
        <w:rPr>
          <w:rStyle w:val="FootnoteAnchor"/>
          <w:rtl w:val="true"/>
        </w:rPr>
        <w:footnoteReference w:id="1902"/>
      </w:r>
      <w:r>
        <w:rPr>
          <w:rFonts w:ascii="IRNazanin" w:hAnsi="IRNazanin" w:eastAsia="IRNazanin"/>
          <w:color w:val="111111"/>
          <w:sz w:val="28"/>
          <w:sz w:val="28"/>
          <w:szCs w:val="28"/>
          <w:rtl w:val="true"/>
          <w:lang w:bidi="fa-IR"/>
        </w:rPr>
        <w:t>، و المراد بالإناء</w:t>
      </w:r>
      <w:bookmarkStart w:id="190" w:name="pg13035_131924"/>
    </w:p>
    <w:p>
      <w:pPr>
        <w:pStyle w:val="BookText"/>
        <w:rPr/>
      </w:pPr>
      <w:bookmarkEnd w:id="1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معقد اتّفاق المعتبر و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یغترف منه دون ما یصبّ منه علی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کون إطلاق رجحان وضعه علی الیمین فی کلام بعضهم کاشفا عن رجحان کون الإناء ممّا یغترف منه، لأنّه المستفاد من الوضوءات البیانیة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 الاغتراف من الإناء فی تلک الوضوءات بعد کون الحاضر إناء یغترف منه، فلا یدلّ علی استحباب الاغتراف، و لیس لإحضار الإناء الذی یغترف منه دخل فی بیان الوضوء، کما لا یخفی، مع أنّ فی کثیر من الوضوءات المحکیّة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مسألة التولیة </w:t>
      </w:r>
      <w:r>
        <w:rPr>
          <w:rStyle w:val="FootnoteAnchor"/>
          <w:rtl w:val="true"/>
        </w:rPr>
        <w:footnoteReference w:id="1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بغیر الاغتراف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لو کان الماء فی حوض أو نهر أمکن استحباب جعله عن الیمین</w:t>
      </w:r>
      <w:r>
        <w:rPr>
          <w:rFonts w:eastAsia="IRNazanin" w:cs="IRNazanin"/>
          <w:color w:val="111111"/>
          <w:sz w:val="28"/>
          <w:szCs w:val="28"/>
          <w:rtl w:val="true"/>
          <w:lang w:bidi="fa-IR"/>
        </w:rPr>
        <w:t>.</w:t>
      </w:r>
    </w:p>
    <w:p>
      <w:pPr>
        <w:pStyle w:val="Heading6"/>
        <w:numPr>
          <w:ilvl w:val="5"/>
          <w:numId w:val="1"/>
        </w:numPr>
        <w:rPr/>
      </w:pPr>
      <w:bookmarkStart w:id="191" w:name="__RefHeading___Toc6369994_3224264995"/>
      <w:bookmarkStart w:id="192" w:name="_Toc74"/>
      <w:bookmarkEnd w:id="191"/>
      <w:r>
        <w:rPr>
          <w:rtl w:val="true"/>
        </w:rPr>
        <w:t>[</w:t>
      </w:r>
      <w:r>
        <w:rPr>
          <w:rtl w:val="true"/>
        </w:rPr>
        <w:t>استحباب الاغتراف بالیمنی</w:t>
      </w:r>
      <w:r>
        <w:rPr>
          <w:rtl w:val="true"/>
        </w:rPr>
        <w:t>]</w:t>
      </w:r>
      <w:bookmarkEnd w:id="19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الاغتراف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بالیمین، لما تقدّم، و لبعض الوضوءات البیانیة </w:t>
      </w:r>
      <w:r>
        <w:rPr>
          <w:rStyle w:val="FootnoteAnchor"/>
          <w:rtl w:val="true"/>
        </w:rPr>
        <w:footnoteReference w:id="1904"/>
      </w:r>
      <w:r>
        <w:rPr>
          <w:rFonts w:ascii="IRNazanin" w:hAnsi="IRNazanin" w:eastAsia="IRNazanin"/>
          <w:color w:val="111111"/>
          <w:sz w:val="28"/>
          <w:sz w:val="28"/>
          <w:szCs w:val="28"/>
          <w:rtl w:val="true"/>
          <w:lang w:bidi="fa-IR"/>
        </w:rPr>
        <w:t>، و لقوله علیه السلام فی حکایة وضوء رسول اللّٰه صلّی اللّٰه علیه و آله فی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الماء بیمینه، فلأجل ذلک صار الوضوء بالیمین</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 و مقتضی إطلاق الفتاوی و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الحکم لغسل الیمنی فیغترف بالیمنی و یصبّ علی الیسری، مضافا إلی صریح بعض الوضوءات الحاکیة من اغترافه علیه السلام بالیمنی و صبّه فی الیسری، ثمّ غسل الیمنی بها </w:t>
      </w:r>
      <w:r>
        <w:rPr>
          <w:rStyle w:val="FootnoteAnchor"/>
          <w:rtl w:val="true"/>
        </w:rPr>
        <w:footnoteReference w:id="1906"/>
      </w:r>
      <w:r>
        <w:rPr>
          <w:rFonts w:ascii="IRNazanin" w:hAnsi="IRNazanin" w:eastAsia="IRNazanin"/>
          <w:color w:val="111111"/>
          <w:sz w:val="28"/>
          <w:sz w:val="28"/>
          <w:szCs w:val="28"/>
          <w:rtl w:val="true"/>
          <w:lang w:bidi="fa-IR"/>
        </w:rPr>
        <w:t>، لکن فی</w:t>
      </w:r>
      <w:bookmarkStart w:id="193" w:name="pg13035_131925"/>
    </w:p>
    <w:p>
      <w:pPr>
        <w:pStyle w:val="BookText"/>
        <w:rPr/>
      </w:pPr>
      <w:bookmarkEnd w:id="193"/>
      <w:r>
        <w:rPr>
          <w:rFonts w:ascii="IRNazanin" w:hAnsi="IRNazanin" w:eastAsia="IRNazanin"/>
          <w:color w:val="111111"/>
          <w:sz w:val="28"/>
          <w:sz w:val="28"/>
          <w:szCs w:val="28"/>
          <w:rtl w:val="true"/>
          <w:lang w:bidi="fa-IR"/>
        </w:rPr>
        <w:t>غیر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الاغتراف بالیسری لغسل الیمنی </w:t>
      </w:r>
      <w:r>
        <w:rPr>
          <w:rStyle w:val="FootnoteAnchor"/>
          <w:rtl w:val="true"/>
        </w:rPr>
        <w:footnoteReference w:id="1907"/>
      </w:r>
      <w:r>
        <w:rPr>
          <w:rFonts w:ascii="IRNazanin" w:hAnsi="IRNazanin" w:eastAsia="IRNazanin"/>
          <w:color w:val="111111"/>
          <w:sz w:val="28"/>
          <w:sz w:val="28"/>
          <w:szCs w:val="28"/>
          <w:rtl w:val="true"/>
          <w:lang w:bidi="fa-IR"/>
        </w:rPr>
        <w:t>، لکن هذا یحتمل کونه فعلا عادیا، بخلاف الأوّل، مضافا إلی عموم استحباب الوضوء و الطهور بالیمنی إلّا أن یستظهر منها استحباب الغسل بالیمین إذا أمکن بها، و بالیسار إذا لم یمکن، فلا یشمل أخذ الماء من الإناء بعد لزوم صبّه علی الیسار و الغسل به</w:t>
      </w:r>
      <w:r>
        <w:rPr>
          <w:rFonts w:eastAsia="IRNazanin" w:cs="IRNazanin"/>
          <w:color w:val="111111"/>
          <w:sz w:val="28"/>
          <w:szCs w:val="28"/>
          <w:rtl w:val="true"/>
          <w:lang w:bidi="fa-IR"/>
        </w:rPr>
        <w:t>.</w:t>
      </w:r>
    </w:p>
    <w:p>
      <w:pPr>
        <w:pStyle w:val="Heading6"/>
        <w:numPr>
          <w:ilvl w:val="5"/>
          <w:numId w:val="1"/>
        </w:numPr>
        <w:rPr/>
      </w:pPr>
      <w:bookmarkStart w:id="194" w:name="__RefHeading___Toc6369996_3224264995"/>
      <w:bookmarkStart w:id="195" w:name="_Toc75"/>
      <w:bookmarkEnd w:id="194"/>
      <w:r>
        <w:rPr>
          <w:rtl w:val="true"/>
        </w:rPr>
        <w:t>[</w:t>
      </w:r>
      <w:r>
        <w:rPr>
          <w:rtl w:val="true"/>
        </w:rPr>
        <w:t>استحباب التسمیة</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کما فی المنتهی </w:t>
      </w:r>
      <w:r>
        <w:rPr>
          <w:rStyle w:val="FootnoteAnchor"/>
          <w:rtl w:val="true"/>
        </w:rPr>
        <w:footnoteReference w:id="1908"/>
      </w:r>
      <w:r>
        <w:rPr>
          <w:rFonts w:ascii="IRNazanin" w:hAnsi="IRNazanin" w:eastAsia="IRNazanin"/>
          <w:color w:val="111111"/>
          <w:sz w:val="28"/>
          <w:sz w:val="28"/>
          <w:szCs w:val="28"/>
          <w:rtl w:val="true"/>
          <w:lang w:bidi="fa-IR"/>
        </w:rPr>
        <w:t xml:space="preserve">و الذکری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اقتصر علی ذکر اسم اللّٰه أتی بالمستحبّ </w:t>
      </w:r>
      <w:r>
        <w:rPr>
          <w:rStyle w:val="FootnoteAnchor"/>
          <w:rtl w:val="true"/>
        </w:rPr>
        <w:footnoteReference w:id="1910"/>
      </w:r>
      <w:r>
        <w:rPr>
          <w:rFonts w:ascii="IRNazanin" w:hAnsi="IRNazanin" w:eastAsia="IRNazanin"/>
          <w:color w:val="111111"/>
          <w:sz w:val="28"/>
          <w:sz w:val="28"/>
          <w:szCs w:val="28"/>
          <w:rtl w:val="true"/>
          <w:lang w:bidi="fa-IR"/>
        </w:rPr>
        <w:t>، و لعلّه،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اسم اللّٰه علی وضوئه فکأنّما اغتسل</w:t>
      </w:r>
      <w:r>
        <w:rPr>
          <w:rFonts w:eastAsia="IRNazanin" w:cs="IRNazanin"/>
          <w:color w:val="111111"/>
          <w:sz w:val="28"/>
          <w:szCs w:val="28"/>
          <w:rtl w:val="true"/>
          <w:lang w:bidi="fa-IR"/>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اقتصر علی بسم اللّٰه أجزأ، لإطلاق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سمّیت علی وضوئک طهر جسدک کلّه</w:t>
      </w:r>
      <w:r>
        <w:rPr>
          <w:rFonts w:eastAsia="IRNazanin" w:cs="IRNazanin"/>
          <w:color w:val="111111"/>
          <w:sz w:val="28"/>
          <w:szCs w:val="28"/>
          <w:rtl w:val="true"/>
          <w:lang w:bidi="fa-IR"/>
        </w:rPr>
        <w:t xml:space="preserve">» </w:t>
      </w:r>
      <w:r>
        <w:rPr>
          <w:rStyle w:val="FootnoteAnchor"/>
          <w:rtl w:val="true"/>
        </w:rPr>
        <w:footnoteReference w:id="1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التسمیة ظاهرة فی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جعله أقلّ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من توضّأ، بإعادة وضوئه ثلاثا، فقال له أمیر المؤمنین علیه السلام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سمّیت علی وضوئک؟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علی وضوئک، فسمّی، فلم</w:t>
      </w:r>
      <w:bookmarkStart w:id="196" w:name="pg13035_131926"/>
    </w:p>
    <w:p>
      <w:pPr>
        <w:pStyle w:val="BookText"/>
        <w:rPr/>
      </w:pPr>
      <w:bookmarkEnd w:id="196"/>
      <w:r>
        <w:rPr>
          <w:rFonts w:ascii="IRNazanin" w:hAnsi="IRNazanin" w:eastAsia="IRNazanin"/>
          <w:color w:val="111111"/>
          <w:sz w:val="28"/>
          <w:sz w:val="28"/>
          <w:szCs w:val="28"/>
          <w:rtl w:val="true"/>
          <w:lang w:bidi="fa-IR"/>
        </w:rPr>
        <w:t xml:space="preserve">یؤمر بالإعادة </w:t>
      </w:r>
      <w:r>
        <w:rPr>
          <w:rStyle w:val="FootnoteAnchor"/>
          <w:rtl w:val="true"/>
        </w:rPr>
        <w:footnoteReference w:id="1913"/>
      </w:r>
      <w:r>
        <w:rPr>
          <w:rFonts w:ascii="IRNazanin" w:hAnsi="IRNazanin" w:eastAsia="IRNazanin"/>
          <w:color w:val="111111"/>
          <w:sz w:val="28"/>
          <w:sz w:val="28"/>
          <w:szCs w:val="28"/>
          <w:rtl w:val="true"/>
          <w:lang w:bidi="fa-IR"/>
        </w:rPr>
        <w:t xml:space="preserve">، و حمله الشیخ علی أنّ المراد النیّة </w:t>
      </w:r>
      <w:r>
        <w:rPr>
          <w:rStyle w:val="FootnoteAnchor"/>
          <w:rtl w:val="true"/>
        </w:rPr>
        <w:footnoteReference w:id="1914"/>
      </w:r>
      <w:r>
        <w:rPr>
          <w:rFonts w:ascii="IRNazanin" w:hAnsi="IRNazanin" w:eastAsia="IRNazanin"/>
          <w:color w:val="111111"/>
          <w:sz w:val="28"/>
          <w:sz w:val="28"/>
          <w:szCs w:val="28"/>
          <w:rtl w:val="true"/>
          <w:lang w:bidi="fa-IR"/>
        </w:rPr>
        <w:t>، و هو بعید، و یحتمل أن یکون لمّا ترک التسمیة أنساه الشیطان بعض الواجبات، فلمّا سمّی أعاذه اللّٰه من شرّه،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دلالة علی تأکّد الاستحباب </w:t>
      </w:r>
      <w:r>
        <w:rPr>
          <w:rStyle w:val="FootnoteAnchor"/>
          <w:rtl w:val="true"/>
        </w:rPr>
        <w:footnoteReference w:id="1915"/>
      </w:r>
      <w:r>
        <w:rPr>
          <w:rFonts w:ascii="IRNazanin" w:hAnsi="IRNazanin" w:eastAsia="IRNazanin"/>
          <w:color w:val="111111"/>
          <w:sz w:val="28"/>
          <w:sz w:val="28"/>
          <w:szCs w:val="28"/>
          <w:rtl w:val="true"/>
          <w:lang w:bidi="fa-IR"/>
        </w:rPr>
        <w:t>، و الکلام فی شرعیّة الإعادة لفوات مستحبّ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نسیها تدارکها فی الأثناء، و کذا لو ترکها عمدا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6369998_3224264995"/>
      <w:bookmarkStart w:id="198" w:name="_Toc76"/>
      <w:bookmarkEnd w:id="197"/>
      <w:r>
        <w:rPr>
          <w:rtl w:val="true"/>
        </w:rPr>
        <w:t>[</w:t>
      </w:r>
      <w:r>
        <w:rPr>
          <w:rtl w:val="true"/>
        </w:rPr>
        <w:t>استحباب الدعاء بعد التسمیة</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التسمیة و قراءة الحمد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الذکری </w:t>
      </w:r>
      <w:r>
        <w:rPr>
          <w:rStyle w:val="FootnoteAnchor"/>
          <w:rtl w:val="true"/>
        </w:rPr>
        <w:footnoteReference w:id="1917"/>
      </w:r>
      <w:r>
        <w:rPr>
          <w:rFonts w:ascii="IRNazanin" w:hAnsi="IRNazanin" w:eastAsia="IRNazanin"/>
          <w:color w:val="111111"/>
          <w:sz w:val="28"/>
          <w:sz w:val="28"/>
          <w:szCs w:val="28"/>
          <w:rtl w:val="true"/>
          <w:lang w:bidi="fa-IR"/>
        </w:rPr>
        <w:t>عن المفید</w:t>
      </w:r>
      <w:r>
        <w:rPr>
          <w:rFonts w:eastAsia="IRNazanin" w:cs="IRNazanin"/>
          <w:color w:val="111111"/>
          <w:sz w:val="28"/>
          <w:szCs w:val="28"/>
          <w:rtl w:val="true"/>
          <w:lang w:bidi="fa-IR"/>
        </w:rPr>
        <w:t>.</w:t>
      </w:r>
    </w:p>
    <w:p>
      <w:pPr>
        <w:pStyle w:val="Heading6"/>
        <w:numPr>
          <w:ilvl w:val="5"/>
          <w:numId w:val="1"/>
        </w:numPr>
        <w:rPr/>
      </w:pPr>
      <w:bookmarkStart w:id="199" w:name="__RefHeading___Toc6370000_3224264995"/>
      <w:bookmarkStart w:id="200" w:name="_Toc77"/>
      <w:bookmarkEnd w:id="199"/>
      <w:r>
        <w:rPr>
          <w:rtl w:val="true"/>
        </w:rPr>
        <w:t>[</w:t>
      </w:r>
      <w:r>
        <w:rPr>
          <w:rtl w:val="true"/>
        </w:rPr>
        <w:t>استحباب غسل الیدین قبل الوضوء</w:t>
      </w:r>
      <w:r>
        <w:rPr>
          <w:rtl w:val="true"/>
        </w:rPr>
        <w:t>]</w:t>
      </w:r>
      <w:bookmarkEnd w:id="20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إدخالهما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یغترف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حدث النوم و البول </w:t>
      </w:r>
      <w:r>
        <w:rPr>
          <w:rStyle w:val="FootnoteAnchor"/>
          <w:rtl w:val="true"/>
        </w:rPr>
        <w:footnoteReference w:id="1918"/>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للإطلاق و الاقتصار علیها فی الأخبار کصحیحة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یفرغ الرجل علی یده الیمنی قبل أن یدخلها فی الإناء؟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 حدث النوم </w:t>
      </w:r>
      <w:r>
        <w:rPr>
          <w:rStyle w:val="FootnoteAnchor"/>
          <w:rtl w:val="true"/>
        </w:rPr>
        <w:footnoteReference w:id="1919"/>
      </w:r>
      <w:r>
        <w:rPr>
          <w:rFonts w:ascii="Amiri" w:hAnsi="Amiri" w:eastAsia="Amiri" w:cs="Amiri"/>
          <w:color w:val="111111"/>
          <w:sz w:val="28"/>
          <w:sz w:val="28"/>
          <w:szCs w:val="28"/>
          <w:rtl w:val="true"/>
          <w:lang w:bidi="ar-SA"/>
        </w:rPr>
        <w:t>، و اثنتان من حدث الغائط، و ثلاث من الجنابة</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محمّد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اغسل یدک من البول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الغائط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الجنابة ثلاثا</w:t>
      </w:r>
      <w:r>
        <w:rPr>
          <w:rFonts w:eastAsia="IRNazanin" w:cs="IRNazanin"/>
          <w:color w:val="111111"/>
          <w:sz w:val="28"/>
          <w:szCs w:val="28"/>
          <w:rtl w:val="true"/>
          <w:lang w:bidi="fa-IR"/>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أرسل الصدوق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یدک من النوم</w:t>
      </w:r>
      <w:r>
        <w:rPr>
          <w:rFonts w:eastAsia="IRNazanin" w:cs="IRNazanin"/>
          <w:color w:val="111111"/>
          <w:sz w:val="28"/>
          <w:szCs w:val="28"/>
          <w:rtl w:val="true"/>
          <w:lang w:bidi="fa-IR"/>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الصحیحة عدم استحباب الزائد، فإطلاق المرّتین فی الثلاثة فی اللمعة </w:t>
      </w:r>
      <w:r>
        <w:rPr>
          <w:rStyle w:val="FootnoteAnchor"/>
          <w:rtl w:val="true"/>
        </w:rPr>
        <w:footnoteReference w:id="1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المستند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یده من النوم مرّة و من الغائط و البول مرّتین</w:t>
      </w:r>
      <w:r>
        <w:rPr>
          <w:rFonts w:eastAsia="IRNazanin" w:cs="IRNazanin"/>
          <w:color w:val="111111"/>
          <w:sz w:val="28"/>
          <w:szCs w:val="28"/>
          <w:rtl w:val="true"/>
          <w:lang w:bidi="fa-IR"/>
        </w:rPr>
        <w:t xml:space="preserve">» </w:t>
      </w:r>
      <w:r>
        <w:rPr>
          <w:rStyle w:val="FootnoteAnchor"/>
          <w:rtl w:val="true"/>
        </w:rPr>
        <w:footnoteReference w:id="1924"/>
      </w:r>
      <w:r>
        <w:rPr>
          <w:rFonts w:ascii="IRNazanin" w:hAnsi="IRNazanin" w:eastAsia="IRNazanin"/>
          <w:color w:val="111111"/>
          <w:sz w:val="28"/>
          <w:sz w:val="28"/>
          <w:szCs w:val="28"/>
          <w:rtl w:val="true"/>
          <w:lang w:bidi="fa-IR"/>
        </w:rPr>
        <w:t>، و لکن حملها علی إرادة اجتماع الغائط و البول، 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خلاف الظاهر إلّا أنّ حمل روایة ابن سنان علی أقلّ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لکنّ الصحیحة أقوی سندا، مع أنّه یکفی أنّ المقام مقام التسامح، فالتعدّد فی البول دون النوم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إلحاق النوم بالبول بملاحظة تعلیل الغسل عقیب النوم بأنّه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أین باتت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ظاهره کون الغسل لإزالة النجاسة الوهمیّة الحاصلة من ملاقاة نجاسة البول أو غیره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روایة عبد الکریم بن عتبة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الرجل یبول و لم یمسّ یده الیمنی شی‌ء، أ یدخلها </w:t>
      </w:r>
      <w:r>
        <w:rPr>
          <w:rStyle w:val="FootnoteAnchor"/>
          <w:rtl w:val="true"/>
        </w:rPr>
        <w:footnoteReference w:id="1925"/>
      </w:r>
      <w:r>
        <w:rPr>
          <w:rFonts w:ascii="IRNazanin" w:hAnsi="IRNazanin" w:eastAsia="IRNazanin"/>
          <w:color w:val="111111"/>
          <w:sz w:val="28"/>
          <w:sz w:val="28"/>
          <w:szCs w:val="28"/>
          <w:rtl w:val="true"/>
          <w:lang w:bidi="fa-IR"/>
        </w:rPr>
        <w:t>فی وضوئه قبل أن</w:t>
      </w:r>
    </w:p>
    <w:p>
      <w:pPr>
        <w:pStyle w:val="BookText"/>
        <w:rPr/>
      </w:pPr>
      <w:r>
        <w:rPr>
          <w:rFonts w:ascii="IRNazanin" w:hAnsi="IRNazanin" w:eastAsia="IRNazanin"/>
          <w:color w:val="111111"/>
          <w:sz w:val="28"/>
          <w:sz w:val="28"/>
          <w:szCs w:val="28"/>
          <w:rtl w:val="true"/>
          <w:lang w:bidi="fa-IR"/>
        </w:rPr>
        <w:t>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1926"/>
      </w:r>
      <w:r>
        <w:rPr>
          <w:rFonts w:ascii="IRNazanin" w:hAnsi="IRNazanin" w:eastAsia="IRNazanin"/>
          <w:color w:val="111111"/>
          <w:sz w:val="28"/>
          <w:sz w:val="28"/>
          <w:szCs w:val="28"/>
          <w:rtl w:val="true"/>
          <w:lang w:bidi="fa-IR"/>
        </w:rPr>
        <w:t>یغسلها،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استیقظ من نومه و لم یبل، أ یدخل یده فی الإناء قبل أن یغسلها؟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927"/>
      </w:r>
      <w:r>
        <w:rPr>
          <w:rFonts w:ascii="IRNazanin" w:hAnsi="IRNazanin" w:eastAsia="IRNazanin"/>
          <w:color w:val="111111"/>
          <w:sz w:val="28"/>
          <w:sz w:val="28"/>
          <w:szCs w:val="28"/>
          <w:rtl w:val="true"/>
          <w:lang w:bidi="fa-IR"/>
        </w:rPr>
        <w:t>، لأنّه لا یدری أین باتت یده، فلیغسلها</w:t>
      </w:r>
      <w:r>
        <w:rPr>
          <w:rFonts w:eastAsia="IRNazanin" w:cs="IRNazanin"/>
          <w:color w:val="111111"/>
          <w:sz w:val="28"/>
          <w:szCs w:val="28"/>
          <w:rtl w:val="true"/>
          <w:lang w:bidi="fa-IR"/>
        </w:rPr>
        <w:t xml:space="preserve">» </w:t>
      </w:r>
      <w:r>
        <w:rPr>
          <w:rStyle w:val="FootnoteAnchor"/>
          <w:rtl w:val="true"/>
        </w:rPr>
        <w:footnoteReference w:id="1928"/>
      </w:r>
      <w:r>
        <w:rPr>
          <w:rFonts w:ascii="IRNazanin" w:hAnsi="IRNazanin" w:eastAsia="IRNazanin"/>
          <w:color w:val="111111"/>
          <w:sz w:val="28"/>
          <w:sz w:val="28"/>
          <w:szCs w:val="28"/>
          <w:rtl w:val="true"/>
          <w:lang w:bidi="fa-IR"/>
        </w:rPr>
        <w:t>، فإنّ ظاهرها أنّه و إن لم یبل إلّا أنّ احتمال ملاقاة البول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یصلح حکمة لاستحباب التعدّد، و لاستحباب غسل الیدین و إن کانت صریح الصحیحة الاولی و روایة عبد الکریم و ظاهر الباقی اختصاص الحکم بالیمنی، خصوصا إذا قلنا باستحباب الاغتراف بالیسری للیمنی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الحکمة لا تصلح للانعکاس، و لذا لم یعتبر فی الغسل شرائط التطهیر، فإذا جاز التخفیف فی کیفیّة الغسل لأجل کون النجاسة وهمیّة، جاز فی کمیّته فیقتصر علی الواحد، و لا تصلح للاطّراد حتّی ینتفی الحکم بانتفائها و إن لم یکن علّة له، و لذا لم یفرّق الأصحاب بین احتمال ملاقاة النجاسة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اختصاص الحکم بالقلیل دون الکثیر فلیس لعدم جریان العلّة، بل لاختصاص مورد الأخبار، و أمّا القلیل الذی یصبّ منه فالاستحباب فیه قویّ، لإطلاق 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 أنّ هذا الغسل من أجزاء الوضوء، و لذا جوّزوا إیقاع النیّة عنده، و استفادة ذلک من الأخبار لا یخلو عن إشکال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یسقط إلّا بالامتثال و قصد التقرّب، فلا یحصل بفعل الغیر، و لا بدون القصد، و لا بقصد الریاء، و لا فی ضمن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فی المنتهی </w:t>
      </w:r>
      <w:r>
        <w:rPr>
          <w:rStyle w:val="FootnoteAnchor"/>
          <w:rtl w:val="true"/>
        </w:rPr>
        <w:footnoteReference w:id="1929"/>
      </w:r>
      <w:r>
        <w:rPr>
          <w:rFonts w:ascii="IRNazanin" w:hAnsi="IRNazanin" w:eastAsia="IRNazanin"/>
          <w:color w:val="111111"/>
          <w:sz w:val="28"/>
          <w:sz w:val="28"/>
          <w:szCs w:val="28"/>
          <w:rtl w:val="true"/>
          <w:lang w:bidi="fa-IR"/>
        </w:rPr>
        <w:t>بین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النیّة عند غسل الیدین،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من أفعاله جازما بذلک، و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غسل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هما من سنن الوضوء؟ فیه احتمال، من حیث الأمر به عند الوضوء، و من حیث إنّ الأمر به لتوهّم النجاسة،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یدری أین باتت یده</w:t>
      </w:r>
      <w:r>
        <w:rPr>
          <w:rFonts w:eastAsia="IRNazanin" w:cs="IRNazanin"/>
          <w:color w:val="111111"/>
          <w:sz w:val="28"/>
          <w:szCs w:val="28"/>
          <w:rtl w:val="true"/>
          <w:lang w:bidi="fa-IR"/>
        </w:rPr>
        <w:t xml:space="preserve">» </w:t>
      </w:r>
      <w:r>
        <w:rPr>
          <w:rStyle w:val="FootnoteAnchor"/>
          <w:rtl w:val="true"/>
        </w:rPr>
        <w:footnoteReference w:id="193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یرد الطهارة ففی استحباب غسلها، إشکال، أقربه ذلک، لعموم الأمر بالغسل لمرید الغمس </w:t>
      </w:r>
      <w:r>
        <w:rPr>
          <w:rStyle w:val="FootnoteAnchor"/>
          <w:rtl w:val="true"/>
        </w:rPr>
        <w:footnoteReference w:id="1931"/>
      </w:r>
      <w:r>
        <w:rPr>
          <w:rFonts w:ascii="IRNazanin" w:hAnsi="IRNazanin" w:eastAsia="IRNazanin"/>
          <w:color w:val="111111"/>
          <w:sz w:val="28"/>
          <w:sz w:val="28"/>
          <w:szCs w:val="28"/>
          <w:rtl w:val="true"/>
          <w:lang w:bidi="fa-IR"/>
        </w:rPr>
        <w:t>، انتهی، فإنّ ظاهر العبارة الأولی الجزم بکونه من أفعال الوضوء، و ظاهر الثانیة التردّد فی ذلک، و ظاهر الثالثة ترجیح خلافه و أنّ الغسل مستحبّ مستقلّ لأجل الغمس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فی التذکرة أیضا بین الجزم بجواز مقارنة النیّة بهما </w:t>
      </w:r>
      <w:r>
        <w:rPr>
          <w:rStyle w:val="FootnoteAnchor"/>
          <w:rtl w:val="true"/>
        </w:rPr>
        <w:footnoteReference w:id="1932"/>
      </w:r>
      <w:r>
        <w:rPr>
          <w:rFonts w:ascii="IRNazanin" w:hAnsi="IRNazanin" w:eastAsia="IRNazanin"/>
          <w:color w:val="111111"/>
          <w:sz w:val="28"/>
          <w:sz w:val="28"/>
          <w:szCs w:val="28"/>
          <w:rtl w:val="true"/>
          <w:lang w:bidi="fa-IR"/>
        </w:rPr>
        <w:t>، و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افتقارهما </w:t>
      </w:r>
      <w:r>
        <w:rPr>
          <w:rStyle w:val="FootnoteAnchor"/>
          <w:rtl w:val="true"/>
        </w:rPr>
        <w:footnoteReference w:id="1933"/>
      </w:r>
      <w:r>
        <w:rPr>
          <w:rFonts w:ascii="IRNazanin" w:hAnsi="IRNazanin" w:eastAsia="IRNazanin"/>
          <w:color w:val="111111"/>
          <w:sz w:val="28"/>
          <w:sz w:val="28"/>
          <w:szCs w:val="28"/>
          <w:rtl w:val="true"/>
          <w:lang w:bidi="fa-IR"/>
        </w:rPr>
        <w:t xml:space="preserve">إلی النیّة، وجهان، من حیث إنّهما </w:t>
      </w:r>
      <w:r>
        <w:rPr>
          <w:rStyle w:val="FootnoteAnchor"/>
          <w:rtl w:val="true"/>
        </w:rPr>
        <w:footnoteReference w:id="1934"/>
      </w:r>
      <w:r>
        <w:rPr>
          <w:rFonts w:ascii="Amiri" w:hAnsi="Amiri" w:eastAsia="Amiri" w:cs="Amiri"/>
          <w:color w:val="111111"/>
          <w:sz w:val="28"/>
          <w:sz w:val="28"/>
          <w:szCs w:val="28"/>
          <w:rtl w:val="true"/>
          <w:lang w:bidi="ar-SA"/>
        </w:rPr>
        <w:t xml:space="preserve">عبادة أو لتوهّم النجاسة </w:t>
      </w:r>
      <w:r>
        <w:rPr>
          <w:rStyle w:val="FootnoteAnchor"/>
          <w:rtl w:val="true"/>
        </w:rPr>
        <w:footnoteReference w:id="193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فی الروض </w:t>
      </w:r>
      <w:r>
        <w:rPr>
          <w:rStyle w:val="FootnoteAnchor"/>
          <w:rtl w:val="true"/>
        </w:rPr>
        <w:footnoteReference w:id="1936"/>
      </w:r>
      <w:r>
        <w:rPr>
          <w:rFonts w:ascii="IRNazanin" w:hAnsi="IRNazanin" w:eastAsia="IRNazanin"/>
          <w:color w:val="111111"/>
          <w:sz w:val="28"/>
          <w:sz w:val="28"/>
          <w:szCs w:val="28"/>
          <w:rtl w:val="true"/>
          <w:lang w:bidi="fa-IR"/>
        </w:rPr>
        <w:t xml:space="preserve">عن النهایة </w:t>
      </w:r>
      <w:r>
        <w:rPr>
          <w:rStyle w:val="FootnoteAnchor"/>
          <w:rtl w:val="true"/>
        </w:rPr>
        <w:footnoteReference w:id="1937"/>
      </w:r>
      <w:r>
        <w:rPr>
          <w:rFonts w:ascii="Amiri" w:hAnsi="Amiri" w:eastAsia="Amiri" w:cs="Amiri"/>
          <w:color w:val="111111"/>
          <w:sz w:val="28"/>
          <w:sz w:val="28"/>
          <w:szCs w:val="28"/>
          <w:rtl w:val="true"/>
          <w:lang w:bidi="ar-SA"/>
        </w:rPr>
        <w:t>عدم اعتبار النیّة، لأنّها لو تحقّقت</w:t>
      </w:r>
      <w:bookmarkStart w:id="201" w:name="pg13035_131930"/>
    </w:p>
    <w:p>
      <w:pPr>
        <w:pStyle w:val="BookText"/>
        <w:rPr/>
      </w:pPr>
      <w:bookmarkEnd w:id="201"/>
      <w:r>
        <w:rPr>
          <w:rFonts w:ascii="IRNazanin" w:hAnsi="IRNazanin" w:eastAsia="IRNazanin"/>
          <w:color w:val="111111"/>
          <w:sz w:val="28"/>
          <w:sz w:val="28"/>
          <w:szCs w:val="28"/>
          <w:rtl w:val="true"/>
          <w:lang w:bidi="fa-IR"/>
        </w:rPr>
        <w:t>لم یحتج إلی النیّة فالمتوهّمة أولی، و جزم باعتبارها، لأنّ الغسل عبادة باعتبار اشتمال الوضوء علیه</w:t>
      </w:r>
      <w:r>
        <w:rPr>
          <w:rFonts w:eastAsia="IRNazanin" w:cs="IRNazanin"/>
          <w:color w:val="111111"/>
          <w:sz w:val="28"/>
          <w:szCs w:val="28"/>
          <w:rtl w:val="true"/>
          <w:lang w:bidi="fa-IR"/>
        </w:rPr>
        <w:t>.</w:t>
      </w:r>
    </w:p>
    <w:p>
      <w:pPr>
        <w:pStyle w:val="Heading6"/>
        <w:numPr>
          <w:ilvl w:val="5"/>
          <w:numId w:val="1"/>
        </w:numPr>
        <w:rPr/>
      </w:pPr>
      <w:bookmarkStart w:id="202" w:name="__RefHeading___Toc6370002_3224264995"/>
      <w:bookmarkStart w:id="203" w:name="_Toc78"/>
      <w:bookmarkEnd w:id="202"/>
      <w:r>
        <w:rPr>
          <w:rtl w:val="true"/>
        </w:rPr>
        <w:t>[</w:t>
      </w:r>
      <w:r>
        <w:rPr>
          <w:rtl w:val="true"/>
        </w:rPr>
        <w:t>استحباب المضمضة و الاستنشاق</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إدارة الماء فی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جذبه إلی الأنف، و استحبابهما هو المعروف فی النصّ و الفتوی، و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من الوضوء</w:t>
      </w:r>
      <w:r>
        <w:rPr>
          <w:rFonts w:eastAsia="IRNazanin" w:cs="IRNazanin"/>
          <w:color w:val="111111"/>
          <w:sz w:val="28"/>
          <w:szCs w:val="28"/>
          <w:rtl w:val="true"/>
          <w:lang w:bidi="fa-IR"/>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المضمضة و الاستنشاق فریضة و لا سنّة</w:t>
      </w:r>
      <w:r>
        <w:rPr>
          <w:rFonts w:eastAsia="IRNazanin" w:cs="IRNazanin"/>
          <w:color w:val="111111"/>
          <w:sz w:val="28"/>
          <w:szCs w:val="28"/>
          <w:rtl w:val="true"/>
          <w:lang w:bidi="fa-IR"/>
        </w:rPr>
        <w:t xml:space="preserve">» </w:t>
      </w:r>
      <w:r>
        <w:rPr>
          <w:rStyle w:val="FootnoteAnchor"/>
          <w:rtl w:val="true"/>
        </w:rPr>
        <w:footnoteReference w:id="1939"/>
      </w:r>
      <w:r>
        <w:rPr>
          <w:rFonts w:ascii="IRNazanin" w:hAnsi="IRNazanin" w:eastAsia="IRNazanin"/>
          <w:color w:val="111111"/>
          <w:sz w:val="28"/>
          <w:sz w:val="28"/>
          <w:szCs w:val="28"/>
          <w:rtl w:val="true"/>
          <w:lang w:bidi="fa-IR"/>
        </w:rPr>
        <w:t xml:space="preserve">، و نحوها الکلام المحکی عن العمانی </w:t>
      </w:r>
      <w:r>
        <w:rPr>
          <w:rStyle w:val="FootnoteAnchor"/>
          <w:rtl w:val="true"/>
        </w:rPr>
        <w:footnoteReference w:id="1940"/>
      </w:r>
      <w:r>
        <w:rPr>
          <w:rFonts w:ascii="IRNazanin" w:hAnsi="IRNazanin" w:eastAsia="IRNazanin"/>
          <w:color w:val="111111"/>
          <w:sz w:val="28"/>
          <w:sz w:val="28"/>
          <w:szCs w:val="28"/>
          <w:rtl w:val="true"/>
          <w:lang w:bidi="fa-IR"/>
        </w:rPr>
        <w:t>، و یمکن حملها علی إرادة السنّة مقابل الفرض المستفاد من الکتاب، یعنی لیسا بواجبین فی کتاب اللّٰه و لا فی سنّة النبیّ صلّی اللّٰه علیه و آله و یمکن حملها علی عدم کونها من الأجزاء المستحبّة للوضوء، نظیر غسل الیدین، بل هما نظیر التسمیة و السواک، فتأمّل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کلّ منهما ثلاثا، للمرویّ عن أمالی المفید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فی عهده إلی محمّد بن أبی بکر حین ولّاه مصر،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انظر إلی الوضوء، فإنّه من تمام الصلاة، تمضمض ثلاث مرّات و استنشق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رأیت رسول اللّٰه صلّی اللّٰه علیه و آله یفعل ذلک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مکاتبة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تمضمض ثلاثا و استنشق ثلاثا</w:t>
      </w:r>
      <w:r>
        <w:rPr>
          <w:rFonts w:eastAsia="IRNazanin" w:cs="IRNazanin"/>
          <w:color w:val="111111"/>
          <w:sz w:val="28"/>
          <w:szCs w:val="28"/>
          <w:rtl w:val="true"/>
          <w:lang w:bidi="fa-IR"/>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کیفیّته أن یبدأ بالمضمضة ثلاثا بثلاث أکفّ، و مع الإعواز بکفّ واحد، یدیر الماء فی جمیع فمه، ثمّ یمجّه، ثمّ یستنشق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الترتیب کما صرّح به فی المبسوط </w:t>
      </w:r>
      <w:r>
        <w:rPr>
          <w:rStyle w:val="FootnoteAnchor"/>
          <w:rtl w:val="true"/>
        </w:rPr>
        <w:footnoteReference w:id="1944"/>
      </w:r>
      <w:r>
        <w:rPr>
          <w:rFonts w:ascii="IRNazanin" w:hAnsi="IRNazanin" w:eastAsia="IRNazanin"/>
          <w:color w:val="111111"/>
          <w:sz w:val="28"/>
          <w:sz w:val="28"/>
          <w:szCs w:val="28"/>
          <w:rtl w:val="true"/>
          <w:lang w:bidi="fa-IR"/>
        </w:rPr>
        <w:t xml:space="preserve">و الروض </w:t>
      </w:r>
      <w:r>
        <w:rPr>
          <w:rStyle w:val="FootnoteAnchor"/>
          <w:rtl w:val="true"/>
        </w:rPr>
        <w:footnoteReference w:id="1945"/>
      </w:r>
      <w:r>
        <w:rPr>
          <w:rFonts w:ascii="IRNazanin" w:hAnsi="IRNazanin" w:eastAsia="IRNazanin"/>
          <w:color w:val="111111"/>
          <w:sz w:val="28"/>
          <w:sz w:val="28"/>
          <w:szCs w:val="28"/>
          <w:rtl w:val="true"/>
          <w:lang w:bidi="fa-IR"/>
        </w:rPr>
        <w:t>فیستفاد من المروی فی وضوء أمیر المؤمنین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تمضمض،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لقنّی حجّتک </w:t>
      </w:r>
      <w:r>
        <w:rPr>
          <w:rStyle w:val="FootnoteAnchor"/>
          <w:rtl w:val="true"/>
        </w:rPr>
        <w:footnoteReference w:id="1946"/>
      </w:r>
      <w:r>
        <w:rPr>
          <w:rFonts w:ascii="IRNazanin" w:hAnsi="IRNazanin" w:eastAsia="IRNazanin"/>
          <w:color w:val="111111"/>
          <w:sz w:val="28"/>
          <w:sz w:val="28"/>
          <w:szCs w:val="28"/>
          <w:rtl w:val="true"/>
          <w:lang w:bidi="fa-IR"/>
        </w:rPr>
        <w:t>یوم ألقاک، و أطلق لسانی بذکرک، ثمّ استنشق،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تحرّم علیّ 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مثل وضوئی و قال مثل قولی کان له کذا و کذا</w:t>
      </w:r>
      <w:r>
        <w:rPr>
          <w:rFonts w:eastAsia="IRNazanin" w:cs="IRNazanin"/>
          <w:color w:val="111111"/>
          <w:sz w:val="28"/>
          <w:szCs w:val="28"/>
          <w:rtl w:val="true"/>
          <w:lang w:bidi="fa-IR"/>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تعقیب کلّ مضمضة باستنشاق </w:t>
      </w:r>
      <w:r>
        <w:rPr>
          <w:rStyle w:val="FootnoteAnchor"/>
          <w:rtl w:val="true"/>
        </w:rPr>
        <w:footnoteReference w:id="1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کلّ منهما بثلاث أکفّ، فیمکن استفادته من أدلّة إسباغ الوضوء </w:t>
      </w:r>
      <w:r>
        <w:rPr>
          <w:rStyle w:val="FootnoteAnchor"/>
          <w:rtl w:val="true"/>
        </w:rPr>
        <w:footnoteReference w:id="1949"/>
      </w:r>
      <w:r>
        <w:rPr>
          <w:rFonts w:ascii="IRNazanin" w:hAnsi="IRNazanin" w:eastAsia="IRNazanin"/>
          <w:color w:val="111111"/>
          <w:sz w:val="28"/>
          <w:sz w:val="28"/>
          <w:szCs w:val="28"/>
          <w:rtl w:val="true"/>
          <w:lang w:bidi="fa-IR"/>
        </w:rPr>
        <w:t>، و المرویّ فی روایة السکونی من وضوئه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لیبالغ أحدکم فی المضمضة و الاستنشاق، فإنّه غفران لکم و منفرة للشیطان</w:t>
      </w:r>
      <w:r>
        <w:rPr>
          <w:rFonts w:eastAsia="IRNazanin" w:cs="IRNazanin"/>
          <w:color w:val="111111"/>
          <w:sz w:val="28"/>
          <w:szCs w:val="28"/>
          <w:rtl w:val="true"/>
          <w:lang w:bidi="fa-IR"/>
        </w:rPr>
        <w:t xml:space="preserve">» </w:t>
      </w:r>
      <w:r>
        <w:rPr>
          <w:rStyle w:val="FootnoteAnchor"/>
          <w:rtl w:val="true"/>
        </w:rPr>
        <w:footnoteReference w:id="1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سیجی‌ء من</w:t>
      </w:r>
      <w:bookmarkStart w:id="204" w:name="pg13035_131932"/>
    </w:p>
    <w:p>
      <w:pPr>
        <w:pStyle w:val="BookText"/>
        <w:rPr/>
      </w:pPr>
      <w:bookmarkEnd w:id="204"/>
      <w:r>
        <w:rPr>
          <w:rFonts w:ascii="IRNazanin" w:hAnsi="IRNazanin" w:eastAsia="IRNazanin"/>
          <w:color w:val="111111"/>
          <w:sz w:val="28"/>
          <w:sz w:val="28"/>
          <w:szCs w:val="28"/>
          <w:rtl w:val="true"/>
          <w:lang w:bidi="fa-IR"/>
        </w:rPr>
        <w:t xml:space="preserve">استحباب الوضوء بمدّ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کفایة الکفّ الواحد مع الإعواز فلحصول المسمّی، و منه یظهر استحباب الفعلین کیف ما اتّفقا من دون الإعواز، للإطلاقات السالمة عن تقییدها </w:t>
      </w:r>
      <w:r>
        <w:rPr>
          <w:rStyle w:val="FootnoteAnchor"/>
          <w:rtl w:val="true"/>
        </w:rPr>
        <w:footnoteReference w:id="1952"/>
      </w:r>
      <w:r>
        <w:rPr>
          <w:rFonts w:ascii="IRNazanin" w:hAnsi="IRNazanin" w:eastAsia="IRNazanin"/>
          <w:color w:val="111111"/>
          <w:sz w:val="28"/>
          <w:sz w:val="28"/>
          <w:szCs w:val="28"/>
          <w:rtl w:val="true"/>
          <w:lang w:bidi="fa-IR"/>
        </w:rPr>
        <w:t>بما ینافیها، فإنّ استحباب المقیّد لا ینافی استحباب المطلق أیضا، مثل ما تقدّم من النبویّ،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المضمضة و الاستنشاق سنّة و طهور للفم و الأنف</w:t>
      </w:r>
      <w:r>
        <w:rPr>
          <w:rFonts w:eastAsia="IRNazanin" w:cs="IRNazanin"/>
          <w:color w:val="111111"/>
          <w:sz w:val="28"/>
          <w:szCs w:val="28"/>
          <w:rtl w:val="true"/>
          <w:lang w:bidi="fa-IR"/>
        </w:rPr>
        <w:t xml:space="preserve">» </w:t>
      </w:r>
      <w:r>
        <w:rPr>
          <w:rStyle w:val="FootnoteAnchor"/>
          <w:rtl w:val="true"/>
        </w:rPr>
        <w:footnoteReference w:id="1953"/>
      </w:r>
      <w:r>
        <w:rPr>
          <w:rFonts w:ascii="IRNazanin" w:hAnsi="IRNazanin" w:eastAsia="IRNazanin"/>
          <w:color w:val="111111"/>
          <w:sz w:val="28"/>
          <w:sz w:val="28"/>
          <w:szCs w:val="28"/>
          <w:rtl w:val="true"/>
          <w:lang w:bidi="fa-IR"/>
        </w:rPr>
        <w:t xml:space="preserve">و حینئذ فیجوز الاقتصار علی الکفّ الواحد کما عن ظاهر الاقتصاد </w:t>
      </w:r>
      <w:r>
        <w:rPr>
          <w:rStyle w:val="FootnoteAnchor"/>
          <w:rtl w:val="true"/>
        </w:rPr>
        <w:footnoteReference w:id="1954"/>
      </w:r>
      <w:r>
        <w:rPr>
          <w:rFonts w:ascii="IRNazanin" w:hAnsi="IRNazanin" w:eastAsia="IRNazanin"/>
          <w:color w:val="111111"/>
          <w:sz w:val="28"/>
          <w:sz w:val="28"/>
          <w:szCs w:val="28"/>
          <w:rtl w:val="true"/>
          <w:lang w:bidi="fa-IR"/>
        </w:rPr>
        <w:t xml:space="preserve">و الجامع </w:t>
      </w:r>
      <w:r>
        <w:rPr>
          <w:rStyle w:val="FootnoteAnchor"/>
          <w:rtl w:val="true"/>
        </w:rPr>
        <w:footnoteReference w:id="1955"/>
      </w:r>
      <w:r>
        <w:rPr>
          <w:rFonts w:ascii="IRNazanin" w:hAnsi="IRNazanin" w:eastAsia="IRNazanin"/>
          <w:color w:val="111111"/>
          <w:sz w:val="28"/>
          <w:sz w:val="28"/>
          <w:szCs w:val="28"/>
          <w:rtl w:val="true"/>
          <w:lang w:bidi="fa-IR"/>
        </w:rPr>
        <w:t>، لکن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یکونان أقلّ من ثلاث </w:t>
      </w:r>
      <w:r>
        <w:rPr>
          <w:rStyle w:val="FootnoteAnchor"/>
          <w:rtl w:val="true"/>
        </w:rPr>
        <w:footnoteReference w:id="1956"/>
      </w:r>
      <w:r>
        <w:rPr>
          <w:rFonts w:ascii="IRNazanin" w:hAnsi="IRNazanin" w:eastAsia="IRNazanin"/>
          <w:color w:val="111111"/>
          <w:sz w:val="28"/>
          <w:sz w:val="28"/>
          <w:szCs w:val="28"/>
          <w:rtl w:val="true"/>
          <w:lang w:bidi="fa-IR"/>
        </w:rPr>
        <w:t>، و لا فرق بین أن یکونا بغرفة أو غرفتین</w:t>
      </w:r>
      <w:r>
        <w:rPr>
          <w:rFonts w:eastAsia="IRNazanin" w:cs="IRNazanin"/>
          <w:color w:val="111111"/>
          <w:sz w:val="28"/>
          <w:szCs w:val="28"/>
          <w:rtl w:val="true"/>
          <w:lang w:bidi="fa-IR"/>
        </w:rPr>
        <w:t>.</w:t>
      </w:r>
    </w:p>
    <w:p>
      <w:pPr>
        <w:pStyle w:val="Heading6"/>
        <w:numPr>
          <w:ilvl w:val="5"/>
          <w:numId w:val="1"/>
        </w:numPr>
        <w:rPr/>
      </w:pPr>
      <w:bookmarkStart w:id="205" w:name="__RefHeading___Toc6370004_3224264995"/>
      <w:bookmarkStart w:id="206" w:name="_Toc79"/>
      <w:bookmarkEnd w:id="205"/>
      <w:r>
        <w:rPr>
          <w:rtl w:val="true"/>
        </w:rPr>
        <w:t>[</w:t>
      </w:r>
      <w:r>
        <w:rPr>
          <w:rtl w:val="true"/>
        </w:rPr>
        <w:t>استحباب الدعاء عند أفعال الوضوء</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المجّ و الجذب، أن یقول عند المضمضة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لقّنی حجّتک </w:t>
      </w:r>
      <w:r>
        <w:rPr>
          <w:rStyle w:val="FootnoteAnchor"/>
          <w:rtl w:val="true"/>
        </w:rPr>
        <w:footnoteReference w:id="1957"/>
      </w:r>
      <w:r>
        <w:rPr>
          <w:rFonts w:ascii="IRNazanin" w:hAnsi="IRNazanin" w:eastAsia="IRNazanin"/>
          <w:color w:val="111111"/>
          <w:sz w:val="28"/>
          <w:sz w:val="28"/>
          <w:szCs w:val="28"/>
          <w:rtl w:val="true"/>
          <w:lang w:bidi="fa-IR"/>
        </w:rPr>
        <w:t>یوم ألقاک و أطلق لسانی بذکرک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 الاستنشاق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علیّ ریح الجنّة و اجعلنی ممّن یشمّ ریحها و روحها و طیبها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الدعاء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w:t>
      </w:r>
    </w:p>
    <w:p>
      <w:pPr>
        <w:pStyle w:val="BookText"/>
        <w:rPr/>
      </w:pPr>
      <w:r>
        <w:rPr>
          <w:rFonts w:ascii="IRNazanin" w:hAnsi="IRNazanin" w:eastAsia="IRNazanin"/>
          <w:color w:val="111111"/>
          <w:sz w:val="28"/>
          <w:sz w:val="28"/>
          <w:szCs w:val="28"/>
          <w:rtl w:val="true"/>
          <w:lang w:bidi="fa-IR"/>
        </w:rPr>
        <w:t>وجهی یوم تسودّ فیه الوجوه و لا تسوّد وجهی یوم تبیضّ فیه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عند الیمنی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کتابی بیمینی، و الخلد فی الجنان بیساری، و حاسبنی حسابا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 غسل الیسری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بشمالی، و لا من وراء ظهری، و لا تجعلها مغلولة إلی عنقی، و أعوذ بک من مقطّعات النیران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 برکاتک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ثبّتنی علی الصراط یوم تزلّ فیه الأقدام و اجعل سعیی فیما یرضیک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زاد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 الإکرام</w:t>
      </w:r>
      <w:r>
        <w:rPr>
          <w:rFonts w:eastAsia="IRNazanin" w:cs="IRNazanin"/>
          <w:color w:val="111111"/>
          <w:sz w:val="28"/>
          <w:szCs w:val="28"/>
          <w:rtl w:val="true"/>
          <w:lang w:bidi="fa-IR"/>
        </w:rPr>
        <w:t xml:space="preserve">» </w:t>
      </w:r>
      <w:r>
        <w:rPr>
          <w:rStyle w:val="FootnoteAnchor"/>
          <w:rtl w:val="true"/>
        </w:rPr>
        <w:footnoteReference w:id="1958"/>
      </w:r>
      <w:r>
        <w:rPr>
          <w:rFonts w:ascii="IRNazanin" w:hAnsi="IRNazanin" w:eastAsia="IRNazanin"/>
          <w:color w:val="111111"/>
          <w:sz w:val="28"/>
          <w:sz w:val="28"/>
          <w:szCs w:val="28"/>
          <w:rtl w:val="true"/>
          <w:lang w:bidi="fa-IR"/>
        </w:rPr>
        <w:t>، و عند الفراغ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الوضوء أن یقول المتوضّی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تمام الوضوء، و تمام الصلاة، و تمام رضوانک و الجنّة</w:t>
      </w:r>
      <w:r>
        <w:rPr>
          <w:rFonts w:eastAsia="IRNazanin" w:cs="IRNazanin"/>
          <w:color w:val="111111"/>
          <w:sz w:val="28"/>
          <w:szCs w:val="28"/>
          <w:rtl w:val="true"/>
          <w:lang w:bidi="fa-IR"/>
        </w:rPr>
        <w:t xml:space="preserve">» </w:t>
      </w:r>
      <w:r>
        <w:rPr>
          <w:rStyle w:val="FootnoteAnchor"/>
          <w:rtl w:val="true"/>
        </w:rPr>
        <w:footnoteReference w:id="1959"/>
      </w:r>
      <w:r>
        <w:rPr>
          <w:rFonts w:ascii="IRNazanin" w:hAnsi="IRNazanin" w:eastAsia="IRNazanin"/>
          <w:color w:val="111111"/>
          <w:sz w:val="28"/>
          <w:sz w:val="28"/>
          <w:szCs w:val="28"/>
          <w:rtl w:val="true"/>
          <w:lang w:bidi="fa-IR"/>
        </w:rPr>
        <w:t>، و لعلّه للنبویّ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توضّأت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إنّی أسألک تمام الوضوء، و تمام الصلاة، و تمام رضوانک، و تمام مغفرتک، فهذا زکاة الوضوء</w:t>
      </w:r>
      <w:r>
        <w:rPr>
          <w:rFonts w:eastAsia="IRNazanin" w:cs="IRNazanin"/>
          <w:color w:val="111111"/>
          <w:sz w:val="28"/>
          <w:szCs w:val="28"/>
          <w:rtl w:val="true"/>
          <w:lang w:bidi="fa-IR"/>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البحار عن الفقه الرضوی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أیّما مؤمن قرأ فی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کیوم ولدته امّه</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البحار أیضا عن کتاب اختیار السیّد و البلد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بعد إسباغ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تمام الوضوء</w:t>
      </w:r>
      <w:bookmarkStart w:id="207" w:name="pg13035_131934"/>
    </w:p>
    <w:p>
      <w:pPr>
        <w:pStyle w:val="BookText"/>
        <w:rPr/>
      </w:pPr>
      <w:bookmarkEnd w:id="207"/>
      <w:r>
        <w:rPr>
          <w:rFonts w:ascii="IRNazanin" w:hAnsi="IRNazanin" w:eastAsia="IRNazanin"/>
          <w:color w:val="111111"/>
          <w:sz w:val="28"/>
          <w:sz w:val="28"/>
          <w:szCs w:val="28"/>
          <w:rtl w:val="true"/>
          <w:lang w:bidi="fa-IR"/>
        </w:rPr>
        <w:t>و تمام الصلاة و تمام رضوانک و تمام مغفرتک، لم یمرّ بذنب أذنبه إلّا محقة</w:t>
      </w:r>
      <w:r>
        <w:rPr>
          <w:rFonts w:eastAsia="IRNazanin" w:cs="IRNazanin"/>
          <w:color w:val="111111"/>
          <w:sz w:val="28"/>
          <w:szCs w:val="28"/>
          <w:rtl w:val="true"/>
          <w:lang w:bidi="fa-IR"/>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کتاب الاختیار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علی أثر وضوئه آیة الکرسی مرّة، أعطاه اللّٰه ثواب أربعین عاما، و رفع له أربعین درجة، و زوّجه اللّٰه أربعین حوراء</w:t>
      </w:r>
      <w:r>
        <w:rPr>
          <w:rFonts w:eastAsia="IRNazanin" w:cs="IRNazanin"/>
          <w:color w:val="111111"/>
          <w:sz w:val="28"/>
          <w:szCs w:val="28"/>
          <w:rtl w:val="true"/>
          <w:lang w:bidi="fa-IR"/>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تفسیر الإمام العسکری علیه السلام المشتمل علی ثواب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وضوئه أو غسله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و بحمدک، أشهد أن لا إله إلّا أنت أستغفرک و أتوب إلیک، و أشهد أنّ محمّدا عبدک و رسولک، و أشهد أنّ علیّا ولیّک و خلیفتک بعد نبیّک و أنّ أولاده خلفاؤک و أوصیاؤه، تحاتت عنه الذنوب کما یتحات أوراق الأشجار، و خلق اللّٰه بکلّ قطرة من قطرات وضوئه أو غسله ملکا یسبّح اللّٰه و یقدّسه و یهلّله و یکبّره و یصلّی علی محمد و آله الطیبین، و ثواب ذلک لهذا المتوضّی، ثمّ یأمر اللّٰه بوضوئه و غسله و یختم علیه بخاتم من خواتیم </w:t>
      </w:r>
      <w:r>
        <w:rPr>
          <w:rStyle w:val="FootnoteAnchor"/>
          <w:rtl w:val="true"/>
        </w:rPr>
        <w:footnoteReference w:id="1964"/>
      </w:r>
      <w:r>
        <w:rPr>
          <w:rFonts w:ascii="Amiri" w:hAnsi="Amiri" w:eastAsia="Amiri" w:cs="Amiri"/>
          <w:color w:val="111111"/>
          <w:sz w:val="28"/>
          <w:sz w:val="28"/>
          <w:szCs w:val="28"/>
          <w:rtl w:val="true"/>
          <w:lang w:bidi="ar-SA"/>
        </w:rPr>
        <w:t>ربّ العزّة</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6370006_3224264995"/>
      <w:bookmarkStart w:id="209" w:name="_Toc80"/>
      <w:bookmarkEnd w:id="208"/>
      <w:r>
        <w:rPr>
          <w:rtl w:val="true"/>
        </w:rPr>
        <w:t>[</w:t>
      </w:r>
      <w:r>
        <w:rPr>
          <w:rtl w:val="true"/>
        </w:rPr>
        <w:t>ما یستحب فی کیفیة غسل الیدین</w:t>
      </w:r>
      <w:r>
        <w:rPr>
          <w:rtl w:val="true"/>
        </w:rPr>
        <w:t>]</w:t>
      </w:r>
      <w:bookmarkEnd w:id="20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w:t>
      </w:r>
      <w:r>
        <w:rPr>
          <w:rStyle w:val="FootnoteAnchor"/>
          <w:rtl w:val="true"/>
        </w:rPr>
        <w:footnoteReference w:id="1966"/>
      </w:r>
      <w:r>
        <w:rPr>
          <w:rFonts w:ascii="Amiri" w:hAnsi="Amiri" w:eastAsia="Amiri" w:cs="Amiri"/>
          <w:color w:val="111111"/>
          <w:sz w:val="28"/>
          <w:sz w:val="28"/>
          <w:szCs w:val="28"/>
          <w:rtl w:val="true"/>
          <w:lang w:bidi="ar-SA"/>
        </w:rPr>
        <w:t xml:space="preserve">و ابن زهرة </w:t>
      </w:r>
      <w:r>
        <w:rPr>
          <w:rStyle w:val="FootnoteAnchor"/>
          <w:rtl w:val="true"/>
        </w:rPr>
        <w:footnoteReference w:id="1967"/>
      </w:r>
      <w:r>
        <w:rPr>
          <w:rFonts w:ascii="IRNazanin" w:hAnsi="IRNazanin" w:eastAsia="IRNazanin"/>
          <w:color w:val="111111"/>
          <w:sz w:val="28"/>
          <w:sz w:val="28"/>
          <w:szCs w:val="28"/>
          <w:rtl w:val="true"/>
          <w:lang w:bidi="fa-IR"/>
        </w:rPr>
        <w:t xml:space="preserve">و الکیدری </w:t>
      </w:r>
      <w:r>
        <w:rPr>
          <w:rStyle w:val="FootnoteAnchor"/>
          <w:rtl w:val="true"/>
        </w:rPr>
        <w:footnoteReference w:id="1968"/>
      </w:r>
      <w:r>
        <w:rPr>
          <w:rFonts w:ascii="Amiri" w:hAnsi="Amiri" w:eastAsia="Amiri" w:cs="Amiri"/>
          <w:color w:val="111111"/>
          <w:sz w:val="28"/>
          <w:sz w:val="28"/>
          <w:szCs w:val="28"/>
          <w:rtl w:val="true"/>
          <w:lang w:bidi="ar-SA"/>
        </w:rPr>
        <w:t xml:space="preserve">و الحلّی </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 xml:space="preserve">و الفاضلان </w:t>
      </w:r>
      <w:r>
        <w:rPr>
          <w:rStyle w:val="FootnoteAnchor"/>
          <w:rtl w:val="true"/>
        </w:rPr>
        <w:footnoteReference w:id="1970"/>
      </w:r>
      <w:r>
        <w:rPr>
          <w:rFonts w:ascii="IRNazanin" w:hAnsi="IRNazanin" w:eastAsia="IRNazanin"/>
          <w:color w:val="111111"/>
          <w:sz w:val="28"/>
          <w:sz w:val="28"/>
          <w:szCs w:val="28"/>
          <w:rtl w:val="true"/>
          <w:lang w:bidi="fa-IR"/>
        </w:rPr>
        <w:t xml:space="preserve">، بل عن الغنیة </w:t>
      </w:r>
      <w:r>
        <w:rPr>
          <w:rStyle w:val="FootnoteAnchor"/>
          <w:rtl w:val="true"/>
        </w:rPr>
        <w:footnoteReference w:id="1971"/>
      </w:r>
      <w:r>
        <w:rPr>
          <w:rFonts w:ascii="IRNazanin" w:hAnsi="IRNazanin" w:eastAsia="IRNazanin"/>
          <w:color w:val="111111"/>
          <w:sz w:val="28"/>
          <w:sz w:val="28"/>
          <w:szCs w:val="28"/>
          <w:rtl w:val="true"/>
          <w:lang w:bidi="fa-IR"/>
        </w:rPr>
        <w:t xml:space="preserve">و التذکرة </w:t>
      </w:r>
      <w:r>
        <w:rPr>
          <w:rStyle w:val="FootnoteAnchor"/>
          <w:rtl w:val="true"/>
        </w:rPr>
        <w:footnoteReference w:id="1972"/>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یبدأ الرجل بظاهر </w:t>
      </w:r>
      <w:r>
        <w:rPr>
          <w:rStyle w:val="FootnoteAnchor"/>
          <w:rtl w:val="true"/>
        </w:rPr>
        <w:footnoteReference w:id="1973"/>
      </w:r>
      <w:r>
        <w:rPr>
          <w:rFonts w:ascii="IRNazanin" w:hAnsi="IRNazanin" w:eastAsia="IRNazanin"/>
          <w:color w:val="111111"/>
          <w:sz w:val="28"/>
          <w:sz w:val="28"/>
          <w:szCs w:val="28"/>
          <w:rtl w:val="true"/>
          <w:lang w:bidi="fa-IR"/>
        </w:rPr>
        <w:t>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الغسلة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بباطنهما،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 فی روایة محمّد بن إسماعیل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علی النساء فی الوضوء أن یبدأن بباطن أذرعهنّ، و فی الرجال بظاهر الذراع</w:t>
      </w:r>
      <w:r>
        <w:rPr>
          <w:rFonts w:eastAsia="IRNazanin" w:cs="IRNazanin"/>
          <w:color w:val="111111"/>
          <w:sz w:val="28"/>
          <w:szCs w:val="28"/>
          <w:rtl w:val="true"/>
          <w:lang w:bidi="fa-IR"/>
        </w:rPr>
        <w:t xml:space="preserve">» </w:t>
      </w:r>
      <w:r>
        <w:rPr>
          <w:rStyle w:val="FootnoteAnchor"/>
          <w:rtl w:val="true"/>
        </w:rPr>
        <w:footnoteReference w:id="1974"/>
      </w:r>
      <w:r>
        <w:rPr>
          <w:rFonts w:ascii="IRNazanin" w:hAnsi="IRNazanin" w:eastAsia="IRNazanin"/>
          <w:color w:val="111111"/>
          <w:sz w:val="28"/>
          <w:sz w:val="28"/>
          <w:szCs w:val="28"/>
          <w:rtl w:val="true"/>
          <w:lang w:bidi="fa-IR"/>
        </w:rPr>
        <w:t xml:space="preserve">، 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و التشریع، لا الإیجاب،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مطلقة فی الغسلتین، و أکثر الأصحاب لم یفرّقوا بین الاولی و الثانیة فی الرجل و المرأة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الشیخ و من تبعه لم یفهموا إطلاق الروایة بالنسبة إلی الغسلة الثانیة، کما یقتضیه الإنصاف، و إنّما رجّحوا العکس فی الغسلة الثانیة، لأنّ المقصود منها الإسباغ و الاحتیاط فی الاستیعاب، و کمال الأمرین إنّما یحصل إذا ابتدأ فیها بغیر ما ابتدأ فی الاولی، و لذا ذکر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غسل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أخذ لظهر </w:t>
      </w:r>
      <w:r>
        <w:rPr>
          <w:rStyle w:val="FootnoteAnchor"/>
          <w:rtl w:val="true"/>
        </w:rPr>
        <w:footnoteReference w:id="1976"/>
      </w:r>
      <w:r>
        <w:rPr>
          <w:rFonts w:ascii="IRNazanin" w:hAnsi="IRNazanin" w:eastAsia="IRNazanin"/>
          <w:color w:val="111111"/>
          <w:sz w:val="28"/>
          <w:sz w:val="28"/>
          <w:szCs w:val="28"/>
          <w:rtl w:val="true"/>
          <w:lang w:bidi="fa-IR"/>
        </w:rPr>
        <w:t xml:space="preserve">ذراعه غرفة، و لبطنها اخری کان أحوط </w:t>
      </w:r>
      <w:r>
        <w:rPr>
          <w:rStyle w:val="FootnoteAnchor"/>
          <w:rtl w:val="true"/>
        </w:rPr>
        <w:footnoteReference w:id="197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استحبّ لأجل الاحتیاط عند الاکتفاء بغسلة واحدة غرفة للظاهرة و اخری للباطن کان مراعاة ذلک أولی عند تعدّد الغسلة</w:t>
      </w:r>
      <w:r>
        <w:rPr>
          <w:rFonts w:eastAsia="IRNazanin" w:cs="IRNazanin"/>
          <w:color w:val="111111"/>
          <w:sz w:val="28"/>
          <w:szCs w:val="28"/>
          <w:rtl w:val="true"/>
          <w:lang w:bidi="fa-IR"/>
        </w:rPr>
        <w:t>.</w:t>
      </w:r>
      <w:bookmarkStart w:id="210" w:name="pg13035_131936"/>
    </w:p>
    <w:p>
      <w:pPr>
        <w:pStyle w:val="BookText"/>
        <w:rPr/>
      </w:pPr>
      <w:bookmarkEnd w:id="210"/>
      <w:r>
        <w:rPr>
          <w:rFonts w:ascii="IRNazanin" w:hAnsi="IRNazanin" w:eastAsia="IRNazanin"/>
          <w:color w:val="111111"/>
          <w:sz w:val="28"/>
          <w:sz w:val="28"/>
          <w:szCs w:val="28"/>
          <w:rtl w:val="true"/>
          <w:lang w:bidi="fa-IR"/>
        </w:rPr>
        <w:t>و بالجملة، فالإسباغ الکامل لا یحصل إلّا بالصبّ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الروایة شاملة بإطلاقها للغسلة الثانیة، أشبه ما ذکرناه بالاجتهاد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البدأة بطرف واحد فی الغسلتین مستحبّ شرعیّ، و الاختلاف فیها </w:t>
      </w:r>
      <w:r>
        <w:rPr>
          <w:rStyle w:val="FootnoteAnchor"/>
          <w:rtl w:val="true"/>
        </w:rPr>
        <w:footnoteReference w:id="1978"/>
      </w:r>
      <w:r>
        <w:rPr>
          <w:rFonts w:ascii="IRNazanin" w:hAnsi="IRNazanin" w:eastAsia="IRNazanin"/>
          <w:color w:val="111111"/>
          <w:sz w:val="28"/>
          <w:sz w:val="28"/>
          <w:szCs w:val="28"/>
          <w:rtl w:val="true"/>
          <w:lang w:bidi="fa-IR"/>
        </w:rPr>
        <w:t>بقصد تکمیل الإسباغ أیضا مستحبّ آخر، لکنّ الإنصاف ظهور الروایة فی الغسلة الواجبة</w:t>
      </w:r>
      <w:r>
        <w:rPr>
          <w:rFonts w:eastAsia="IRNazanin" w:cs="IRNazanin"/>
          <w:color w:val="111111"/>
          <w:sz w:val="28"/>
          <w:szCs w:val="28"/>
          <w:rtl w:val="true"/>
          <w:lang w:bidi="fa-IR"/>
        </w:rPr>
        <w:t>.</w:t>
      </w:r>
    </w:p>
    <w:p>
      <w:pPr>
        <w:pStyle w:val="Heading6"/>
        <w:numPr>
          <w:ilvl w:val="5"/>
          <w:numId w:val="1"/>
        </w:numPr>
        <w:rPr/>
      </w:pPr>
      <w:bookmarkStart w:id="211" w:name="__RefHeading___Toc6370008_3224264995"/>
      <w:bookmarkStart w:id="212" w:name="_Toc81"/>
      <w:bookmarkEnd w:id="211"/>
      <w:r>
        <w:rPr>
          <w:rtl w:val="true"/>
        </w:rPr>
        <w:t>استحباب الوضوء بمد</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غرفاته الواجبة و المستحبّة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عشرة أو خمس عشرة 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بل عن جماعة </w:t>
      </w:r>
      <w:r>
        <w:rPr>
          <w:rStyle w:val="FootnoteAnchor"/>
          <w:rtl w:val="true"/>
        </w:rPr>
        <w:footnoteReference w:id="1979"/>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الأخبار المستفیضة، ففی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مدّ و الغسل صاع، و سیأتی بعدی أقوام یستقلّون ذلک، فأولئک علی خلاف سنّتی، و الثابت علی سنتی معی فی حظیرة القدس</w:t>
      </w:r>
      <w:r>
        <w:rPr>
          <w:rFonts w:eastAsia="IRNazanin" w:cs="IRNazanin"/>
          <w:color w:val="111111"/>
          <w:sz w:val="28"/>
          <w:szCs w:val="28"/>
          <w:rtl w:val="true"/>
          <w:lang w:bidi="fa-IR"/>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و آله یتوضّأ بمدّ و یغتسل بصاع، و المدّ رطل و نصف، و الصاع ستّة أرطال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IRNazanin" w:hAnsi="IRNazanin" w:eastAsia="IRNazanin"/>
          <w:color w:val="111111"/>
          <w:sz w:val="28"/>
          <w:sz w:val="28"/>
          <w:szCs w:val="28"/>
          <w:rtl w:val="true"/>
          <w:lang w:bidi="fa-IR"/>
        </w:rPr>
        <w:t>، و المراد بالرطل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المدنیّ، و هو یزید عن العراقی بنصفه، فالمدّ رطلان و ربع بالعراقی، و هو مائتان و اثنان و تسعون درهما و نصفا، نسبه فی الذکری إلی الأصحاب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مائة و ثلاثة و خمسون مثقالا و کسرا، فکلّ غرفة عشرة مثاقیل من الماء أو أزید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یلاحظ الغسلات المستحبّة أشکل توجیه ذلک، و لذا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المدّ لا یکاد یبلغه ماء الوضوء إلّا أن یدخل فیه ماء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تضمّنته روایة ابن کثیر </w:t>
      </w:r>
      <w:r>
        <w:rPr>
          <w:rStyle w:val="FootnoteAnchor"/>
          <w:rtl w:val="true"/>
        </w:rPr>
        <w:footnoteReference w:id="1984"/>
      </w:r>
      <w:r>
        <w:rPr>
          <w:rFonts w:ascii="IRNazanin" w:hAnsi="IRNazanin" w:eastAsia="IRNazanin"/>
          <w:color w:val="111111"/>
          <w:sz w:val="28"/>
          <w:sz w:val="28"/>
          <w:szCs w:val="28"/>
          <w:rtl w:val="true"/>
          <w:lang w:bidi="fa-IR"/>
        </w:rPr>
        <w:t>عن أمیر المؤمنین علیه السلام الحاکیة لوضوئه،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أتوضّأ للصلاة</w:t>
      </w:r>
      <w:r>
        <w:rPr>
          <w:rFonts w:eastAsia="IRNazanin" w:cs="IRNazanin"/>
          <w:color w:val="111111"/>
          <w:sz w:val="28"/>
          <w:szCs w:val="28"/>
          <w:rtl w:val="true"/>
          <w:lang w:bidi="fa-IR"/>
        </w:rPr>
        <w:t xml:space="preserve">» </w:t>
      </w:r>
      <w:r>
        <w:rPr>
          <w:rStyle w:val="FootnoteAnchor"/>
          <w:rtl w:val="true"/>
        </w:rPr>
        <w:footnoteReference w:id="1985"/>
      </w:r>
      <w:r>
        <w:rPr>
          <w:rFonts w:ascii="IRNazanin" w:hAnsi="IRNazanin" w:eastAsia="IRNazanin"/>
          <w:color w:val="111111"/>
          <w:sz w:val="28"/>
          <w:sz w:val="28"/>
          <w:szCs w:val="28"/>
          <w:rtl w:val="true"/>
          <w:lang w:bidi="fa-IR"/>
        </w:rPr>
        <w:t xml:space="preserve">، ثمّ ذکر الاستنجاء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سیجی‌ء </w:t>
      </w:r>
      <w:r>
        <w:rPr>
          <w:rStyle w:val="FootnoteAnchor"/>
          <w:rtl w:val="true"/>
        </w:rPr>
        <w:footnoteReference w:id="1988"/>
      </w:r>
      <w:r>
        <w:rPr>
          <w:rFonts w:ascii="IRNazanin" w:hAnsi="IRNazanin" w:eastAsia="IRNazanin"/>
          <w:color w:val="111111"/>
          <w:sz w:val="28"/>
          <w:sz w:val="28"/>
          <w:szCs w:val="28"/>
          <w:rtl w:val="true"/>
          <w:lang w:bidi="fa-IR"/>
        </w:rPr>
        <w:t xml:space="preserve">فی الاستعانة من صحیحة الحذّاء، لکن فیه أنّها إنّما توضّأ للاستنجاء من البول و زیادة </w:t>
      </w:r>
      <w:r>
        <w:rPr>
          <w:rStyle w:val="FootnoteAnchor"/>
          <w:rtl w:val="true"/>
        </w:rPr>
        <w:footnoteReference w:id="1989"/>
      </w:r>
      <w:r>
        <w:rPr>
          <w:rFonts w:ascii="IRNazanin" w:hAnsi="IRNazanin" w:eastAsia="IRNazanin"/>
          <w:color w:val="111111"/>
          <w:sz w:val="28"/>
          <w:sz w:val="28"/>
          <w:szCs w:val="28"/>
          <w:rtl w:val="true"/>
          <w:lang w:bidi="fa-IR"/>
        </w:rPr>
        <w:t>علی ماء الوضوء لا یبلغ به المدّ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ظاهر التحدید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الزائد لیس مستحبّا، بل ربما یکون مکروها، لما روی من أنّ للّٰه جلّ ذکره ملکا یکتب سرف الوضوء کما یکتب عدوانه</w:t>
      </w:r>
      <w:r>
        <w:rPr>
          <w:rFonts w:eastAsia="IRNazanin" w:cs="IRNazanin"/>
          <w:color w:val="111111"/>
          <w:sz w:val="28"/>
          <w:szCs w:val="28"/>
          <w:rtl w:val="true"/>
          <w:lang w:bidi="fa-IR"/>
        </w:rPr>
        <w:t xml:space="preserve">» </w:t>
      </w:r>
      <w:r>
        <w:rPr>
          <w:rStyle w:val="FootnoteAnchor"/>
          <w:rtl w:val="true"/>
        </w:rPr>
        <w:footnoteReference w:id="1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صلّی اللّٰه علیه و آله فی النبویّ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سیأتی أقوام یستقلّون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وجوها</w:t>
      </w:r>
      <w:r>
        <w:rPr>
          <w:rFonts w:eastAsia="IRNazanin" w:cs="IRNazanin"/>
          <w:color w:val="111111"/>
          <w:sz w:val="28"/>
          <w:szCs w:val="28"/>
          <w:rtl w:val="true"/>
          <w:lang w:bidi="fa-IR"/>
        </w:rPr>
        <w:t>.</w:t>
      </w:r>
      <w:bookmarkStart w:id="213" w:name="pg13035_131938"/>
    </w:p>
    <w:p>
      <w:pPr>
        <w:pStyle w:val="Heading6"/>
        <w:numPr>
          <w:ilvl w:val="5"/>
          <w:numId w:val="1"/>
        </w:numPr>
        <w:rPr/>
      </w:pPr>
      <w:bookmarkStart w:id="214" w:name="__RefHeading___Toc6370010_3224264995"/>
      <w:bookmarkStart w:id="215" w:name="_Toc82"/>
      <w:bookmarkEnd w:id="213"/>
      <w:bookmarkEnd w:id="214"/>
      <w:r>
        <w:rPr>
          <w:rtl w:val="true"/>
        </w:rPr>
        <w:t>و هنا مستحبّات لم یذکرها المصنّف قدّس سرّه</w:t>
      </w:r>
      <w:r>
        <w:rPr>
          <w:rtl w:val="true"/>
        </w:rPr>
        <w:t>.</w:t>
      </w:r>
      <w:bookmarkEnd w:id="215"/>
    </w:p>
    <w:p>
      <w:pPr>
        <w:pStyle w:val="Heading6"/>
        <w:numPr>
          <w:ilvl w:val="5"/>
          <w:numId w:val="1"/>
        </w:numPr>
        <w:rPr/>
      </w:pPr>
      <w:bookmarkStart w:id="216" w:name="__RefHeading___Toc6370012_3224264995"/>
      <w:bookmarkStart w:id="217" w:name="_Toc83"/>
      <w:bookmarkEnd w:id="216"/>
      <w:r>
        <w:rPr>
          <w:rtl w:val="true"/>
        </w:rPr>
        <w:t>[</w:t>
      </w:r>
      <w:r>
        <w:rPr>
          <w:rtl w:val="true"/>
        </w:rPr>
        <w:t>استحباب السواک</w:t>
      </w:r>
      <w:r>
        <w:rPr>
          <w:rtl w:val="true"/>
        </w:rPr>
        <w:t>]</w:t>
      </w:r>
      <w:bookmarkEnd w:id="21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ساک الشی‌ء، و ساک فیه بالعود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نفس العود کالمسواک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استحبابه فی الجملة مجمع علیه، 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أصحابنا فی استحبابه مطلقا، خصوصا للصلاة و الوضوء </w:t>
      </w:r>
      <w:r>
        <w:rPr>
          <w:rStyle w:val="FootnoteAnchor"/>
          <w:rtl w:val="true"/>
        </w:rPr>
        <w:footnoteReference w:id="1991"/>
      </w:r>
      <w:r>
        <w:rPr>
          <w:rFonts w:ascii="IRNazanin" w:hAnsi="IRNazanin" w:eastAsia="IRNazanin"/>
          <w:color w:val="111111"/>
          <w:sz w:val="28"/>
          <w:sz w:val="28"/>
          <w:szCs w:val="28"/>
          <w:rtl w:val="true"/>
          <w:lang w:bidi="fa-IR"/>
        </w:rPr>
        <w:t>، و الأخبار به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طهور و طهور الفم السواک</w:t>
      </w:r>
      <w:r>
        <w:rPr>
          <w:rFonts w:eastAsia="IRNazanin" w:cs="IRNazanin"/>
          <w:color w:val="111111"/>
          <w:sz w:val="28"/>
          <w:szCs w:val="28"/>
          <w:rtl w:val="true"/>
          <w:lang w:bidi="fa-IR"/>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أفواهکم طرق القرآن فطهّروها بالسواک</w:t>
      </w:r>
      <w:r>
        <w:rPr>
          <w:rFonts w:eastAsia="IRNazanin" w:cs="IRNazanin"/>
          <w:color w:val="111111"/>
          <w:sz w:val="28"/>
          <w:szCs w:val="28"/>
          <w:rtl w:val="true"/>
          <w:lang w:bidi="fa-IR"/>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جعفر و أبی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بسواک أفضل من سبعین رکعة بغیر سواک</w:t>
      </w:r>
      <w:r>
        <w:rPr>
          <w:rFonts w:eastAsia="IRNazanin" w:cs="IRNazanin"/>
          <w:color w:val="111111"/>
          <w:sz w:val="28"/>
          <w:szCs w:val="28"/>
          <w:rtl w:val="true"/>
          <w:lang w:bidi="fa-IR"/>
        </w:rPr>
        <w:t xml:space="preserve">» </w:t>
      </w:r>
      <w:r>
        <w:rPr>
          <w:rStyle w:val="FootnoteAnchor"/>
          <w:rtl w:val="true"/>
        </w:rPr>
        <w:footnoteReference w:id="1994"/>
      </w:r>
      <w:r>
        <w:rPr>
          <w:rFonts w:ascii="IRNazanin" w:hAnsi="IRNazanin" w:eastAsia="IRNazanin"/>
          <w:color w:val="111111"/>
          <w:sz w:val="28"/>
          <w:sz w:val="28"/>
          <w:szCs w:val="28"/>
          <w:rtl w:val="true"/>
          <w:lang w:bidi="fa-IR"/>
        </w:rPr>
        <w:t>، و یتأکّد عند القیام من النوم، خصوصا لصلاة اللیل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 عند وضوء کلّ صلاة</w:t>
      </w:r>
      <w:r>
        <w:rPr>
          <w:rFonts w:eastAsia="IRNazanin" w:cs="IRNazanin"/>
          <w:color w:val="111111"/>
          <w:sz w:val="28"/>
          <w:szCs w:val="28"/>
          <w:rtl w:val="true"/>
          <w:lang w:bidi="fa-IR"/>
        </w:rPr>
        <w:t xml:space="preserve">» </w:t>
      </w:r>
      <w:r>
        <w:rPr>
          <w:rStyle w:val="FootnoteAnchor"/>
          <w:rtl w:val="true"/>
        </w:rPr>
        <w:footnoteReference w:id="1995"/>
      </w:r>
      <w:r>
        <w:rPr>
          <w:rFonts w:ascii="IRNazanin" w:hAnsi="IRNazanin" w:eastAsia="IRNazanin"/>
          <w:color w:val="111111"/>
          <w:sz w:val="28"/>
          <w:sz w:val="28"/>
          <w:szCs w:val="28"/>
          <w:rtl w:val="true"/>
          <w:lang w:bidi="fa-IR"/>
        </w:rPr>
        <w:t>،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السواک شطر الوضوء</w:t>
      </w:r>
      <w:r>
        <w:rPr>
          <w:rFonts w:eastAsia="IRNazanin" w:cs="IRNazanin"/>
          <w:color w:val="111111"/>
          <w:sz w:val="28"/>
          <w:szCs w:val="28"/>
          <w:rtl w:val="true"/>
          <w:lang w:bidi="fa-IR"/>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bookmarkStart w:id="218" w:name="pg13035_131939"/>
    </w:p>
    <w:p>
      <w:pPr>
        <w:pStyle w:val="BookText"/>
        <w:rPr/>
      </w:pPr>
      <w:bookmarkEnd w:id="218"/>
      <w:r>
        <w:rPr>
          <w:rFonts w:ascii="IRNazanin" w:hAnsi="IRNazanin" w:eastAsia="IRNazanin"/>
          <w:color w:val="111111"/>
          <w:sz w:val="28"/>
          <w:sz w:val="28"/>
          <w:szCs w:val="28"/>
          <w:rtl w:val="true"/>
          <w:lang w:bidi="fa-IR"/>
        </w:rPr>
        <w:t>و یتحقّق السواک بالدلک بالید، للإطلاقات، و فی مرسل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السواک أن تدلک بإصبعک</w:t>
      </w:r>
      <w:r>
        <w:rPr>
          <w:rFonts w:eastAsia="IRNazanin" w:cs="IRNazanin"/>
          <w:color w:val="111111"/>
          <w:sz w:val="28"/>
          <w:szCs w:val="28"/>
          <w:rtl w:val="true"/>
          <w:lang w:bidi="fa-IR"/>
        </w:rPr>
        <w:t xml:space="preserve">» </w:t>
      </w:r>
      <w:r>
        <w:rPr>
          <w:rStyle w:val="FootnoteAnchor"/>
          <w:rtl w:val="true"/>
        </w:rPr>
        <w:footnoteReference w:id="1997"/>
      </w:r>
      <w:r>
        <w:rPr>
          <w:rFonts w:ascii="IRNazanin" w:hAnsi="IRNazanin" w:eastAsia="IRNazanin"/>
          <w:color w:val="111111"/>
          <w:sz w:val="28"/>
          <w:sz w:val="28"/>
          <w:szCs w:val="28"/>
          <w:rtl w:val="true"/>
          <w:lang w:bidi="fa-IR"/>
        </w:rPr>
        <w:t>، و فی روایة السکونی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التسویک بالإبهام و المسبحة عند الوضوء سواک</w:t>
      </w:r>
      <w:r>
        <w:rPr>
          <w:rFonts w:eastAsia="IRNazanin" w:cs="IRNazanin"/>
          <w:color w:val="111111"/>
          <w:sz w:val="28"/>
          <w:szCs w:val="28"/>
          <w:rtl w:val="true"/>
          <w:lang w:bidi="fa-IR"/>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بقضیب الشجر،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أفضله الأراک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محلّه قبل غسل الیدین </w:t>
      </w:r>
      <w:r>
        <w:rPr>
          <w:rStyle w:val="FootnoteAnchor"/>
          <w:rtl w:val="true"/>
        </w:rPr>
        <w:footnoteReference w:id="2000"/>
      </w:r>
      <w:r>
        <w:rPr>
          <w:rFonts w:ascii="IRNazanin" w:hAnsi="IRNazanin" w:eastAsia="IRNazanin"/>
          <w:color w:val="111111"/>
          <w:sz w:val="28"/>
          <w:sz w:val="28"/>
          <w:szCs w:val="28"/>
          <w:rtl w:val="true"/>
          <w:lang w:bidi="fa-IR"/>
        </w:rPr>
        <w:t>، لروایة المعلّی ابن خنیس فی ناسیة قبل الوضوء،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تستاک ثمّ تمضمض ثلاثا</w:t>
      </w:r>
      <w:r>
        <w:rPr>
          <w:rFonts w:eastAsia="IRNazanin" w:cs="IRNazanin"/>
          <w:color w:val="111111"/>
          <w:sz w:val="28"/>
          <w:szCs w:val="28"/>
          <w:rtl w:val="true"/>
          <w:lang w:bidi="fa-IR"/>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الاستدلال علیه بما تقدّم فی النبویّ صلّی اللّٰه علیه و آله من أنّه عند الوضوء، مع أنّه مقتضی کونه طهورا للفم الذی هو طریق للقرآن و الدعاء</w:t>
      </w:r>
      <w:r>
        <w:rPr>
          <w:rFonts w:eastAsia="IRNazanin" w:cs="IRNazanin"/>
          <w:color w:val="111111"/>
          <w:sz w:val="28"/>
          <w:szCs w:val="28"/>
          <w:rtl w:val="true"/>
          <w:lang w:bidi="fa-IR"/>
        </w:rPr>
        <w:t>.</w:t>
      </w:r>
    </w:p>
    <w:p>
      <w:pPr>
        <w:pStyle w:val="Heading6"/>
        <w:numPr>
          <w:ilvl w:val="5"/>
          <w:numId w:val="1"/>
        </w:numPr>
        <w:rPr/>
      </w:pPr>
      <w:bookmarkStart w:id="219" w:name="__RefHeading___Toc6370014_3224264995"/>
      <w:bookmarkStart w:id="220" w:name="_Toc84"/>
      <w:bookmarkEnd w:id="219"/>
      <w:r>
        <w:rPr>
          <w:rtl w:val="true"/>
        </w:rPr>
        <w:t>[</w:t>
      </w:r>
      <w:r>
        <w:rPr>
          <w:rtl w:val="true"/>
        </w:rPr>
        <w:t>استحباب صفق الوجه بالماء</w:t>
      </w:r>
      <w:r>
        <w:rPr>
          <w:rtl w:val="true"/>
        </w:rPr>
        <w:t>]</w:t>
      </w:r>
      <w:bookmarkEnd w:id="22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 الوجه بالماء، علی ما رواه الصدوق عن الصادق علیه السلام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الرجل فلیصفق وجهه بالماء، فإنّه إن کان نائما استیقظ، و إن کان بردا لم یجد البرد</w:t>
      </w:r>
      <w:r>
        <w:rPr>
          <w:rFonts w:eastAsia="IRNazanin" w:cs="IRNazanin"/>
          <w:color w:val="111111"/>
          <w:sz w:val="28"/>
          <w:szCs w:val="28"/>
          <w:rtl w:val="true"/>
          <w:lang w:bidi="fa-IR"/>
        </w:rPr>
        <w:t xml:space="preserve">» </w:t>
      </w:r>
      <w:r>
        <w:rPr>
          <w:rStyle w:val="FootnoteAnchor"/>
          <w:rtl w:val="true"/>
        </w:rPr>
        <w:footnoteReference w:id="2002"/>
      </w:r>
      <w:r>
        <w:rPr>
          <w:rFonts w:ascii="IRNazanin" w:hAnsi="IRNazanin" w:eastAsia="IRNazanin"/>
          <w:color w:val="111111"/>
          <w:sz w:val="28"/>
          <w:sz w:val="28"/>
          <w:szCs w:val="28"/>
          <w:rtl w:val="true"/>
          <w:lang w:bidi="fa-IR"/>
        </w:rPr>
        <w:t>، و عورض بما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تضربوا وجوهکم</w:t>
      </w:r>
      <w:bookmarkStart w:id="221" w:name="pg13035_131940"/>
    </w:p>
    <w:p>
      <w:pPr>
        <w:pStyle w:val="BookText"/>
        <w:rPr/>
      </w:pPr>
      <w:bookmarkEnd w:id="221"/>
      <w:r>
        <w:rPr>
          <w:rFonts w:ascii="IRNazanin" w:hAnsi="IRNazanin" w:eastAsia="IRNazanin"/>
          <w:color w:val="111111"/>
          <w:sz w:val="28"/>
          <w:sz w:val="28"/>
          <w:szCs w:val="28"/>
          <w:rtl w:val="true"/>
          <w:lang w:bidi="fa-IR"/>
        </w:rPr>
        <w:t>بالماء إذا توضّأتم</w:t>
      </w:r>
      <w:r>
        <w:rPr>
          <w:rFonts w:eastAsia="IRNazanin" w:cs="IRNazanin"/>
          <w:color w:val="111111"/>
          <w:sz w:val="28"/>
          <w:szCs w:val="28"/>
          <w:rtl w:val="true"/>
          <w:lang w:bidi="fa-IR"/>
        </w:rPr>
        <w:t xml:space="preserve">» </w:t>
      </w:r>
      <w:r>
        <w:rPr>
          <w:rStyle w:val="FootnoteAnchor"/>
          <w:rtl w:val="true"/>
        </w:rPr>
        <w:footnoteReference w:id="2003"/>
      </w:r>
      <w:r>
        <w:rPr>
          <w:rFonts w:ascii="IRNazanin" w:hAnsi="IRNazanin" w:eastAsia="IRNazanin"/>
          <w:color w:val="111111"/>
          <w:sz w:val="28"/>
          <w:sz w:val="28"/>
          <w:szCs w:val="28"/>
          <w:rtl w:val="true"/>
          <w:lang w:bidi="fa-IR"/>
        </w:rPr>
        <w:t xml:space="preserve">، و جمع بینهما بحمل هذا علی الأولی، و الأوّل علی الإباحة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6370016_3224264995"/>
      <w:bookmarkStart w:id="223" w:name="_Toc85"/>
      <w:bookmarkEnd w:id="222"/>
      <w:r>
        <w:rPr>
          <w:rtl w:val="true"/>
        </w:rPr>
        <w:t>[</w:t>
      </w:r>
      <w:r>
        <w:rPr>
          <w:rtl w:val="true"/>
        </w:rPr>
        <w:t>استحباب فتح العینین عند غسل الوجه</w:t>
      </w:r>
      <w:r>
        <w:rPr>
          <w:rtl w:val="true"/>
        </w:rPr>
        <w:t>]</w:t>
      </w:r>
      <w:bookmarkEnd w:id="22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العینین عند غسل الوجه، قال </w:t>
      </w:r>
      <w:r>
        <w:rPr>
          <w:rStyle w:val="FootnoteAnchor"/>
          <w:rtl w:val="true"/>
        </w:rPr>
        <w:footnoteReference w:id="2005"/>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افتحوا عیونکم عند الوضوء لعلّها لا تری نار جهنّم</w:t>
      </w:r>
      <w:r>
        <w:rPr>
          <w:rFonts w:eastAsia="IRNazanin" w:cs="IRNazanin"/>
          <w:color w:val="111111"/>
          <w:sz w:val="28"/>
          <w:szCs w:val="28"/>
          <w:rtl w:val="true"/>
          <w:lang w:bidi="fa-IR"/>
        </w:rPr>
        <w:t xml:space="preserve">» </w:t>
      </w:r>
      <w:r>
        <w:rPr>
          <w:rStyle w:val="FootnoteAnchor"/>
          <w:rtl w:val="true"/>
        </w:rPr>
        <w:footnoteReference w:id="2006"/>
      </w:r>
      <w:r>
        <w:rPr>
          <w:rFonts w:ascii="IRNazanin" w:hAnsi="IRNazanin" w:eastAsia="IRNazanin"/>
          <w:color w:val="111111"/>
          <w:sz w:val="28"/>
          <w:sz w:val="28"/>
          <w:szCs w:val="28"/>
          <w:rtl w:val="true"/>
          <w:lang w:bidi="fa-IR"/>
        </w:rPr>
        <w:t>،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ینافیه حکم الشیخ فی الخلاف بعدم استحباب إیصال الماء إلی داخل العین، محتجّا بالإجماع </w:t>
      </w:r>
      <w:r>
        <w:rPr>
          <w:rStyle w:val="FootnoteAnchor"/>
          <w:rtl w:val="true"/>
        </w:rPr>
        <w:footnoteReference w:id="2007"/>
      </w:r>
      <w:r>
        <w:rPr>
          <w:rFonts w:ascii="IRNazanin" w:hAnsi="IRNazanin" w:eastAsia="IRNazanin"/>
          <w:color w:val="111111"/>
          <w:sz w:val="28"/>
          <w:sz w:val="28"/>
          <w:szCs w:val="28"/>
          <w:rtl w:val="true"/>
          <w:lang w:bidi="fa-IR"/>
        </w:rPr>
        <w:t xml:space="preserve">، و کذا فی المبسوط </w:t>
      </w:r>
      <w:r>
        <w:rPr>
          <w:rStyle w:val="FootnoteAnchor"/>
          <w:rtl w:val="true"/>
        </w:rPr>
        <w:footnoteReference w:id="2008"/>
      </w:r>
      <w:r>
        <w:rPr>
          <w:rFonts w:ascii="IRNazanin" w:hAnsi="IRNazanin" w:eastAsia="IRNazanin"/>
          <w:color w:val="111111"/>
          <w:sz w:val="28"/>
          <w:sz w:val="28"/>
          <w:szCs w:val="28"/>
          <w:rtl w:val="true"/>
          <w:lang w:bidi="fa-IR"/>
        </w:rPr>
        <w:t xml:space="preserve">، لعدم التلازم بینه و بین الفتح </w:t>
      </w:r>
      <w:r>
        <w:rPr>
          <w:rStyle w:val="FootnoteAnchor"/>
          <w:rtl w:val="true"/>
        </w:rPr>
        <w:footnoteReference w:id="2009"/>
      </w:r>
      <w:r>
        <w:rPr>
          <w:rFonts w:ascii="IRNazanin" w:hAnsi="IRNazanin" w:eastAsia="IRNazanin"/>
          <w:color w:val="111111"/>
          <w:sz w:val="28"/>
          <w:sz w:val="28"/>
          <w:szCs w:val="28"/>
          <w:rtl w:val="true"/>
          <w:lang w:bidi="fa-IR"/>
        </w:rPr>
        <w:t>، و فی الذکری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نصّ الأصحاب فی استحباب الاستقبال بالوضوء و لا فی کراهة الکلام بغیر الدعاء، و لو أخذ الأوّل من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المجالس ما استقبل به القبلة</w:t>
      </w:r>
      <w:r>
        <w:rPr>
          <w:rFonts w:eastAsia="IRNazanin" w:cs="IRNazanin"/>
          <w:color w:val="111111"/>
          <w:sz w:val="28"/>
          <w:szCs w:val="28"/>
          <w:rtl w:val="true"/>
          <w:lang w:bidi="fa-IR"/>
        </w:rPr>
        <w:t xml:space="preserve">» </w:t>
      </w:r>
      <w:r>
        <w:rPr>
          <w:rStyle w:val="FootnoteAnchor"/>
          <w:rtl w:val="true"/>
        </w:rPr>
        <w:footnoteReference w:id="2010"/>
      </w:r>
      <w:r>
        <w:rPr>
          <w:rFonts w:ascii="IRNazanin" w:hAnsi="IRNazanin" w:eastAsia="IRNazanin"/>
          <w:color w:val="111111"/>
          <w:sz w:val="28"/>
          <w:sz w:val="28"/>
          <w:szCs w:val="28"/>
          <w:rtl w:val="true"/>
          <w:lang w:bidi="fa-IR"/>
        </w:rPr>
        <w:t xml:space="preserve">، و الثانی من منافاته للأذکار و الدعوات أمکن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bookmarkStart w:id="224" w:name="pg13035_131941"/>
    </w:p>
    <w:p>
      <w:pPr>
        <w:pStyle w:val="Heading5"/>
        <w:numPr>
          <w:ilvl w:val="4"/>
          <w:numId w:val="1"/>
        </w:numPr>
        <w:rPr/>
      </w:pPr>
      <w:bookmarkStart w:id="225" w:name="__RefHeading___Toc6370018_3224264995"/>
      <w:bookmarkStart w:id="226" w:name="_Toc86"/>
      <w:bookmarkEnd w:id="224"/>
      <w:bookmarkEnd w:id="225"/>
      <w:r>
        <w:rPr>
          <w:rtl w:val="true"/>
        </w:rPr>
        <w:t>[</w:t>
      </w:r>
      <w:r>
        <w:rPr>
          <w:rtl w:val="true"/>
        </w:rPr>
        <w:t>مکروهات الوضوء</w:t>
      </w:r>
      <w:r>
        <w:rPr>
          <w:rtl w:val="true"/>
        </w:rPr>
        <w:t>]</w:t>
      </w:r>
      <w:bookmarkEnd w:id="226"/>
    </w:p>
    <w:p>
      <w:pPr>
        <w:pStyle w:val="Heading6"/>
        <w:numPr>
          <w:ilvl w:val="5"/>
          <w:numId w:val="1"/>
        </w:numPr>
        <w:rPr/>
      </w:pPr>
      <w:bookmarkStart w:id="227" w:name="__RefHeading___Toc6370020_3224264995"/>
      <w:bookmarkStart w:id="228" w:name="_Toc87"/>
      <w:bookmarkEnd w:id="227"/>
      <w:r>
        <w:rPr>
          <w:rtl w:val="true"/>
        </w:rPr>
        <w:t>اشارة</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أمور</w:t>
      </w:r>
      <w:r>
        <w:rPr>
          <w:rFonts w:eastAsia="IRNazanin" w:cs="IRNazanin"/>
          <w:color w:val="111111"/>
          <w:sz w:val="28"/>
          <w:szCs w:val="28"/>
          <w:rtl w:val="true"/>
          <w:lang w:bidi="fa-IR"/>
        </w:rPr>
        <w:t>:</w:t>
      </w:r>
    </w:p>
    <w:p>
      <w:pPr>
        <w:pStyle w:val="Heading6"/>
        <w:numPr>
          <w:ilvl w:val="5"/>
          <w:numId w:val="1"/>
        </w:numPr>
        <w:rPr/>
      </w:pPr>
      <w:bookmarkStart w:id="229" w:name="__RefHeading___Toc6370022_3224264995"/>
      <w:bookmarkStart w:id="230" w:name="_Toc88"/>
      <w:bookmarkEnd w:id="229"/>
      <w:r>
        <w:rPr>
          <w:rtl w:val="true"/>
        </w:rPr>
        <w:t>[</w:t>
      </w:r>
      <w:r>
        <w:rPr>
          <w:rtl w:val="true"/>
        </w:rPr>
        <w:t>کراهة إیقاعه فی المسجد</w:t>
      </w:r>
      <w:r>
        <w:rPr>
          <w:rtl w:val="true"/>
        </w:rPr>
        <w:t>]</w:t>
      </w:r>
      <w:bookmarkEnd w:id="23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إیقاعه فی المسجد من حدث البول و الغائط، لروایة رفاعة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أبا عبد اللّٰه علیه السلام عن الوضوء فی المسجد، فکرهه من البول و الغائط</w:t>
      </w:r>
      <w:r>
        <w:rPr>
          <w:rFonts w:eastAsia="IRNazanin" w:cs="IRNazanin"/>
          <w:color w:val="111111"/>
          <w:sz w:val="28"/>
          <w:szCs w:val="28"/>
          <w:rtl w:val="true"/>
          <w:lang w:bidi="fa-IR"/>
        </w:rPr>
        <w:t xml:space="preserve">» </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بکیر بن أعین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الحدث فی المسجد فلا بأس بالوضوء فی المسجد</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محمولة بقرینة فرض الحدث فی المسجد علی غیر الحدثین</w:t>
      </w:r>
      <w:r>
        <w:rPr>
          <w:rFonts w:eastAsia="IRNazanin" w:cs="IRNazanin"/>
          <w:color w:val="111111"/>
          <w:sz w:val="28"/>
          <w:szCs w:val="28"/>
          <w:rtl w:val="true"/>
          <w:lang w:bidi="fa-IR"/>
        </w:rPr>
        <w:t>.</w:t>
      </w:r>
    </w:p>
    <w:p>
      <w:pPr>
        <w:pStyle w:val="Heading6"/>
        <w:numPr>
          <w:ilvl w:val="5"/>
          <w:numId w:val="1"/>
        </w:numPr>
        <w:rPr/>
      </w:pPr>
      <w:bookmarkStart w:id="231" w:name="__RefHeading___Toc6370024_3224264995"/>
      <w:bookmarkStart w:id="232" w:name="_Toc89"/>
      <w:bookmarkEnd w:id="231"/>
      <w:r>
        <w:rPr>
          <w:rtl w:val="true"/>
        </w:rPr>
        <w:t>[</w:t>
      </w:r>
      <w:r>
        <w:rPr>
          <w:rtl w:val="true"/>
        </w:rPr>
        <w:t>کراهة لطم الوجه بالماء</w:t>
      </w:r>
      <w:r>
        <w:rPr>
          <w:rtl w:val="true"/>
        </w:rPr>
        <w:t>]</w:t>
      </w:r>
      <w:bookmarkEnd w:id="23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 الوجه بالماء لطما کما فی روایة قرب الإسناد المتقدّمة فی غسل الوجه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6370026_3224264995"/>
      <w:bookmarkStart w:id="234" w:name="_Toc90"/>
      <w:bookmarkEnd w:id="233"/>
      <w:r>
        <w:rPr>
          <w:rtl w:val="true"/>
        </w:rPr>
        <w:t>[</w:t>
      </w:r>
      <w:r>
        <w:rPr>
          <w:rtl w:val="true"/>
        </w:rPr>
        <w:t>کراهة الاستعانة فی الوضوء</w:t>
      </w:r>
      <w:r>
        <w:rPr>
          <w:rtl w:val="true"/>
        </w:rPr>
        <w:t>]</w:t>
      </w:r>
      <w:bookmarkEnd w:id="23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یستعین فی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یکل إلی الغیر بعض مقدّماته القریبة التی لا تحصل غالبا إلّا بالتحصیل، بحیث یعدّ فاعلها فی العرف کالمشارک له فی العمل، کصبّ الماء فی الید، و إعانتها علی الصبّ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رفع کمّ المتوضّی، و تجفیف موضع المسح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مثل إحضار</w:t>
      </w:r>
    </w:p>
    <w:p>
      <w:pPr>
        <w:pStyle w:val="BookText"/>
        <w:rPr/>
      </w:pPr>
      <w:r>
        <w:rPr>
          <w:rFonts w:ascii="IRNazanin" w:hAnsi="IRNazanin" w:eastAsia="IRNazanin"/>
          <w:color w:val="111111"/>
          <w:sz w:val="28"/>
          <w:sz w:val="28"/>
          <w:szCs w:val="28"/>
          <w:rtl w:val="true"/>
          <w:lang w:bidi="fa-IR"/>
        </w:rPr>
        <w:t xml:space="preserve">الماء أو تسخینه فلا یعدّ الفاعل لها کالشریک، لأنّ العمل غالبا لا یتوقّف علی فعلها، و إنّما یتوقّف علی وجود الحاصل منها أعنی حضور الماء و سخونته، أما وجود الماء فی الید فإنّه لا یحصل غالبا إلّا بفعل المباشر للوضوء، فإذا باشره غیره فقد صار کالشریک له، و کأنّه لذلک استدلّ جماعة من الأصحاب </w:t>
      </w:r>
      <w:r>
        <w:rPr>
          <w:rStyle w:val="FootnoteAnchor"/>
          <w:rtl w:val="true"/>
        </w:rPr>
        <w:footnoteReference w:id="2015"/>
      </w:r>
      <w:r>
        <w:rPr>
          <w:rFonts w:ascii="IRNazanin" w:hAnsi="IRNazanin" w:eastAsia="IRNazanin"/>
          <w:color w:val="111111"/>
          <w:sz w:val="28"/>
          <w:sz w:val="28"/>
          <w:szCs w:val="28"/>
          <w:rtl w:val="true"/>
          <w:lang w:bidi="fa-IR"/>
        </w:rPr>
        <w:t>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للإمام علیه السلام فی بعض الأخبار </w:t>
      </w:r>
      <w:r>
        <w:rPr>
          <w:rStyle w:val="FootnoteAnchor"/>
          <w:rtl w:val="true"/>
        </w:rPr>
        <w:footnoteReference w:id="2016"/>
      </w:r>
      <w:r>
        <w:rPr>
          <w:rFonts w:ascii="Amiri" w:hAnsi="Amiri" w:eastAsia="Amiri" w:cs="Amiri"/>
          <w:color w:val="111111"/>
          <w:sz w:val="28"/>
          <w:sz w:val="28"/>
          <w:szCs w:val="28"/>
          <w:rtl w:val="true"/>
          <w:lang w:bidi="ar-SA"/>
        </w:rPr>
        <w:t>المتقدّمة فی مسألة التولیة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2017"/>
      </w:r>
      <w:r>
        <w:rPr>
          <w:rFonts w:ascii="IRNazanin" w:hAnsi="IRNazanin" w:eastAsia="IRNazanin"/>
          <w:color w:val="111111"/>
          <w:sz w:val="28"/>
          <w:sz w:val="28"/>
          <w:szCs w:val="28"/>
          <w:rtl w:val="true"/>
          <w:lang w:bidi="fa-IR"/>
        </w:rPr>
        <w:t>، مع أنّ الإشراک الحقیقی غیر حاصل بمجرّد فعل بعض المقدّمات، فکأنّ فی تحریم المشارکة الحقیقة تنبیها علی کراهة المشارکة المجازیة الحاصلة بملاحظة المجموع المرکّب من نفس الفعل و مقدّماته، المتوقّفة غالبا علی مباشرة الفاعل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صحیحة الحذّاء المرویة عن التهذیب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وضّأت أبا جعفر علیه السلام و قد بال، و ناولته ماء فاستنجی، ثمّ صببت علیه کفّا فغسل وجهه، و کفّا غسل به ذراعه الأیمن، و کفّا غسل به ذراعه الأیسر، ثمّ مسح بفضل الندی رأسه و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018"/>
      </w:r>
      <w:r>
        <w:rPr>
          <w:rFonts w:ascii="IRNazanin" w:hAnsi="IRNazanin" w:eastAsia="IRNazanin"/>
          <w:color w:val="111111"/>
          <w:sz w:val="28"/>
          <w:sz w:val="28"/>
          <w:szCs w:val="28"/>
          <w:rtl w:val="true"/>
          <w:lang w:bidi="fa-IR"/>
        </w:rPr>
        <w:t>،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علی الضرورة، و قد یترک الإمام علیه السلام الأولی، لبیان جوازه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bookmarkStart w:id="235" w:name="pg13035_131943"/>
    </w:p>
    <w:p>
      <w:pPr>
        <w:pStyle w:val="BookText"/>
        <w:rPr/>
      </w:pPr>
      <w:bookmarkEnd w:id="23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یعارض المکروه أمور أخر أرجح من ترکه غیر بیان الجواز، و الأصل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مجمل لا یعارض القول</w:t>
      </w:r>
      <w:r>
        <w:rPr>
          <w:rFonts w:eastAsia="IRNazanin" w:cs="IRNazanin"/>
          <w:color w:val="111111"/>
          <w:sz w:val="28"/>
          <w:szCs w:val="28"/>
          <w:rtl w:val="true"/>
          <w:lang w:bidi="fa-IR"/>
        </w:rPr>
        <w:t>.</w:t>
      </w:r>
    </w:p>
    <w:p>
      <w:pPr>
        <w:pStyle w:val="Heading6"/>
        <w:numPr>
          <w:ilvl w:val="5"/>
          <w:numId w:val="1"/>
        </w:numPr>
        <w:rPr/>
      </w:pPr>
      <w:bookmarkStart w:id="236" w:name="__RefHeading___Toc6370028_3224264995"/>
      <w:bookmarkStart w:id="237" w:name="_Toc91"/>
      <w:bookmarkEnd w:id="236"/>
      <w:r>
        <w:rPr>
          <w:rtl w:val="true"/>
        </w:rPr>
        <w:t>[</w:t>
      </w:r>
      <w:r>
        <w:rPr>
          <w:rtl w:val="true"/>
        </w:rPr>
        <w:t>کراهة مسح بلل الوضوء</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یمسح بلل الوضوء من أعضائه </w:t>
      </w:r>
      <w:r>
        <w:rPr>
          <w:rStyle w:val="FootnoteAnchor"/>
          <w:rtl w:val="true"/>
        </w:rPr>
        <w:footnoteReference w:id="2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بمندیل، لمداومة العامّة علیه، و قد جعل الرشد فی خلافهم، و منه یعلم أنّ الأخبار </w:t>
      </w:r>
      <w:r>
        <w:rPr>
          <w:rStyle w:val="FootnoteAnchor"/>
          <w:rtl w:val="true"/>
        </w:rPr>
        <w:footnoteReference w:id="2021"/>
      </w:r>
      <w:r>
        <w:rPr>
          <w:rFonts w:ascii="IRNazanin" w:hAnsi="IRNazanin" w:eastAsia="IRNazanin"/>
          <w:color w:val="111111"/>
          <w:sz w:val="28"/>
          <w:sz w:val="28"/>
          <w:szCs w:val="28"/>
          <w:rtl w:val="true"/>
          <w:lang w:bidi="fa-IR"/>
        </w:rPr>
        <w:t>المتضمّنة لفعل الأئمة علیهم السلام للتمندل و أمرهم به، بل الأمر بمسح الوجه بأسفل القمیص محمول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علی الکراهة أیضا</w:t>
      </w:r>
      <w:r>
        <w:rPr>
          <w:rFonts w:eastAsia="IRNazanin" w:cs="IRNazanin"/>
          <w:color w:val="111111"/>
          <w:sz w:val="28"/>
          <w:szCs w:val="28"/>
          <w:rtl w:val="true"/>
          <w:lang w:bidi="fa-IR"/>
        </w:rPr>
        <w:t xml:space="preserve">) </w:t>
      </w:r>
      <w:r>
        <w:rPr>
          <w:rStyle w:val="FootnoteAnchor"/>
          <w:rtl w:val="true"/>
        </w:rPr>
        <w:footnoteReference w:id="2022"/>
      </w:r>
      <w:r>
        <w:rPr>
          <w:rFonts w:ascii="IRNazanin" w:hAnsi="IRNazanin" w:eastAsia="IRNazanin"/>
          <w:color w:val="111111"/>
          <w:sz w:val="28"/>
          <w:sz w:val="28"/>
          <w:szCs w:val="28"/>
          <w:rtl w:val="true"/>
          <w:lang w:bidi="fa-IR"/>
        </w:rPr>
        <w:t>بأنّ فیه تفویت الثواب المکتوب للمتوضّئ ما دام البلل، فکأنّه إبطال للعمل أی تضییع له و إحباط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أیضا بروایة محمد بن حمران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و تمندل کانت له حسنة، و إن توضّأ و لم یتمندل کان له ثلاثون حسنة</w:t>
      </w:r>
      <w:r>
        <w:rPr>
          <w:rFonts w:eastAsia="IRNazanin" w:cs="IRNazanin"/>
          <w:color w:val="111111"/>
          <w:sz w:val="28"/>
          <w:szCs w:val="28"/>
          <w:rtl w:val="true"/>
          <w:lang w:bidi="fa-IR"/>
        </w:rPr>
        <w:t xml:space="preserve">» </w:t>
      </w:r>
      <w:r>
        <w:rPr>
          <w:rStyle w:val="FootnoteAnchor"/>
          <w:rtl w:val="true"/>
        </w:rPr>
        <w:footnoteReference w:id="2023"/>
      </w:r>
      <w:r>
        <w:rPr>
          <w:rFonts w:ascii="IRNazanin" w:hAnsi="IRNazanin" w:eastAsia="IRNazanin"/>
          <w:color w:val="111111"/>
          <w:sz w:val="28"/>
          <w:sz w:val="28"/>
          <w:szCs w:val="28"/>
          <w:rtl w:val="true"/>
          <w:lang w:bidi="fa-IR"/>
        </w:rPr>
        <w:t>، بناء علی أنّ ظاهرها کون الثلاثین بإزاء أصل الوضوء و التمندل موجب لنقص ثوابه فیکون مکروها، إذ کما أنّ إیقاع العبادة أنقص ثوابا یتّصف بالکراهة المصطلحة فی العبادات کذا إدخال النقص علیها بعد الإیقاع</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الحسنة الواحدة بإزاء أصل الوضوء و الزائد بإزاء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إبقاء أثر الوضوء، فیکون التمندل ترکا لمستحبّ مستقلّ، و لا ینبغی عدّه حینئذ مکروها، بل ینبغی عدّ ترکه مستحبّا، و استحباب الترک من حیث هو ترک و إن کان مستلزما لکراهة الفعل، إلّا أنّ ترکه هنا مقدّمة للإبقاء المستحبّ</w:t>
      </w:r>
      <w:r>
        <w:rPr>
          <w:rFonts w:eastAsia="IRNazanin" w:cs="IRNazanin"/>
          <w:color w:val="111111"/>
          <w:sz w:val="28"/>
          <w:szCs w:val="28"/>
          <w:rtl w:val="true"/>
          <w:lang w:bidi="fa-IR"/>
        </w:rPr>
        <w:t>.</w:t>
      </w:r>
      <w:bookmarkStart w:id="238" w:name="pg13035_131945"/>
    </w:p>
    <w:p>
      <w:pPr>
        <w:pStyle w:val="Heading4"/>
        <w:numPr>
          <w:ilvl w:val="3"/>
          <w:numId w:val="1"/>
        </w:numPr>
        <w:rPr/>
      </w:pPr>
      <w:bookmarkStart w:id="239" w:name="__RefHeading___Toc6370030_3224264995"/>
      <w:bookmarkStart w:id="240" w:name="_Toc92"/>
      <w:bookmarkEnd w:id="238"/>
      <w:bookmarkEnd w:id="239"/>
      <w:r>
        <w:rPr>
          <w:rtl w:val="true"/>
        </w:rPr>
        <w:t>[</w:t>
      </w:r>
      <w:r>
        <w:rPr>
          <w:rtl w:val="true"/>
        </w:rPr>
        <w:t>الفصل الرابع فی أحکام الوضوء</w:t>
      </w:r>
      <w:r>
        <w:rPr>
          <w:rtl w:val="true"/>
        </w:rPr>
        <w:t>]</w:t>
      </w:r>
      <w:bookmarkEnd w:id="240"/>
    </w:p>
    <w:p>
      <w:pPr>
        <w:pStyle w:val="Heading5"/>
        <w:numPr>
          <w:ilvl w:val="4"/>
          <w:numId w:val="1"/>
        </w:numPr>
        <w:rPr/>
      </w:pPr>
      <w:bookmarkStart w:id="241" w:name="__RefHeading___Toc6370032_3224264995"/>
      <w:bookmarkStart w:id="242" w:name="_Toc93"/>
      <w:bookmarkEnd w:id="241"/>
      <w:r>
        <w:rPr>
          <w:rtl w:val="true"/>
        </w:rPr>
        <w:t>اشارة</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فی أحکام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المترتّبة علیه أو علی جزء منه، بملاحظة وجوده فی مقابل الحکم المترتّب علیه بملاحظة إیجاده، کوجوبه و استحبابه فی نفسه أو لأجل الغایة أو لحدوث أسباب وجوبه أو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المصنّف بعضها فی ضمن</w:t>
      </w:r>
    </w:p>
    <w:p>
      <w:pPr>
        <w:pStyle w:val="Heading5"/>
        <w:numPr>
          <w:ilvl w:val="4"/>
          <w:numId w:val="1"/>
        </w:numPr>
        <w:rPr/>
      </w:pPr>
      <w:bookmarkStart w:id="243" w:name="__RefHeading___Toc6370034_3224264995"/>
      <w:bookmarkStart w:id="244" w:name="_Toc94"/>
      <w:bookmarkEnd w:id="243"/>
      <w:r>
        <w:rPr>
          <w:rtl w:val="true"/>
        </w:rPr>
        <w:t>مسائل</w:t>
      </w:r>
      <w:r>
        <w:rPr>
          <w:rtl w:val="true"/>
        </w:rPr>
        <w:t>:</w:t>
      </w:r>
      <w:bookmarkEnd w:id="24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5" w:name="__RefHeading___Toc6370036_3224264995"/>
      <w:bookmarkStart w:id="246" w:name="_Toc95"/>
      <w:bookmarkEnd w:id="245"/>
      <w:r>
        <w:rPr>
          <w:rtl w:val="true"/>
        </w:rPr>
        <w:t>اشارة</w:t>
      </w:r>
      <w:bookmarkStart w:id="247" w:name="pg13035_131947"/>
      <w:bookmarkEnd w:id="246"/>
    </w:p>
    <w:p>
      <w:pPr>
        <w:pStyle w:val="Heading6"/>
        <w:numPr>
          <w:ilvl w:val="5"/>
          <w:numId w:val="1"/>
        </w:numPr>
        <w:rPr/>
      </w:pPr>
      <w:bookmarkStart w:id="248" w:name="__RefHeading___Toc6370038_3224264995"/>
      <w:bookmarkStart w:id="249" w:name="_Toc96"/>
      <w:bookmarkEnd w:id="247"/>
      <w:bookmarkEnd w:id="248"/>
      <w:r>
        <w:rPr>
          <w:rtl w:val="true"/>
        </w:rPr>
        <w:t>[</w:t>
      </w:r>
      <w:r>
        <w:rPr>
          <w:rtl w:val="true"/>
        </w:rPr>
        <w:t>المسألة</w:t>
      </w:r>
      <w:r>
        <w:rPr>
          <w:rtl w:val="true"/>
        </w:rPr>
        <w:t xml:space="preserve">] </w:t>
      </w:r>
      <w:r>
        <w:rPr>
          <w:rtl w:val="true"/>
        </w:rPr>
        <w:t>الأولی</w:t>
      </w:r>
      <w:r>
        <w:rPr>
          <w:rtl w:val="true"/>
        </w:rPr>
        <w:t>[</w:t>
      </w:r>
      <w:r>
        <w:rPr>
          <w:rtl w:val="true"/>
        </w:rPr>
        <w:t>لو تیقّن الحدث و شکّ فی الطهارة</w:t>
      </w:r>
      <w:r>
        <w:rPr>
          <w:rtl w:val="true"/>
        </w:rPr>
        <w:t>]</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Style w:val="FootnoteAnchor"/>
          <w:rtl w:val="true"/>
        </w:rPr>
        <w:footnoteReference w:id="2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تیقّن الحدث و شکّ فی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تیقّن الحدث و شکّ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تیقّنهما و شکّ فی المتأخّر،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یوجده </w:t>
      </w:r>
      <w:r>
        <w:rPr>
          <w:rStyle w:val="FootnoteAnchor"/>
          <w:rtl w:val="true"/>
        </w:rPr>
        <w:footnoteReference w:id="2025"/>
      </w:r>
      <w:r>
        <w:rPr>
          <w:rFonts w:ascii="IRNazanin" w:hAnsi="IRNazanin" w:eastAsia="IRNazanin"/>
          <w:color w:val="111111"/>
          <w:sz w:val="28"/>
          <w:sz w:val="28"/>
          <w:szCs w:val="28"/>
          <w:rtl w:val="true"/>
          <w:lang w:bidi="fa-IR"/>
        </w:rPr>
        <w:t>من الأفعال بعد الشکّ، لا لما أوجده قبل ذلک، فلو شکّ من تیقّن الحدث فی الطهارة بعد ما فرغ من الصلاة مضت صلاته، و تطهّر لما یأتی، لتقدّم قاعدة نفی الشکّ بعد الفراغ علی الاستصحاب، خلافا لبعض،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ارتبط اللاحق بالسابق، کما لو شکّ و هو فی أثناء الصلاة، فالأقوی وجوب التطهیر و الاستئناف، لتوقّف إحراز الطهارة للأجزاء اللاحقة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تمام الکلام فی مسألة الشکّ بعد الفراغ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 لا إشکال فی الأوّل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الأخبار المستفیضة </w:t>
      </w:r>
      <w:r>
        <w:rPr>
          <w:rStyle w:val="FootnoteAnchor"/>
          <w:rtl w:val="true"/>
        </w:rPr>
        <w:footnoteReference w:id="2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المتّفق</w:t>
      </w:r>
    </w:p>
    <w:p>
      <w:pPr>
        <w:pStyle w:val="BookText"/>
        <w:rPr/>
      </w:pPr>
      <w:r>
        <w:rPr>
          <w:rFonts w:ascii="IRNazanin" w:hAnsi="IRNazanin" w:eastAsia="IRNazanin"/>
          <w:color w:val="111111"/>
          <w:sz w:val="28"/>
          <w:sz w:val="28"/>
          <w:szCs w:val="28"/>
          <w:rtl w:val="true"/>
          <w:lang w:bidi="fa-IR"/>
        </w:rPr>
        <w:t>علیه فی مثل المقام بین العلماء الأعلام، بل بین قاطبة أهل الإسلام، بل عدّ مثله المحدّث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لحجّیة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فوائده من ضروریات الإسلام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أیضا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 أنّک أحدثت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بمفهوم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أن تحدث وضوءا حتّی تستیقن أنّک قد أحدثت</w:t>
      </w:r>
      <w:r>
        <w:rPr>
          <w:rFonts w:eastAsia="IRNazanin" w:cs="IRNazanin"/>
          <w:color w:val="111111"/>
          <w:sz w:val="28"/>
          <w:szCs w:val="28"/>
          <w:rtl w:val="true"/>
          <w:lang w:bidi="fa-IR"/>
        </w:rPr>
        <w:t xml:space="preserve">» </w:t>
      </w:r>
      <w:r>
        <w:rPr>
          <w:rStyle w:val="FootnoteAnchor"/>
          <w:rtl w:val="true"/>
        </w:rPr>
        <w:footnoteReference w:id="2028"/>
      </w:r>
      <w:r>
        <w:rPr>
          <w:rFonts w:ascii="IRNazanin" w:hAnsi="IRNazanin" w:eastAsia="IRNazanin"/>
          <w:color w:val="111111"/>
          <w:sz w:val="28"/>
          <w:sz w:val="28"/>
          <w:szCs w:val="28"/>
          <w:rtl w:val="true"/>
          <w:lang w:bidi="fa-IR"/>
        </w:rPr>
        <w:t>، بناء علی أنّ التحذیر عن الوضوء بنیّة الوجوب قبل تیقّن الحدث، یدلّ علی ثبوت الوجوب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ظاهرهما وجوب الوضوء حین تیقّن الحدث، لا إذا حصل له تیقّن الحدث فی زمان، و طرأ الشکّ بعد ذلک، و لا فرق فیما ذکر بین کون بقاء الحدث مظنونا أو مشکوکا أو موهوما، لإطلاق النصّ و الفتوی، و اعتبار الاستصحاب لا بشرط إفادته الظنّ بالبقاء فی خصوص مورده، بل لو قلنا باعتباره من باب الظن، فالمراد به إفادته له من حیث هو لو خلّی و طبعه، و إن ارتفع الظنّ بسبب بعض الموهنات، إلّا أنّ لشیخنا البهائی قدّس سرّه فی حبله المتین </w:t>
      </w:r>
      <w:r>
        <w:rPr>
          <w:rStyle w:val="FootnoteAnchor"/>
          <w:rtl w:val="true"/>
        </w:rPr>
        <w:footnoteReference w:id="2029"/>
      </w:r>
      <w:r>
        <w:rPr>
          <w:rFonts w:ascii="IRNazanin" w:hAnsi="IRNazanin" w:eastAsia="IRNazanin"/>
          <w:color w:val="111111"/>
          <w:sz w:val="28"/>
          <w:sz w:val="28"/>
          <w:szCs w:val="28"/>
          <w:rtl w:val="true"/>
          <w:lang w:bidi="fa-IR"/>
        </w:rPr>
        <w:t>فی عکس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تیقّن الطهارة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ظاهرا فی أنّ الاعتبار بالاستصحاب تابع للموارد الشخصیة المختلفة فی حصول الظنّ بالبقاء و عدمه، فلا یعتبر إلّا مع حصول الظنّ فی خصوص المورد، و سیجی‌ء ذکره فی المسألة الآتیة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بوجوب التطهّر فیه هو المشهور، قدیما و حدیثا،</w:t>
      </w:r>
    </w:p>
    <w:p>
      <w:pPr>
        <w:pStyle w:val="BookText"/>
        <w:rPr/>
      </w:pPr>
      <w:r>
        <w:rPr>
          <w:rFonts w:ascii="IRNazanin" w:hAnsi="IRNazanin" w:eastAsia="IRNazanin"/>
          <w:color w:val="111111"/>
          <w:sz w:val="28"/>
          <w:sz w:val="28"/>
          <w:szCs w:val="28"/>
          <w:rtl w:val="true"/>
          <w:lang w:bidi="fa-IR"/>
        </w:rPr>
        <w:t>إذ لا صلاة إلّا بطهور، و الشکّ فی التلبّس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المشروط، و هذا معنی ما فی المقنعة </w:t>
      </w:r>
      <w:r>
        <w:rPr>
          <w:rStyle w:val="FootnoteAnchor"/>
          <w:rtl w:val="true"/>
        </w:rPr>
        <w:footnoteReference w:id="2030"/>
      </w:r>
      <w:r>
        <w:rPr>
          <w:rFonts w:ascii="IRNazanin" w:hAnsi="IRNazanin" w:eastAsia="IRNazanin"/>
          <w:color w:val="111111"/>
          <w:sz w:val="28"/>
          <w:sz w:val="28"/>
          <w:szCs w:val="28"/>
          <w:rtl w:val="true"/>
          <w:lang w:bidi="fa-IR"/>
        </w:rPr>
        <w:t xml:space="preserve">و السرائر </w:t>
      </w:r>
      <w:r>
        <w:rPr>
          <w:rStyle w:val="FootnoteAnchor"/>
          <w:rtl w:val="true"/>
        </w:rPr>
        <w:footnoteReference w:id="2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یجب علیه الوضوء، لیزول عنه الشکّ، و یدخل فی صلاته علی یقین الطهارة، و أوضح منهما قول الشیخ فی التهذیب </w:t>
      </w:r>
      <w:r>
        <w:rPr>
          <w:rStyle w:val="FootnoteAnchor"/>
          <w:rtl w:val="true"/>
        </w:rPr>
        <w:footnoteReference w:id="2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مأخوذ علی الإنسان، أن لا یدخل فی الصلاة إلّا بطهارة، فینبغی أن یکون متیقّنا بالطهارة، لیسوغ له الدخول فیها، و محصّل ذلک ما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وجوب الطهارة فیما لم یعلم الحالة السابقة علی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حصول الیقین بالطهارة </w:t>
      </w:r>
      <w:r>
        <w:rPr>
          <w:rStyle w:val="FootnoteAnchor"/>
          <w:rtl w:val="true"/>
        </w:rPr>
        <w:footnoteReference w:id="2033"/>
      </w:r>
      <w:r>
        <w:rPr>
          <w:rFonts w:ascii="IRNazanin" w:hAnsi="IRNazanin" w:eastAsia="IRNazanin"/>
          <w:color w:val="111111"/>
          <w:sz w:val="28"/>
          <w:sz w:val="28"/>
          <w:szCs w:val="28"/>
          <w:rtl w:val="true"/>
          <w:lang w:bidi="fa-IR"/>
        </w:rPr>
        <w:t xml:space="preserve">، بل ظاهر التذکرة أنّ هذا هو استدلال کلّ من قال بهذا القول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هنا من مجاری أصالة البراءة لاختصاصها بصورة الشکّ فی شرطیة الشی‌ء، لا فی وجود الشرط، و قد یتوهّم أنّه إذا لم یجعل الطهارة شرطا، بل جعلنا الحدث مانعا، کفی عدم الیقین بالحدث، و هو حاصل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أوّلا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الطهارة عدم الحدث، فإذا کان الحدث مانعا، کان عدمه شرطا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لا یکفی فیه عدم الیقین بوجوده، بل یعتبر الیقین</w:t>
      </w:r>
    </w:p>
    <w:p>
      <w:pPr>
        <w:pStyle w:val="BookText"/>
        <w:rPr/>
      </w:pPr>
      <w:r>
        <w:rPr>
          <w:rFonts w:ascii="IRNazanin" w:hAnsi="IRNazanin" w:eastAsia="IRNazanin"/>
          <w:color w:val="111111"/>
          <w:sz w:val="28"/>
          <w:sz w:val="28"/>
          <w:szCs w:val="28"/>
          <w:rtl w:val="true"/>
          <w:lang w:bidi="fa-IR"/>
        </w:rPr>
        <w:t>بعدمه، و لو بحکم الأصل، و من هنا ظهر أنّ حکمهم هنا بوجوب الطهارة، لیس لکون الحدث حالة أصلیّة فی الإنسان، کما تقدّم توهّمه من بعض، فی أوّل باب الأحداث، بل لوجوب إحراز العلم بعدمه، و لو بحکم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أنّ المانع یکفی فیه </w:t>
      </w:r>
      <w:r>
        <w:rPr>
          <w:rStyle w:val="FootnoteAnchor"/>
          <w:rtl w:val="true"/>
        </w:rPr>
        <w:footnoteReference w:id="2035"/>
      </w:r>
      <w:r>
        <w:rPr>
          <w:rFonts w:ascii="IRNazanin" w:hAnsi="IRNazanin" w:eastAsia="IRNazanin"/>
          <w:color w:val="111111"/>
          <w:sz w:val="28"/>
          <w:sz w:val="28"/>
          <w:szCs w:val="28"/>
          <w:rtl w:val="true"/>
          <w:lang w:bidi="fa-IR"/>
        </w:rPr>
        <w:t xml:space="preserve">عدم العلم به </w:t>
      </w:r>
      <w:r>
        <w:rPr>
          <w:rStyle w:val="FootnoteAnchor"/>
          <w:rtl w:val="true"/>
        </w:rPr>
        <w:footnoteReference w:id="2036"/>
      </w:r>
      <w:r>
        <w:rPr>
          <w:rFonts w:ascii="IRNazanin" w:hAnsi="IRNazanin" w:eastAsia="IRNazanin"/>
          <w:color w:val="111111"/>
          <w:sz w:val="28"/>
          <w:sz w:val="28"/>
          <w:szCs w:val="28"/>
          <w:rtl w:val="true"/>
          <w:lang w:bidi="fa-IR"/>
        </w:rPr>
        <w:t>و لا یحتاج إلی إحراز عدمه، و لو بالأصل، فهی ممنوعة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علی یقین من الوضوء و الحدث، و لا تدری أیّهما أسبق، فتوضّأ</w:t>
      </w:r>
      <w:r>
        <w:rPr>
          <w:rFonts w:eastAsia="IRNazanin" w:cs="IRNazanin"/>
          <w:color w:val="111111"/>
          <w:sz w:val="28"/>
          <w:szCs w:val="28"/>
          <w:rtl w:val="true"/>
          <w:lang w:bidi="fa-IR"/>
        </w:rPr>
        <w:t xml:space="preserve">» </w:t>
      </w:r>
      <w:r>
        <w:rPr>
          <w:rStyle w:val="FootnoteAnchor"/>
          <w:rtl w:val="true"/>
        </w:rPr>
        <w:footnoteReference w:id="2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دعوی انجباره فی المقام بالشهرة المحقّقة، و ظهور الاتّفاق المفهوم من نسبته فی الذکری إلی الأصحاب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یستدلّ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xml:space="preserve">) </w:t>
      </w:r>
      <w:r>
        <w:rPr>
          <w:rStyle w:val="FootnoteAnchor"/>
          <w:rtl w:val="true"/>
        </w:rPr>
        <w:footnoteReference w:id="2039"/>
      </w:r>
      <w:r>
        <w:rPr>
          <w:rFonts w:ascii="IRNazanin" w:hAnsi="IRNazanin" w:eastAsia="IRNazanin"/>
          <w:color w:val="111111"/>
          <w:sz w:val="28"/>
          <w:sz w:val="28"/>
          <w:szCs w:val="28"/>
          <w:rtl w:val="true"/>
          <w:lang w:bidi="fa-IR"/>
        </w:rPr>
        <w:t>أوجب الوضوء عند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الصلاة و الطهور</w:t>
      </w:r>
      <w:r>
        <w:rPr>
          <w:rFonts w:eastAsia="IRNazanin" w:cs="IRNazanin"/>
          <w:color w:val="111111"/>
          <w:sz w:val="28"/>
          <w:szCs w:val="28"/>
          <w:rtl w:val="true"/>
          <w:lang w:bidi="fa-IR"/>
        </w:rPr>
        <w:t xml:space="preserve">» </w:t>
      </w:r>
      <w:r>
        <w:rPr>
          <w:rStyle w:val="FootnoteAnchor"/>
          <w:rtl w:val="true"/>
        </w:rPr>
        <w:footnoteReference w:id="2040"/>
      </w:r>
      <w:r>
        <w:rPr>
          <w:rFonts w:ascii="IRNazanin" w:hAnsi="IRNazanin" w:eastAsia="IRNazanin"/>
          <w:color w:val="111111"/>
          <w:sz w:val="28"/>
          <w:sz w:val="28"/>
          <w:szCs w:val="28"/>
          <w:rtl w:val="true"/>
          <w:lang w:bidi="fa-IR"/>
        </w:rPr>
        <w:t>، و لم یعلم خروج ما نحن فیه عن إطلاقهما، و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 أنّک أحدثت فتوضّأ</w:t>
      </w:r>
      <w:r>
        <w:rPr>
          <w:rFonts w:eastAsia="IRNazanin" w:cs="IRNazanin"/>
          <w:color w:val="111111"/>
          <w:sz w:val="28"/>
          <w:szCs w:val="28"/>
          <w:rtl w:val="true"/>
          <w:lang w:bidi="fa-IR"/>
        </w:rPr>
        <w:t xml:space="preserve">» </w:t>
      </w:r>
      <w:r>
        <w:rPr>
          <w:rStyle w:val="FootnoteAnchor"/>
          <w:rtl w:val="true"/>
        </w:rPr>
        <w:footnoteReference w:id="2041"/>
      </w:r>
      <w:r>
        <w:rPr>
          <w:rFonts w:ascii="IRNazanin" w:hAnsi="IRNazanin" w:eastAsia="IRNazanin"/>
          <w:color w:val="111111"/>
          <w:sz w:val="28"/>
          <w:sz w:val="28"/>
          <w:szCs w:val="28"/>
          <w:rtl w:val="true"/>
          <w:lang w:bidi="fa-IR"/>
        </w:rPr>
        <w:t>، و المفروض أنّه استیقن بأنّه أحدث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جواز التمسک بعمومات وجوب الوضوء بعد حصول أسبابه، و 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سبق فی محلّه، من أنّ الأصل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کون کلّ واحد من تلک الأسباب و لو وقع عقیب مثله مقتضیا لتکلیف مستقلّ بالطهارة، غایة الأمر أنّه إذا علم تعاقبهما اکتفی الشارع بامتثال التکلیفین بفعل واحد، فإذا لم یعلم توالیهما لم یعلم سقوط التکلیفین بفعل واحد، فلا بدّ من فعل آخر لیعلم بالسقوط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العلم بخروج ما نحن فیه عن عموم الآیة غیر مجد، بل لا بدّ من العلم بدخوله </w:t>
      </w:r>
      <w:r>
        <w:rPr>
          <w:rStyle w:val="FootnoteAnchor"/>
          <w:rtl w:val="true"/>
        </w:rPr>
        <w:footnoteReference w:id="2042"/>
      </w:r>
      <w:r>
        <w:rPr>
          <w:rFonts w:ascii="IRNazanin" w:hAnsi="IRNazanin" w:eastAsia="IRNazanin"/>
          <w:color w:val="111111"/>
          <w:sz w:val="28"/>
          <w:sz w:val="28"/>
          <w:szCs w:val="28"/>
          <w:rtl w:val="true"/>
          <w:lang w:bidi="fa-IR"/>
        </w:rPr>
        <w:t>فیه، و لو بحکم أصالة العموم الراجعة إلی أصالة الحقیقة، و هی غیر جاریة فیما نحن فیه، لأنّ الآیة مخصّصة بالمتطهر، للإجماع، و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تحدث وضوءا حتّی تستیقن أنّک قد أحدثت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الدالّ علی نفی وجوب الوضوء مع عدم تیقّن الحدث قبله، 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یصلّی بوضوء واحد صلاة اللیل و النهار</w:t>
      </w:r>
      <w:r>
        <w:rPr>
          <w:rFonts w:eastAsia="IRNazanin" w:cs="IRNazanin"/>
          <w:color w:val="111111"/>
          <w:sz w:val="28"/>
          <w:szCs w:val="28"/>
          <w:rtl w:val="true"/>
          <w:lang w:bidi="fa-IR"/>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 فیما نحن فیه فی کون الشخص من مصادیق عنوان المخصّص أو من مصادیق عنوان العام، نظیر أکرم العلماء إلّا زیدا إذا شکّ فی کون شخص زیدا أو غیره، فإنّ کونه زیدا أو غیر زید لا یؤثّر فی أصالة الحقیقة فی العموم، بعد العلم بأنّه لم یخصّص إلّا بزید، و لم یرد منه إلّا معنی مجازیّ واحد، و هو ما عدا زید، فلیس الشکّ فی المراد حتّی یجری أصالة الحقیقة، و إنّما المشکوک صدق المراد المعلوم تفصیلا علی أمر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الصلاة و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إمّا مختصّ بالمحدث الممنوع من الصلاة، إذا أرید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 للحدث، أو المبیح للصلاة، فلا یجب إلّا فی حقّ الممنوع، و تحقّق هذا الموضوع مشکوک فیما نحن فیه، فکیف یثبت الحکم؟ و إمّا مخصّص به لمثل ما ذکرنا فی الآیة، إن أرید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الوضوء، مع قطع النظر عن کونه متلبّسا بوصف رفع الحدث، أو استباحة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 من أنّ ظاهره وجوب الوضوء حین تیقّن الحدث، لا بمجرّد حدوثه فی زمان و إن ارتفع بعده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Style w:val="FootnoteAnchor"/>
          <w:rtl w:val="true"/>
        </w:rPr>
        <w:footnoteReference w:id="2044"/>
      </w:r>
      <w:r>
        <w:rPr>
          <w:rFonts w:ascii="IRNazanin" w:hAnsi="IRNazanin" w:eastAsia="IRNazanin"/>
          <w:color w:val="111111"/>
          <w:sz w:val="28"/>
          <w:sz w:val="28"/>
          <w:szCs w:val="28"/>
          <w:rtl w:val="true"/>
          <w:lang w:bidi="fa-IR"/>
        </w:rPr>
        <w:t>أنّه معارض بقوله علیه السلام فی روایة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توضّأت فإیّاک أن تحدث وضوءا </w:t>
      </w:r>
      <w:r>
        <w:rPr>
          <w:rStyle w:val="FootnoteAnchor"/>
          <w:rtl w:val="true"/>
        </w:rPr>
        <w:footnoteReference w:id="2045"/>
      </w:r>
      <w:r>
        <w:rPr>
          <w:rFonts w:ascii="IRNazanin" w:hAnsi="IRNazanin" w:eastAsia="IRNazanin"/>
          <w:color w:val="111111"/>
          <w:sz w:val="28"/>
          <w:sz w:val="28"/>
          <w:szCs w:val="28"/>
          <w:rtl w:val="true"/>
          <w:lang w:bidi="fa-IR"/>
        </w:rPr>
        <w:t>حتّی تستیقن أنّک قد أحدثت</w:t>
      </w:r>
      <w:r>
        <w:rPr>
          <w:rFonts w:eastAsia="IRNazanin" w:cs="IRNazanin"/>
          <w:color w:val="111111"/>
          <w:sz w:val="28"/>
          <w:szCs w:val="28"/>
          <w:rtl w:val="true"/>
          <w:lang w:bidi="fa-IR"/>
        </w:rPr>
        <w:t xml:space="preserve">» </w:t>
      </w:r>
      <w:r>
        <w:rPr>
          <w:rStyle w:val="FootnoteAnchor"/>
          <w:rtl w:val="true"/>
        </w:rPr>
        <w:footnoteReference w:id="2046"/>
      </w:r>
      <w:r>
        <w:rPr>
          <w:rFonts w:ascii="IRNazanin" w:hAnsi="IRNazanin" w:eastAsia="IRNazanin"/>
          <w:color w:val="111111"/>
          <w:sz w:val="28"/>
          <w:sz w:val="28"/>
          <w:szCs w:val="28"/>
          <w:rtl w:val="true"/>
          <w:lang w:bidi="fa-IR"/>
        </w:rPr>
        <w:t>، بناء علی ظاهره من إرادة الإحداث بعد ذلک الوضوء، و هذا الشخص قد توضّأ فی زمان و لم یتیقّن الإحداث بعده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أدلّة أسباب الوضوء، فیرد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الإغماض عن تقیّد السبب فیها بقرینة الإجماع علی عدم مشروعیّة أزید من طهارة واحدة للمتعدّد المتوالی منها بما لم یقع عقیب مثله، فیشترط فی تأثیر ما یقع منها عدم مسبوقیّته بمثله، فالشکّ فیما نحن فیه کما تقدّم فی الآیة شکّ فی المصداق، و لا یجری 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مسوقة لبیان وجوب الوضوء بعدها بسببها، أمّا لو شکّ فی أنّ هذا المسبّب وقع عقیب السبب الذی اقتضاه</w:t>
      </w:r>
    </w:p>
    <w:p>
      <w:pPr>
        <w:pStyle w:val="BookText"/>
        <w:rPr/>
      </w:pPr>
      <w:r>
        <w:rPr>
          <w:rFonts w:ascii="IRNazanin" w:hAnsi="IRNazanin" w:eastAsia="IRNazanin"/>
          <w:color w:val="111111"/>
          <w:sz w:val="28"/>
          <w:sz w:val="28"/>
          <w:szCs w:val="28"/>
          <w:rtl w:val="true"/>
          <w:lang w:bidi="fa-IR"/>
        </w:rPr>
        <w:t>و سقط عنّا مقتضاه، أو لم یقع بعد و لا بدّ من إیقاعه، فیطلب لإثبات وجوب إیقاعه لیحصل الیقین بحصول أثر السبب، دلیل آخر غیر دلیل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فالحکم بسببیّة شی‌ء لوجوب شی‌ء لا یثبت به وجوب تحصیل الیقین لوجود المسبّب، بل لا بدّ من إثباته بقاعدة الاستصحاب أو قاعدة وجوب الیقین بإحراز الشرط إن کان المسبّب المشکوک الحصول شرطا، 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القاعدة الثانیة، فهی التی تمسّکنا بها فی المقام، تبعا لجماعة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تحقّق المسبّب، فلا یخفی علی أدنی محصّل ما سطر فی أکثر کتب الأصحاب، و ارتکز فی أذهان اولی الألباب من معارضته باستصحاب عدم الرافع، و کما یقضی الاستصحاب بعدم تحقّق المسبّب و هو الوضوء بعد السبب و هو الحدث، کذلک یقضی الاستصحاب بعدم حصول الناقض و هو الحدث بعد الطهارة المتیقّنة بالفرض، و هذا معنی قول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تیقّن الطهارة معارض بتیقّن الحدث </w:t>
      </w:r>
      <w:r>
        <w:rPr>
          <w:rStyle w:val="FootnoteAnchor"/>
          <w:rtl w:val="true"/>
        </w:rPr>
        <w:footnoteReference w:id="2047"/>
      </w:r>
      <w:r>
        <w:rPr>
          <w:rFonts w:ascii="IRNazanin" w:hAnsi="IRNazanin" w:eastAsia="IRNazanin"/>
          <w:color w:val="111111"/>
          <w:sz w:val="28"/>
          <w:sz w:val="28"/>
          <w:szCs w:val="28"/>
          <w:rtl w:val="true"/>
          <w:lang w:bidi="fa-IR"/>
        </w:rPr>
        <w:t>،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تعارضهما من حیث مقتضاهما، و هو العمل علی المتیقّن عند الشکّ فی ارتفاعه، و إلّا فهما فی أنفسهما غیر منافیین، لأنّ المفروض اجتماعهما فی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المسألة أقوالا أخر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مال إلیه فی المعتبر </w:t>
      </w:r>
      <w:r>
        <w:rPr>
          <w:rStyle w:val="FootnoteAnchor"/>
          <w:rtl w:val="true"/>
        </w:rPr>
        <w:footnoteReference w:id="2048"/>
      </w:r>
      <w:r>
        <w:rPr>
          <w:rFonts w:ascii="IRNazanin" w:hAnsi="IRNazanin" w:eastAsia="IRNazanin"/>
          <w:color w:val="111111"/>
          <w:sz w:val="28"/>
          <w:sz w:val="28"/>
          <w:szCs w:val="28"/>
          <w:rtl w:val="true"/>
          <w:lang w:bidi="fa-IR"/>
        </w:rPr>
        <w:t xml:space="preserve">و اختاره جامع المقاصد </w:t>
      </w:r>
      <w:r>
        <w:rPr>
          <w:rStyle w:val="FootnoteAnchor"/>
          <w:rtl w:val="true"/>
        </w:rPr>
        <w:footnoteReference w:id="2049"/>
      </w:r>
      <w:r>
        <w:rPr>
          <w:rFonts w:ascii="IRNazanin" w:hAnsi="IRNazanin" w:eastAsia="IRNazanin"/>
          <w:color w:val="111111"/>
          <w:sz w:val="28"/>
          <w:sz w:val="28"/>
          <w:szCs w:val="28"/>
          <w:rtl w:val="true"/>
          <w:lang w:bidi="fa-IR"/>
        </w:rPr>
        <w:t>، و نسبه</w:t>
      </w:r>
    </w:p>
    <w:p>
      <w:pPr>
        <w:pStyle w:val="BookText"/>
        <w:rPr/>
      </w:pPr>
      <w:r>
        <w:rPr>
          <w:rFonts w:ascii="IRNazanin" w:hAnsi="IRNazanin" w:eastAsia="IRNazanin"/>
          <w:color w:val="111111"/>
          <w:sz w:val="28"/>
          <w:sz w:val="28"/>
          <w:szCs w:val="28"/>
          <w:rtl w:val="true"/>
          <w:lang w:bidi="fa-IR"/>
        </w:rPr>
        <w:t xml:space="preserve">شارح الجعفریة </w:t>
      </w:r>
      <w:r>
        <w:rPr>
          <w:rStyle w:val="FootnoteAnchor"/>
          <w:rtl w:val="true"/>
        </w:rPr>
        <w:footnoteReference w:id="2050"/>
      </w:r>
      <w:r>
        <w:rPr>
          <w:rFonts w:ascii="IRNazanin" w:hAnsi="IRNazanin" w:eastAsia="IRNazanin"/>
          <w:color w:val="111111"/>
          <w:sz w:val="28"/>
          <w:sz w:val="28"/>
          <w:szCs w:val="28"/>
          <w:rtl w:val="true"/>
          <w:lang w:bidi="fa-IR"/>
        </w:rPr>
        <w:t>إلی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صورة الجهل بالحالة السابقة علی الحالتین فکالمشهور، و بین صورة العلم بها فیؤخذ بضدّها، لأنّ تلک الحالة ارتفعت یقینا، فوجود الرافع لها یقینی، و ارتفاع ذلک الرافع مشکوک فیه، مثلا إذا کان قبلهما </w:t>
      </w:r>
      <w:r>
        <w:rPr>
          <w:rStyle w:val="FootnoteAnchor"/>
          <w:rtl w:val="true"/>
        </w:rPr>
        <w:footnoteReference w:id="2051"/>
      </w:r>
      <w:r>
        <w:rPr>
          <w:rFonts w:ascii="IRNazanin" w:hAnsi="IRNazanin" w:eastAsia="IRNazanin"/>
          <w:color w:val="111111"/>
          <w:sz w:val="28"/>
          <w:sz w:val="28"/>
          <w:szCs w:val="28"/>
          <w:rtl w:val="true"/>
          <w:lang w:bidi="fa-IR"/>
        </w:rPr>
        <w:t xml:space="preserve">متطهرا فانتقاض تلک الطهارة بالحدث یقینی، و لم یعلم ارتفاع ذلک الحدث، لاحتمال تقدّم الطهارة المعلومة، فیرجع الأمر إلی تیقّن الحدث و الشکّ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الحال فی العکس، و إنّه یرجع إلی تیقّن الطهارة و الشکّ فی</w:t>
      </w:r>
      <w:r>
        <w:rPr>
          <w:rFonts w:eastAsia="IRNazanin" w:cs="IRNazanin"/>
          <w:color w:val="111111"/>
          <w:sz w:val="28"/>
          <w:szCs w:val="28"/>
          <w:rtl w:val="true"/>
          <w:lang w:bidi="fa-IR"/>
        </w:rPr>
        <w:t xml:space="preserve">) </w:t>
      </w:r>
      <w:r>
        <w:rPr>
          <w:rStyle w:val="FootnoteAnchor"/>
          <w:rtl w:val="true"/>
        </w:rPr>
        <w:footnoteReference w:id="2052"/>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تمّ لیس خلافا فی المسألة، لرجوعه إمّا إلی یقین الحدث مع الشکّ فی الطهارة أو إلی العکس و البحث فی غیره </w:t>
      </w:r>
      <w:r>
        <w:rPr>
          <w:rStyle w:val="FootnoteAnchor"/>
          <w:rtl w:val="true"/>
        </w:rPr>
        <w:footnoteReference w:id="205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جزم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إطلاق الأصحاب الحکم بوجوب التطهّر مقیّد بعدم علمه حاله قبل زمانهما </w:t>
      </w:r>
      <w:r>
        <w:rPr>
          <w:rStyle w:val="FootnoteAnchor"/>
          <w:rtl w:val="true"/>
        </w:rPr>
        <w:footnoteReference w:id="2054"/>
      </w:r>
      <w:r>
        <w:rPr>
          <w:rFonts w:ascii="IRNazanin" w:hAnsi="IRNazanin" w:eastAsia="IRNazanin"/>
          <w:color w:val="111111"/>
          <w:sz w:val="28"/>
          <w:sz w:val="28"/>
          <w:szCs w:val="28"/>
          <w:rtl w:val="true"/>
          <w:lang w:bidi="fa-IR"/>
        </w:rPr>
        <w:t xml:space="preserve">، بل حکی عن المسالک </w:t>
      </w:r>
      <w:r>
        <w:rPr>
          <w:rStyle w:val="FootnoteAnchor"/>
          <w:rtl w:val="true"/>
        </w:rPr>
        <w:footnoteReference w:id="2055"/>
      </w:r>
      <w:r>
        <w:rPr>
          <w:rFonts w:ascii="IRNazanin" w:hAnsi="IRNazanin" w:eastAsia="IRNazanin"/>
          <w:color w:val="111111"/>
          <w:sz w:val="28"/>
          <w:sz w:val="28"/>
          <w:szCs w:val="28"/>
          <w:rtl w:val="true"/>
          <w:lang w:bidi="fa-IR"/>
        </w:rPr>
        <w:t>تقیید عبارة الشرائع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رجوع ما نحن فیه إلی عین مسألتی الشکّ فی الطهارة مع تیقّن الحدث و العکس، فلا یخفی ما فیه، لأنّ کلامهم فی المسألتین مفروض فی تیقّن أحدهما و الشکّ فی وجود الآخر، لا فی تأثیر الآخر المعلوم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رجوعه إلیهما فی الحکم و الدلیل، حیث إنّ استصحاب بقاء الرافع للحالة السابقة علی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الحدث فی الاولی و الطهارة فی عکسها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عن معارضته باستصحاب بقاء حکم الآخر المعلوم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الطهارة فی الاولی و الحدث فی عکسها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العلم بوجوده لا یکفی فی استصحابه، بل لا بدّ فیه من العلم بتأثیره، و هو مفقود فی الفرض، لاحتمال وقوعه قبل ذلک الرافع و عقیب مجانسه فلا یؤثّر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التقریر یظهر أنّ ما ذکره فی المدارک </w:t>
      </w:r>
      <w:r>
        <w:rPr>
          <w:rStyle w:val="FootnoteAnchor"/>
          <w:rtl w:val="true"/>
        </w:rPr>
        <w:footnoteReference w:id="2056"/>
      </w:r>
      <w:r>
        <w:rPr>
          <w:rFonts w:ascii="IRNazanin" w:hAnsi="IRNazanin" w:eastAsia="IRNazanin"/>
          <w:color w:val="111111"/>
          <w:sz w:val="28"/>
          <w:sz w:val="28"/>
          <w:szCs w:val="28"/>
          <w:rtl w:val="true"/>
          <w:lang w:bidi="fa-IR"/>
        </w:rPr>
        <w:t xml:space="preserve">تبعا للمنتهی </w:t>
      </w:r>
      <w:r>
        <w:rPr>
          <w:rStyle w:val="FootnoteAnchor"/>
          <w:rtl w:val="true"/>
        </w:rPr>
        <w:footnoteReference w:id="2057"/>
      </w:r>
      <w:r>
        <w:rPr>
          <w:rFonts w:ascii="IRNazanin" w:hAnsi="IRNazanin" w:eastAsia="IRNazanin"/>
          <w:color w:val="111111"/>
          <w:sz w:val="28"/>
          <w:sz w:val="28"/>
          <w:szCs w:val="28"/>
          <w:rtl w:val="true"/>
          <w:lang w:bidi="fa-IR"/>
        </w:rPr>
        <w:t>من أنّ وقوع طهارة فی المسألة الاولی و حدث فی المسألة الثانیة یقینی أیضا، فلا بدّ من العلم بناقض الطهارة و رافع الحدث، إذ مجرّد الوضوء و الحدث ما لم یعلم تأثیرهما لا یعقل فیهما استصحاب</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فیه ما ذکره جماعة </w:t>
      </w:r>
      <w:r>
        <w:rPr>
          <w:rStyle w:val="FootnoteAnchor"/>
          <w:rtl w:val="true"/>
        </w:rPr>
        <w:footnoteReference w:id="2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لشارح الدروس </w:t>
      </w:r>
      <w:r>
        <w:rPr>
          <w:rStyle w:val="FootnoteAnchor"/>
          <w:rtl w:val="true"/>
        </w:rPr>
        <w:footnoteReference w:id="2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المستصحب فی الاستصحاب المعارض لیس أثر ذلک الآخر الناشئ عنه،</w:t>
      </w:r>
    </w:p>
    <w:p>
      <w:pPr>
        <w:pStyle w:val="BookText"/>
        <w:rPr/>
      </w:pPr>
      <w:r>
        <w:rPr>
          <w:rFonts w:ascii="IRNazanin" w:hAnsi="IRNazanin" w:eastAsia="IRNazanin"/>
          <w:color w:val="111111"/>
          <w:sz w:val="28"/>
          <w:sz w:val="28"/>
          <w:szCs w:val="28"/>
          <w:rtl w:val="true"/>
          <w:lang w:bidi="fa-IR"/>
        </w:rPr>
        <w:t xml:space="preserve">حتّی یقال إنّه غیر متیقّن فی السابق، بل المستصحب هو الأثر الموجود حال حدوثه و إن لم یعلم بکونه ناشئا عنه فإذا کان الحالة السابقة علی الحالتین هو الحدث فالطهارة رافعة له یقینا، و إن کان مستصحبا، إلّا أنّ الحالة المانعة المعبّر عنها بالحدث متیقّن الوجود عند الحدث المعلوم حدوثه، و إن لم یعلم تأثیره فالأصل بقاؤه و إن لم یکن ناشئا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الحالة المانعة المعلومة عند الحدث المتیقّن مردّدة بین حالة معلومة الارتفاع و اخری مشکوکة الحدوث، فالشکّ فی بقائها مسبّب عن الشکّ فی حدوث الحالة الأخری، و الأصل عدم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یمنع کون الشکّ فی بقاء تلک الحالة المانعة مسبّبا عن الشکّ فی حدوث الحالة الأخری، بل الشکّان مسبّبان عن الشکّ فی تأریخ الحدث المعلوم وقوعه، فاستصحاب عدم حدوث حالة مانعة اخری کاستصحاب بقاء الطهارة معارض باستصحاب الحالة المانعة المعلومة، فغایة الأمر أنّ هنا استصحابا وجودیا و هو استصحاب الطهارة الرافعة، و عدمیّا و هو استصحاب عدم حدث آخر بعد هذه الطهارة، و یمکن فی المقابل مثله و هو استصحاب الحالة المانعة المعلومة عند الحدث الآخر، و استصحاب عدم طهارة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منع جریان </w:t>
      </w:r>
      <w:r>
        <w:rPr>
          <w:rStyle w:val="FootnoteAnchor"/>
          <w:rtl w:val="true"/>
        </w:rPr>
        <w:footnoteReference w:id="2061"/>
      </w:r>
      <w:r>
        <w:rPr>
          <w:rFonts w:ascii="IRNazanin" w:hAnsi="IRNazanin" w:eastAsia="IRNazanin"/>
          <w:color w:val="111111"/>
          <w:sz w:val="28"/>
          <w:sz w:val="28"/>
          <w:szCs w:val="28"/>
          <w:rtl w:val="true"/>
          <w:lang w:bidi="fa-IR"/>
        </w:rPr>
        <w:t>الاستصحاب فی الحالة المانعة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المردّد استنادها إلی الحدث المرتفع أو حدث آخر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ذلک القول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نظیر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غسل ثوبا نجسا بماءین یعلم نجاسة</w:t>
      </w:r>
    </w:p>
    <w:p>
      <w:pPr>
        <w:pStyle w:val="BookText"/>
        <w:rPr/>
      </w:pPr>
      <w:r>
        <w:rPr>
          <w:rFonts w:ascii="IRNazanin" w:hAnsi="IRNazanin" w:eastAsia="IRNazanin"/>
          <w:color w:val="111111"/>
          <w:sz w:val="28"/>
          <w:sz w:val="28"/>
          <w:szCs w:val="28"/>
          <w:rtl w:val="true"/>
          <w:lang w:bidi="fa-IR"/>
        </w:rPr>
        <w:t>أحدهما، فإنّه یعارض هنا استصحاب الطهارة الرافعة للنجاسة السابقة استصحاب النجاسة المعیّنة حال ملاقاة النجس من الماءین، و کذا لو أصاب ثوبا طاهرا کرّان أحدهما نجس، إلّا أنّ المرجع فی هاتین المسألتین إلی قاعدة الطهارة، بخلاف ما نحن فیه، فإنّه لا یثبت شی‌ء من الطهارة و الحدث بالأصل و یبقی ما تقدّم من قاعدة الشغل المتقدّمة سابقا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العلّامة فی بعض کتبه </w:t>
      </w:r>
      <w:r>
        <w:rPr>
          <w:rStyle w:val="FootnoteAnchor"/>
          <w:rtl w:val="true"/>
        </w:rPr>
        <w:footnoteReference w:id="2062"/>
      </w:r>
      <w:r>
        <w:rPr>
          <w:rFonts w:ascii="IRNazanin" w:hAnsi="IRNazanin" w:eastAsia="IRNazanin"/>
          <w:color w:val="111111"/>
          <w:sz w:val="28"/>
          <w:sz w:val="28"/>
          <w:szCs w:val="28"/>
          <w:rtl w:val="true"/>
          <w:lang w:bidi="fa-IR"/>
        </w:rPr>
        <w:t>من الأخذ بالحالة السابقة علی الحالتین، استنادا إلی تکافئهما الموجب لتساقطهما، فیرجع إلی ما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 یخفی إن أراد ظاهره، و إن أراد بالطهارة خصوص الرافعة، و بالحدث خصوص الناقض، و بالاستصحاب التزام نوع الحالة السابقة، فیرجع إلی التفصیل الثالث للأقوال و </w:t>
      </w:r>
      <w:r>
        <w:rPr>
          <w:rStyle w:val="FootnoteAnchor"/>
          <w:rtl w:val="true"/>
        </w:rPr>
        <w:footnoteReference w:id="2063"/>
      </w:r>
      <w:r>
        <w:rPr>
          <w:rFonts w:ascii="IRNazanin" w:hAnsi="IRNazanin" w:eastAsia="IRNazanin"/>
          <w:color w:val="111111"/>
          <w:sz w:val="28"/>
          <w:sz w:val="28"/>
          <w:szCs w:val="28"/>
          <w:rtl w:val="true"/>
          <w:lang w:bidi="fa-IR"/>
        </w:rPr>
        <w:t>المحکیّ عنه فی المختلف، حیث قال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تیقّن عند الزوال أنّه نقض طهارة و توضّأ عن حدث و شکّ فی السابق فإنّه یستصحب حاله السابق علی الزوال، فإن کان فی تلک الحال متطهّرا بنی علی طهارته، لأنّه تیقّن أنّه </w:t>
      </w:r>
      <w:r>
        <w:rPr>
          <w:rStyle w:val="FootnoteAnchor"/>
          <w:rtl w:val="true"/>
        </w:rPr>
        <w:footnoteReference w:id="2064"/>
      </w:r>
      <w:r>
        <w:rPr>
          <w:rFonts w:ascii="IRNazanin" w:hAnsi="IRNazanin" w:eastAsia="IRNazanin"/>
          <w:color w:val="111111"/>
          <w:sz w:val="28"/>
          <w:sz w:val="28"/>
          <w:szCs w:val="28"/>
          <w:rtl w:val="true"/>
          <w:lang w:bidi="fa-IR"/>
        </w:rPr>
        <w:t xml:space="preserve">نقض تلک الطهارة، و نقض الطهارة الثانیة مشکوک فیه، فلا یزول الیقین بالشکّ، و إن کان قبل الزوال محدثا فهو الآن محدث، لأنّه تیقّن أنّه انتقل عنه إلی الطهارة ثمّ نقضها، و الطهارة بعد نقضها مشکوک فیها </w:t>
      </w:r>
      <w:r>
        <w:rPr>
          <w:rStyle w:val="FootnoteAnchor"/>
          <w:rtl w:val="true"/>
        </w:rPr>
        <w:footnoteReference w:id="20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فی الذکری </w:t>
      </w:r>
      <w:r>
        <w:rPr>
          <w:rStyle w:val="FootnoteAnchor"/>
          <w:rtl w:val="true"/>
        </w:rPr>
        <w:footnoteReference w:id="2066"/>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067"/>
      </w:r>
      <w:r>
        <w:rPr>
          <w:rFonts w:ascii="IRNazanin" w:hAnsi="IRNazanin" w:eastAsia="IRNazanin"/>
          <w:color w:val="111111"/>
          <w:sz w:val="28"/>
          <w:sz w:val="28"/>
          <w:szCs w:val="28"/>
          <w:rtl w:val="true"/>
          <w:lang w:bidi="fa-IR"/>
        </w:rPr>
        <w:t xml:space="preserve">أنّه یجوز توالی الطهارتین و تعاقب الحدثین فلا یتعیّن تأخّر الطهارة فی الصورة الاولی و الحدث فی الثانیة، و هذا الإیراد کما تری، لعدم احتمال التوالی فیما فرضه، کما نبّه علیه فی المدارک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أورد فی المدارک </w:t>
      </w: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للذکری </w:t>
      </w:r>
      <w:r>
        <w:rPr>
          <w:rStyle w:val="FootnoteAnchor"/>
          <w:rtl w:val="true"/>
        </w:rPr>
        <w:footnoteReference w:id="2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التخصیص یخرج المسألة إلی الیقین، فإیراد کلامه قولا فی المسألة ممّا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 عن ذلک وحید عصره فی 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لشارح الدروس </w:t>
      </w:r>
      <w:r>
        <w:rPr>
          <w:rStyle w:val="FootnoteAnchor"/>
          <w:rtl w:val="true"/>
        </w:rPr>
        <w:footnoteReference w:id="2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تتصوّر علی صورتین،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الناقض و الطهارة الرافعة کلّ منهما واحدا غیر متعدّد علی الیقین، و الثانیة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کلّ واحد منهما علی الیقین فی الجملة، فالقدر المتیقّن واحد مع احتمال الزیادة باحتمال أن یکونا متّحدین أو متعدّدین، فکأنّهم حملوا عبارته فی المختلف علی الصورة الاولی، و غفلوا عن أنّه یلزم علی هذا أن یکون </w:t>
      </w:r>
      <w:r>
        <w:rPr>
          <w:rStyle w:val="FootnoteAnchor"/>
          <w:rtl w:val="true"/>
        </w:rPr>
        <w:footnoteReference w:id="2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الطهارة الثانیة مشکوک فلا یزول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محضا، 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الطهارة بعد نقضها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2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هاتین الکلمتین</w:t>
      </w:r>
    </w:p>
    <w:p>
      <w:pPr>
        <w:pStyle w:val="BookText"/>
        <w:rPr/>
      </w:pPr>
      <w:r>
        <w:rPr>
          <w:rFonts w:ascii="IRNazanin" w:hAnsi="IRNazanin" w:eastAsia="IRNazanin"/>
          <w:color w:val="111111"/>
          <w:sz w:val="28"/>
          <w:sz w:val="28"/>
          <w:szCs w:val="28"/>
          <w:rtl w:val="true"/>
          <w:lang w:bidi="fa-IR"/>
        </w:rPr>
        <w:t xml:space="preserve">صریحتان فی التمسّک بالاستصحاب، و غیر خفی أنّ مراده الصورة الثانیة، و الیقین الحاصل بوقوع حدث فی الجملة و طهارة رافعة کذلک لا ینفع إلّا بضمیمة الاستصحاب، کما لا یخفی، فکان ما ذکره قولا فی المسألة بالنسبة إلی أحد شقوقها، فتأمّل، انتهی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طروّ الضدّ علی المتأخّر و دفعه باستصحاب عدمه أجنبیّ عمّا نحن فیه، لأنّ الکلام فی علاج الجهل بتأریخ الحدث الناقض و الطهارة الرافعة، و بعد الحکم بتأخّر الطهارة عن الحدث فی الصورة الأولی، فاحتمال وقوع حدث بعده و عدم احتماله لا دخل له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فرضناه متطهّرا قبل الزوال، و فرض طهارة رافعة و حدث ناقض، و کلّ ما </w:t>
      </w:r>
      <w:r>
        <w:rPr>
          <w:rStyle w:val="FootnoteAnchor"/>
          <w:rtl w:val="true"/>
        </w:rPr>
        <w:footnoteReference w:id="2075"/>
      </w:r>
      <w:r>
        <w:rPr>
          <w:rFonts w:ascii="IRNazanin" w:hAnsi="IRNazanin" w:eastAsia="IRNazanin"/>
          <w:color w:val="111111"/>
          <w:sz w:val="28"/>
          <w:sz w:val="28"/>
          <w:szCs w:val="28"/>
          <w:rtl w:val="true"/>
          <w:lang w:bidi="fa-IR"/>
        </w:rPr>
        <w:t>فرض بعده من الطهارة واحدة أو أزید، فلا یکون رافعة حتّی یقع بعده حدث ناقض، فاحتمال وقوع الطهارة الواحدة أو المتعدّدة بعد ذلک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حصل الحدث فکلّ ما یقع بعده من الأحداث لا یکون ناقضا حتّی یقع بعده </w:t>
      </w:r>
      <w:r>
        <w:rPr>
          <w:rStyle w:val="FootnoteAnchor"/>
          <w:rtl w:val="true"/>
        </w:rPr>
        <w:footnoteReference w:id="2076"/>
      </w:r>
      <w:r>
        <w:rPr>
          <w:rFonts w:ascii="IRNazanin" w:hAnsi="IRNazanin" w:eastAsia="IRNazanin"/>
          <w:color w:val="111111"/>
          <w:sz w:val="28"/>
          <w:sz w:val="28"/>
          <w:szCs w:val="28"/>
          <w:rtl w:val="true"/>
          <w:lang w:bidi="fa-IR"/>
        </w:rPr>
        <w:t>طهارة رافعة، فالحکم بتأخّر طهارة رافعة عن حدث ناقض ممّا لا بدّ منه، من غیر فرق بین العلم ببقائها و الشکّ فی ارتفاعها الموجب لإبقائها بالاستصحاب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فالظاهر أنّ إطلاق الشکّ هنا باعتبار أصله قبل التروّی،</w:t>
      </w:r>
    </w:p>
    <w:p>
      <w:pPr>
        <w:pStyle w:val="BookText"/>
        <w:rPr/>
      </w:pPr>
      <w:r>
        <w:rPr>
          <w:rFonts w:ascii="IRNazanin" w:hAnsi="IRNazanin" w:eastAsia="IRNazanin"/>
          <w:color w:val="111111"/>
          <w:sz w:val="28"/>
          <w:sz w:val="28"/>
          <w:szCs w:val="28"/>
          <w:rtl w:val="true"/>
          <w:lang w:bidi="fa-IR"/>
        </w:rPr>
        <w:t xml:space="preserve">کما اعترف به جماعة، منهم الشهیدان </w:t>
      </w:r>
      <w:r>
        <w:rPr>
          <w:rStyle w:val="FootnoteAnchor"/>
          <w:rtl w:val="true"/>
        </w:rPr>
        <w:footnoteReference w:id="2077"/>
      </w:r>
      <w:r>
        <w:rPr>
          <w:rFonts w:ascii="IRNazanin" w:hAnsi="IRNazanin" w:eastAsia="IRNazanin"/>
          <w:color w:val="111111"/>
          <w:sz w:val="28"/>
          <w:sz w:val="28"/>
          <w:szCs w:val="28"/>
          <w:rtl w:val="true"/>
          <w:lang w:bidi="fa-IR"/>
        </w:rPr>
        <w:t>، و أنّ ما ذکره لیس من قبیل الشکّ الذی یرجع فیه إلی القواعد، بل شکّ یرتفع بعد الالتفات، کما لو شکّ فی عدد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 قدّس سرّه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تیقّنهما متّحدین متعاقبین و شکّ فی المتأخّر، فإن لم یعلم حاله قبل زمانهما تطهّر، و إلّا استصحبه </w:t>
      </w:r>
      <w:r>
        <w:rPr>
          <w:rStyle w:val="FootnoteAnchor"/>
          <w:rtl w:val="true"/>
        </w:rPr>
        <w:footnoteReference w:id="207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اتّحادهما فی العدد أی استوائهما، کحدث و طهارة، أو حدثین و طهارتین، 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الحدث منهما عقیب نوع الطهارة و الطهارة منهما عقیب نوع الحدث، و أمّا تعاقب شخصهما فغیر متصوّر، و وقوع أحدهما عقیب الآخر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اعتبر الاتّحاد و التعاقب، لأنّه بدونهما لا یطرد الأخذ بمثل الحالة السابقة، لأنّه لو زاد عدد الطهارة علی الحدث و کان قبلهما محدثا لم یکن الآن محدثا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الاتّحاد بمعنی عدم العلم بالتعدّد فهو الذی ذکره فی المختلف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تیقّن أنّه توضّأ عن حدث و نقض طهارة </w:t>
      </w:r>
      <w:r>
        <w:rPr>
          <w:rStyle w:val="FootnoteAnchor"/>
          <w:rtl w:val="true"/>
        </w:rPr>
        <w:footnoteReference w:id="2080"/>
      </w:r>
      <w:r>
        <w:rPr>
          <w:rFonts w:ascii="Amiri" w:hAnsi="Amiri" w:eastAsia="Amiri" w:cs="Amiri"/>
          <w:color w:val="111111"/>
          <w:sz w:val="28"/>
          <w:sz w:val="28"/>
          <w:szCs w:val="28"/>
          <w:rtl w:val="true"/>
          <w:lang w:bidi="ar-SA"/>
        </w:rPr>
        <w:t>، فالخارج هو صورة العلم بتعدّد الطهارة الرافعة و الحدث الناقض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شیخنا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تفصیلی الفاضلین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تحصّل لنا فی المسألة بعد تحریر کلام الجماعة أنّه إن علم التعاقب</w:t>
      </w:r>
    </w:p>
    <w:p>
      <w:pPr>
        <w:pStyle w:val="BookText"/>
        <w:rPr/>
      </w:pPr>
      <w:r>
        <w:rPr>
          <w:rFonts w:ascii="IRNazanin" w:hAnsi="IRNazanin" w:eastAsia="IRNazanin"/>
          <w:color w:val="111111"/>
          <w:sz w:val="28"/>
          <w:sz w:val="28"/>
          <w:szCs w:val="28"/>
          <w:rtl w:val="true"/>
          <w:lang w:bidi="fa-IR"/>
        </w:rPr>
        <w:t xml:space="preserve">فلا ریب فی الاستصحاب، و إلّا فإن کان لا یعتاد التجدید، بل إنّما یتطهّر حیث تطهّر طهارة رافعة، فکلام المحقّق مع فرض سبق الحدث أوجه، لضعف الحکم بوجوب الطهارة مع العلم بوقوعها علی الوجه المعتبر، و عدم العلم بتعقّب الحدث </w:t>
      </w:r>
      <w:r>
        <w:rPr>
          <w:rStyle w:val="FootnoteAnchor"/>
          <w:rtl w:val="true"/>
        </w:rPr>
        <w:footnoteReference w:id="2081"/>
      </w:r>
      <w:r>
        <w:rPr>
          <w:rFonts w:ascii="IRNazanin" w:hAnsi="IRNazanin" w:eastAsia="IRNazanin"/>
          <w:color w:val="111111"/>
          <w:sz w:val="28"/>
          <w:sz w:val="28"/>
          <w:szCs w:val="28"/>
          <w:rtl w:val="true"/>
          <w:lang w:bidi="fa-IR"/>
        </w:rPr>
        <w:t xml:space="preserve">المقتضی للإبطال إذا علم أنّه کان قبلها </w:t>
      </w:r>
      <w:r>
        <w:rPr>
          <w:rStyle w:val="FootnoteAnchor"/>
          <w:rtl w:val="true"/>
        </w:rPr>
        <w:footnoteReference w:id="2082"/>
      </w:r>
      <w:r>
        <w:rPr>
          <w:rFonts w:ascii="IRNazanin" w:hAnsi="IRNazanin" w:eastAsia="IRNazanin"/>
          <w:color w:val="111111"/>
          <w:sz w:val="28"/>
          <w:sz w:val="28"/>
          <w:szCs w:val="28"/>
          <w:rtl w:val="true"/>
          <w:lang w:bidi="fa-IR"/>
        </w:rPr>
        <w:t>محدثا، و لا یرد أنّ یقین الحدث مکافئ لیقین الطهارة، لأنّ الطهارة قد علم تأثیرها فی رفع الحدث، و الحدث لم یعلم تأثیره فی نقض الطهارة، لاحتمال أن یقع بعد الحدث الأوّل و قبل الطهارة، إذ الفرض عدم اشتراط التعاقب فلا یزول المعلوم بالاحتمال، بل یرجع إلی الیقین بالطهارة و الشکّ فی الحدث، و کلام المختلف فی فرض سبق الطهارة أوجه، لأنّ نفی احتمال التجدید یقتضی توسّط الحدث بین الطهارتین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القسم یرجع إلی التعاقب فلا یحتاج إلی استدراکه هنا</w:t>
      </w:r>
      <w:r>
        <w:rPr>
          <w:rFonts w:eastAsia="IRNazanin" w:cs="IRNazanin"/>
          <w:color w:val="111111"/>
          <w:sz w:val="28"/>
          <w:szCs w:val="28"/>
          <w:rtl w:val="true"/>
          <w:lang w:bidi="fa-IR"/>
        </w:rPr>
        <w:t xml:space="preserve">- </w:t>
      </w:r>
      <w:r>
        <w:rPr>
          <w:rStyle w:val="FootnoteAnchor"/>
          <w:rtl w:val="true"/>
        </w:rPr>
        <w:footnoteReference w:id="20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084"/>
      </w:r>
      <w:r>
        <w:rPr>
          <w:rFonts w:ascii="IRNazanin" w:hAnsi="IRNazanin" w:eastAsia="IRNazanin"/>
          <w:color w:val="111111"/>
          <w:sz w:val="28"/>
          <w:sz w:val="28"/>
          <w:szCs w:val="28"/>
          <w:rtl w:val="true"/>
          <w:lang w:bidi="fa-IR"/>
        </w:rPr>
        <w:t xml:space="preserve">إن لم یتّفق له تحقّق هذه القیود، بل إنّما تحقّق الطهارة و الحدث و شکّ فی المتأخر وجب علیه الطهارة سواء علم حاله قبلهما أم لا، لقیام الاحتمال و اشتباه الحال </w:t>
      </w:r>
      <w:r>
        <w:rPr>
          <w:rStyle w:val="FootnoteAnchor"/>
          <w:rtl w:val="true"/>
        </w:rPr>
        <w:footnoteReference w:id="208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ما فیه بعد الإحاطة بما ذکرنا، و کذا ما فی کلامه فی المسالک </w:t>
      </w:r>
      <w:r>
        <w:rPr>
          <w:rStyle w:val="FootnoteAnchor"/>
          <w:rtl w:val="true"/>
        </w:rPr>
        <w:footnoteReference w:id="2086"/>
      </w:r>
      <w:r>
        <w:rPr>
          <w:rFonts w:ascii="IRNazanin" w:hAnsi="IRNazanin" w:eastAsia="IRNazanin"/>
          <w:color w:val="111111"/>
          <w:sz w:val="28"/>
          <w:sz w:val="28"/>
          <w:szCs w:val="28"/>
          <w:rtl w:val="true"/>
          <w:lang w:bidi="fa-IR"/>
        </w:rPr>
        <w:t>، مع أنّه رجع أخیرا إلی إطلاق المشهور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جریان الحکم المذکور فی من تیقّن الجنابة و الغسل و شکّ فی المتأخّر، کما صرّح به فی المنتهی فی مسألة الماء المستعمل فی الحدث الأکبر </w:t>
      </w:r>
      <w:r>
        <w:rPr>
          <w:rStyle w:val="FootnoteAnchor"/>
          <w:rtl w:val="true"/>
        </w:rPr>
        <w:footnoteReference w:id="2087"/>
      </w:r>
      <w:r>
        <w:rPr>
          <w:rFonts w:ascii="IRNazanin" w:hAnsi="IRNazanin" w:eastAsia="IRNazanin"/>
          <w:color w:val="111111"/>
          <w:sz w:val="28"/>
          <w:sz w:val="28"/>
          <w:szCs w:val="28"/>
          <w:rtl w:val="true"/>
          <w:lang w:bidi="fa-IR"/>
        </w:rPr>
        <w:t>، بل الظاهر عدم الخلاف فیه و لذا عبّروا عن العنوان بلفظ الطهارة</w:t>
      </w:r>
      <w:r>
        <w:rPr>
          <w:rFonts w:eastAsia="IRNazanin" w:cs="IRNazanin"/>
          <w:color w:val="111111"/>
          <w:sz w:val="28"/>
          <w:szCs w:val="28"/>
          <w:rtl w:val="true"/>
          <w:lang w:bidi="fa-IR"/>
        </w:rPr>
        <w:t>.</w:t>
      </w:r>
      <w:bookmarkStart w:id="250" w:name="pg13035_131963"/>
    </w:p>
    <w:p>
      <w:pPr>
        <w:pStyle w:val="Heading6"/>
        <w:numPr>
          <w:ilvl w:val="5"/>
          <w:numId w:val="1"/>
        </w:numPr>
        <w:rPr/>
      </w:pPr>
      <w:bookmarkStart w:id="251" w:name="__RefHeading___Toc6370040_3224264995"/>
      <w:bookmarkStart w:id="252" w:name="_Toc97"/>
      <w:bookmarkEnd w:id="250"/>
      <w:bookmarkEnd w:id="251"/>
      <w:r>
        <w:rPr>
          <w:rtl w:val="true"/>
        </w:rPr>
        <w:t>[</w:t>
      </w:r>
      <w:r>
        <w:rPr>
          <w:rtl w:val="true"/>
        </w:rPr>
        <w:t>المسألة الثانیة</w:t>
      </w:r>
      <w:r>
        <w:rPr>
          <w:rtl w:val="true"/>
        </w:rPr>
        <w:t>] [</w:t>
      </w:r>
      <w:r>
        <w:rPr>
          <w:rtl w:val="true"/>
        </w:rPr>
        <w:t>لو تیقّن ترک عضو</w:t>
      </w:r>
      <w:r>
        <w:rPr>
          <w:rtl w:val="true"/>
        </w:rPr>
        <w:t>]</w:t>
      </w:r>
      <w:bookmarkEnd w:id="25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تیقّن </w:t>
      </w:r>
      <w:r>
        <w:rPr>
          <w:rStyle w:val="FootnoteAnchor"/>
          <w:rtl w:val="true"/>
        </w:rPr>
        <w:footnoteReference w:id="2089"/>
      </w:r>
      <w:r>
        <w:rPr>
          <w:rFonts w:ascii="IRNazanin" w:hAnsi="IRNazanin" w:eastAsia="IRNazanin"/>
          <w:color w:val="111111"/>
          <w:sz w:val="28"/>
          <w:sz w:val="28"/>
          <w:szCs w:val="28"/>
          <w:rtl w:val="true"/>
          <w:lang w:bidi="fa-IR"/>
        </w:rPr>
        <w:t>ترک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جزء منه، فإن لم یجفّ البلل عمّا قبل المتروک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به و بما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إشکال و لا خلاف محکیّ إلّا عن الإسکافی </w:t>
      </w:r>
      <w:r>
        <w:rPr>
          <w:rStyle w:val="FootnoteAnchor"/>
          <w:rtl w:val="true"/>
        </w:rPr>
        <w:footnoteReference w:id="2090"/>
      </w:r>
      <w:r>
        <w:rPr>
          <w:rFonts w:ascii="IRNazanin" w:hAnsi="IRNazanin" w:eastAsia="IRNazanin"/>
          <w:color w:val="111111"/>
          <w:sz w:val="28"/>
          <w:sz w:val="28"/>
          <w:szCs w:val="28"/>
          <w:rtl w:val="true"/>
          <w:lang w:bidi="fa-IR"/>
        </w:rPr>
        <w:t>، حیث اقتصر علی الإتیان به إذا کان دون سعة الدرهم، مسندا ذلک إلی حدیث أبی أمامة عن النبیّ صلّی اللّٰه علیه و آله، و زرارة عن أبی جعفر علیه السلام، و ابن منصور عن زید بن علی علیه السلام، و لم یذکر أصحابنا فیما حضرنی من کتبهم فی الأخبار و الفتاوی شیئا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أبو الحسن علیه السلام عن الرجل یبقی من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لم یصبه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أن یبلّه من بعض جسده</w:t>
      </w:r>
      <w:r>
        <w:rPr>
          <w:rFonts w:eastAsia="IRNazanin" w:cs="IRNazanin"/>
          <w:color w:val="111111"/>
          <w:sz w:val="28"/>
          <w:szCs w:val="28"/>
          <w:rtl w:val="true"/>
          <w:lang w:bidi="fa-IR"/>
        </w:rPr>
        <w:t xml:space="preserve">» </w:t>
      </w:r>
      <w:r>
        <w:rPr>
          <w:rStyle w:val="FootnoteAnchor"/>
          <w:rtl w:val="true"/>
        </w:rPr>
        <w:footnoteReference w:id="2091"/>
      </w:r>
      <w:r>
        <w:rPr>
          <w:rFonts w:ascii="IRNazanin" w:hAnsi="IRNazanin" w:eastAsia="IRNazanin"/>
          <w:color w:val="111111"/>
          <w:sz w:val="28"/>
          <w:sz w:val="28"/>
          <w:szCs w:val="28"/>
          <w:rtl w:val="true"/>
          <w:lang w:bidi="fa-IR"/>
        </w:rPr>
        <w:t>و لا دلالة لها علی تحدید الإسکافی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تیقّن الترک 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جمیع ما قبل المتروک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لفوات الموالاة التی هی عبارة عن عدم الجفاف، خصوصا مع العذر فی ترک المتابعة کما تقدّم</w:t>
      </w:r>
      <w:r>
        <w:rPr>
          <w:rFonts w:eastAsia="IRNazanin" w:cs="IRNazanin"/>
          <w:color w:val="111111"/>
          <w:sz w:val="28"/>
          <w:szCs w:val="28"/>
          <w:rtl w:val="true"/>
          <w:lang w:bidi="fa-IR"/>
        </w:rPr>
        <w:t>.</w:t>
      </w:r>
      <w:bookmarkStart w:id="253" w:name="pg13035_131965"/>
    </w:p>
    <w:p>
      <w:pPr>
        <w:pStyle w:val="Heading6"/>
        <w:numPr>
          <w:ilvl w:val="5"/>
          <w:numId w:val="1"/>
        </w:numPr>
        <w:rPr/>
      </w:pPr>
      <w:bookmarkStart w:id="254" w:name="__RefHeading___Toc6370042_3224264995"/>
      <w:bookmarkStart w:id="255" w:name="_Toc98"/>
      <w:bookmarkEnd w:id="253"/>
      <w:bookmarkEnd w:id="254"/>
      <w:r>
        <w:rPr>
          <w:rtl w:val="true"/>
        </w:rPr>
        <w:t>[</w:t>
      </w:r>
      <w:r>
        <w:rPr>
          <w:rtl w:val="true"/>
        </w:rPr>
        <w:t>المسألة الثالثة</w:t>
      </w:r>
      <w:r>
        <w:rPr>
          <w:rtl w:val="true"/>
        </w:rPr>
        <w:t>] [</w:t>
      </w:r>
      <w:r>
        <w:rPr>
          <w:rtl w:val="true"/>
        </w:rPr>
        <w:t>لو شک فی أثناء الوضوء و الغسل</w:t>
      </w:r>
      <w:r>
        <w:rPr>
          <w:rtl w:val="true"/>
        </w:rPr>
        <w:t>]</w:t>
      </w:r>
      <w:bookmarkEnd w:id="25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بل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الشاملة للغسل علی ما صرّح به العلّامة </w:t>
      </w:r>
      <w:r>
        <w:rPr>
          <w:rStyle w:val="FootnoteAnchor"/>
          <w:rtl w:val="true"/>
        </w:rPr>
        <w:footnoteReference w:id="2093"/>
      </w:r>
      <w:r>
        <w:rPr>
          <w:rFonts w:ascii="IRNazanin" w:hAnsi="IRNazanin" w:eastAsia="IRNazanin"/>
          <w:color w:val="111111"/>
          <w:sz w:val="28"/>
          <w:sz w:val="28"/>
          <w:szCs w:val="28"/>
          <w:rtl w:val="true"/>
          <w:lang w:bidi="fa-IR"/>
        </w:rPr>
        <w:t xml:space="preserve">و أکثر من تأخّر عنه کفخر الدین </w:t>
      </w:r>
      <w:r>
        <w:rPr>
          <w:rStyle w:val="FootnoteAnchor"/>
          <w:rtl w:val="true"/>
        </w:rPr>
        <w:footnoteReference w:id="2094"/>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095"/>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096"/>
      </w:r>
      <w:r>
        <w:rPr>
          <w:rFonts w:ascii="IRNazanin" w:hAnsi="IRNazanin" w:eastAsia="IRNazanin"/>
          <w:color w:val="111111"/>
          <w:sz w:val="28"/>
          <w:sz w:val="28"/>
          <w:szCs w:val="28"/>
          <w:rtl w:val="true"/>
          <w:lang w:bidi="fa-IR"/>
        </w:rPr>
        <w:t xml:space="preserve">و غیرهم </w:t>
      </w:r>
      <w:r>
        <w:rPr>
          <w:rStyle w:val="FootnoteAnchor"/>
          <w:rtl w:val="true"/>
        </w:rPr>
        <w:footnoteReference w:id="2097"/>
      </w:r>
      <w:r>
        <w:rPr>
          <w:rFonts w:ascii="Amiri" w:hAnsi="Amiri" w:eastAsia="Amiri" w:cs="Amiri"/>
          <w:color w:val="111111"/>
          <w:sz w:val="28"/>
          <w:sz w:val="28"/>
          <w:szCs w:val="28"/>
          <w:rtl w:val="true"/>
          <w:lang w:bidi="ar-SA"/>
        </w:rPr>
        <w:t xml:space="preserve">، و تخیّل بعض </w:t>
      </w:r>
      <w:r>
        <w:rPr>
          <w:rStyle w:val="FootnoteAnchor"/>
          <w:rtl w:val="true"/>
        </w:rPr>
        <w:footnoteReference w:id="2098"/>
      </w:r>
      <w:r>
        <w:rPr>
          <w:rFonts w:ascii="Amiri" w:hAnsi="Amiri" w:eastAsia="Amiri" w:cs="Amiri"/>
          <w:color w:val="111111"/>
          <w:sz w:val="28"/>
          <w:sz w:val="28"/>
          <w:szCs w:val="28"/>
          <w:rtl w:val="true"/>
          <w:lang w:bidi="ar-SA"/>
        </w:rPr>
        <w:t xml:space="preserve">تفرّد السیّد فی الریاض </w:t>
      </w:r>
      <w:r>
        <w:rPr>
          <w:rStyle w:val="FootnoteAnchor"/>
          <w:rtl w:val="true"/>
        </w:rPr>
        <w:footnoteReference w:id="2099"/>
      </w:r>
      <w:r>
        <w:rPr>
          <w:rFonts w:ascii="IRNazanin" w:hAnsi="IRNazanin" w:eastAsia="IRNazanin"/>
          <w:color w:val="111111"/>
          <w:sz w:val="28"/>
          <w:sz w:val="28"/>
          <w:szCs w:val="28"/>
          <w:rtl w:val="true"/>
          <w:lang w:bidi="fa-IR"/>
        </w:rPr>
        <w:t>بذلک فتعجّب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أعثر علی ذلک لغیره، و جعل منشأ توهّم التعمیم إطلاق لفظ الطهارة فی کلام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فإن کان الشاکّ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 علیها من التلبّس و الاشتغال بالطهارة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بما شکّ فیه، ثمّ بما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غیر الجزء الأخیر، مراعاة للترتیب، لأصالة عدم الإتیان به، و عدم ارتفاع الحدث، و عدم إباحة الدخول فی العبادة، مضافا إلی الإجماع الذی نقله شارح الدروس </w:t>
      </w:r>
      <w:r>
        <w:rPr>
          <w:rStyle w:val="FootnoteAnchor"/>
          <w:rtl w:val="true"/>
        </w:rPr>
        <w:footnoteReference w:id="2100"/>
      </w:r>
      <w:r>
        <w:rPr>
          <w:rFonts w:ascii="IRNazanin" w:hAnsi="IRNazanin" w:eastAsia="IRNazanin"/>
          <w:color w:val="111111"/>
          <w:sz w:val="28"/>
          <w:sz w:val="28"/>
          <w:szCs w:val="28"/>
          <w:rtl w:val="true"/>
          <w:lang w:bidi="fa-IR"/>
        </w:rPr>
        <w:t xml:space="preserve">و حکی عن الوحید فی شرح المفاتیح </w:t>
      </w:r>
      <w:r>
        <w:rPr>
          <w:rStyle w:val="FootnoteAnchor"/>
          <w:rtl w:val="true"/>
        </w:rPr>
        <w:footnoteReference w:id="2101"/>
      </w:r>
      <w:r>
        <w:rPr>
          <w:rFonts w:ascii="IRNazanin" w:hAnsi="IRNazanin" w:eastAsia="IRNazanin"/>
          <w:color w:val="111111"/>
          <w:sz w:val="28"/>
          <w:sz w:val="28"/>
          <w:szCs w:val="28"/>
          <w:rtl w:val="true"/>
          <w:lang w:bidi="fa-IR"/>
        </w:rPr>
        <w:t xml:space="preserve">نقله عن جماعة، و عن کاشف اللثام استظهاره </w:t>
      </w:r>
      <w:r>
        <w:rPr>
          <w:rStyle w:val="FootnoteAnchor"/>
          <w:rtl w:val="true"/>
        </w:rPr>
        <w:footnoteReference w:id="2102"/>
      </w:r>
      <w:r>
        <w:rPr>
          <w:rFonts w:ascii="IRNazanin" w:hAnsi="IRNazanin" w:eastAsia="IRNazanin"/>
          <w:color w:val="111111"/>
          <w:sz w:val="28"/>
          <w:sz w:val="28"/>
          <w:szCs w:val="28"/>
          <w:rtl w:val="true"/>
          <w:lang w:bidi="fa-IR"/>
        </w:rPr>
        <w:t xml:space="preserve">، و عن المدارک نفی الخلاف فیه </w:t>
      </w:r>
      <w:r>
        <w:rPr>
          <w:rStyle w:val="FootnoteAnchor"/>
          <w:rtl w:val="true"/>
        </w:rPr>
        <w:footnoteReference w:id="2103"/>
      </w:r>
      <w:r>
        <w:rPr>
          <w:rFonts w:ascii="IRNazanin" w:hAnsi="IRNazanin" w:eastAsia="IRNazanin"/>
          <w:color w:val="111111"/>
          <w:sz w:val="28"/>
          <w:sz w:val="28"/>
          <w:szCs w:val="28"/>
          <w:rtl w:val="true"/>
          <w:lang w:bidi="fa-IR"/>
        </w:rPr>
        <w:t>، و لصحیحة 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کنت قاعدا علی وضوئک فلم تدر أغسلت ذراعیک أم لا، فأعد علیهما و علی جمیع ما شککت فیه </w:t>
      </w:r>
      <w:r>
        <w:rPr>
          <w:rStyle w:val="FootnoteAnchor"/>
          <w:rtl w:val="true"/>
        </w:rPr>
        <w:footnoteReference w:id="2104"/>
      </w:r>
      <w:r>
        <w:rPr>
          <w:rFonts w:ascii="IRNazanin" w:hAnsi="IRNazanin" w:eastAsia="IRNazanin"/>
          <w:color w:val="111111"/>
          <w:sz w:val="28"/>
          <w:sz w:val="28"/>
          <w:szCs w:val="28"/>
          <w:rtl w:val="true"/>
          <w:lang w:bidi="fa-IR"/>
        </w:rPr>
        <w:t xml:space="preserve">أنّک لم تغسله أو تمسحه، ممّا سمّی اللّٰه ما دمت فی حال الوضوء، فإذا قمت من الوضوء و فرغت منه، و قد </w:t>
      </w:r>
      <w:r>
        <w:rPr>
          <w:rStyle w:val="FootnoteAnchor"/>
          <w:rtl w:val="true"/>
        </w:rPr>
        <w:footnoteReference w:id="2105"/>
      </w:r>
      <w:r>
        <w:rPr>
          <w:rFonts w:ascii="IRNazanin" w:hAnsi="IRNazanin" w:eastAsia="IRNazanin"/>
          <w:color w:val="111111"/>
          <w:sz w:val="28"/>
          <w:sz w:val="28"/>
          <w:szCs w:val="28"/>
          <w:rtl w:val="true"/>
          <w:lang w:bidi="fa-IR"/>
        </w:rPr>
        <w:t xml:space="preserve">صرت فی حال أخری فی صلاة أو فی </w:t>
      </w:r>
      <w:r>
        <w:rPr>
          <w:rStyle w:val="FootnoteAnchor"/>
          <w:rtl w:val="true"/>
        </w:rPr>
        <w:footnoteReference w:id="2106"/>
      </w:r>
      <w:r>
        <w:rPr>
          <w:rFonts w:ascii="IRNazanin" w:hAnsi="IRNazanin" w:eastAsia="IRNazanin"/>
          <w:color w:val="111111"/>
          <w:sz w:val="28"/>
          <w:sz w:val="28"/>
          <w:szCs w:val="28"/>
          <w:rtl w:val="true"/>
          <w:lang w:bidi="fa-IR"/>
        </w:rPr>
        <w:t>غیرها فشککت فی بعض ما سمّی اللّٰه ممّا أوجب اللّٰه علیک فیه وضوءا فلا شی‌ء علیک فیه، فإن شککت فی مسح رأسک فأصبت فی لحیتک بللا فامسح بها علیه، و علی ظهر قدمیک، فإن لم تصب بللا فلا تنقض الوضوء بالشکّ،</w:t>
      </w:r>
    </w:p>
    <w:p>
      <w:pPr>
        <w:pStyle w:val="BookText"/>
        <w:rPr/>
      </w:pPr>
      <w:r>
        <w:rPr>
          <w:rFonts w:ascii="IRNazanin" w:hAnsi="IRNazanin" w:eastAsia="IRNazanin"/>
          <w:color w:val="111111"/>
          <w:sz w:val="28"/>
          <w:sz w:val="28"/>
          <w:szCs w:val="28"/>
          <w:rtl w:val="true"/>
          <w:lang w:bidi="fa-IR"/>
        </w:rPr>
        <w:t>و امض فی صلاتک، و إن تیقّنت أنّک لم تتمّ وضوءک فأعد علی ما ترکت یقینا حتّی تأتی علی الوضوء</w:t>
      </w:r>
      <w:r>
        <w:rPr>
          <w:rFonts w:eastAsia="IRNazanin" w:cs="IRNazanin"/>
          <w:color w:val="111111"/>
          <w:sz w:val="28"/>
          <w:szCs w:val="28"/>
          <w:rtl w:val="true"/>
          <w:lang w:bidi="fa-IR"/>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بجمیع ذلک یخصّص عموم ما دلّ علی أنّ الشکّ فی الشی‌ء بعد تجاوز محلّه لا یلتفت إلیه، مثل قوله علیه 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2108"/>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مضی فامضه کما هو</w:t>
      </w:r>
      <w:r>
        <w:rPr>
          <w:rFonts w:eastAsia="IRNazanin" w:cs="IRNazanin"/>
          <w:color w:val="111111"/>
          <w:sz w:val="28"/>
          <w:szCs w:val="28"/>
          <w:rtl w:val="true"/>
          <w:lang w:bidi="fa-IR"/>
        </w:rPr>
        <w:t xml:space="preserve">» </w:t>
      </w:r>
      <w:r>
        <w:rPr>
          <w:rStyle w:val="FootnoteAnchor"/>
          <w:rtl w:val="true"/>
        </w:rPr>
        <w:footnoteReference w:id="2109"/>
      </w:r>
      <w:r>
        <w:rPr>
          <w:rFonts w:ascii="IRNazanin" w:hAnsi="IRNazanin" w:eastAsia="IRNazanin"/>
          <w:color w:val="111111"/>
          <w:sz w:val="28"/>
          <w:sz w:val="28"/>
          <w:szCs w:val="28"/>
          <w:rtl w:val="true"/>
          <w:lang w:bidi="fa-IR"/>
        </w:rPr>
        <w:t xml:space="preserve">، مضافا إلی ما قیل </w:t>
      </w:r>
      <w:r>
        <w:rPr>
          <w:rStyle w:val="FootnoteAnchor"/>
          <w:rtl w:val="true"/>
        </w:rPr>
        <w:footnoteReference w:id="2110"/>
      </w:r>
      <w:r>
        <w:rPr>
          <w:rFonts w:ascii="IRNazanin" w:hAnsi="IRNazanin" w:eastAsia="IRNazanin"/>
          <w:color w:val="111111"/>
          <w:sz w:val="28"/>
          <w:sz w:val="28"/>
          <w:szCs w:val="28"/>
          <w:rtl w:val="true"/>
          <w:lang w:bidi="fa-IR"/>
        </w:rPr>
        <w:t>من احتمال اختصاص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بأفعال الصلاة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موثقة ابن أبی یعفور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شی‌ء من الوضوء و دخلت فی غیره فشکّک لیس بشی‌ء، إنّما الشک إذا کنت فی شی‌ء لم تجزه</w:t>
      </w:r>
      <w:r>
        <w:rPr>
          <w:rFonts w:eastAsia="IRNazanin" w:cs="IRNazanin"/>
          <w:color w:val="111111"/>
          <w:sz w:val="28"/>
          <w:szCs w:val="28"/>
          <w:rtl w:val="true"/>
          <w:lang w:bidi="fa-IR"/>
        </w:rPr>
        <w:t xml:space="preserve">» </w:t>
      </w:r>
      <w:r>
        <w:rPr>
          <w:rStyle w:val="FootnoteAnchor"/>
          <w:rtl w:val="true"/>
        </w:rPr>
        <w:footnoteReference w:id="2111"/>
      </w:r>
      <w:r>
        <w:rPr>
          <w:rFonts w:ascii="IRNazanin" w:hAnsi="IRNazanin" w:eastAsia="IRNazanin"/>
          <w:color w:val="111111"/>
          <w:sz w:val="28"/>
          <w:sz w:val="28"/>
          <w:szCs w:val="28"/>
          <w:rtl w:val="true"/>
          <w:lang w:bidi="fa-IR"/>
        </w:rPr>
        <w:t xml:space="preserve">، فإنّ الظاهر 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الوضوء، فیعارض الصحیحة الاولی، و هی أخصّ، لإمکان حمل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لم یدخل فی الغیر، لا أقلّ من کونه علی وجه التباین دون العموم و الخصوص و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عموم صحیحتی زرارة </w:t>
      </w:r>
      <w:r>
        <w:rPr>
          <w:rStyle w:val="FootnoteAnchor"/>
          <w:rtl w:val="true"/>
        </w:rPr>
        <w:footnoteReference w:id="2112"/>
      </w:r>
      <w:r>
        <w:rPr>
          <w:rFonts w:ascii="IRNazanin" w:hAnsi="IRNazanin" w:eastAsia="IRNazanin"/>
          <w:color w:val="111111"/>
          <w:sz w:val="28"/>
          <w:sz w:val="28"/>
          <w:szCs w:val="28"/>
          <w:rtl w:val="true"/>
          <w:lang w:bidi="fa-IR"/>
        </w:rPr>
        <w:t xml:space="preserve">و أبی بصیر </w:t>
      </w:r>
      <w:r>
        <w:rPr>
          <w:rStyle w:val="FootnoteAnchor"/>
          <w:rtl w:val="true"/>
        </w:rPr>
        <w:footnoteReference w:id="2113"/>
      </w:r>
      <w:r>
        <w:rPr>
          <w:rFonts w:ascii="IRNazanin" w:hAnsi="IRNazanin" w:eastAsia="IRNazanin"/>
          <w:color w:val="111111"/>
          <w:sz w:val="28"/>
          <w:sz w:val="28"/>
          <w:szCs w:val="28"/>
          <w:rtl w:val="true"/>
          <w:lang w:bidi="fa-IR"/>
        </w:rPr>
        <w:t>لو لا الترجیح بالشهرة و نقل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عدم ظهور رجوع الضمیر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مستند له، مضافا إلی شهادة الذیل برجوعه إلی الوضوء، إذ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یکون فعلا مرکّبا ممتدّا یتصوّر کون الشخص فیه، فیکون الشکّ لا محالة فی بعض أجزائه، لعدم تصوّر کون الشخص فی نفس الشی‌ء المشکوک فی تحقّقه و إرادة کون الشخص </w:t>
      </w:r>
      <w:r>
        <w:rPr>
          <w:rStyle w:val="FootnoteAnchor"/>
          <w:rtl w:val="true"/>
        </w:rPr>
        <w:footnoteReference w:id="2114"/>
      </w:r>
      <w:r>
        <w:rPr>
          <w:rFonts w:ascii="IRNazanin" w:hAnsi="IRNazanin" w:eastAsia="IRNazanin"/>
          <w:color w:val="111111"/>
          <w:sz w:val="28"/>
          <w:sz w:val="28"/>
          <w:szCs w:val="28"/>
          <w:rtl w:val="true"/>
          <w:lang w:bidi="fa-IR"/>
        </w:rPr>
        <w:t>محلّ المشکوک فیه خلاف الظاهر جدّا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شی‌ء من أفعال الوضوء لا یلتفت إلیه إذا دخل فی غیر الوضوء، و إنّما الشکّ یلتفت إلیه إذا کنت فی الوضوء غیر متجاوز عنه، لکن تعارض منطوق الحصر فی الذیل و مفهومه باعتبارین فیما إذا شکّ فی غسل جزء من الید بعد الفراغ عنه، فمقتضی مفهوم الحصر فیها عدم الالتفات، لأنّه شکّ فی جزء من فعل قد فرغ عنه، و مقتضی منطوقها الالتفات إلی هذا الشکّ، لأنّه شکّ فی شی‌ء من الوضوء و هو کائن فی الوضوء مشغول به، فالمشکوک فیه باعتبار کونه جزءا من غسل الید شکّ بعد الفراغ من الشی‌ء و باعتبار کونه جزءا من الوضوء شکّ قبل الفراغ من الشی‌ء، و مقتضی القاعدة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بالاعتبار الأوّل، لوجود سببه و هو الفراغ عن الشی‌ء الذی شکّ فی بعض أجزائه، و أمّا اعتبار کونه جزءا من فعل لم یفرغ عنه و هو الوضوء فلیس سببا للالتفات، بل الالتفات من مقتضیات نفس الشکّ المحکوم علیه بأصالة عدم وقوع المشکوک فیه، و عدم الفراغ من الفعل المشکوک فی جزئه من قبیل عدم المانع، فاجتماع الاعتبارین فی الجزء المذکور من قبیل اجتماع المانع عن الالتفات و غیر المانع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تعارض دلالة الذیل علی عدم الالتفات فی الجزء المذکور مع دلالته علی وجوب الالتفات بالشکّ فی فعل مستقلّ من أفعال الوضوء قبل الفراغ منه، لأنّه شکّ فی جزء من الفعل الذی یکون فیه و لم یجزه، لأنّ عدم الالتفات إلی الجزء المذکور قبل الفراغ، و الالتفات إلی الشکّ فی الفعل المستقلّ من أفعال الوضوء قبل الفراغ، تفصیل مخالف للإجماع، و الظاهر تقدیم دلالته علی الالتفات، لصراحته فی الالتفات إلی الفعل المشکوک فیه قبل الفراغ، لأنّ مفهوم الحصر بالنسبة إلی الوضوء هو الحکم المذکور فی صدر الموثّقة، فلیس فی المفهوم عموم یشمل الشکّ فی جزء من أفعال الوضوء بعد الفراغ من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تمامه فی نظر الشارع فعل واحد، فما دام المکلّف فیه یلتفت إلی الشکّ المتعلّق بفعل أو بجزء فعل منه، و لیس کالصلاة عبارة عن أفعال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نظیر ما یقوله جماعة </w:t>
      </w:r>
      <w:r>
        <w:rPr>
          <w:rStyle w:val="FootnoteAnchor"/>
          <w:rtl w:val="true"/>
        </w:rPr>
        <w:footnoteReference w:id="2115"/>
      </w:r>
      <w:r>
        <w:rPr>
          <w:rFonts w:ascii="IRNazanin" w:hAnsi="IRNazanin" w:eastAsia="IRNazanin"/>
          <w:color w:val="111111"/>
          <w:sz w:val="28"/>
          <w:sz w:val="28"/>
          <w:szCs w:val="28"/>
          <w:rtl w:val="true"/>
          <w:lang w:bidi="fa-IR"/>
        </w:rPr>
        <w:t>فی أفعال الصلاة التی لا عبرة بالشکّ فی سابقها إذا دخل فی لاحقها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و لیس کل جزء جزء منها، بل القراءة بتمامها مثلا فعل واحد، فإذا دخل فی آخر آیة من السورة و شکّ فی أوّل آیة من الفاتحة فلا یعدّ شکّا فی الشی‌ء بعد الدخول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w:t>
      </w:r>
      <w:r>
        <w:rPr>
          <w:rStyle w:val="FootnoteAnchor"/>
          <w:rtl w:val="true"/>
        </w:rPr>
        <w:footnoteReference w:id="2116"/>
      </w:r>
      <w:r>
        <w:rPr>
          <w:rFonts w:ascii="IRNazanin" w:hAnsi="IRNazanin" w:eastAsia="IRNazanin"/>
          <w:color w:val="111111"/>
          <w:sz w:val="28"/>
          <w:sz w:val="28"/>
          <w:szCs w:val="28"/>
          <w:rtl w:val="true"/>
          <w:lang w:bidi="fa-IR"/>
        </w:rPr>
        <w:t>یجعلون الفاتحة فعلا، و السورة فعلا آخر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الإمام علیه السلام فی الموثّقة عدم الالتفات إلی الشکّ فی شی‌ء من الوضوء بالدخول فی غیر الوضوء مفرّعا ذلک علی قاعدة الشکّ</w:t>
      </w:r>
    </w:p>
    <w:p>
      <w:pPr>
        <w:pStyle w:val="BookText"/>
        <w:rPr/>
      </w:pPr>
      <w:r>
        <w:rPr>
          <w:rFonts w:ascii="IRNazanin" w:hAnsi="IRNazanin" w:eastAsia="IRNazanin"/>
          <w:color w:val="111111"/>
          <w:sz w:val="28"/>
          <w:sz w:val="28"/>
          <w:szCs w:val="28"/>
          <w:rtl w:val="true"/>
          <w:lang w:bidi="fa-IR"/>
        </w:rPr>
        <w:t xml:space="preserve">بعد الفراغ ینبئ عن أنّ الوضوء فعل واحد، لا یلغی الشکّ فی أجزائه إلّا بعد الفراغ، نظیر الأذان و الإقامة و الفاتحة علی ما یراه بعض </w:t>
      </w:r>
      <w:r>
        <w:rPr>
          <w:rStyle w:val="FootnoteAnchor"/>
          <w:rtl w:val="true"/>
        </w:rPr>
        <w:footnoteReference w:id="2117"/>
      </w:r>
      <w:r>
        <w:rPr>
          <w:rFonts w:ascii="IRNazanin" w:hAnsi="IRNazanin" w:eastAsia="IRNazanin"/>
          <w:color w:val="111111"/>
          <w:sz w:val="28"/>
          <w:sz w:val="28"/>
          <w:szCs w:val="28"/>
          <w:rtl w:val="true"/>
          <w:lang w:bidi="fa-IR"/>
        </w:rPr>
        <w:t>فی تفسیر أخبار الشکّ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و إن ترکّب من أجزاء إلّا أنّها مقدّمة واحدة أمر بها فی الشریعة بأمر واحد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w:t>
      </w:r>
      <w:r>
        <w:rPr>
          <w:rFonts w:eastAsia="IRNazanin" w:cs="IRNazanin"/>
          <w:color w:val="111111"/>
          <w:sz w:val="28"/>
          <w:szCs w:val="28"/>
          <w:rtl w:val="true"/>
          <w:lang w:bidi="fa-IR"/>
        </w:rPr>
        <w:t xml:space="preserve">» </w:t>
      </w:r>
      <w:r>
        <w:rPr>
          <w:rStyle w:val="FootnoteAnchor"/>
          <w:rtl w:val="true"/>
        </w:rPr>
        <w:footnoteReference w:id="211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هذا الاستظهار من الأخبار هو الوجه فی إلحاق الغسل بالوضوء، مع أنّ الأخبار مختصّة بالوضوء، و لذا اختار بعض </w:t>
      </w:r>
      <w:r>
        <w:rPr>
          <w:rStyle w:val="FootnoteAnchor"/>
          <w:rtl w:val="true"/>
        </w:rPr>
        <w:footnoteReference w:id="2119"/>
      </w:r>
      <w:r>
        <w:rPr>
          <w:rFonts w:ascii="IRNazanin" w:hAnsi="IRNazanin" w:eastAsia="IRNazanin"/>
          <w:color w:val="111111"/>
          <w:sz w:val="28"/>
          <w:sz w:val="28"/>
          <w:szCs w:val="28"/>
          <w:rtl w:val="true"/>
          <w:lang w:bidi="fa-IR"/>
        </w:rPr>
        <w:t>اختصاص الحکم به و الرجوع فی غیره إلی أخبار الشکّ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حکم الوضوء فی الموثّقة علی قاعدة الشکّ بعد الفراغ ظاهر فی أنّ الحکم فی الوضوء علی طبق تلک القاعدة، و لا ینطبق علیها إلّا بملاحظة کون الوضوء فعلا واحدا یعدّ الشکّ فی أجزائه شکّا فی أجزاء فعل واحد قبل الخروج منه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أنّ ما تقدّم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لغیر واحد </w:t>
      </w:r>
      <w:r>
        <w:rPr>
          <w:rStyle w:val="FootnoteAnchor"/>
          <w:rtl w:val="true"/>
        </w:rPr>
        <w:footnoteReference w:id="2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صحیحة الباب </w:t>
      </w:r>
      <w:r>
        <w:rPr>
          <w:rStyle w:val="FootnoteAnchor"/>
          <w:rtl w:val="true"/>
        </w:rPr>
        <w:footnoteReference w:id="2121"/>
      </w:r>
      <w:r>
        <w:rPr>
          <w:rFonts w:ascii="IRNazanin" w:hAnsi="IRNazanin" w:eastAsia="IRNazanin"/>
          <w:color w:val="111111"/>
          <w:sz w:val="28"/>
          <w:sz w:val="28"/>
          <w:szCs w:val="28"/>
          <w:rtl w:val="true"/>
          <w:lang w:bidi="fa-IR"/>
        </w:rPr>
        <w:t xml:space="preserve">مخصّصة للعمومات الدالّة علی عدم العبرة بالشکّ بعد الفراغ لیس علی ما ینبغی، بل التأمّل فی روایة ابن أبی یعفور </w:t>
      </w:r>
      <w:r>
        <w:rPr>
          <w:rStyle w:val="FootnoteAnchor"/>
          <w:rtl w:val="true"/>
        </w:rPr>
        <w:footnoteReference w:id="2122"/>
      </w:r>
      <w:r>
        <w:rPr>
          <w:rFonts w:ascii="IRNazanin" w:hAnsi="IRNazanin" w:eastAsia="IRNazanin"/>
          <w:color w:val="111111"/>
          <w:sz w:val="28"/>
          <w:sz w:val="28"/>
          <w:szCs w:val="28"/>
          <w:rtl w:val="true"/>
          <w:lang w:bidi="fa-IR"/>
        </w:rPr>
        <w:t>و التتبّع فی کلمات العلماء</w:t>
      </w:r>
    </w:p>
    <w:p>
      <w:pPr>
        <w:pStyle w:val="BookText"/>
        <w:rPr/>
      </w:pPr>
      <w:r>
        <w:rPr>
          <w:rFonts w:ascii="Amiri" w:hAnsi="Amiri" w:eastAsia="Amiri" w:cs="Amiri"/>
          <w:color w:val="111111"/>
          <w:sz w:val="28"/>
          <w:sz w:val="28"/>
          <w:szCs w:val="28"/>
          <w:rtl w:val="true"/>
          <w:lang w:bidi="ar-SA"/>
        </w:rPr>
        <w:t xml:space="preserve">و استدلال جماعة منهم </w:t>
      </w:r>
      <w:r>
        <w:rPr>
          <w:rStyle w:val="FootnoteAnchor"/>
          <w:rtl w:val="true"/>
        </w:rPr>
        <w:footnoteReference w:id="2123"/>
      </w:r>
      <w:r>
        <w:rPr>
          <w:rFonts w:ascii="IRNazanin" w:hAnsi="IRNazanin" w:eastAsia="IRNazanin"/>
          <w:color w:val="111111"/>
          <w:sz w:val="28"/>
          <w:sz w:val="28"/>
          <w:szCs w:val="28"/>
          <w:rtl w:val="true"/>
          <w:lang w:bidi="fa-IR"/>
        </w:rPr>
        <w:t>هنا بأصالة عدم الفعل و عدم النظر إلی تلک العمومات،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هنا علی طبق العمومات، إلّا أنّ خصوص الوضوء بتمام أجزائه لوحظ شیئا واحدا، و یشهد له حکمهم بذلک فی الغسل من غیر تردّد، بل الغسل أولی باعتبار الوحدة فیه من الوضوء، لأنّه حقیقة عبارة عن غسل جمیع البدن دفعة أو تدریجا علی ترتیب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 أنّه بعد البناء فی أخبار الشکّ بعد الفراغ علی عمومها لکلّ فعل مستقلّ کالوضوء و أفعال الصلاة أو غیر مستقلّ کأجزاء الوضوء و کلّ آیة من القراءة الواجبة و نحو ذلک، فإلحاق الغسل بالوضوء فی الحکم المذکور مع اختصاص الصحیحة بالوضوء و عدم تنقیح المناط و عدم العلم بالإجماع، یحتاج إلی دلیل و إن کانت الشهرة 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یمنع ظهور تلک العمومات فی العموم لکلّ فعل، لأجل بعض القرائن المذکورة فی باب الشکّ و السهو، و عدم فهم جلّ الأصحاب لهذا التعمیم، فیبقی موارد الشکّ داخلة تحت عموم أصالة عدم الفعل کما تمسّک به جماعة </w:t>
      </w:r>
      <w:r>
        <w:rPr>
          <w:rStyle w:val="FootnoteAnchor"/>
          <w:rtl w:val="true"/>
        </w:rPr>
        <w:footnoteReference w:id="2124"/>
      </w:r>
      <w:r>
        <w:rPr>
          <w:rFonts w:ascii="IRNazanin" w:hAnsi="IRNazanin" w:eastAsia="IRNazanin"/>
          <w:color w:val="111111"/>
          <w:sz w:val="28"/>
          <w:sz w:val="28"/>
          <w:szCs w:val="28"/>
          <w:rtl w:val="true"/>
          <w:lang w:bidi="fa-IR"/>
        </w:rPr>
        <w:t>فی هذا المقام، فقول المشهور لا یخلو عن قوّة، مع أنّه أحوط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الشرط ملحق بالجزء فی هذا الحکم أم لا؟ فإنّ الشکّ فی طهارة ماء الغسلات السابقة أو إطلاقه مثل ما بعدها أم لا؟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الصحیحة بالأجزاء، فیبقی الشروط تحت عمومات الشکّ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الصحیحة عن کون الوضوء فعلا واحدا، فالشکّ فیما یتعلّق به شکّ قبل الفراغ، فیدخل تحت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صحّة ما مضی من فعله، فلا مستند لها غیر تلک العمومات، فالإلحاق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أبعد ما بینه و بین ما یحتمل أو یقال من الحکم بالصحّة، بمعنی تحقّق الشرط حتّی بالنسبة إلی الأفعال المستقبلة، فمن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ما یتوضّأ به مطلق أو مضاف فیحکم بالصحّة و ثبوت حکم الإطلاق بالنسبة إلی الغسلات المستقبلة، لأنّه شکّ فی إطلاق الماء بعد التجاوز عن محلّه، لأنّ محلّ إحراز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بحکم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قبل الشروع فی الوضوء، کالشکّ فی الطهارة الحدثیة فی أثناء الصلاة، حیث إنّه یمضی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لأنّ إحراز إطلاق الماء عبارة عن الغسل بالماء المطلق، و لیس فعلا مغایرا لذلک حتّی یلاحظ محله الشرعی أو العادی، و منه یعلم منع الحکم فی مثال الشکّ فی الوضوء فی أثناء الصلاة، کما یشهد له روایة علی بن جعفر عن أخیه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یکون علی وضوء، و یشکّ أنّه علی وضوء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و هو فی صلاته انصرف و توضأ و 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ذکر و قد فرغ من صلاته أجزأه ذلک</w:t>
      </w:r>
      <w:r>
        <w:rPr>
          <w:rFonts w:eastAsia="IRNazanin" w:cs="IRNazanin"/>
          <w:color w:val="111111"/>
          <w:sz w:val="28"/>
          <w:szCs w:val="28"/>
          <w:rtl w:val="true"/>
          <w:lang w:bidi="fa-IR"/>
        </w:rPr>
        <w:t xml:space="preserve">» </w:t>
      </w:r>
      <w:r>
        <w:rPr>
          <w:rStyle w:val="FootnoteAnchor"/>
          <w:rtl w:val="true"/>
        </w:rPr>
        <w:footnoteReference w:id="2125"/>
      </w:r>
      <w:r>
        <w:rPr>
          <w:rFonts w:ascii="IRNazanin" w:hAnsi="IRNazanin" w:eastAsia="IRNazanin"/>
          <w:color w:val="111111"/>
          <w:sz w:val="28"/>
          <w:sz w:val="28"/>
          <w:szCs w:val="28"/>
          <w:rtl w:val="true"/>
          <w:lang w:bidi="fa-IR"/>
        </w:rPr>
        <w:t xml:space="preserve">، بناء علی أنّ المراد بالشکّ هو زوال الیقین بالحدث و بالوضوء </w:t>
      </w:r>
      <w:r>
        <w:rPr>
          <w:rStyle w:val="FootnoteAnchor"/>
          <w:rtl w:val="true"/>
        </w:rPr>
        <w:footnoteReference w:id="2126"/>
      </w:r>
      <w:r>
        <w:rPr>
          <w:rFonts w:ascii="IRNazanin" w:hAnsi="IRNazanin" w:eastAsia="IRNazanin"/>
          <w:color w:val="111111"/>
          <w:sz w:val="28"/>
          <w:sz w:val="28"/>
          <w:szCs w:val="28"/>
          <w:rtl w:val="true"/>
          <w:lang w:bidi="fa-IR"/>
        </w:rPr>
        <w:t>، لا الشکّ فی بقائه، لوجوب استصحابه حینئذ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کون الشرط کالشطر کما قال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الشرط نظیر الشطر فکلّ ما فیه ففیه یجری</w:t>
      </w:r>
    </w:p>
    <w:p>
      <w:pPr>
        <w:pStyle w:val="BookText"/>
        <w:rPr/>
      </w:pPr>
      <w:r>
        <w:rPr>
          <w:rStyle w:val="FootnoteAnchor"/>
          <w:rtl w:val="true"/>
        </w:rPr>
        <w:footnoteReference w:id="2127"/>
      </w:r>
      <w:r>
        <w:rPr>
          <w:rFonts w:ascii="Amiri" w:hAnsi="Amiri" w:eastAsia="Amiri" w:cs="Amiri"/>
          <w:color w:val="111111"/>
          <w:sz w:val="28"/>
          <w:sz w:val="28"/>
          <w:szCs w:val="28"/>
          <w:rtl w:val="true"/>
          <w:lang w:bidi="ar-SA"/>
        </w:rPr>
        <w:t xml:space="preserve">ثمّ إنّ الحلّی فی السرائر </w:t>
      </w:r>
      <w:r>
        <w:rPr>
          <w:rStyle w:val="FootnoteAnchor"/>
          <w:rtl w:val="true"/>
        </w:rPr>
        <w:footnoteReference w:id="2128"/>
      </w:r>
      <w:r>
        <w:rPr>
          <w:rFonts w:ascii="IRNazanin" w:hAnsi="IRNazanin" w:eastAsia="IRNazanin"/>
          <w:color w:val="111111"/>
          <w:sz w:val="28"/>
          <w:sz w:val="28"/>
          <w:szCs w:val="28"/>
          <w:rtl w:val="true"/>
          <w:lang w:bidi="fa-IR"/>
        </w:rPr>
        <w:t xml:space="preserve">استثنی من الحکم کثیر الشکّ، و تبعه جماعة من المتأخرین کالشهیدین </w:t>
      </w:r>
      <w:r>
        <w:rPr>
          <w:rStyle w:val="FootnoteAnchor"/>
          <w:rtl w:val="true"/>
        </w:rPr>
        <w:footnoteReference w:id="212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130"/>
      </w:r>
      <w:r>
        <w:rPr>
          <w:rFonts w:ascii="IRNazanin" w:hAnsi="IRNazanin" w:eastAsia="IRNazanin"/>
          <w:color w:val="111111"/>
          <w:sz w:val="28"/>
          <w:sz w:val="28"/>
          <w:szCs w:val="28"/>
          <w:rtl w:val="true"/>
          <w:lang w:bidi="fa-IR"/>
        </w:rPr>
        <w:t xml:space="preserve">و صاحب المدارک </w:t>
      </w:r>
      <w:r>
        <w:rPr>
          <w:rStyle w:val="FootnoteAnchor"/>
          <w:rtl w:val="true"/>
        </w:rPr>
        <w:footnoteReference w:id="2131"/>
      </w:r>
      <w:r>
        <w:rPr>
          <w:rFonts w:ascii="IRNazanin" w:hAnsi="IRNazanin" w:eastAsia="IRNazanin"/>
          <w:color w:val="111111"/>
          <w:sz w:val="28"/>
          <w:sz w:val="28"/>
          <w:szCs w:val="28"/>
          <w:rtl w:val="true"/>
          <w:lang w:bidi="fa-IR"/>
        </w:rPr>
        <w:t xml:space="preserve">و شارح الجعفریة </w:t>
      </w:r>
      <w:r>
        <w:rPr>
          <w:rStyle w:val="FootnoteAnchor"/>
          <w:rtl w:val="true"/>
        </w:rPr>
        <w:footnoteReference w:id="2132"/>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2133"/>
      </w:r>
      <w:r>
        <w:rPr>
          <w:rFonts w:ascii="IRNazanin" w:hAnsi="IRNazanin" w:eastAsia="IRNazanin"/>
          <w:color w:val="111111"/>
          <w:sz w:val="28"/>
          <w:sz w:val="28"/>
          <w:szCs w:val="28"/>
          <w:rtl w:val="true"/>
          <w:lang w:bidi="fa-IR"/>
        </w:rPr>
        <w:t xml:space="preserve">و غیرهم </w:t>
      </w:r>
      <w:r>
        <w:rPr>
          <w:rStyle w:val="FootnoteAnchor"/>
          <w:rtl w:val="true"/>
        </w:rPr>
        <w:footnoteReference w:id="2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لزوم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کثیر الشکّ فی الصلاة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تعوّدوا الخبیث من أنفسکم نقض الصلاة فتطیعوه </w:t>
      </w:r>
      <w:r>
        <w:rPr>
          <w:rStyle w:val="FootnoteAnchor"/>
          <w:rtl w:val="true"/>
        </w:rPr>
        <w:footnoteReference w:id="2135"/>
      </w:r>
      <w:r>
        <w:rPr>
          <w:rFonts w:ascii="IRNazanin" w:hAnsi="IRNazanin" w:eastAsia="IRNazanin"/>
          <w:color w:val="111111"/>
          <w:sz w:val="28"/>
          <w:sz w:val="28"/>
          <w:szCs w:val="28"/>
          <w:rtl w:val="true"/>
          <w:lang w:bidi="fa-IR"/>
        </w:rPr>
        <w:t>، فإنّ الشیطان خبیث معتاد لما عوّد، فلیمض أحدکم فی الوهم و لا یکثرنّ نقض الصلاة، فإنّه إذا فعل ذلک مرّات لم یعد إلیه الشکّ، ثمّ قال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یرید الخبیث أن یطاع، فإذا عصی لم یعد إلی أحدکم</w:t>
      </w:r>
      <w:r>
        <w:rPr>
          <w:rFonts w:eastAsia="IRNazanin" w:cs="IRNazanin"/>
          <w:color w:val="111111"/>
          <w:sz w:val="28"/>
          <w:szCs w:val="28"/>
          <w:rtl w:val="true"/>
          <w:lang w:bidi="fa-IR"/>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کثر علیک السهو فامض علی صلاتک فإنّه یوشک أن یدعک فإنّما ذلک من الشیطان</w:t>
      </w:r>
      <w:r>
        <w:rPr>
          <w:rFonts w:eastAsia="IRNazanin" w:cs="IRNazanin"/>
          <w:color w:val="111111"/>
          <w:sz w:val="28"/>
          <w:szCs w:val="28"/>
          <w:rtl w:val="true"/>
          <w:lang w:bidi="fa-IR"/>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عبد اللّٰه بن سنان، حیث ذکر لأبی عبد اللّٰه علیه السلام رجلا أنّه عاقل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یبتلی بالوضوء،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عقل له و هو یطیع الشیطان؟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یطیع الشیطان؟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أیّ شی‌ء؟ فإنّه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بعض الروایات أنّه یعمل بالظنّ، مثل روایة الواسطی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أغسل وجهی ثمّ أغسل یدی، فیشکّکنی الشیطان أنّی لم أغسل ذراعی و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برد الماء علی ذراعک فلا تعد</w:t>
      </w:r>
      <w:r>
        <w:rPr>
          <w:rFonts w:eastAsia="IRNazanin" w:cs="IRNazanin"/>
          <w:color w:val="111111"/>
          <w:sz w:val="28"/>
          <w:szCs w:val="28"/>
          <w:rtl w:val="true"/>
          <w:lang w:bidi="fa-IR"/>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یؤیّدها رفع الحرج، لکنّ القول بها مفقود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الاحتمال فی مقام لا یحتمله غیره، راجحا کان أو مرجوحا أو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کثیر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المعبّر عنه بالقطّاع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حیث عدم احتماله الخلاف یعمل بقطعه، و لا ینفعه حکم الغیر بعدم اعتبار قطعه، إذ القاطع لا یمکنه فی مقام البناء علی العمل بالواقع العمل بخلاف معتقده، فلا یجوز لمن یرید صوم النهار و قطع ببقاء النهار أن یحکم علیه بدخول اللیل، کما أشبعنا الکلام فی ذلک فی محلّه</w:t>
      </w:r>
      <w:r>
        <w:rPr>
          <w:rFonts w:eastAsia="IRNazanin" w:cs="IRNazanin"/>
          <w:color w:val="111111"/>
          <w:sz w:val="28"/>
          <w:szCs w:val="28"/>
          <w:rtl w:val="true"/>
          <w:lang w:bidi="fa-IR"/>
        </w:rPr>
        <w:t>.</w:t>
      </w:r>
      <w:bookmarkStart w:id="256" w:name="pg13035_131975"/>
    </w:p>
    <w:p>
      <w:pPr>
        <w:pStyle w:val="Heading6"/>
        <w:numPr>
          <w:ilvl w:val="5"/>
          <w:numId w:val="1"/>
        </w:numPr>
        <w:rPr/>
      </w:pPr>
      <w:bookmarkStart w:id="257" w:name="__RefHeading___Toc6370044_3224264995"/>
      <w:bookmarkStart w:id="258" w:name="_Toc99"/>
      <w:bookmarkEnd w:id="256"/>
      <w:bookmarkEnd w:id="257"/>
      <w:r>
        <w:rPr>
          <w:rtl w:val="true"/>
        </w:rPr>
        <w:t>[</w:t>
      </w:r>
      <w:r>
        <w:rPr>
          <w:rtl w:val="true"/>
        </w:rPr>
        <w:t>المسألة الرابعة</w:t>
      </w:r>
      <w:r>
        <w:rPr>
          <w:rtl w:val="true"/>
        </w:rPr>
        <w:t>] [</w:t>
      </w:r>
      <w:r>
        <w:rPr>
          <w:rtl w:val="true"/>
        </w:rPr>
        <w:t>لو تیقّن الطهارة و شکّ فی الحدث</w:t>
      </w:r>
      <w:r>
        <w:rPr>
          <w:rtl w:val="true"/>
        </w:rPr>
        <w:t>]</w:t>
      </w:r>
      <w:bookmarkEnd w:id="25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شکّ فی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متطهّر إجماعا نصّا و فتوی، سواء ظنّ ببقائها أو ظنّ بارتفاعها، خلافا لما یظهر من شیخنا البهائی فی حبله المتین </w:t>
      </w:r>
      <w:r>
        <w:rPr>
          <w:rStyle w:val="FootnoteAnchor"/>
          <w:rtl w:val="true"/>
        </w:rPr>
        <w:footnoteReference w:id="2141"/>
      </w:r>
      <w:r>
        <w:rPr>
          <w:rFonts w:ascii="IRNazanin" w:hAnsi="IRNazanin" w:eastAsia="IRNazanin"/>
          <w:color w:val="111111"/>
          <w:sz w:val="28"/>
          <w:sz w:val="28"/>
          <w:szCs w:val="28"/>
          <w:rtl w:val="true"/>
          <w:lang w:bidi="fa-IR"/>
        </w:rPr>
        <w:t>، حیث أناط استصحاب الطهارة علی حصول الظنّ الشخصی، فلو شکّ أو ظنّ الحدث کمن تطهّر أوّل النهار و لم یتحفّظ و لم یکن من عادته بقاء طهارته فی زمان طویل، فشکّ عند الغروب، فلا یستصحب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قدّس سرّه یرید بذلک أنّه لو بنی علی الحکم بالطهارة من باب الاستصحاب لا من باب الأخبار الخاصّة، فالمناط هو حصول الظنّ ببقاء الحالة السابقة، لکن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وجّهه به شارح الدروس </w:t>
      </w:r>
      <w:r>
        <w:rPr>
          <w:rStyle w:val="FootnoteAnchor"/>
          <w:rtl w:val="true"/>
        </w:rPr>
        <w:footnoteReference w:id="2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لمذهب القائلین باعتبار الاستصحاب من باب الظنّ، فإنّهم لا یعتبرون إفادة الظنّ الفعلی حتّی یکون حکم المستصحب الواحد کالحیاة و الزوجیة و الملکیة فی</w:t>
      </w:r>
    </w:p>
    <w:p>
      <w:pPr>
        <w:pStyle w:val="BookText"/>
        <w:rPr/>
      </w:pPr>
      <w:r>
        <w:rPr>
          <w:rFonts w:ascii="IRNazanin" w:hAnsi="IRNazanin" w:eastAsia="IRNazanin"/>
          <w:color w:val="111111"/>
          <w:sz w:val="28"/>
          <w:sz w:val="28"/>
          <w:szCs w:val="28"/>
          <w:rtl w:val="true"/>
          <w:lang w:bidi="fa-IR"/>
        </w:rPr>
        <w:t>موارد الشکّ فی بقائها، مختلفا باختلاف الموارد الشخصیة، کما لا یخفی علی من تتبّع کلمات الخاصّة و العامّة فی موارد إجراء أصالة بقاء ما کان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الشکّ فی الحدث کما لا یعتبر إذا وقع بعد الطهارة فکذلک إذا وقع فی أثناء الطهارة، لأصالة عدمه الموجبة للرجوع إلی إطلاقات الأمر بأفعال الوضوء کتابا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لاستصحاب صحّة الأجزاء السابقة و تأهّلها للجزئیة الفعلیة، إلّا أنّ ظاهر البیان إلحاق الشکّ فی الحدث قبل الفراغ بالشکّ فی أفعال الوضوء حینئذ،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أثناء الطهارة فی حدث أو نیّة أو واجب استدرک، و بعد الفراغ لا یلتفت </w:t>
      </w:r>
      <w:r>
        <w:rPr>
          <w:rStyle w:val="FootnoteAnchor"/>
          <w:rtl w:val="true"/>
        </w:rPr>
        <w:footnoteReference w:id="21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ظاهر المقنعة، إلّا أنّه خصّ ذلک بصورة الظنّ بالحدث، و الظاهر </w:t>
      </w:r>
      <w:r>
        <w:rPr>
          <w:rStyle w:val="FootnoteAnchor"/>
          <w:rtl w:val="true"/>
        </w:rPr>
        <w:footnoteReference w:id="2144"/>
      </w:r>
      <w:r>
        <w:rPr>
          <w:rFonts w:ascii="IRNazanin" w:hAnsi="IRNazanin" w:eastAsia="IRNazanin"/>
          <w:color w:val="111111"/>
          <w:sz w:val="28"/>
          <w:sz w:val="28"/>
          <w:szCs w:val="28"/>
          <w:rtl w:val="true"/>
          <w:lang w:bidi="fa-IR"/>
        </w:rPr>
        <w:t>إرادته مطلق الاحتمال،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جالسا علی حال الوضوء لم یفرغ منه فعرض له ظنّ أنّه قد أحدث ما ینقض وضوءه، أو توهّم أنّه قدّم مؤخّرا أو أخّر مقدّما، وجب علیه إعادة الوضوء من أوّله، لیقوم من مجلسه و قد فرغ من وضوئه علی یقین من سلامته من الفساد، فإن عرض له شکّ بعد فراغه منه و قیامه من مکانه لم یلتفت </w:t>
      </w:r>
      <w:r>
        <w:rPr>
          <w:rStyle w:val="FootnoteAnchor"/>
          <w:rtl w:val="true"/>
        </w:rPr>
        <w:footnoteReference w:id="21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یحتمله عبارة المبسوط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 فی الوضوء و هو جالس علی حال الوضوء أعاد، فإن شکّ فی شی‌ء من أعضاء الطهارة فی هذه الحال أعاد علیه و علی ما بعده، و متی شکّ فیه أو فی شی‌ء منه بعد</w:t>
      </w:r>
    </w:p>
    <w:p>
      <w:pPr>
        <w:pStyle w:val="BookText"/>
        <w:rPr/>
      </w:pPr>
      <w:r>
        <w:rPr>
          <w:rFonts w:ascii="IRNazanin" w:hAnsi="IRNazanin" w:eastAsia="IRNazanin"/>
          <w:color w:val="111111"/>
          <w:sz w:val="28"/>
          <w:sz w:val="28"/>
          <w:szCs w:val="28"/>
          <w:rtl w:val="true"/>
          <w:lang w:bidi="fa-IR"/>
        </w:rPr>
        <w:t xml:space="preserve">انصرافه من الوضوء لم یلتفت إلیه </w:t>
      </w:r>
      <w:r>
        <w:rPr>
          <w:rStyle w:val="FootnoteAnchor"/>
          <w:rtl w:val="true"/>
        </w:rPr>
        <w:footnoteReference w:id="214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الوسیلة عدّ من مواضع 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الوضوء و هو جالس علیه، و أن یظنّ الإخلال بواجب من أفعال الوضوء، و أن یظنّ فعل شی‌ء ینقض الوضوء، ثمّ عدّ من مواضع عدم 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الوضوء بعد ما قام عنه، و الشکّ فی عضو منه </w:t>
      </w:r>
      <w:r>
        <w:rPr>
          <w:rStyle w:val="FootnoteAnchor"/>
          <w:rtl w:val="true"/>
        </w:rPr>
        <w:footnoteReference w:id="2147"/>
      </w:r>
      <w:r>
        <w:rPr>
          <w:rFonts w:ascii="IRNazanin" w:hAnsi="IRNazanin" w:eastAsia="IRNazanin"/>
          <w:color w:val="111111"/>
          <w:sz w:val="28"/>
          <w:sz w:val="28"/>
          <w:szCs w:val="28"/>
          <w:rtl w:val="true"/>
          <w:lang w:bidi="fa-IR"/>
        </w:rPr>
        <w:t>، انتهی، بناء علی أنّ المراد بالشکّ فی الوضوء الشکّ فی التلبّس من جهة احتمال طروّ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محتمل عبارة اللمعة، لکن الشارح فسّره بالشکّ فی النیّة </w:t>
      </w:r>
      <w:r>
        <w:rPr>
          <w:rStyle w:val="FootnoteAnchor"/>
          <w:rtl w:val="true"/>
        </w:rPr>
        <w:footnoteReference w:id="2148"/>
      </w:r>
      <w:r>
        <w:rPr>
          <w:rFonts w:ascii="IRNazanin" w:hAnsi="IRNazanin" w:eastAsia="IRNazanin"/>
          <w:color w:val="111111"/>
          <w:sz w:val="28"/>
          <w:sz w:val="28"/>
          <w:szCs w:val="28"/>
          <w:rtl w:val="true"/>
          <w:lang w:bidi="fa-IR"/>
        </w:rPr>
        <w:t xml:space="preserve">، و قرّره علی ذلک المحشّون </w:t>
      </w:r>
      <w:r>
        <w:rPr>
          <w:rStyle w:val="FootnoteAnchor"/>
          <w:rtl w:val="true"/>
        </w:rPr>
        <w:footnoteReference w:id="2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جار فی عبارتی المبسوط و الوسیلة، لکن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فوجه الحکم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استفید من قول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من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الوضوء إحراز أفعاله، و إحراز وجودها علی الوجه الصحیح، فیستأنف عند الشکّ فی الأجزاء و الشروط کذلک، و إحراز بقاء صحّتهما إلی حین الفراغ، فیستأنف مع الشکّ فی بقاء الصحة، بل الشکّ فی بقاء صحّة الأجزاء السابقة راجع إلی الشکّ فی وجود الأجزاء اللاحقة علی الوجه الصحیح</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أدلّة الشکّ قبل الفراغ هو الشکّ فی الأجزاء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الحدث حاکمة علی تلک الأدلّة، لأنها بمنزلة الرافع و المزیل للشکّ فی بقاء صحّة الأجزاء اللاحقة و وجود الأجزاء اللاحقة علی الوجه الصحیح، لأنّ الشکّ فی الصحّة مسبّب عن الشکّ فی صدور الحدث، فإذا ارتفع بالأصل فقد أحرز بها صحّة الأجزاء جمیعا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ما لو شکّ قبل الفراغ فی طهارة الماء الذی یتوضّأ به أو إباحته أو إباحة مکانه، فإنّ هذا لا یعدّ شکّا فی أفعال الوضوء أو صحّتها قبل الفراغ</w:t>
      </w:r>
      <w:r>
        <w:rPr>
          <w:rFonts w:eastAsia="IRNazanin" w:cs="IRNazanin"/>
          <w:color w:val="111111"/>
          <w:sz w:val="28"/>
          <w:szCs w:val="28"/>
          <w:rtl w:val="true"/>
          <w:lang w:bidi="fa-IR"/>
        </w:rPr>
        <w:t>.</w:t>
      </w:r>
      <w:bookmarkStart w:id="259" w:name="pg13035_131979"/>
    </w:p>
    <w:p>
      <w:pPr>
        <w:pStyle w:val="Heading6"/>
        <w:numPr>
          <w:ilvl w:val="5"/>
          <w:numId w:val="1"/>
        </w:numPr>
        <w:rPr/>
      </w:pPr>
      <w:bookmarkStart w:id="260" w:name="__RefHeading___Toc6370046_3224264995"/>
      <w:bookmarkStart w:id="261" w:name="_Toc100"/>
      <w:bookmarkEnd w:id="259"/>
      <w:bookmarkEnd w:id="260"/>
      <w:r>
        <w:rPr>
          <w:rtl w:val="true"/>
        </w:rPr>
        <w:t>[</w:t>
      </w:r>
      <w:r>
        <w:rPr>
          <w:rtl w:val="true"/>
        </w:rPr>
        <w:t>المسألة الخامسة</w:t>
      </w:r>
      <w:r>
        <w:rPr>
          <w:rtl w:val="true"/>
        </w:rPr>
        <w:t>] [</w:t>
      </w:r>
      <w:r>
        <w:rPr>
          <w:rtl w:val="true"/>
        </w:rPr>
        <w:t>الشک فی أفعال الوضوء بعد الفراغ</w:t>
      </w:r>
      <w:r>
        <w:rPr>
          <w:rtl w:val="true"/>
        </w:rPr>
        <w:t>]</w:t>
      </w:r>
      <w:bookmarkEnd w:id="26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0"/>
      </w:r>
      <w:r>
        <w:rPr>
          <w:rFonts w:ascii="IRNazanin" w:hAnsi="IRNazanin" w:eastAsia="IRNazanin"/>
          <w:color w:val="111111"/>
          <w:sz w:val="28"/>
          <w:sz w:val="28"/>
          <w:szCs w:val="28"/>
          <w:rtl w:val="true"/>
          <w:lang w:bidi="fa-IR"/>
        </w:rPr>
        <w:t xml:space="preserve">و لو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شی‌ء </w:t>
      </w:r>
      <w:r>
        <w:rPr>
          <w:rStyle w:val="FootnoteAnchor"/>
          <w:rtl w:val="true"/>
        </w:rPr>
        <w:footnoteReference w:id="2151"/>
      </w:r>
      <w:r>
        <w:rPr>
          <w:rFonts w:ascii="IRNazanin" w:hAnsi="IRNazanin" w:eastAsia="IRNazanin"/>
          <w:color w:val="111111"/>
          <w:sz w:val="28"/>
          <w:sz w:val="28"/>
          <w:szCs w:val="28"/>
          <w:rtl w:val="true"/>
          <w:lang w:bidi="fa-IR"/>
        </w:rPr>
        <w:t>من أفعال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وجوده علی الوجه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انصرافه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حالة الوضوء کما فی المعتبر </w:t>
      </w:r>
      <w:r>
        <w:rPr>
          <w:rStyle w:val="FootnoteAnchor"/>
          <w:rtl w:val="true"/>
        </w:rPr>
        <w:footnoteReference w:id="2152"/>
      </w:r>
      <w:r>
        <w:rPr>
          <w:rFonts w:ascii="IRNazanin" w:hAnsi="IRNazanin" w:eastAsia="IRNazanin"/>
          <w:color w:val="111111"/>
          <w:sz w:val="28"/>
          <w:sz w:val="28"/>
          <w:szCs w:val="28"/>
          <w:rtl w:val="true"/>
          <w:lang w:bidi="fa-IR"/>
        </w:rPr>
        <w:t xml:space="preserve">و المنتهی </w:t>
      </w:r>
      <w:r>
        <w:rPr>
          <w:rStyle w:val="FootnoteAnchor"/>
          <w:rtl w:val="true"/>
        </w:rPr>
        <w:footnoteReference w:id="2153"/>
      </w:r>
      <w:r>
        <w:rPr>
          <w:rFonts w:ascii="IRNazanin" w:hAnsi="IRNazanin" w:eastAsia="IRNazanin"/>
          <w:color w:val="111111"/>
          <w:sz w:val="28"/>
          <w:sz w:val="28"/>
          <w:szCs w:val="28"/>
          <w:rtl w:val="true"/>
          <w:lang w:bidi="fa-IR"/>
        </w:rPr>
        <w:t>، فعلی هذا یرجع ما دام علی حاله التی یتوضّأ علیها و إن فرغ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فی الروض </w:t>
      </w: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أفعال الوضوء، لکنّه بعید عن ظاهر المقابلة للفقرة السابقة و إن فسّره به محشی الکتاب </w:t>
      </w:r>
      <w:r>
        <w:rPr>
          <w:rStyle w:val="FootnoteAnchor"/>
          <w:rtl w:val="true"/>
        </w:rPr>
        <w:footnoteReference w:id="2155"/>
      </w:r>
      <w:r>
        <w:rPr>
          <w:rFonts w:ascii="IRNazanin" w:hAnsi="IRNazanin" w:eastAsia="IRNazanin"/>
          <w:color w:val="111111"/>
          <w:sz w:val="28"/>
          <w:sz w:val="28"/>
          <w:szCs w:val="28"/>
          <w:rtl w:val="true"/>
          <w:lang w:bidi="fa-IR"/>
        </w:rPr>
        <w:t xml:space="preserve">و شارحاه فی المسالک </w:t>
      </w:r>
      <w:r>
        <w:rPr>
          <w:rStyle w:val="FootnoteAnchor"/>
          <w:rtl w:val="true"/>
        </w:rPr>
        <w:footnoteReference w:id="2156"/>
      </w:r>
      <w:r>
        <w:rPr>
          <w:rFonts w:ascii="IRNazanin" w:hAnsi="IRNazanin" w:eastAsia="IRNazanin"/>
          <w:color w:val="111111"/>
          <w:sz w:val="28"/>
          <w:sz w:val="28"/>
          <w:szCs w:val="28"/>
          <w:rtl w:val="true"/>
          <w:lang w:bidi="fa-IR"/>
        </w:rPr>
        <w:t xml:space="preserve">و المدارک </w:t>
      </w:r>
      <w:r>
        <w:rPr>
          <w:rStyle w:val="FootnoteAnchor"/>
          <w:rtl w:val="true"/>
        </w:rPr>
        <w:footnoteReference w:id="2157"/>
      </w:r>
      <w:r>
        <w:rPr>
          <w:rFonts w:ascii="IRNazanin" w:hAnsi="IRNazanin" w:eastAsia="IRNazanin"/>
          <w:color w:val="111111"/>
          <w:sz w:val="28"/>
          <w:sz w:val="28"/>
          <w:szCs w:val="28"/>
          <w:rtl w:val="true"/>
          <w:lang w:bidi="fa-IR"/>
        </w:rPr>
        <w:t xml:space="preserve">مدّعیا علیه الإجماع، و هو ظاهر التذکرة </w:t>
      </w:r>
      <w:r>
        <w:rPr>
          <w:rStyle w:val="FootnoteAnchor"/>
          <w:rtl w:val="true"/>
        </w:rPr>
        <w:footnoteReference w:id="2158"/>
      </w:r>
    </w:p>
    <w:p>
      <w:pPr>
        <w:pStyle w:val="BookText"/>
        <w:rPr/>
      </w:pPr>
      <w:r>
        <w:rPr>
          <w:rFonts w:ascii="IRNazanin" w:hAnsi="IRNazanin" w:eastAsia="IRNazanin"/>
          <w:color w:val="111111"/>
          <w:sz w:val="28"/>
          <w:sz w:val="28"/>
          <w:szCs w:val="28"/>
          <w:rtl w:val="true"/>
          <w:lang w:bidi="fa-IR"/>
        </w:rPr>
        <w:t xml:space="preserve">و الذکری </w:t>
      </w:r>
      <w:r>
        <w:rPr>
          <w:rStyle w:val="FootnoteAnchor"/>
          <w:rtl w:val="true"/>
        </w:rPr>
        <w:footnoteReference w:id="2159"/>
      </w:r>
      <w:r>
        <w:rPr>
          <w:rFonts w:ascii="IRNazanin" w:hAnsi="IRNazanin" w:eastAsia="IRNazanin"/>
          <w:color w:val="111111"/>
          <w:sz w:val="28"/>
          <w:sz w:val="28"/>
          <w:szCs w:val="28"/>
          <w:rtl w:val="true"/>
          <w:lang w:bidi="fa-IR"/>
        </w:rPr>
        <w:t xml:space="preserve">و البیان </w:t>
      </w:r>
      <w:r>
        <w:rPr>
          <w:rStyle w:val="FootnoteAnchor"/>
          <w:rtl w:val="true"/>
        </w:rPr>
        <w:footnoteReference w:id="2160"/>
      </w:r>
      <w:r>
        <w:rPr>
          <w:rFonts w:ascii="IRNazanin" w:hAnsi="IRNazanin" w:eastAsia="IRNazanin"/>
          <w:color w:val="111111"/>
          <w:sz w:val="28"/>
          <w:sz w:val="28"/>
          <w:szCs w:val="28"/>
          <w:rtl w:val="true"/>
          <w:lang w:bidi="fa-IR"/>
        </w:rPr>
        <w:t>، لکن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انتقل عن محلّه و لو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یلتفت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موافق للمتن علی تفسیر المعتبر، و المحکیّ عن جماعة </w:t>
      </w:r>
      <w:r>
        <w:rPr>
          <w:rStyle w:val="FootnoteAnchor"/>
          <w:rtl w:val="true"/>
        </w:rPr>
        <w:footnoteReference w:id="2163"/>
      </w:r>
      <w:r>
        <w:rPr>
          <w:rFonts w:ascii="Amiri" w:hAnsi="Amiri" w:eastAsia="Amiri" w:cs="Amiri"/>
          <w:color w:val="111111"/>
          <w:sz w:val="28"/>
          <w:sz w:val="28"/>
          <w:szCs w:val="28"/>
          <w:rtl w:val="true"/>
          <w:lang w:bidi="ar-SA"/>
        </w:rPr>
        <w:t xml:space="preserve">من القدماء ما عرفت من المقنعة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العارض بعد فراغه و انصرافه عن مغتسله و موضعه لم یعتد بالشکّ، لأنّه لم یخرج من حال الطهارة إلّا علی یقین کمالها و لیس ینقض الشکّ الیقین </w:t>
      </w:r>
      <w:r>
        <w:rPr>
          <w:rStyle w:val="FootnoteAnchor"/>
          <w:rtl w:val="true"/>
        </w:rPr>
        <w:footnoteReference w:id="21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کفایة الفراغ فی عدم الاعتناء، لقوله علیه السلام فی ذیل موثّقة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Style w:val="FootnoteAnchor"/>
          <w:rtl w:val="true"/>
        </w:rPr>
        <w:footnoteReference w:id="2166"/>
      </w:r>
      <w:r>
        <w:rPr>
          <w:rFonts w:ascii="IRNazanin" w:hAnsi="IRNazanin" w:eastAsia="IRNazanin"/>
          <w:color w:val="111111"/>
          <w:sz w:val="28"/>
          <w:sz w:val="28"/>
          <w:szCs w:val="28"/>
          <w:rtl w:val="true"/>
          <w:lang w:bidi="fa-IR"/>
        </w:rPr>
        <w:t>حصر الشکّ الملتفت إلیه بما وقع حال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روایة بکیر بن أعین فی الرجل یشکّ بعد ما یتوضّأ</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2167"/>
      </w:r>
      <w:r>
        <w:rPr>
          <w:rFonts w:ascii="IRNazanin" w:hAnsi="IRNazanin" w:eastAsia="IRNazanin"/>
          <w:color w:val="111111"/>
          <w:sz w:val="28"/>
          <w:sz w:val="28"/>
          <w:szCs w:val="28"/>
          <w:rtl w:val="true"/>
          <w:lang w:bidi="fa-IR"/>
        </w:rPr>
        <w:t>فصّل بین حالة الاشتغال 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یمضی من صلاتک و طهورک فذکرته تذکّرا فامضه کما هو</w:t>
      </w:r>
      <w:r>
        <w:rPr>
          <w:rFonts w:eastAsia="IRNazanin" w:cs="IRNazanin"/>
          <w:color w:val="111111"/>
          <w:sz w:val="28"/>
          <w:szCs w:val="28"/>
          <w:rtl w:val="true"/>
          <w:lang w:bidi="fa-IR"/>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مضافا إلی عمومات ما دلّ علی عدم الالتفات بالشکّ فی شی‌ء بعد الدخول فی غیره </w:t>
      </w:r>
      <w:r>
        <w:rPr>
          <w:rStyle w:val="FootnoteAnchor"/>
          <w:rtl w:val="true"/>
        </w:rPr>
        <w:footnoteReference w:id="2170"/>
      </w:r>
      <w:r>
        <w:rPr>
          <w:rFonts w:ascii="IRNazanin" w:hAnsi="IRNazanin" w:eastAsia="IRNazanin"/>
          <w:color w:val="111111"/>
          <w:sz w:val="28"/>
          <w:sz w:val="28"/>
          <w:szCs w:val="28"/>
          <w:rtl w:val="true"/>
          <w:lang w:bidi="fa-IR"/>
        </w:rPr>
        <w:t>، فإنّ مقتضی ذلک عدم الالتفات إلی الشکّ فی فعل من الوضوء بعد الدخول فی فعل آخر، خرج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یفرغ من الوضوء فیلتفت، و لو دخل فی فعل آخر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یعارض الأخبار المذکورة بقوله علیه السلام فی صدر الموثّقة </w:t>
      </w:r>
      <w:r>
        <w:rPr>
          <w:rStyle w:val="FootnoteAnchor"/>
          <w:rtl w:val="true"/>
        </w:rPr>
        <w:footnoteReference w:id="2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 دخلت فی غیره فشکّک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فاعتبر الدخول فی غیر الوضوء، و قوله علیه السلام فی ذیل الصحیحة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قمت من الوضوء و فرغت منه و صرت إلی حال أخری، صلاة أو غیرها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التمسّک بالعمومات المذکورة فلا وجه له بعد ما عرفت سابقا بشهادة بعض النصوص و کثیر من الفتاوی، من أنّ حکم الوضوء منطبقة علی تلک العمومات إلّا أنّ الشارع لاحظ الوضوء بتمامه فعلا واحدا لا یلغی</w:t>
      </w:r>
    </w:p>
    <w:p>
      <w:pPr>
        <w:pStyle w:val="BookText"/>
        <w:rPr/>
      </w:pPr>
      <w:r>
        <w:rPr>
          <w:rFonts w:ascii="IRNazanin" w:hAnsi="IRNazanin" w:eastAsia="IRNazanin"/>
          <w:color w:val="111111"/>
          <w:sz w:val="28"/>
          <w:sz w:val="28"/>
          <w:szCs w:val="28"/>
          <w:rtl w:val="true"/>
          <w:lang w:bidi="fa-IR"/>
        </w:rPr>
        <w:t>الشکّ فیه إلّا بعد الدخول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یذبّ عن المعارضة بأنّ التصرّف فی صدر الموثّقة و ذیل الصحیحة بجعل القید واردا مورد الغالب أولی من العکس، و هو التصرّف فی ذیل الموثّقة و صدر الصحیحة، الظاهرین فی أنّ العبرة فی الالتفات بالقعود علی الوضوء و الاشتغال، لأنّ ذیل الموثّقة بمنزلة القاعدة لصدرها فهو یتفرّع علیها و المدار علیها، کما أنّ صدر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الشرطیّة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المتکفّلة لبیان علّة الحکم، و الشرطیة الثانیة بمنزلة النقیض لها و مضمونه عدمها، لا أمر وجودیّ آخر کما هو المطّرد فی کلّ کلام مشتمل علی شرطیّتین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تقدر علی إرجاع بعض عبارات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کعبارة المقنعة المتقدّمة </w:t>
      </w:r>
      <w:r>
        <w:rPr>
          <w:rStyle w:val="FootnoteAnchor"/>
          <w:rtl w:val="true"/>
        </w:rPr>
        <w:footnoteReference w:id="2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انطباق حکم الوضوء علی العمومات، فالمتیقّن من جعل الوضوء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مخالفته للمحسوس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حکم الشکّ قبل الفراغ لا مطلقا، فکما أنّ الإخراج الحکمی یقتصر فیه علی المتیقّن کذلک الإخراج الموضوعی، فیعمل فی غیر المتیقّن بالحکم العامّ علی الموضوع المحسوس إلی الأصل، و هو عدم الالتفات إلی الشکّ فی الشی‌ء بعد الدخول فی غیره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کلّه فی غیر الجزء الأخیر، فلو شکّ فیه قبل الدخول فی حال اخری لم یعلم أنّه شکّ بعد الفراغ من الوضوء، و لذلک </w:t>
      </w:r>
      <w:r>
        <w:rPr>
          <w:rStyle w:val="FootnoteAnchor"/>
          <w:rtl w:val="true"/>
        </w:rPr>
        <w:footnoteReference w:id="2174"/>
      </w:r>
      <w:r>
        <w:rPr>
          <w:rFonts w:ascii="IRNazanin" w:hAnsi="IRNazanin" w:eastAsia="IRNazanin"/>
          <w:color w:val="111111"/>
          <w:sz w:val="28"/>
          <w:sz w:val="28"/>
          <w:szCs w:val="28"/>
          <w:rtl w:val="true"/>
          <w:lang w:bidi="fa-IR"/>
        </w:rPr>
        <w:t>یعتبر فیه الدخول فی غیر الوضوء سواء کان حالا أخری أو فعلا آخر، فاختلاف</w:t>
      </w:r>
    </w:p>
    <w:p>
      <w:pPr>
        <w:pStyle w:val="BookText"/>
        <w:rPr/>
      </w:pPr>
      <w:r>
        <w:rPr>
          <w:rFonts w:ascii="IRNazanin" w:hAnsi="IRNazanin" w:eastAsia="IRNazanin"/>
          <w:color w:val="111111"/>
          <w:sz w:val="28"/>
          <w:sz w:val="28"/>
          <w:szCs w:val="28"/>
          <w:rtl w:val="true"/>
          <w:lang w:bidi="fa-IR"/>
        </w:rPr>
        <w:t xml:space="preserve">حکم الجزء الأخیر مع غیره من جهة إحراز الفراغ فی الثانی بمجرّد فعل الجزء الأخیر، بخلافه فی الأوّل، فلا بدّ فی إحراز الفراغ من الوضوء من الدخول فی غیره، فتفصیل کاشف اللثام </w:t>
      </w:r>
      <w:r>
        <w:rPr>
          <w:rStyle w:val="FootnoteAnchor"/>
          <w:rtl w:val="true"/>
        </w:rPr>
        <w:footnoteReference w:id="2175"/>
      </w:r>
      <w:r>
        <w:rPr>
          <w:rFonts w:ascii="IRNazanin" w:hAnsi="IRNazanin" w:eastAsia="IRNazanin"/>
          <w:color w:val="111111"/>
          <w:sz w:val="28"/>
          <w:sz w:val="28"/>
          <w:szCs w:val="28"/>
          <w:rtl w:val="true"/>
          <w:lang w:bidi="fa-IR"/>
        </w:rPr>
        <w:t>بین الجزء الأخیر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قولا ثالثا خارقا للإجماع المرکّب کما زعم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یدّعی عدم توقّف تحقّق الفراغ من الوضوء علی الدخول فی غیره، بل قد یتحقّق بأن لا یجد الإنسان نفسه مشغولا بالوضوء کما ذکره شارح الدروس </w:t>
      </w:r>
      <w:r>
        <w:rPr>
          <w:rStyle w:val="FootnoteAnchor"/>
          <w:rtl w:val="true"/>
        </w:rPr>
        <w:footnoteReference w:id="2177"/>
      </w:r>
      <w:r>
        <w:rPr>
          <w:rFonts w:ascii="IRNazanin" w:hAnsi="IRNazanin" w:eastAsia="IRNazanin"/>
          <w:color w:val="111111"/>
          <w:sz w:val="28"/>
          <w:sz w:val="28"/>
          <w:szCs w:val="28"/>
          <w:rtl w:val="true"/>
          <w:lang w:bidi="fa-IR"/>
        </w:rPr>
        <w:t xml:space="preserve">، و قد یتحقّق بأن یعتقد الفراغ فی زمان و یکون فیه علی یقین من الفراغ، کما صرّح به کاشف اللثام فی مسألة من شکّ فی عدد الطواف بعد الانصراف </w:t>
      </w:r>
      <w:r>
        <w:rPr>
          <w:rStyle w:val="FootnoteAnchor"/>
          <w:rtl w:val="true"/>
        </w:rPr>
        <w:footnoteReference w:id="2178"/>
      </w:r>
      <w:r>
        <w:rPr>
          <w:rFonts w:ascii="IRNazanin" w:hAnsi="IRNazanin" w:eastAsia="IRNazanin"/>
          <w:color w:val="111111"/>
          <w:sz w:val="28"/>
          <w:sz w:val="28"/>
          <w:szCs w:val="28"/>
          <w:rtl w:val="true"/>
          <w:lang w:bidi="fa-IR"/>
        </w:rPr>
        <w:t>، و فیهما تأمّل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رؤیة نفسه غیر متشاغل، فإن کان مع اشتغاله بفعل آخر فهو ما ذکرنا، و إن کان بمجرّد الاعتقاد فهو الأمر الثانی و هو اعتقاد الفراغ، و لا ینفع بعد طروّ الشکّ المزیل لذلک الیقین، لعدم الدلیل علی اعتبار هذا الیقین بعد زواله، و إن کان یظهر ذلک من جماعة، حیث یعلّلون عدم الالتفات إلی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قبل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تحصیل الیقین بإکمال الوضوء و عدم الاعتناء بالشکّ بعد حصول هذا الیقین، کما عرفت من عبارتی المقنعة و السرائر المتقدّمتین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قدّمنا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أصحابنا فی کتاب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العادة أن ینصرف الإنسان من حال الوضوء إلّا بعد الفراغ من استیفائه علی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واضح، إلّا أنّه یرجع فی آخر الباب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انصرف من حال الوضوء و قد شکّ فی شی‌ء من ذلک، لم یلتفت إلیه و مضی علی یقینه، و هذا القول أوضح و أمتن فی الاستدلال </w:t>
      </w:r>
      <w:r>
        <w:rPr>
          <w:rStyle w:val="FootnoteAnchor"/>
          <w:rtl w:val="true"/>
        </w:rPr>
        <w:footnoteReference w:id="218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ما حکاه أوّلا و ما ارتضاه أخیرا هو أنّ مناط الاستدلال فی الأوّل هو ظاهر حال المکلّف، و فی الثانی عدم العبرة بالشکّ بعد الیقین، لکنّ الأوّل أولی، و لذا استدلّ به فی التذکرة </w:t>
      </w:r>
      <w:r>
        <w:rPr>
          <w:rStyle w:val="FootnoteAnchor"/>
          <w:rtl w:val="true"/>
        </w:rPr>
        <w:footnoteReference w:id="2181"/>
      </w:r>
      <w:r>
        <w:rPr>
          <w:rFonts w:ascii="IRNazanin" w:hAnsi="IRNazanin" w:eastAsia="IRNazanin"/>
          <w:color w:val="111111"/>
          <w:sz w:val="28"/>
          <w:sz w:val="28"/>
          <w:szCs w:val="28"/>
          <w:rtl w:val="true"/>
          <w:lang w:bidi="fa-IR"/>
        </w:rPr>
        <w:t>و هو الموافق أیضا لما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مجرّد الاعتقاد بشی‌ء فی زمان، فلیس دلیلا شرعیّا علیه حتّی یرجع إلیه عند الشکّ فیه و زوال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تیقّن شیئا فشکّ فی ارتفاعه بعد الیقین بحدوثه، فمقتضی أخبار عدم نقض الیقین بالشکّ </w:t>
      </w:r>
      <w:r>
        <w:rPr>
          <w:rStyle w:val="FootnoteAnchor"/>
          <w:rtl w:val="true"/>
        </w:rPr>
        <w:footnoteReference w:id="2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ببقائه، و أین هذا ممّا نحن فیه؟</w:t>
      </w:r>
    </w:p>
    <w:p>
      <w:pPr>
        <w:pStyle w:val="BookText"/>
        <w:rPr/>
      </w:pPr>
      <w:r>
        <w:rPr>
          <w:rFonts w:ascii="IRNazanin" w:hAnsi="IRNazanin" w:eastAsia="IRNazanin"/>
          <w:color w:val="111111"/>
          <w:sz w:val="28"/>
          <w:sz w:val="28"/>
          <w:szCs w:val="28"/>
          <w:rtl w:val="true"/>
          <w:lang w:bidi="fa-IR"/>
        </w:rPr>
        <w:t>و تخیّل شمول تلک القاعدة لما نحن فیه توهّم یظهر اندفاعه بالتأمّل فی تلک الأخبار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الاستدلال علی مراعاة الاعتقاد بما ذکرنا من أنّ ظاهر</w:t>
      </w:r>
    </w:p>
    <w:p>
      <w:pPr>
        <w:pStyle w:val="BookText"/>
        <w:rPr/>
      </w:pPr>
      <w:r>
        <w:rPr>
          <w:rFonts w:ascii="IRNazanin" w:hAnsi="IRNazanin" w:eastAsia="IRNazanin"/>
          <w:color w:val="111111"/>
          <w:sz w:val="28"/>
          <w:sz w:val="28"/>
          <w:szCs w:val="28"/>
          <w:rtl w:val="true"/>
          <w:lang w:bidi="fa-IR"/>
        </w:rPr>
        <w:t>حال المکلّف عدم الاعتقاد باستیفاء أفعال الوضوء بأسرها إلّا بعد تحقّق ذلک فی الخارج، و الغفلة و الجهل المرکّب فی الإنسان عارضان نادران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أیضا مراد المفید قدّس سرّه فیما تقدّم من عبارة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مجرّد الاعتقاد دلیل علی المعتقد بعد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دلیل علی مراعاة الاعتقاد السابق بعد الشکّ اللاحق لو قلنا بها إلّا ظاهر حال الفاعل، فظهر أنّ مؤدّی ما حکاه الحلّی أوّلا عن بعض الأصحاب، و ما حکاه عنه أخیرا شی‌ء واحد، و إن زعم الحلّی مغایرتهما، و کون الثانی رجوعا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 الدلیل علی اعتبار هذا الظاهر فی غیر مورد النصّ غیر ظاهر، و مورد النصّ هو الشکّ بعد الفراغ من الوضوء، و مع الشکّ فی الجزء الأخیر لم یعلم الفراغ، و إثباته بالاعتقاد به فی زمان لا دلیل علیه، و إن سلّمنا کون الظاهر عدم الاعتقاد إلّا بعد تحقّق المعتقد فی الواقع، لکن لا دلیل علی اعتبار هذا الظهور، مع کونه ظهورا نوعیّا لا یحصل معه الظنّ الشخصی فی جمیع الموارد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أطلنا الکلام لما رأینا فی </w:t>
      </w:r>
      <w:r>
        <w:rPr>
          <w:rStyle w:val="FootnoteAnchor"/>
          <w:rtl w:val="true"/>
        </w:rPr>
        <w:footnoteReference w:id="2184"/>
      </w:r>
      <w:r>
        <w:rPr>
          <w:rFonts w:ascii="IRNazanin" w:hAnsi="IRNazanin" w:eastAsia="IRNazanin"/>
          <w:color w:val="111111"/>
          <w:sz w:val="28"/>
          <w:sz w:val="28"/>
          <w:szCs w:val="28"/>
          <w:rtl w:val="true"/>
          <w:lang w:bidi="fa-IR"/>
        </w:rPr>
        <w:t xml:space="preserve">المقام من توهّم غیر واحد من الأعلام، اغترارا بما یتراءی من عبارة السرائر هنا </w:t>
      </w:r>
      <w:r>
        <w:rPr>
          <w:rStyle w:val="FootnoteAnchor"/>
          <w:rtl w:val="true"/>
        </w:rPr>
        <w:footnoteReference w:id="2185"/>
      </w:r>
      <w:r>
        <w:rPr>
          <w:rFonts w:ascii="IRNazanin" w:hAnsi="IRNazanin" w:eastAsia="IRNazanin"/>
          <w:color w:val="111111"/>
          <w:sz w:val="28"/>
          <w:sz w:val="28"/>
          <w:szCs w:val="28"/>
          <w:rtl w:val="true"/>
          <w:lang w:bidi="fa-IR"/>
        </w:rPr>
        <w:t xml:space="preserve">و فی باب الشکّ فی السجود بعد ما قام </w:t>
      </w:r>
      <w:r>
        <w:rPr>
          <w:rStyle w:val="FootnoteAnchor"/>
          <w:rtl w:val="true"/>
        </w:rPr>
        <w:footnoteReference w:id="2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رفع الید عن الاعتقاد السابق عند طروّ الشکّ فی نفس ذلک المعتقد، و التردّد بین صحّة</w:t>
      </w:r>
    </w:p>
    <w:p>
      <w:pPr>
        <w:pStyle w:val="BookText"/>
        <w:rPr/>
      </w:pPr>
      <w:r>
        <w:rPr>
          <w:rFonts w:ascii="IRNazanin" w:hAnsi="IRNazanin" w:eastAsia="IRNazanin"/>
          <w:color w:val="111111"/>
          <w:sz w:val="28"/>
          <w:sz w:val="28"/>
          <w:szCs w:val="28"/>
          <w:rtl w:val="true"/>
          <w:lang w:bidi="fa-IR"/>
        </w:rPr>
        <w:t>ذلک الاعتقاد و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معتبرة نظیر قاعدة الاستصحاب التی هی عدم نقض الیقین بالشکّ، بمعنی البناء علی بقاء ما تیقّن فی السابق و اللاحق </w:t>
      </w:r>
      <w:r>
        <w:rPr>
          <w:rStyle w:val="FootnoteAnchor"/>
          <w:rtl w:val="true"/>
        </w:rPr>
        <w:footnoteReference w:id="2187"/>
      </w:r>
      <w:r>
        <w:rPr>
          <w:rFonts w:ascii="IRNazanin" w:hAnsi="IRNazanin" w:eastAsia="IRNazanin"/>
          <w:color w:val="111111"/>
          <w:sz w:val="28"/>
          <w:sz w:val="28"/>
          <w:szCs w:val="28"/>
          <w:rtl w:val="true"/>
          <w:lang w:bidi="fa-IR"/>
        </w:rPr>
        <w:t>حدوثه و شکّ فی ارتفاعه بعد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بدّ فی إحراز الفراغ عند الشکّ فی الجزء الأخیر من الانتقال إلی حالة مترتّبة علی الوضوء، عادة أو شرعا لا کلّ فعل، إذ الأفعال الغیر المنافیة للاشتغال بالوضوء لا یکون أمارة علی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فرق بین فوات الموالاة علی تقدیر التدارک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تجاوز المحلّ فی الثانی، فیدخل تحت منطوق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Style w:val="FootnoteAnchor"/>
          <w:rtl w:val="true"/>
        </w:rPr>
        <w:footnoteReference w:id="2188"/>
      </w:r>
      <w:r>
        <w:rPr>
          <w:rFonts w:ascii="Amiri" w:hAnsi="Amiri" w:eastAsia="Amiri" w:cs="Amiri"/>
          <w:color w:val="111111"/>
          <w:sz w:val="28"/>
          <w:sz w:val="28"/>
          <w:szCs w:val="28"/>
          <w:rtl w:val="true"/>
          <w:lang w:bidi="ar-SA"/>
        </w:rPr>
        <w:t xml:space="preserve">مدفوع بأنّ العبرة بالتجاوز عن الوضوء الفراغ </w:t>
      </w:r>
      <w:r>
        <w:rPr>
          <w:rStyle w:val="FootnoteAnchor"/>
          <w:rtl w:val="true"/>
        </w:rPr>
        <w:footnoteReference w:id="2189"/>
      </w:r>
      <w:r>
        <w:rPr>
          <w:rFonts w:ascii="IRNazanin" w:hAnsi="IRNazanin" w:eastAsia="IRNazanin"/>
          <w:color w:val="111111"/>
          <w:sz w:val="28"/>
          <w:sz w:val="28"/>
          <w:szCs w:val="28"/>
          <w:rtl w:val="true"/>
          <w:lang w:bidi="fa-IR"/>
        </w:rPr>
        <w:t>منه عرفا، کما هو مقتضی إطلاق النصّ و الفتوی لا مجرّد بقاء محلّ التدارک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المتیقّن من النصّ و الفتوی عدم الاعتبار بعد الفراغ عن الوضوء بالشکّ فی بعض أفعاله، بمعنی احتمال ترکه نسیانا، فلو لم یحتمل إلّا تعمّد الترک فالظاهر إلحاقه بالأوّل، بل الظاهر عدم القول بالفصل، لإطلاق الروایة، و منع انصرافه إلی الأوّل، و لأنّه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2190"/>
      </w:r>
      <w:r>
        <w:rPr>
          <w:rFonts w:ascii="IRNazanin" w:hAnsi="IRNazanin" w:eastAsia="IRNazanin"/>
          <w:color w:val="111111"/>
          <w:sz w:val="28"/>
          <w:sz w:val="28"/>
          <w:szCs w:val="28"/>
          <w:rtl w:val="true"/>
          <w:lang w:bidi="fa-IR"/>
        </w:rPr>
        <w:t>، لأنّه بمنزلة صغری لکبری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أذکر فلا یخلّ بفعل، و هذه الملازمة لا تکون إلّا بإبقاء احتمال</w:t>
      </w:r>
    </w:p>
    <w:p>
      <w:pPr>
        <w:pStyle w:val="BookText"/>
        <w:rPr/>
      </w:pPr>
      <w:r>
        <w:rPr>
          <w:rFonts w:ascii="IRNazanin" w:hAnsi="IRNazanin" w:eastAsia="IRNazanin"/>
          <w:color w:val="111111"/>
          <w:sz w:val="28"/>
          <w:sz w:val="28"/>
          <w:szCs w:val="28"/>
          <w:rtl w:val="true"/>
          <w:lang w:bidi="fa-IR"/>
        </w:rPr>
        <w:t xml:space="preserve">بعد الإخلال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یجعل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بمنصرف إطلاق السؤال إلی </w:t>
      </w:r>
      <w:r>
        <w:rPr>
          <w:rStyle w:val="FootnoteAnchor"/>
          <w:rtl w:val="true"/>
        </w:rPr>
        <w:footnoteReference w:id="2192"/>
      </w:r>
      <w:r>
        <w:rPr>
          <w:rFonts w:ascii="IRNazanin" w:hAnsi="IRNazanin" w:eastAsia="IRNazanin"/>
          <w:color w:val="111111"/>
          <w:sz w:val="28"/>
          <w:sz w:val="28"/>
          <w:szCs w:val="28"/>
          <w:rtl w:val="true"/>
          <w:lang w:bidi="fa-IR"/>
        </w:rPr>
        <w:t>صورة احتمال النسیان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کونه أذکر و بین عدم الإخلال کاشفا عن اختصاص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دفع احتمال تعمّد الإخلال بأنّ إفساد الوضوء حرام فلا یحمل فعل المسلم علیه، فهو بمقدّمتیه </w:t>
      </w:r>
      <w:r>
        <w:rPr>
          <w:rStyle w:val="FootnoteAnchor"/>
          <w:rtl w:val="true"/>
        </w:rPr>
        <w:footnoteReference w:id="2193"/>
      </w:r>
      <w:r>
        <w:rPr>
          <w:rFonts w:ascii="IRNazanin" w:hAnsi="IRNazanin" w:eastAsia="IRNazanin"/>
          <w:color w:val="111111"/>
          <w:sz w:val="28"/>
          <w:sz w:val="28"/>
          <w:szCs w:val="28"/>
          <w:rtl w:val="true"/>
          <w:lang w:bidi="fa-IR"/>
        </w:rPr>
        <w:t>محلّ نظر، فالمسألة لا تخلو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أشکال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عدم </w:t>
      </w:r>
      <w:r>
        <w:rPr>
          <w:rStyle w:val="FootnoteAnchor"/>
          <w:rtl w:val="true"/>
        </w:rPr>
        <w:footnoteReference w:id="2194"/>
      </w:r>
      <w:r>
        <w:rPr>
          <w:rFonts w:ascii="IRNazanin" w:hAnsi="IRNazanin" w:eastAsia="IRNazanin"/>
          <w:color w:val="111111"/>
          <w:sz w:val="28"/>
          <w:sz w:val="28"/>
          <w:szCs w:val="28"/>
          <w:rtl w:val="true"/>
          <w:lang w:bidi="fa-IR"/>
        </w:rPr>
        <w:t>الإخلال علی تقدیره حاصلا لا عن قصد، کمن قطع بأنّه لم یخلّل الحائل الذی قد یمنع عن وصول الماء إلی البشرة و قد لا یمنع، إلّا أنّه یشکّ فی وصوله فی هذا الوضوء من باب الاتّفاق، فإنّ الانصراف المقدّم فی مورد السؤال هنا موجود، مضافا إلی عدم إمکان إجراء التعلیل المذکور بالتقریب المتقدّم فی شموله للصورة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أشکل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رأی بعد الفراغ شیئا شکّ فی حجبه للبشرة، بحیث لا یقطع، لعدم </w:t>
      </w:r>
      <w:r>
        <w:rPr>
          <w:rStyle w:val="FootnoteAnchor"/>
          <w:rtl w:val="true"/>
        </w:rPr>
        <w:footnoteReference w:id="2195"/>
      </w:r>
      <w:r>
        <w:rPr>
          <w:rFonts w:ascii="IRNazanin" w:hAnsi="IRNazanin" w:eastAsia="IRNazanin"/>
          <w:color w:val="111111"/>
          <w:sz w:val="28"/>
          <w:sz w:val="28"/>
          <w:szCs w:val="28"/>
          <w:rtl w:val="true"/>
          <w:lang w:bidi="fa-IR"/>
        </w:rPr>
        <w:t>حجبه فی بعض الأوقات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صور ثلاث مندرجة </w:t>
      </w:r>
      <w:r>
        <w:rPr>
          <w:rStyle w:val="FootnoteAnchor"/>
          <w:rtl w:val="true"/>
        </w:rPr>
        <w:footnoteReference w:id="2196"/>
      </w:r>
      <w:r>
        <w:rPr>
          <w:rFonts w:ascii="IRNazanin" w:hAnsi="IRNazanin" w:eastAsia="IRNazanin"/>
          <w:color w:val="111111"/>
          <w:sz w:val="28"/>
          <w:sz w:val="28"/>
          <w:szCs w:val="28"/>
          <w:rtl w:val="true"/>
          <w:lang w:bidi="fa-IR"/>
        </w:rPr>
        <w:t>فی الإشکال، و إن کان ظاهر عبارة</w:t>
      </w:r>
    </w:p>
    <w:p>
      <w:pPr>
        <w:pStyle w:val="BookText"/>
        <w:rPr/>
      </w:pPr>
      <w:r>
        <w:rPr>
          <w:rFonts w:ascii="IRNazanin" w:hAnsi="IRNazanin" w:eastAsia="IRNazanin"/>
          <w:color w:val="111111"/>
          <w:sz w:val="28"/>
          <w:sz w:val="28"/>
          <w:szCs w:val="28"/>
          <w:rtl w:val="true"/>
          <w:lang w:bidi="fa-IR"/>
        </w:rPr>
        <w:t>النصّ و الفتوی شاملا لها فی بادئ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جماعة ممّن تأخّر عن العلّامة </w:t>
      </w:r>
      <w:r>
        <w:rPr>
          <w:rStyle w:val="FootnoteAnchor"/>
          <w:rtl w:val="true"/>
        </w:rPr>
        <w:footnoteReference w:id="2197"/>
      </w:r>
      <w:r>
        <w:rPr>
          <w:rFonts w:ascii="IRNazanin" w:hAnsi="IRNazanin" w:eastAsia="IRNazanin"/>
          <w:color w:val="111111"/>
          <w:sz w:val="28"/>
          <w:sz w:val="28"/>
          <w:szCs w:val="28"/>
          <w:rtl w:val="true"/>
          <w:lang w:bidi="fa-IR"/>
        </w:rPr>
        <w:t>قد تبعوه فی التعرّض لحکم الشکّ فی بعض أفعال الغسل و التیمّم قبل الفراغ و بعده، بناء منهم علی اتّحاد الطهارات فی حکم الشکّ، فنحن نذکر ذلک تیمّنا بمتابعتهم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الغسل، فإمّا أن یکون مرتّبا و إمّا أن یکون ارتماسا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المرتّب، فلا إشکال فی حکم ما عدا الجزء الأخیر قبل الفراغ و لا بعده، لمثل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 طهورک فذکرته تذکّرا فامض فیه</w:t>
      </w:r>
      <w:r>
        <w:rPr>
          <w:rFonts w:eastAsia="IRNazanin" w:cs="IRNazanin"/>
          <w:color w:val="111111"/>
          <w:sz w:val="28"/>
          <w:szCs w:val="28"/>
          <w:rtl w:val="true"/>
          <w:lang w:bidi="fa-IR"/>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خصوص قوله علیه السلام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دخله الشکّ و هو فی صلاته فلیمض فی صلاته و لا شی‌ء علیه</w:t>
      </w:r>
      <w:r>
        <w:rPr>
          <w:rFonts w:eastAsia="IRNazanin" w:cs="IRNazanin"/>
          <w:color w:val="111111"/>
          <w:sz w:val="28"/>
          <w:szCs w:val="28"/>
          <w:rtl w:val="true"/>
          <w:lang w:bidi="fa-IR"/>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یستدلّ علی حکم الشکّ فی الجزء الأخیر إذا دخل فی ما یشترط بالطهارة أصالة أو بالنذر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لم یدخل فیه فقد یشکل، لعدم تحقّق الفراغ من جهة عدم اعتیاد الموالاة، و لذا قد یفصّل بین من اعتاد الموالاة فیه و غیره،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عدم اعتیاد الموالاة، فلعدم تحقّق الفراغ و التجاوز و المضیّ، و أمّا معه فلتحقّق هذه الأمور عرفا، کما تقدّم فی الوضوء، إذ لا عبرة ببقاء محلّ تدارک المشکوک شرعا کما لو فرض تیقّن الإخلال، و إلّا لاشتراط فی الوضوء وقوع الشکّ بعد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 الشکّ فی أعضاء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الشکّ فی شی‌ء من أعضاء الغسل، فإن کان فی المکان أعاد علیه و علی ما بعده، و إن کان بعد الانتقال فکذلک، بخلاف الوضوء، لقضاء العادة بالانصراف عن فعل صحیح، و إنّما یصحّ هناک لو کمل الأفعال، للبطلان مع الإخلال بالموالاة، بخلاف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المرتمس و من عادته التوالی إشکال، ینشأ من الالتفات إلی العادة و عدمه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الشکّ فیما عدا الجزء الأخیر بعد الإتیان بما بعده إلی آخر العمل و الفراغ منه فلا فرق بین الوضوء و الغسل، لعدم مدخلیّة الموالاة هنا، بل لو بنی علی اعتبار قضاء الظاهر بأنّ الإنسان لا یدخل فی الأفعال المتأخّرة من الأمور المترتّبة إلّا بعد فعل المقدّم منها، فلا فرق بین الوضوء و الغسل، و إن لم یبن علی ذلک فلا فرق أیضا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فرض الشکّ فی الجزء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اعتبر فی الانتقال عن المحلّ فوات تدارک محلّ </w:t>
      </w:r>
      <w:r>
        <w:rPr>
          <w:rStyle w:val="FootnoteAnchor"/>
          <w:rtl w:val="true"/>
        </w:rPr>
        <w:footnoteReference w:id="2202"/>
      </w:r>
      <w:r>
        <w:rPr>
          <w:rFonts w:ascii="IRNazanin" w:hAnsi="IRNazanin" w:eastAsia="IRNazanin"/>
          <w:color w:val="111111"/>
          <w:sz w:val="28"/>
          <w:sz w:val="28"/>
          <w:szCs w:val="28"/>
          <w:rtl w:val="true"/>
          <w:lang w:bidi="fa-IR"/>
        </w:rPr>
        <w:t>المشکوک شرعا، فینبغی أن یعتبر ذلک فیما تقدّم من حکمه فی الوضوء، مع أنّ اعتبار ذلک فی الشکّ بعد الفراغ من الوضوء ممّا لم یعرف لأحد کما نبّهنا علیه سابقا، إلّا أن یراد من الموالاة المتابعة التی</w:t>
      </w:r>
    </w:p>
    <w:p>
      <w:pPr>
        <w:pStyle w:val="BookText"/>
        <w:rPr/>
      </w:pPr>
      <w:r>
        <w:rPr>
          <w:rFonts w:ascii="IRNazanin" w:hAnsi="IRNazanin" w:eastAsia="IRNazanin"/>
          <w:color w:val="111111"/>
          <w:sz w:val="28"/>
          <w:sz w:val="28"/>
          <w:szCs w:val="28"/>
          <w:rtl w:val="true"/>
          <w:lang w:bidi="fa-IR"/>
        </w:rPr>
        <w:t xml:space="preserve">یفوت بمجرّد القیام عن الوضوء و الاشتغال بغیره، بل بمجرّد الفصل، و إن لم یشتغل بشی‌ء، لکن صریح کلامه إرادة الموالاة المعتبرة فی صحّة الوضوء، و هی بالمعنی المذکور غیر شرط فی صحّة الوضوء اتّفاقا علی ما زعمه المصنّف </w:t>
      </w:r>
      <w:r>
        <w:rPr>
          <w:rStyle w:val="FootnoteAnchor"/>
          <w:rtl w:val="true"/>
        </w:rPr>
        <w:footnoteReference w:id="2203"/>
      </w:r>
      <w:r>
        <w:rPr>
          <w:rFonts w:ascii="IRNazanin" w:hAnsi="IRNazanin" w:eastAsia="IRNazanin"/>
          <w:color w:val="111111"/>
          <w:sz w:val="28"/>
          <w:sz w:val="28"/>
          <w:szCs w:val="28"/>
          <w:rtl w:val="true"/>
          <w:lang w:bidi="fa-IR"/>
        </w:rPr>
        <w:t xml:space="preserve">فی المختلف </w:t>
      </w:r>
      <w:r>
        <w:rPr>
          <w:rStyle w:val="FootnoteAnchor"/>
          <w:rtl w:val="true"/>
        </w:rPr>
        <w:footnoteReference w:id="2204"/>
      </w:r>
      <w:r>
        <w:rPr>
          <w:rFonts w:ascii="IRNazanin" w:hAnsi="IRNazanin" w:eastAsia="IRNazanin"/>
          <w:color w:val="111111"/>
          <w:sz w:val="28"/>
          <w:sz w:val="28"/>
          <w:szCs w:val="28"/>
          <w:rtl w:val="true"/>
          <w:lang w:bidi="fa-IR"/>
        </w:rPr>
        <w:t xml:space="preserve">و غیره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لم یکن الأمر کذلک، فإن اعتبر فی الانتقال الانتقال عن المحلّ المتعارف المعتاد و إن لم یفت الموالاة، لم یکن ینبغی الإشکال منه فی معتاد الموالاة فی الغسل، لأنّ الفرض اعتبار العادة فی محلّ الوضوء، فلا وجه لإهماله فی الغسل، مع عموم أدلّة عدم الالتفات إلی الشکّ بعد الفراغ للوضوء و الغسل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 ما ذکرنا رجّح فخر الدین فی الإیضاح </w:t>
      </w:r>
      <w:r>
        <w:rPr>
          <w:rStyle w:val="FootnoteAnchor"/>
          <w:rtl w:val="true"/>
        </w:rPr>
        <w:footnoteReference w:id="2206"/>
      </w:r>
      <w:r>
        <w:rPr>
          <w:rFonts w:ascii="IRNazanin" w:hAnsi="IRNazanin" w:eastAsia="IRNazanin"/>
          <w:color w:val="111111"/>
          <w:sz w:val="28"/>
          <w:sz w:val="28"/>
          <w:szCs w:val="28"/>
          <w:rtl w:val="true"/>
          <w:lang w:bidi="fa-IR"/>
        </w:rPr>
        <w:t xml:space="preserve">عدم الالتفات فی معتاد الموالاة، تمسکا بالصحیح السابق </w:t>
      </w:r>
      <w:r>
        <w:rPr>
          <w:rStyle w:val="FootnoteAnchor"/>
          <w:rtl w:val="true"/>
        </w:rPr>
        <w:footnoteReference w:id="2207"/>
      </w:r>
      <w:r>
        <w:rPr>
          <w:rFonts w:ascii="IRNazanin" w:hAnsi="IRNazanin" w:eastAsia="IRNazanin"/>
          <w:color w:val="111111"/>
          <w:sz w:val="28"/>
          <w:sz w:val="28"/>
          <w:szCs w:val="28"/>
          <w:rtl w:val="true"/>
          <w:lang w:bidi="fa-IR"/>
        </w:rPr>
        <w:t xml:space="preserve">الدالّ علی حکم الشکّ بعد الدخول فی الصلاة، و لقضاء العادة، و ممّا </w:t>
      </w:r>
      <w:r>
        <w:rPr>
          <w:rStyle w:val="FootnoteAnchor"/>
          <w:rtl w:val="true"/>
        </w:rPr>
        <w:footnoteReference w:id="2208"/>
      </w:r>
      <w:r>
        <w:rPr>
          <w:rFonts w:ascii="IRNazanin" w:hAnsi="IRNazanin" w:eastAsia="IRNazanin"/>
          <w:color w:val="111111"/>
          <w:sz w:val="28"/>
          <w:sz w:val="28"/>
          <w:szCs w:val="28"/>
          <w:rtl w:val="true"/>
          <w:lang w:bidi="fa-IR"/>
        </w:rPr>
        <w:t>دلّ علی عدم اعتبار الشکّ فی الشی‌ء بعد الخروج عنه و الدخول فی غیره، و هو المتعیّن فی الاستدلال و مبنیّ علی ما ذکره من أنّ المناط فی الخروج عن الشی‌ء تجاوز محلّه المتعارف المعتاد و إن بقی محلّ تدارکه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وافق الفخر</w:t>
      </w:r>
    </w:p>
    <w:p>
      <w:pPr>
        <w:pStyle w:val="BookText"/>
        <w:rPr/>
      </w:pPr>
      <w:r>
        <w:rPr>
          <w:rFonts w:ascii="IRNazanin" w:hAnsi="IRNazanin" w:eastAsia="IRNazanin"/>
          <w:color w:val="111111"/>
          <w:sz w:val="28"/>
          <w:sz w:val="28"/>
          <w:szCs w:val="28"/>
          <w:rtl w:val="true"/>
          <w:lang w:bidi="fa-IR"/>
        </w:rPr>
        <w:t xml:space="preserve">علی ذلک الشهیدان فی الألفیّة </w:t>
      </w:r>
      <w:r>
        <w:rPr>
          <w:rStyle w:val="FootnoteAnchor"/>
          <w:rtl w:val="true"/>
        </w:rPr>
        <w:footnoteReference w:id="2209"/>
      </w:r>
      <w:r>
        <w:rPr>
          <w:rFonts w:ascii="IRNazanin" w:hAnsi="IRNazanin" w:eastAsia="IRNazanin"/>
          <w:color w:val="111111"/>
          <w:sz w:val="28"/>
          <w:sz w:val="28"/>
          <w:szCs w:val="28"/>
          <w:rtl w:val="true"/>
          <w:lang w:bidi="fa-IR"/>
        </w:rPr>
        <w:t xml:space="preserve">و شرحها </w:t>
      </w:r>
      <w:r>
        <w:rPr>
          <w:rStyle w:val="FootnoteAnchor"/>
          <w:rtl w:val="true"/>
        </w:rPr>
        <w:footnoteReference w:id="2210"/>
      </w:r>
      <w:r>
        <w:rPr>
          <w:rFonts w:ascii="IRNazanin" w:hAnsi="IRNazanin" w:eastAsia="IRNazanin"/>
          <w:color w:val="111111"/>
          <w:sz w:val="28"/>
          <w:sz w:val="28"/>
          <w:szCs w:val="28"/>
          <w:rtl w:val="true"/>
          <w:lang w:bidi="fa-IR"/>
        </w:rPr>
        <w:t xml:space="preserve">و بعض أمالی الشهید </w:t>
      </w:r>
      <w:r>
        <w:rPr>
          <w:rStyle w:val="FootnoteAnchor"/>
          <w:rtl w:val="true"/>
        </w:rPr>
        <w:footnoteReference w:id="2211"/>
      </w:r>
      <w:r>
        <w:rPr>
          <w:rFonts w:ascii="IRNazanin" w:hAnsi="IRNazanin" w:eastAsia="IRNazanin"/>
          <w:color w:val="111111"/>
          <w:sz w:val="28"/>
          <w:sz w:val="28"/>
          <w:szCs w:val="28"/>
          <w:rtl w:val="true"/>
          <w:lang w:bidi="fa-IR"/>
        </w:rPr>
        <w:t xml:space="preserve">و المحقّق الثانی فی جامع المقاصد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الارتماسی، فإن قلنا بوقوعه دفعة فالشکّ فیه دائما شکّ بعد الفراغ، و إن قلنا بحصوله تدریجا فالعبرة بتجاوز المحلّ الدخول فیما لا یدخل فیه شرعا أو عادة إلّا بعد استکمال الغسل، و قد عرفت استشکال العلّامة فیه فی التذکرة مع عدم التعرّض لوجه الإشکال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التیمّم، ففی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اتّساع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أوجبنا الموالاة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فکالوضوء، و إلّا فکالغسل </w:t>
      </w:r>
      <w:r>
        <w:rPr>
          <w:rStyle w:val="FootnoteAnchor"/>
          <w:rtl w:val="true"/>
        </w:rPr>
        <w:footnoteReference w:id="2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کالوضوء </w:t>
      </w:r>
      <w:r>
        <w:rPr>
          <w:rStyle w:val="FootnoteAnchor"/>
          <w:rtl w:val="true"/>
        </w:rPr>
        <w:footnoteReference w:id="2214"/>
      </w:r>
      <w:r>
        <w:rPr>
          <w:rFonts w:ascii="IRNazanin" w:hAnsi="IRNazanin" w:eastAsia="IRNazanin"/>
          <w:color w:val="111111"/>
          <w:sz w:val="28"/>
          <w:sz w:val="28"/>
          <w:szCs w:val="28"/>
          <w:rtl w:val="true"/>
          <w:lang w:bidi="fa-IR"/>
        </w:rPr>
        <w:t>و یظهر الحال فیه ممّا ذکرنا</w:t>
      </w:r>
      <w:r>
        <w:rPr>
          <w:rFonts w:eastAsia="IRNazanin" w:cs="IRNazanin"/>
          <w:color w:val="111111"/>
          <w:sz w:val="28"/>
          <w:szCs w:val="28"/>
          <w:rtl w:val="true"/>
          <w:lang w:bidi="fa-IR"/>
        </w:rPr>
        <w:t>.</w:t>
      </w:r>
      <w:bookmarkStart w:id="262" w:name="pg13035_131992"/>
    </w:p>
    <w:p>
      <w:pPr>
        <w:pStyle w:val="Heading6"/>
        <w:numPr>
          <w:ilvl w:val="5"/>
          <w:numId w:val="1"/>
        </w:numPr>
        <w:rPr/>
      </w:pPr>
      <w:bookmarkStart w:id="263" w:name="__RefHeading___Toc6370048_3224264995"/>
      <w:bookmarkStart w:id="264" w:name="_Toc101"/>
      <w:bookmarkEnd w:id="262"/>
      <w:bookmarkEnd w:id="263"/>
      <w:r>
        <w:rPr>
          <w:rtl w:val="true"/>
        </w:rPr>
        <w:t>[</w:t>
      </w:r>
      <w:r>
        <w:rPr>
          <w:rtl w:val="true"/>
        </w:rPr>
        <w:t>المسألة السادسة</w:t>
      </w:r>
      <w:r>
        <w:rPr>
          <w:rtl w:val="true"/>
        </w:rPr>
        <w:t>] [</w:t>
      </w:r>
      <w:r>
        <w:rPr>
          <w:rtl w:val="true"/>
        </w:rPr>
        <w:t>لو ترک غسل أحد المخرجین و صلی</w:t>
      </w:r>
      <w:r>
        <w:rPr>
          <w:rtl w:val="true"/>
        </w:rPr>
        <w:t>]</w:t>
      </w:r>
      <w:bookmarkEnd w:id="264"/>
    </w:p>
    <w:p>
      <w:pPr>
        <w:pStyle w:val="BookText"/>
        <w:rPr/>
      </w:pPr>
      <w:r>
        <w:rPr>
          <w:rStyle w:val="FootnoteAnchor"/>
          <w:rtl w:val="true"/>
        </w:rPr>
        <w:footnoteReference w:id="2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غسل موضع النجو أو البول و صلّی أعاد الصلاة، عامدا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صلاته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للموضوع أو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 لا بالموضوع، لکونه معذورا هنا عند المصنّف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شموله للجهل بالموضوع ببعض أقسامه الغیر الداخلة تحت إطلاق ما دلّ علی معذوریّة الجاهل بالنجاسة </w:t>
      </w:r>
      <w:r>
        <w:rPr>
          <w:rStyle w:val="FootnoteAnchor"/>
          <w:rtl w:val="true"/>
        </w:rPr>
        <w:footnoteReference w:id="2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ضعیفا عدم معذوریة الجاهل بهذا الموضوع الخاصّ، لبعض الأخبار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حکم العامد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الناسی، فوجوب الإعادة وقتا هو المشهور، و الظاهر أنّ المسألة من جزئیات مسألة الصلاة مع النجاسة التی ستجی‌ء فی أحکام النجاسات، إلّا أنّه احتمل بعض </w:t>
      </w:r>
      <w:r>
        <w:rPr>
          <w:rStyle w:val="FootnoteAnchor"/>
          <w:rtl w:val="true"/>
        </w:rPr>
        <w:footnoteReference w:id="2218"/>
      </w:r>
      <w:r>
        <w:rPr>
          <w:rFonts w:ascii="IRNazanin" w:hAnsi="IRNazanin" w:eastAsia="IRNazanin"/>
          <w:color w:val="111111"/>
          <w:sz w:val="28"/>
          <w:sz w:val="28"/>
          <w:szCs w:val="28"/>
          <w:rtl w:val="true"/>
          <w:lang w:bidi="fa-IR"/>
        </w:rPr>
        <w:t>کون الخلاف هنا أقلّ،</w:t>
      </w:r>
    </w:p>
    <w:p>
      <w:pPr>
        <w:pStyle w:val="BookText"/>
        <w:rPr/>
      </w:pPr>
      <w:r>
        <w:rPr>
          <w:rFonts w:ascii="IRNazanin" w:hAnsi="IRNazanin" w:eastAsia="IRNazanin"/>
          <w:color w:val="111111"/>
          <w:sz w:val="28"/>
          <w:sz w:val="28"/>
          <w:szCs w:val="28"/>
          <w:rtl w:val="true"/>
          <w:lang w:bidi="fa-IR"/>
        </w:rPr>
        <w:t>لمکان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الإعادة وقتا و خارجا، 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بعض العمومات </w:t>
      </w:r>
      <w:r>
        <w:rPr>
          <w:rStyle w:val="FootnoteAnchor"/>
          <w:rtl w:val="true"/>
        </w:rPr>
        <w:footnoteReference w:id="2219"/>
      </w:r>
      <w:r>
        <w:rPr>
          <w:rFonts w:ascii="IRNazanin" w:hAnsi="IRNazanin" w:eastAsia="IRNazanin"/>
          <w:color w:val="111111"/>
          <w:sz w:val="28"/>
          <w:sz w:val="28"/>
          <w:szCs w:val="28"/>
          <w:rtl w:val="true"/>
          <w:lang w:bidi="fa-IR"/>
        </w:rPr>
        <w:t>الشاملة لما نحن فیه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الأخبار هنا، ففی حسنة عمرو بن أبی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 و أتوضّأ، و أنسی استنجائی، ثمّ أذکر بعد ما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 أعد صلاتک، و لا تعد وضوءک</w:t>
      </w:r>
      <w:r>
        <w:rPr>
          <w:rFonts w:eastAsia="IRNazanin" w:cs="IRNazanin"/>
          <w:color w:val="111111"/>
          <w:sz w:val="28"/>
          <w:szCs w:val="28"/>
          <w:rtl w:val="true"/>
          <w:lang w:bidi="fa-IR"/>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ذکره، و یعید الصلاة، و لا یعید الوضوء</w:t>
      </w:r>
      <w:r>
        <w:rPr>
          <w:rFonts w:eastAsia="IRNazanin" w:cs="IRNazanin"/>
          <w:color w:val="111111"/>
          <w:sz w:val="28"/>
          <w:szCs w:val="28"/>
          <w:rtl w:val="true"/>
          <w:lang w:bidi="fa-IR"/>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أبی مریم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الحکم بن عیینة بال یوما و لم یغسل ذکره متعمّدا، فذکرت ذلک لأبی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یغسل ذکره، و یعید صلاته، و لا یعید وضوءه</w:t>
      </w:r>
      <w:r>
        <w:rPr>
          <w:rFonts w:eastAsia="IRNazanin" w:cs="IRNazanin"/>
          <w:color w:val="111111"/>
          <w:sz w:val="28"/>
          <w:szCs w:val="28"/>
          <w:rtl w:val="true"/>
          <w:lang w:bidi="fa-IR"/>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یوما و لم أغسل ذکری، ثمّ صلّیت، فذکرت ذلک لأبی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 أعد صلاتک</w:t>
      </w:r>
      <w:r>
        <w:rPr>
          <w:rFonts w:eastAsia="IRNazanin" w:cs="IRNazanin"/>
          <w:color w:val="111111"/>
          <w:sz w:val="28"/>
          <w:szCs w:val="28"/>
          <w:rtl w:val="true"/>
          <w:lang w:bidi="fa-IR"/>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الأخیرتین کون الأمر بالإعادة بعد انقضاء الوقت، مضافا إلی ما ثبت فی محلّه من أنّ الأصل فیما یجب إعادته أن یجب قضاؤه، لأنّ الإعادة لا تکون إلّا مع بقاء الأمر الأوّل و اشتغال الذمّة به، فإذا خرج الوقت فقد خرج مع اشتغال ذمّة المکلّف به، و هذا المقدار کاف فی صدق</w:t>
      </w:r>
    </w:p>
    <w:p>
      <w:pPr>
        <w:pStyle w:val="BookText"/>
        <w:rPr/>
      </w:pPr>
      <w:r>
        <w:rPr>
          <w:rFonts w:ascii="IRNazanin" w:hAnsi="IRNazanin" w:eastAsia="IRNazanin"/>
          <w:color w:val="111111"/>
          <w:sz w:val="28"/>
          <w:sz w:val="28"/>
          <w:szCs w:val="28"/>
          <w:rtl w:val="true"/>
          <w:lang w:bidi="fa-IR"/>
        </w:rPr>
        <w:t xml:space="preserve">الفوات لغة و عرفا، و لذا أطلق فی بعض الأخبار الفوت علی من صلّی فی النجاسة ناسیا </w:t>
      </w:r>
      <w:r>
        <w:rPr>
          <w:rStyle w:val="FootnoteAnchor"/>
          <w:rtl w:val="true"/>
        </w:rPr>
        <w:footnoteReference w:id="2224"/>
      </w:r>
      <w:r>
        <w:rPr>
          <w:rFonts w:ascii="IRNazanin" w:hAnsi="IRNazanin" w:eastAsia="IRNazanin"/>
          <w:color w:val="111111"/>
          <w:sz w:val="28"/>
          <w:sz w:val="28"/>
          <w:szCs w:val="28"/>
          <w:rtl w:val="true"/>
          <w:lang w:bidi="fa-IR"/>
        </w:rPr>
        <w:t>،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المقام أخبار تدلّ علی عدم وجوب الإعادة، ففی روایة عمرو ابن أبی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صلّیت، فذکرت أنّی لم أغسل ذکری، فأعید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هشام بن سالم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یتوضّأ و ینسی أن یغسل ذکره، و قد 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 لا یعید الصلاة</w:t>
      </w:r>
      <w:r>
        <w:rPr>
          <w:rFonts w:eastAsia="IRNazanin" w:cs="IRNazanin"/>
          <w:color w:val="111111"/>
          <w:sz w:val="28"/>
          <w:szCs w:val="28"/>
          <w:rtl w:val="true"/>
          <w:lang w:bidi="fa-IR"/>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حمّاد بن عثمان، عن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نسی أن یستنجی من الغائط حتّی صلّی لم یعد الصلاة</w:t>
      </w:r>
      <w:r>
        <w:rPr>
          <w:rFonts w:eastAsia="IRNazanin" w:cs="IRNazanin"/>
          <w:color w:val="111111"/>
          <w:sz w:val="28"/>
          <w:szCs w:val="28"/>
          <w:rtl w:val="true"/>
          <w:lang w:bidi="fa-IR"/>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علیّ بن جعفر فی من نسی الاستنجاء من الخلاء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و هو فی صلاته یعید، و إن ذکر و قد فرغ من صلاته فقد أجزأ ذلک، و لا إعادة علیه</w:t>
      </w:r>
      <w:r>
        <w:rPr>
          <w:rFonts w:eastAsia="IRNazanin" w:cs="IRNazanin"/>
          <w:color w:val="111111"/>
          <w:sz w:val="28"/>
          <w:szCs w:val="28"/>
          <w:rtl w:val="true"/>
          <w:lang w:bidi="fa-IR"/>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یعضدهما ما سیجی‌ء من الأخبار فی ناسی النجاسة فی الثوب و البدن، بناء علی کون ما نحن فیه منه، و لو فرض التکافؤ رجع إلی عموم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 xml:space="preserve">» </w:t>
      </w:r>
      <w:r>
        <w:rPr>
          <w:rStyle w:val="FootnoteAnchor"/>
          <w:rtl w:val="true"/>
        </w:rPr>
        <w:footnoteReference w:id="2229"/>
      </w:r>
      <w:r>
        <w:rPr>
          <w:rFonts w:ascii="IRNazanin" w:hAnsi="IRNazanin" w:eastAsia="IRNazanin"/>
          <w:color w:val="111111"/>
          <w:sz w:val="28"/>
          <w:sz w:val="28"/>
          <w:szCs w:val="28"/>
          <w:rtl w:val="true"/>
          <w:lang w:bidi="fa-IR"/>
        </w:rPr>
        <w:t>، بل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الخطأ، و النسیان</w:t>
      </w:r>
      <w:r>
        <w:rPr>
          <w:rFonts w:eastAsia="IRNazanin" w:cs="IRNazanin"/>
          <w:color w:val="111111"/>
          <w:sz w:val="28"/>
          <w:szCs w:val="28"/>
          <w:rtl w:val="true"/>
          <w:lang w:bidi="fa-IR"/>
        </w:rPr>
        <w:t xml:space="preserve">» </w:t>
      </w:r>
      <w:r>
        <w:rPr>
          <w:rStyle w:val="FootnoteAnchor"/>
          <w:rtl w:val="true"/>
        </w:rPr>
        <w:footnoteReference w:id="2230"/>
      </w:r>
      <w:r>
        <w:rPr>
          <w:rFonts w:ascii="IRNazanin" w:hAnsi="IRNazanin" w:eastAsia="IRNazanin"/>
          <w:color w:val="111111"/>
          <w:sz w:val="28"/>
          <w:sz w:val="28"/>
          <w:szCs w:val="28"/>
          <w:rtl w:val="true"/>
          <w:lang w:bidi="fa-IR"/>
        </w:rPr>
        <w:t xml:space="preserve">، بناء علی شموله لنفی الإعادة، کما یظهر من المحقّق فی المعتبر فی مسألة ناسی النجاسة </w:t>
      </w:r>
      <w:r>
        <w:rPr>
          <w:rStyle w:val="FootnoteAnchor"/>
          <w:rtl w:val="true"/>
        </w:rPr>
        <w:footnoteReference w:id="2231"/>
      </w:r>
      <w:r>
        <w:rPr>
          <w:rFonts w:ascii="IRNazanin" w:hAnsi="IRNazanin" w:eastAsia="IRNazanin"/>
          <w:color w:val="111111"/>
          <w:sz w:val="28"/>
          <w:sz w:val="28"/>
          <w:szCs w:val="28"/>
          <w:rtl w:val="true"/>
          <w:lang w:bidi="fa-IR"/>
        </w:rPr>
        <w:t>، لکنّ الظاهر عدم شمول الروایة لنفی الإعادة، لأنّ وجوبها لیس من آثار ما فعل نسیانا لو لا النسیان، بل من جهة الأمر الأوّل، غایة الأمر أنّه لم یسقط بالفعل المأتیّ به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الاعتضاد بصحیحة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فمبنی علی اختصاص الطهور فیها بالطهارة من الحدث، لکن یحتمل غیر بعید إرادة مطلق استعمال الطهور لرفع الحدث و الخبث کما یومئ إلیه قوله علیه السلام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 و یجزیک من الاستنجاء ثلاثة أحجار، و أمّا البول فلا بدّ من غسله</w:t>
      </w:r>
      <w:r>
        <w:rPr>
          <w:rFonts w:eastAsia="IRNazanin" w:cs="IRNazanin"/>
          <w:color w:val="111111"/>
          <w:sz w:val="28"/>
          <w:szCs w:val="28"/>
          <w:rtl w:val="true"/>
          <w:lang w:bidi="fa-IR"/>
        </w:rPr>
        <w:t xml:space="preserve">» </w:t>
      </w:r>
      <w:r>
        <w:rPr>
          <w:rStyle w:val="FootnoteAnchor"/>
          <w:rtl w:val="true"/>
        </w:rPr>
        <w:footnoteReference w:id="2232"/>
      </w:r>
      <w:r>
        <w:rPr>
          <w:rFonts w:ascii="IRNazanin" w:hAnsi="IRNazanin" w:eastAsia="IRNazanin"/>
          <w:color w:val="111111"/>
          <w:sz w:val="28"/>
          <w:sz w:val="28"/>
          <w:szCs w:val="28"/>
          <w:rtl w:val="true"/>
          <w:lang w:bidi="fa-IR"/>
        </w:rPr>
        <w:t xml:space="preserve">، و لو فرض تساوی الاحتمالین سقط العامّ المخصّص بالمتّصل المجمل عن الاستدلال به </w:t>
      </w:r>
      <w:r>
        <w:rPr>
          <w:rStyle w:val="FootnoteAnchor"/>
          <w:rtl w:val="true"/>
        </w:rPr>
        <w:footnoteReference w:id="2233"/>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إمّا إلی إطلاق أدلّة اعتبار الطهارة من الخبث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 و یجزیک من الاستنجاء ثلاثة أحجار، و أمّا البول فلا بدّ من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ممّا دلّ علی وجوب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إزالة النجاسة عن محلّ الاستنجاء </w:t>
      </w:r>
      <w:r>
        <w:rPr>
          <w:rStyle w:val="FootnoteAnchor"/>
          <w:rtl w:val="true"/>
        </w:rPr>
        <w:footnoteReference w:id="2235"/>
      </w:r>
      <w:r>
        <w:rPr>
          <w:rFonts w:ascii="IRNazanin" w:hAnsi="IRNazanin" w:eastAsia="IRNazanin"/>
          <w:color w:val="111111"/>
          <w:sz w:val="28"/>
          <w:sz w:val="28"/>
          <w:szCs w:val="28"/>
          <w:rtl w:val="true"/>
          <w:lang w:bidi="fa-IR"/>
        </w:rPr>
        <w:t xml:space="preserve">، و غیره </w:t>
      </w:r>
      <w:r>
        <w:rPr>
          <w:rStyle w:val="FootnoteAnchor"/>
          <w:rtl w:val="true"/>
        </w:rPr>
        <w:footnoteReference w:id="2236"/>
      </w:r>
      <w:r>
        <w:rPr>
          <w:rFonts w:ascii="IRNazanin" w:hAnsi="IRNazanin" w:eastAsia="IRNazanin"/>
          <w:color w:val="111111"/>
          <w:sz w:val="28"/>
          <w:sz w:val="28"/>
          <w:szCs w:val="28"/>
          <w:rtl w:val="true"/>
          <w:lang w:bidi="fa-IR"/>
        </w:rPr>
        <w:t>وجوبا شرطیا أو التنزّل عن ذلک و الرجوع إلی قاعدة عدم الإجزاء، و بقاء الاشتغال بالأمر المتوجّه إلی المکلّف فی حال عدم النسیان، و عدم سقوطه بالمأتیّ به نسیانا، کلّ ذلک بعد فرض التکافؤ و الإغماض عن ترجیح أخبار الإعادة بالأکثریة و عمل الأکثر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یستوجه القول بالفصل فیما نحن فیه بین بقاء الوقت و خروجه، کما عن المقنع </w:t>
      </w:r>
      <w:r>
        <w:rPr>
          <w:rStyle w:val="FootnoteAnchor"/>
          <w:rtl w:val="true"/>
        </w:rPr>
        <w:footnoteReference w:id="2237"/>
      </w:r>
      <w:r>
        <w:rPr>
          <w:rFonts w:ascii="IRNazanin" w:hAnsi="IRNazanin" w:eastAsia="IRNazanin"/>
          <w:color w:val="111111"/>
          <w:sz w:val="28"/>
          <w:sz w:val="28"/>
          <w:szCs w:val="28"/>
          <w:rtl w:val="true"/>
          <w:lang w:bidi="fa-IR"/>
        </w:rPr>
        <w:t>، جمعا بین ما تقدّم من أخبار الطرفین بشهادة بعض الأخبار، مثل موثّقة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ینسی أن یغسل دبره </w:t>
      </w:r>
      <w:r>
        <w:rPr>
          <w:rStyle w:val="FootnoteAnchor"/>
          <w:rtl w:val="true"/>
        </w:rPr>
        <w:footnoteReference w:id="2238"/>
      </w:r>
      <w:r>
        <w:rPr>
          <w:rFonts w:ascii="IRNazanin" w:hAnsi="IRNazanin" w:eastAsia="IRNazanin"/>
          <w:color w:val="111111"/>
          <w:sz w:val="28"/>
          <w:sz w:val="28"/>
          <w:szCs w:val="28"/>
          <w:rtl w:val="true"/>
          <w:lang w:bidi="fa-IR"/>
        </w:rPr>
        <w:t>بالماء حتّی صلّی، إلّا أنّه قد تمسّح بثلاثة أحجار،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تلک الصلاة فلیعد الصلاة، و لیعد الوضوء، و إن کان قد مضی وقت تلک الصلاة التی صلّی فقد جازت صلاته، و لیتوضّأ لما یستقبل من الصلاة</w:t>
      </w:r>
      <w:r>
        <w:rPr>
          <w:rFonts w:eastAsia="IRNazanin" w:cs="IRNazanin"/>
          <w:color w:val="111111"/>
          <w:sz w:val="28"/>
          <w:szCs w:val="28"/>
          <w:rtl w:val="true"/>
          <w:lang w:bidi="fa-IR"/>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الروایة مع عدم صحّتها تشتمل علی ما یوهنه، مثل الأمر بالإعادة مع التمسّح بثلاثة أحجار، و الأمر بإعادة الوضوء، و عدم إیجاب قضاء الصلاة مع وقوعها بلا وضوء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لیتوضّأ لما 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من الوضوء و التوضّی الاستنجاء بالماء، و یراد بالتمسّح ما کان</w:t>
      </w:r>
    </w:p>
    <w:p>
      <w:pPr>
        <w:pStyle w:val="BookText"/>
        <w:rPr/>
      </w:pPr>
      <w:r>
        <w:rPr>
          <w:rFonts w:ascii="IRNazanin" w:hAnsi="IRNazanin" w:eastAsia="IRNazanin"/>
          <w:color w:val="111111"/>
          <w:sz w:val="28"/>
          <w:sz w:val="28"/>
          <w:szCs w:val="28"/>
          <w:rtl w:val="true"/>
          <w:lang w:bidi="fa-IR"/>
        </w:rPr>
        <w:t xml:space="preserve">فاقدا لشروط الاکتفاء به </w:t>
      </w:r>
      <w:r>
        <w:rPr>
          <w:rStyle w:val="FootnoteAnchor"/>
          <w:rtl w:val="true"/>
        </w:rPr>
        <w:footnoteReference w:id="2240"/>
      </w:r>
      <w:r>
        <w:rPr>
          <w:rFonts w:ascii="IRNazanin" w:hAnsi="IRNazanin" w:eastAsia="IRNazanin"/>
          <w:color w:val="111111"/>
          <w:sz w:val="28"/>
          <w:sz w:val="28"/>
          <w:szCs w:val="28"/>
          <w:rtl w:val="true"/>
          <w:lang w:bidi="fa-IR"/>
        </w:rPr>
        <w:t>، إمّا لتعدّی النجاسة عن المحلّ، و إمّا لعدم کفایة الثلاثة فی تطهیر المحلّ، و إمّا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الأوجه التمسّک فی التفصیل بروایة علیّ بن مهزیار الآتیة </w:t>
      </w:r>
      <w:r>
        <w:rPr>
          <w:rStyle w:val="FootnoteAnchor"/>
          <w:rtl w:val="true"/>
        </w:rPr>
        <w:footnoteReference w:id="2241"/>
      </w:r>
      <w:r>
        <w:rPr>
          <w:rFonts w:ascii="IRNazanin" w:hAnsi="IRNazanin" w:eastAsia="IRNazanin"/>
          <w:color w:val="111111"/>
          <w:sz w:val="28"/>
          <w:sz w:val="28"/>
          <w:szCs w:val="28"/>
          <w:rtl w:val="true"/>
          <w:lang w:bidi="fa-IR"/>
        </w:rPr>
        <w:t xml:space="preserve">فی مسألة ناسی النجاسة فی الثوب أو البدن </w:t>
      </w:r>
      <w:r>
        <w:rPr>
          <w:rStyle w:val="FootnoteAnchor"/>
          <w:rtl w:val="true"/>
        </w:rPr>
        <w:footnoteReference w:id="2242"/>
      </w:r>
      <w:r>
        <w:rPr>
          <w:rFonts w:ascii="IRNazanin" w:hAnsi="IRNazanin" w:eastAsia="IRNazanin"/>
          <w:color w:val="111111"/>
          <w:sz w:val="28"/>
          <w:sz w:val="28"/>
          <w:szCs w:val="28"/>
          <w:rtl w:val="true"/>
          <w:lang w:bidi="fa-IR"/>
        </w:rPr>
        <w:t>، بناء علی کون ما نحن فیه من جزئیات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الإسکافی </w:t>
      </w:r>
      <w:r>
        <w:rPr>
          <w:rStyle w:val="FootnoteAnchor"/>
          <w:rtl w:val="true"/>
        </w:rPr>
        <w:footnoteReference w:id="2243"/>
      </w:r>
      <w:r>
        <w:rPr>
          <w:rFonts w:ascii="IRNazanin" w:hAnsi="IRNazanin" w:eastAsia="IRNazanin"/>
          <w:color w:val="111111"/>
          <w:sz w:val="28"/>
          <w:sz w:val="28"/>
          <w:szCs w:val="28"/>
          <w:rtl w:val="true"/>
          <w:lang w:bidi="fa-IR"/>
        </w:rPr>
        <w:t>هذا التفصیل بالنسبة إلی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الصدوق قدّس سرّه </w:t>
      </w:r>
      <w:r>
        <w:rPr>
          <w:rStyle w:val="FootnoteAnchor"/>
          <w:rtl w:val="true"/>
        </w:rPr>
        <w:footnoteReference w:id="2244"/>
      </w:r>
      <w:r>
        <w:rPr>
          <w:rFonts w:ascii="IRNazanin" w:hAnsi="IRNazanin" w:eastAsia="IRNazanin"/>
          <w:color w:val="111111"/>
          <w:sz w:val="28"/>
          <w:sz w:val="28"/>
          <w:szCs w:val="28"/>
          <w:rtl w:val="true"/>
          <w:lang w:bidi="fa-IR"/>
        </w:rPr>
        <w:t xml:space="preserve">تفصیل آخر بین مخرجی البول و الغائط فلم یوجب الإعادة من الغائط، و لعلّه لروایة عمّار </w:t>
      </w:r>
      <w:r>
        <w:rPr>
          <w:rStyle w:val="FootnoteAnchor"/>
          <w:rtl w:val="true"/>
        </w:rPr>
        <w:footnoteReference w:id="2245"/>
      </w:r>
      <w:r>
        <w:rPr>
          <w:rFonts w:ascii="IRNazanin" w:hAnsi="IRNazanin" w:eastAsia="IRNazanin"/>
          <w:color w:val="111111"/>
          <w:sz w:val="28"/>
          <w:sz w:val="28"/>
          <w:szCs w:val="28"/>
          <w:rtl w:val="true"/>
          <w:lang w:bidi="fa-IR"/>
        </w:rPr>
        <w:t xml:space="preserve">، و صحیحة علیّ بن جعفر </w:t>
      </w:r>
      <w:r>
        <w:rPr>
          <w:rStyle w:val="FootnoteAnchor"/>
          <w:rtl w:val="true"/>
        </w:rPr>
        <w:footnoteReference w:id="2246"/>
      </w:r>
      <w:r>
        <w:rPr>
          <w:rFonts w:ascii="IRNazanin" w:hAnsi="IRNazanin" w:eastAsia="IRNazanin"/>
          <w:color w:val="111111"/>
          <w:sz w:val="28"/>
          <w:sz w:val="28"/>
          <w:szCs w:val="28"/>
          <w:rtl w:val="true"/>
          <w:lang w:bidi="fa-IR"/>
        </w:rPr>
        <w:t>فی الاستنجاء من الغائط</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ینبغی الإشکال فی أنّه لا یجب إعادة الوضوء لا من نسیان البول و لا من الغائط، للأصل و الأخبار المستفیضة، ففی صحیحة علیّ</w:t>
      </w:r>
    </w:p>
    <w:p>
      <w:pPr>
        <w:pStyle w:val="BookText"/>
        <w:rPr/>
      </w:pPr>
      <w:r>
        <w:rPr>
          <w:rFonts w:ascii="IRNazanin" w:hAnsi="IRNazanin" w:eastAsia="IRNazanin"/>
          <w:color w:val="111111"/>
          <w:sz w:val="28"/>
          <w:sz w:val="28"/>
          <w:szCs w:val="28"/>
          <w:rtl w:val="true"/>
          <w:lang w:bidi="fa-IR"/>
        </w:rPr>
        <w:t>ابن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ذکره، و لا یعید الوضوء</w:t>
      </w:r>
      <w:r>
        <w:rPr>
          <w:rFonts w:eastAsia="IRNazanin" w:cs="IRNazanin"/>
          <w:color w:val="111111"/>
          <w:sz w:val="28"/>
          <w:szCs w:val="28"/>
          <w:rtl w:val="true"/>
          <w:lang w:bidi="fa-IR"/>
        </w:rPr>
        <w:t xml:space="preserve">» </w:t>
      </w:r>
      <w:r>
        <w:rPr>
          <w:rStyle w:val="FootnoteAnchor"/>
          <w:rtl w:val="true"/>
        </w:rPr>
        <w:footnoteReference w:id="2247"/>
      </w:r>
      <w:r>
        <w:rPr>
          <w:rFonts w:ascii="IRNazanin" w:hAnsi="IRNazanin" w:eastAsia="IRNazanin"/>
          <w:color w:val="111111"/>
          <w:sz w:val="28"/>
          <w:sz w:val="28"/>
          <w:szCs w:val="28"/>
          <w:rtl w:val="true"/>
          <w:lang w:bidi="fa-IR"/>
        </w:rPr>
        <w:t xml:space="preserve">، و مثلها صحیحة عمرو بن أبی نصر، و روایة أبی مریم المتقدّمتین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أهرقت الماء و نسیت أن تغسل ذکرک حتّی صلیت، فعلیک إعادة الوضوء، و غسل ذکرک</w:t>
      </w:r>
      <w:r>
        <w:rPr>
          <w:rFonts w:eastAsia="IRNazanin" w:cs="IRNazanin"/>
          <w:color w:val="111111"/>
          <w:sz w:val="28"/>
          <w:szCs w:val="28"/>
          <w:rtl w:val="true"/>
          <w:lang w:bidi="fa-IR"/>
        </w:rPr>
        <w:t xml:space="preserve">» </w:t>
      </w:r>
      <w:r>
        <w:rPr>
          <w:rStyle w:val="FootnoteAnchor"/>
          <w:rtl w:val="true"/>
        </w:rPr>
        <w:footnoteReference w:id="2249"/>
      </w:r>
      <w:r>
        <w:rPr>
          <w:rFonts w:ascii="IRNazanin" w:hAnsi="IRNazanin" w:eastAsia="IRNazanin"/>
          <w:color w:val="111111"/>
          <w:sz w:val="28"/>
          <w:sz w:val="28"/>
          <w:szCs w:val="28"/>
          <w:rtl w:val="true"/>
          <w:lang w:bidi="fa-IR"/>
        </w:rPr>
        <w:t>، و فی صحیحة سلیمان ابن خالد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یتوضّأ فینسی غسل ذکره، قال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یغسل ذکره، ثمّ یعید الوضوء</w:t>
      </w:r>
      <w:r>
        <w:rPr>
          <w:rFonts w:eastAsia="IRNazanin" w:cs="IRNazanin"/>
          <w:color w:val="111111"/>
          <w:sz w:val="28"/>
          <w:szCs w:val="28"/>
          <w:rtl w:val="true"/>
          <w:lang w:bidi="fa-IR"/>
        </w:rPr>
        <w:t xml:space="preserve">» </w:t>
      </w:r>
      <w:r>
        <w:rPr>
          <w:rStyle w:val="FootnoteAnchor"/>
          <w:rtl w:val="true"/>
        </w:rPr>
        <w:footnoteReference w:id="2250"/>
      </w:r>
      <w:r>
        <w:rPr>
          <w:rFonts w:ascii="IRNazanin" w:hAnsi="IRNazanin" w:eastAsia="IRNazanin"/>
          <w:color w:val="111111"/>
          <w:sz w:val="28"/>
          <w:sz w:val="28"/>
          <w:szCs w:val="28"/>
          <w:rtl w:val="true"/>
          <w:lang w:bidi="fa-IR"/>
        </w:rPr>
        <w:t xml:space="preserve">، و بظاهرهما </w:t>
      </w:r>
      <w:r>
        <w:rPr>
          <w:rStyle w:val="FootnoteAnchor"/>
          <w:rtl w:val="true"/>
        </w:rPr>
        <w:footnoteReference w:id="2251"/>
      </w:r>
      <w:r>
        <w:rPr>
          <w:rFonts w:ascii="IRNazanin" w:hAnsi="IRNazanin" w:eastAsia="IRNazanin"/>
          <w:color w:val="111111"/>
          <w:sz w:val="28"/>
          <w:sz w:val="28"/>
          <w:szCs w:val="28"/>
          <w:rtl w:val="true"/>
          <w:lang w:bidi="fa-IR"/>
        </w:rPr>
        <w:t xml:space="preserve">أخذ الصدوق </w:t>
      </w:r>
      <w:r>
        <w:rPr>
          <w:rStyle w:val="FootnoteAnchor"/>
          <w:rtl w:val="true"/>
        </w:rPr>
        <w:footnoteReference w:id="2252"/>
      </w:r>
      <w:r>
        <w:rPr>
          <w:rFonts w:ascii="IRNazanin" w:hAnsi="IRNazanin" w:eastAsia="IRNazanin"/>
          <w:color w:val="111111"/>
          <w:sz w:val="28"/>
          <w:sz w:val="28"/>
          <w:szCs w:val="28"/>
          <w:rtl w:val="true"/>
          <w:lang w:bidi="fa-IR"/>
        </w:rPr>
        <w:t xml:space="preserve">حیث أوجب الإعادة علی ناسی غسل البول، بل عن ظاهر القول المحکیّ </w:t>
      </w:r>
      <w:r>
        <w:rPr>
          <w:rStyle w:val="FootnoteAnchor"/>
          <w:rtl w:val="true"/>
        </w:rPr>
        <w:footnoteReference w:id="2253"/>
      </w:r>
      <w:r>
        <w:rPr>
          <w:rFonts w:ascii="IRNazanin" w:hAnsi="IRNazanin" w:eastAsia="IRNazanin"/>
          <w:color w:val="111111"/>
          <w:sz w:val="28"/>
          <w:sz w:val="28"/>
          <w:szCs w:val="28"/>
          <w:rtl w:val="true"/>
          <w:lang w:bidi="fa-IR"/>
        </w:rPr>
        <w:t xml:space="preserve">عن المقنع </w:t>
      </w:r>
      <w:r>
        <w:rPr>
          <w:rStyle w:val="FootnoteAnchor"/>
          <w:rtl w:val="true"/>
        </w:rPr>
        <w:footnoteReference w:id="2254"/>
      </w:r>
      <w:r>
        <w:rPr>
          <w:rFonts w:ascii="IRNazanin" w:hAnsi="IRNazanin" w:eastAsia="IRNazanin"/>
          <w:color w:val="111111"/>
          <w:sz w:val="28"/>
          <w:sz w:val="28"/>
          <w:szCs w:val="28"/>
          <w:rtl w:val="true"/>
          <w:lang w:bidi="fa-IR"/>
        </w:rPr>
        <w:t>تعمیمه للمخرجین، و لعلّه لموثّقة عمّار المتقدّمة فی ناسی غسل الدبر</w:t>
      </w:r>
      <w:r>
        <w:rPr>
          <w:rFonts w:eastAsia="IRNazanin" w:cs="IRNazanin"/>
          <w:color w:val="111111"/>
          <w:sz w:val="28"/>
          <w:szCs w:val="28"/>
          <w:rtl w:val="true"/>
          <w:lang w:bidi="fa-IR"/>
        </w:rPr>
        <w:t>.</w:t>
      </w:r>
      <w:bookmarkStart w:id="265" w:name="pg13035_131999"/>
    </w:p>
    <w:p>
      <w:pPr>
        <w:pStyle w:val="Heading5"/>
        <w:numPr>
          <w:ilvl w:val="4"/>
          <w:numId w:val="1"/>
        </w:numPr>
        <w:rPr/>
      </w:pPr>
      <w:bookmarkStart w:id="266" w:name="__RefHeading___Toc6370050_3224264995"/>
      <w:bookmarkStart w:id="267" w:name="_Toc102"/>
      <w:bookmarkEnd w:id="265"/>
      <w:bookmarkEnd w:id="266"/>
      <w:r>
        <w:rPr>
          <w:rtl w:val="true"/>
        </w:rPr>
        <w:t>[</w:t>
      </w:r>
      <w:r>
        <w:rPr>
          <w:rtl w:val="true"/>
        </w:rPr>
        <w:t>بعض أحکام الخلل المتردّد بین الوضوءین</w:t>
      </w:r>
      <w:r>
        <w:rPr>
          <w:rtl w:val="true"/>
        </w:rPr>
        <w:t>]</w:t>
      </w:r>
      <w:bookmarkEnd w:id="267"/>
    </w:p>
    <w:p>
      <w:pPr>
        <w:pStyle w:val="Heading6"/>
        <w:numPr>
          <w:ilvl w:val="5"/>
          <w:numId w:val="1"/>
        </w:numPr>
        <w:rPr/>
      </w:pPr>
      <w:bookmarkStart w:id="268" w:name="__RefHeading___Toc6370052_3224264995"/>
      <w:bookmarkStart w:id="269" w:name="_Toc103"/>
      <w:bookmarkEnd w:id="268"/>
      <w:r>
        <w:rPr>
          <w:rtl w:val="true"/>
        </w:rPr>
        <w:t>اشارة</w:t>
      </w:r>
      <w:bookmarkEnd w:id="269"/>
    </w:p>
    <w:p>
      <w:pPr>
        <w:pStyle w:val="BookText"/>
        <w:rPr/>
      </w:pPr>
      <w:r>
        <w:rPr>
          <w:rStyle w:val="FootnoteAnchor"/>
          <w:rtl w:val="true"/>
        </w:rPr>
        <w:footnoteReference w:id="2255"/>
      </w:r>
      <w:r>
        <w:rPr>
          <w:rFonts w:ascii="IRNazanin" w:hAnsi="IRNazanin" w:eastAsia="IRNazanin"/>
          <w:color w:val="111111"/>
          <w:sz w:val="28"/>
          <w:sz w:val="28"/>
          <w:szCs w:val="28"/>
          <w:rtl w:val="true"/>
          <w:lang w:bidi="fa-IR"/>
        </w:rPr>
        <w:t xml:space="preserve">و لمّا فرغ المصنّف قدّس سرّه من الخلل الواقع أو المتوهّم فی وضوء بخصوصه، ذکر بعض أحکام الخلل المتردّد بین الوضوءین </w:t>
      </w:r>
      <w:r>
        <w:rPr>
          <w:rStyle w:val="FootnoteAnchor"/>
          <w:rtl w:val="true"/>
        </w:rPr>
        <w:footnoteReference w:id="2256"/>
      </w:r>
      <w:r>
        <w:rPr>
          <w:rFonts w:ascii="IRNazanin" w:hAnsi="IRNazanin" w:eastAsia="IRNazanin"/>
          <w:color w:val="111111"/>
          <w:sz w:val="28"/>
          <w:sz w:val="28"/>
          <w:szCs w:val="28"/>
          <w:rtl w:val="true"/>
          <w:lang w:bidi="fa-IR"/>
        </w:rPr>
        <w:t>فی</w:t>
      </w:r>
    </w:p>
    <w:p>
      <w:pPr>
        <w:pStyle w:val="Heading6"/>
        <w:numPr>
          <w:ilvl w:val="5"/>
          <w:numId w:val="1"/>
        </w:numPr>
        <w:rPr/>
      </w:pPr>
      <w:bookmarkStart w:id="270" w:name="__RefHeading___Toc6370054_3224264995"/>
      <w:bookmarkStart w:id="271" w:name="_Toc104"/>
      <w:bookmarkEnd w:id="270"/>
      <w:r>
        <w:rPr>
          <w:rtl w:val="true"/>
        </w:rPr>
        <w:t>مسائل</w:t>
      </w:r>
      <w:r>
        <w:rPr>
          <w:rtl w:val="true"/>
        </w:rPr>
        <w:t>:</w:t>
      </w:r>
      <w:bookmarkEnd w:id="271"/>
    </w:p>
    <w:p>
      <w:pPr>
        <w:pStyle w:val="Heading6"/>
        <w:numPr>
          <w:ilvl w:val="5"/>
          <w:numId w:val="1"/>
        </w:numPr>
        <w:rPr/>
      </w:pPr>
      <w:bookmarkStart w:id="272" w:name="__RefHeading___Toc6370056_3224264995"/>
      <w:bookmarkStart w:id="273" w:name="_Toc105"/>
      <w:bookmarkEnd w:id="272"/>
      <w:r>
        <w:rPr>
          <w:rtl w:val="true"/>
        </w:rPr>
        <w:t>[</w:t>
      </w:r>
      <w:r>
        <w:rPr>
          <w:rtl w:val="true"/>
        </w:rPr>
        <w:t>المسألة</w:t>
      </w:r>
      <w:r>
        <w:rPr>
          <w:rtl w:val="true"/>
        </w:rPr>
        <w:t xml:space="preserve">] </w:t>
      </w:r>
      <w:r>
        <w:rPr>
          <w:rtl w:val="true"/>
        </w:rPr>
        <w:t xml:space="preserve">الأولی </w:t>
      </w:r>
      <w:r>
        <w:rPr>
          <w:rtl w:val="true"/>
        </w:rPr>
        <w:t>[</w:t>
      </w:r>
      <w:r>
        <w:rPr>
          <w:rtl w:val="true"/>
        </w:rPr>
        <w:t>العلم الإجمالی بالإخلال فی أحد الموضعین</w:t>
      </w:r>
      <w:r>
        <w:rPr>
          <w:rtl w:val="true"/>
        </w:rPr>
        <w:t>]</w:t>
      </w:r>
      <w:bookmarkEnd w:id="27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جدّد </w:t>
      </w:r>
      <w:r>
        <w:rPr>
          <w:rStyle w:val="FootnoteAnchor"/>
          <w:rtl w:val="true"/>
        </w:rPr>
        <w:footnoteReference w:id="2257"/>
      </w:r>
      <w:r>
        <w:rPr>
          <w:rFonts w:ascii="IRNazanin" w:hAnsi="IRNazanin" w:eastAsia="IRNazanin"/>
          <w:color w:val="111111"/>
          <w:sz w:val="28"/>
          <w:sz w:val="28"/>
          <w:szCs w:val="28"/>
          <w:rtl w:val="true"/>
          <w:lang w:bidi="fa-IR"/>
        </w:rPr>
        <w:t>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المبیح للمشروط به، 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له بأصل الشرع، أم بنیّة الوجوب العارض له بنذر أو 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أخلّ بعضو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إحدی الطهارتین،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بوحدة حقیقة الوضوءات الغیر المجامعة للحدث الأکبر، و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اقتصرنا علی نیّة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نعتبر نیّة الرفع و الاستباحة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فالطهارة و الصلاة صحیحتان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 کما یظهر من</w:t>
      </w:r>
    </w:p>
    <w:p>
      <w:pPr>
        <w:pStyle w:val="BookText"/>
        <w:rPr/>
      </w:pPr>
      <w:r>
        <w:rPr>
          <w:rFonts w:ascii="Amiri" w:hAnsi="Amiri" w:eastAsia="Amiri" w:cs="Amiri"/>
          <w:color w:val="111111"/>
          <w:sz w:val="28"/>
          <w:sz w:val="28"/>
          <w:szCs w:val="28"/>
          <w:rtl w:val="true"/>
          <w:lang w:bidi="ar-SA"/>
        </w:rPr>
        <w:t xml:space="preserve">المصنّف و العلّامة رحمه اللّٰه </w:t>
      </w:r>
      <w:r>
        <w:rPr>
          <w:rStyle w:val="FootnoteAnchor"/>
          <w:rtl w:val="true"/>
        </w:rPr>
        <w:footnoteReference w:id="2258"/>
      </w:r>
      <w:r>
        <w:rPr>
          <w:rFonts w:ascii="IRNazanin" w:hAnsi="IRNazanin" w:eastAsia="IRNazanin"/>
          <w:color w:val="111111"/>
          <w:sz w:val="28"/>
          <w:sz w:val="28"/>
          <w:szCs w:val="28"/>
          <w:rtl w:val="true"/>
          <w:lang w:bidi="fa-IR"/>
        </w:rPr>
        <w:t xml:space="preserve">و ولده </w:t>
      </w:r>
      <w:r>
        <w:rPr>
          <w:rStyle w:val="FootnoteAnchor"/>
          <w:rtl w:val="true"/>
        </w:rPr>
        <w:footnoteReference w:id="2259"/>
      </w:r>
      <w:r>
        <w:rPr>
          <w:rFonts w:ascii="IRNazanin" w:hAnsi="IRNazanin" w:eastAsia="IRNazanin"/>
          <w:color w:val="111111"/>
          <w:sz w:val="28"/>
          <w:sz w:val="28"/>
          <w:szCs w:val="28"/>
          <w:rtl w:val="true"/>
          <w:lang w:bidi="fa-IR"/>
        </w:rPr>
        <w:t xml:space="preserve">و الشهید </w:t>
      </w:r>
      <w:r>
        <w:rPr>
          <w:rStyle w:val="FootnoteAnchor"/>
          <w:rtl w:val="true"/>
        </w:rPr>
        <w:footnoteReference w:id="226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261"/>
      </w:r>
      <w:r>
        <w:rPr>
          <w:rFonts w:ascii="IRNazanin" w:hAnsi="IRNazanin" w:eastAsia="IRNazanin"/>
          <w:color w:val="111111"/>
          <w:sz w:val="28"/>
          <w:sz w:val="28"/>
          <w:szCs w:val="28"/>
          <w:rtl w:val="true"/>
          <w:lang w:bidi="fa-IR"/>
        </w:rPr>
        <w:t xml:space="preserve">، و کذا إن قلنا برفع خصوص المجدّد عند تبیّن الحاجة إلیه کما یراه الشیخ </w:t>
      </w:r>
      <w:r>
        <w:rPr>
          <w:rStyle w:val="FootnoteAnchor"/>
          <w:rtl w:val="true"/>
        </w:rPr>
        <w:footnoteReference w:id="2262"/>
      </w:r>
      <w:r>
        <w:rPr>
          <w:rFonts w:ascii="IRNazanin" w:hAnsi="IRNazanin" w:eastAsia="IRNazanin"/>
          <w:color w:val="111111"/>
          <w:sz w:val="28"/>
          <w:sz w:val="28"/>
          <w:szCs w:val="28"/>
          <w:rtl w:val="true"/>
          <w:lang w:bidi="fa-IR"/>
        </w:rPr>
        <w:t xml:space="preserve">، مع عدم اقتصاره علی نیّة القربة </w:t>
      </w:r>
      <w:r>
        <w:rPr>
          <w:rStyle w:val="FootnoteAnchor"/>
          <w:rtl w:val="true"/>
        </w:rPr>
        <w:footnoteReference w:id="2263"/>
      </w:r>
      <w:r>
        <w:rPr>
          <w:rFonts w:ascii="IRNazanin" w:hAnsi="IRNazanin" w:eastAsia="IRNazanin"/>
          <w:color w:val="111111"/>
          <w:sz w:val="28"/>
          <w:sz w:val="28"/>
          <w:szCs w:val="28"/>
          <w:rtl w:val="true"/>
          <w:lang w:bidi="fa-IR"/>
        </w:rPr>
        <w:t xml:space="preserve">، و وافقه علی ذلک جماعة کالقاضی </w:t>
      </w:r>
      <w:r>
        <w:rPr>
          <w:rStyle w:val="FootnoteAnchor"/>
          <w:rtl w:val="true"/>
        </w:rPr>
        <w:footnoteReference w:id="2264"/>
      </w:r>
      <w:r>
        <w:rPr>
          <w:rFonts w:ascii="IRNazanin" w:hAnsi="IRNazanin" w:eastAsia="IRNazanin"/>
          <w:color w:val="111111"/>
          <w:sz w:val="28"/>
          <w:sz w:val="28"/>
          <w:szCs w:val="28"/>
          <w:rtl w:val="true"/>
          <w:lang w:bidi="fa-IR"/>
        </w:rPr>
        <w:t xml:space="preserve">و ابنی سعید </w:t>
      </w:r>
      <w:r>
        <w:rPr>
          <w:rStyle w:val="FootnoteAnchor"/>
          <w:rtl w:val="true"/>
        </w:rPr>
        <w:footnoteReference w:id="2265"/>
      </w:r>
      <w:r>
        <w:rPr>
          <w:rFonts w:ascii="Amiri" w:hAnsi="Amiri" w:eastAsia="Amiri" w:cs="Amiri"/>
          <w:color w:val="111111"/>
          <w:sz w:val="28"/>
          <w:sz w:val="28"/>
          <w:szCs w:val="28"/>
          <w:rtl w:val="true"/>
          <w:lang w:bidi="ar-SA"/>
        </w:rPr>
        <w:t xml:space="preserve">و حمزة </w:t>
      </w:r>
      <w:r>
        <w:rPr>
          <w:rStyle w:val="FootnoteAnchor"/>
          <w:rtl w:val="true"/>
        </w:rPr>
        <w:footnoteReference w:id="2266"/>
      </w:r>
      <w:r>
        <w:rPr>
          <w:rFonts w:ascii="IRNazanin" w:hAnsi="IRNazanin" w:eastAsia="IRNazanin"/>
          <w:color w:val="111111"/>
          <w:sz w:val="28"/>
          <w:sz w:val="28"/>
          <w:szCs w:val="28"/>
          <w:rtl w:val="true"/>
          <w:lang w:bidi="fa-IR"/>
        </w:rPr>
        <w:t xml:space="preserve">و المحقّق فی المعتبر </w:t>
      </w:r>
      <w:r>
        <w:rPr>
          <w:rStyle w:val="FootnoteAnchor"/>
          <w:rtl w:val="true"/>
        </w:rPr>
        <w:footnoteReference w:id="2267"/>
      </w:r>
      <w:r>
        <w:rPr>
          <w:rFonts w:ascii="Amiri" w:hAnsi="Amiri" w:eastAsia="Amiri" w:cs="Amiri"/>
          <w:color w:val="111111"/>
          <w:sz w:val="28"/>
          <w:sz w:val="28"/>
          <w:szCs w:val="28"/>
          <w:rtl w:val="true"/>
          <w:lang w:bidi="ar-SA"/>
        </w:rPr>
        <w:t xml:space="preserve">، و قد تقدّم ذلک کلّه فی بحث النیّة، و </w:t>
      </w:r>
      <w:r>
        <w:rPr>
          <w:rStyle w:val="FootnoteAnchor"/>
          <w:rtl w:val="true"/>
        </w:rPr>
        <w:footnoteReference w:id="2268"/>
      </w:r>
      <w:r>
        <w:rPr>
          <w:rFonts w:ascii="IRNazanin" w:hAnsi="IRNazanin" w:eastAsia="IRNazanin"/>
          <w:color w:val="111111"/>
          <w:sz w:val="28"/>
          <w:sz w:val="28"/>
          <w:szCs w:val="28"/>
          <w:rtl w:val="true"/>
          <w:lang w:bidi="fa-IR"/>
        </w:rPr>
        <w:t xml:space="preserve">تقدّم هناک تعجّب العلّامة من هذا القول، و دفع الشهید فی الذکری له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أوجبنا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الاستباحة أعادهما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 أکثر من تأخّر عنه </w:t>
      </w:r>
      <w:r>
        <w:rPr>
          <w:rStyle w:val="FootnoteAnchor"/>
          <w:rtl w:val="true"/>
        </w:rPr>
        <w:footnoteReference w:id="2270"/>
      </w:r>
      <w:r>
        <w:rPr>
          <w:rFonts w:ascii="IRNazanin" w:hAnsi="IRNazanin" w:eastAsia="IRNazanin"/>
          <w:color w:val="111111"/>
          <w:sz w:val="28"/>
          <w:sz w:val="28"/>
          <w:szCs w:val="28"/>
          <w:rtl w:val="true"/>
          <w:lang w:bidi="fa-IR"/>
        </w:rPr>
        <w:t>، لأصالة بقاء الحدث السابق علی الطهارتین، لعدم العلم</w:t>
      </w:r>
    </w:p>
    <w:p>
      <w:pPr>
        <w:pStyle w:val="BookText"/>
        <w:rPr/>
      </w:pPr>
      <w:r>
        <w:rPr>
          <w:rFonts w:ascii="IRNazanin" w:hAnsi="IRNazanin" w:eastAsia="IRNazanin"/>
          <w:color w:val="111111"/>
          <w:sz w:val="28"/>
          <w:sz w:val="28"/>
          <w:szCs w:val="28"/>
          <w:rtl w:val="true"/>
          <w:lang w:bidi="fa-IR"/>
        </w:rPr>
        <w:t>بارتفاعه، لاحتمال الإخلال من الاولی، و هنا وجه لعدم الإعادة أوفق بالقواعد، و هی صحّة الصلاة و الطهارة، لأنّ الشکّ فی الإخلال بعضو شکّ بعد الانتقال عن محلّه، و العلم الإجمالی بالإخلال و الشکّ فی مورده غیر مانع عن جریان قاعدة الشکّ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احتمله فی الذکری </w:t>
      </w:r>
      <w:r>
        <w:rPr>
          <w:rStyle w:val="FootnoteAnchor"/>
          <w:rtl w:val="true"/>
        </w:rPr>
        <w:footnoteReference w:id="2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تقیید للنصّ و الفتوی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العلم الإجمالی بالإخلال لو أثّر لأثّر فیما علم إجمالا بالإخلال بفعل مردّد بین کونه من الأفعال الواجبة أو المستحبّة، کما إذا تردّد المتروک بین غسل الیمنی و بین المضمضة أو تیقّن ترک لمعة لا یدری أنّها من الغسلة الواجبة أو المستحبّة أو اغتسل غسلا للجنابة و غسلا للجمعة، ثمّ ذکر الإخلال بعضو من أحدهما، إلی غیر ذلک من موارد العلم الإجمالی بالترک، و دوران المتروک بین ما یجب تدارکه و بین ما لا یجب</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المتروک فی الصلاة بین الرکوع و القنوت أو القراءة و شبه ذلک، مع أنّه لو سلّم قدح مجرّد العلم الإجمالی فی قاعدة الشکّ بعد الفراغ لم یقتض ذلک وجوب إعادة الصلاة، إذ الشکّ بالنسبة إلیها غیر مجامع مع العلم الإجمالی، غایة الأمر وجوب الطهارة للصلوات المستقبلة، فهو کمن شکّ بعد الصلاة فی أنّه تطهر لها من الحدث السابق أم لا، و قد أفتی جماعة بعدم الالتفات إلیه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جعفر المتقدّمة فی الشکّ فی الشرط فی الأثناء </w:t>
      </w:r>
      <w:r>
        <w:rPr>
          <w:rStyle w:val="FootnoteAnchor"/>
          <w:rtl w:val="true"/>
        </w:rPr>
        <w:footnoteReference w:id="2273"/>
      </w:r>
      <w:r>
        <w:rPr>
          <w:rFonts w:ascii="IRNazanin" w:hAnsi="IRNazanin" w:eastAsia="IRNazanin"/>
          <w:color w:val="111111"/>
          <w:sz w:val="28"/>
          <w:sz w:val="28"/>
          <w:szCs w:val="28"/>
          <w:rtl w:val="true"/>
          <w:lang w:bidi="fa-IR"/>
        </w:rPr>
        <w:t>و إن خالف فیه بعض ککاشف اللثام فی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بعد الطواف فی أنّه تطهّر أم لا </w:t>
      </w:r>
      <w:r>
        <w:rPr>
          <w:rStyle w:val="FootnoteAnchor"/>
          <w:rtl w:val="true"/>
        </w:rPr>
        <w:footnoteReference w:id="2274"/>
      </w:r>
      <w:r>
        <w:rPr>
          <w:rFonts w:ascii="IRNazanin" w:hAnsi="IRNazanin" w:eastAsia="IRNazanin"/>
          <w:color w:val="111111"/>
          <w:sz w:val="28"/>
          <w:sz w:val="28"/>
          <w:szCs w:val="28"/>
          <w:rtl w:val="true"/>
          <w:lang w:bidi="fa-IR"/>
        </w:rPr>
        <w:t>، حیث استوجه فی مقابل العلّامة و غیره الالتفات إلی الشکّ، نظرا إلی اختصاص الشکّ بعد الفراغ بالأفعال دون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قدّس سرّه جعل حکمهم بالالتفات فی باب الطهارة شاهدا علی عدم عموم إطلاقاتهم للشروط، لکنّه معارض بقولهم فی باب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حکی فی الذکری ما استوجهناه عن السیّد ابن طاوس قدّس 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طاوس وجها فی ترک عضو متردّد بین طهارة مجزیة و غیر مجزیة أنّه لا التفات فیه، لاندراجه تحت الشکّ فی الوضوء بعد الفراغ، و هو متّجه،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حاصل هنا بالترک و إن کان شاکّا فی موضعه، بخلاف الشکّ بعد الفراغ فإنّه لا یقین فیه بوجه، و اللّٰه الموفّق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استدرکه قدّس سرّه تقیید للنصّ من غیر دلیل، فإنّ من شکّ بعد فراغه فی أنّه غسل یده أم لا قد یکون متیقّنا أنّه علی تقدیر غسلها ترک فعلا آخر من أمور دینه أو دنیاه، و هو غیر قادح فی حکم الشکّ بعد الفراغ قطعا، و اللّٰه العالم</w:t>
      </w:r>
      <w:r>
        <w:rPr>
          <w:rFonts w:eastAsia="IRNazanin" w:cs="IRNazanin"/>
          <w:color w:val="111111"/>
          <w:sz w:val="28"/>
          <w:szCs w:val="28"/>
          <w:rtl w:val="true"/>
          <w:lang w:bidi="fa-IR"/>
        </w:rPr>
        <w:t>.</w:t>
      </w:r>
      <w:bookmarkStart w:id="274" w:name="pg13035_132003"/>
    </w:p>
    <w:p>
      <w:pPr>
        <w:pStyle w:val="Heading6"/>
        <w:numPr>
          <w:ilvl w:val="5"/>
          <w:numId w:val="1"/>
        </w:numPr>
        <w:rPr/>
      </w:pPr>
      <w:bookmarkStart w:id="275" w:name="__RefHeading___Toc6370058_3224264995"/>
      <w:bookmarkStart w:id="276" w:name="_Toc106"/>
      <w:bookmarkEnd w:id="274"/>
      <w:bookmarkEnd w:id="275"/>
      <w:r>
        <w:rPr>
          <w:rtl w:val="true"/>
        </w:rPr>
        <w:t>[</w:t>
      </w:r>
      <w:r>
        <w:rPr>
          <w:rtl w:val="true"/>
        </w:rPr>
        <w:t>المسألة الثانیة</w:t>
      </w:r>
      <w:r>
        <w:rPr>
          <w:rtl w:val="true"/>
        </w:rPr>
        <w:t>] [</w:t>
      </w:r>
      <w:r>
        <w:rPr>
          <w:rtl w:val="true"/>
        </w:rPr>
        <w:t>لو صلّی بکلّ من الطهارتین أعاد</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صلّی بکلّ </w:t>
      </w:r>
      <w:r>
        <w:rPr>
          <w:rStyle w:val="FootnoteAnchor"/>
          <w:rtl w:val="true"/>
        </w:rPr>
        <w:footnoteReference w:id="2276"/>
      </w:r>
      <w:r>
        <w:rPr>
          <w:rFonts w:ascii="IRNazanin" w:hAnsi="IRNazanin" w:eastAsia="IRNazanin"/>
          <w:color w:val="111111"/>
          <w:sz w:val="28"/>
          <w:sz w:val="28"/>
          <w:szCs w:val="28"/>
          <w:rtl w:val="true"/>
          <w:lang w:bidi="fa-IR"/>
        </w:rPr>
        <w:t>من الطهارتین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صلّاه بالطهارة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لأصالة بقاء حدثه، دون ما صلّاه بالثانیة، لصحّة ما صلّاه بها علی کل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الاقتصار علی نیّة القربة أو کفایة المجدّد، و أمّا علی القول الآخر فیجب إعادتها أیضا، لأنّ أصالة بقاء الحدث بعد الوضوء الأول سلیمة عن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بالإعادة فی کلامهم أعمّ من القضاء، لأنّ الموجب للفعل فی الوقت و هو أصالة بقاء الحدث توجب القضاء، لدخول المکلّف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صلّی بغیر طهور، المنصوص علی وجوب القضاء علی من وجب علیه </w:t>
      </w:r>
      <w:r>
        <w:rPr>
          <w:rStyle w:val="FootnoteAnchor"/>
          <w:rtl w:val="true"/>
        </w:rPr>
        <w:footnoteReference w:id="2277"/>
      </w:r>
      <w:r>
        <w:rPr>
          <w:rFonts w:ascii="IRNazanin" w:hAnsi="IRNazanin" w:eastAsia="IRNazanin"/>
          <w:color w:val="111111"/>
          <w:sz w:val="28"/>
          <w:sz w:val="28"/>
          <w:szCs w:val="28"/>
          <w:rtl w:val="true"/>
          <w:lang w:bidi="fa-IR"/>
        </w:rPr>
        <w:t>، و لا یحتاج إلی دعوی صدق موضوع الفوات هنا حتّی یسلم تارة، لإثباتها بالأصل، و یمنع اخری، بمنع إثبات الأصل له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یصعب إثبات القضاء علی من وجب علیه الطهارة لأجل شکّه فی المتأخّر من الحدث و الطهارة المتیقّنین، فلم یتطهّر لنسیان و صلّی و لم یتذکّر إلّا بعد الوقت، إذ لیس هنا استصحاب حدث حتّی یحکم من أجله بأنّه صلّی بغیر طهور و إنّما وجب الإعادة فی الوقت، لأنّ الشکّ فی الشرط شکّ فی المشروط، فلا یحصل یقین البراءة إلّا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القضاء بفرض جدید و لو کان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Style w:val="FootnoteAnchor"/>
          <w:rtl w:val="true"/>
        </w:rPr>
        <w:footnoteReference w:id="2278"/>
      </w:r>
      <w:r>
        <w:rPr>
          <w:rFonts w:ascii="Amiri" w:hAnsi="Amiri" w:eastAsia="Amiri" w:cs="Amiri"/>
          <w:color w:val="111111"/>
          <w:sz w:val="28"/>
          <w:sz w:val="28"/>
          <w:szCs w:val="28"/>
          <w:rtl w:val="true"/>
          <w:lang w:bidi="ar-SA"/>
        </w:rPr>
        <w:t>مع عدم إحراز الفوات فالأصل البراءة من وجوب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الإتیان بالفعل علی وجهه، و أنّ المراد بالفوات فی النصّ و الفتوی ما یعمّ ذلک لو فرض عدم صدق الفوات فیما نحن فیه، و قد استفید من ملاحظة الأخبار تعلّق القضاء بمجرّد أن یحرز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الإتیان بالصلاة الواقعیّة عمدا أو تعذّرا، و لذا کان الأصل فیمن شکّ بعد الوقت فی أنّه صلّی فی الوقت أم لا هو وجوب القضاء، و إنّما عدم عنه للنصّ المعلّل له بأنّه قد دخل حائل </w:t>
      </w:r>
      <w:r>
        <w:rPr>
          <w:rStyle w:val="FootnoteAnchor"/>
          <w:rtl w:val="true"/>
        </w:rPr>
        <w:footnoteReference w:id="2279"/>
      </w:r>
      <w:r>
        <w:rPr>
          <w:rFonts w:ascii="IRNazanin" w:hAnsi="IRNazanin" w:eastAsia="IRNazanin"/>
          <w:color w:val="111111"/>
          <w:sz w:val="28"/>
          <w:sz w:val="28"/>
          <w:szCs w:val="28"/>
          <w:rtl w:val="true"/>
          <w:lang w:bidi="fa-IR"/>
        </w:rPr>
        <w:t>، یعنی أنّه قد مضی محلّه و دخل وقت فعل آخر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کلّه علی طریقة المشهور من الاعتناء بالشکّ المذکور، أمّا علی ما استوجهنا تبعا للسیّد المتقدّم و الشهید قدّس سرّه </w:t>
      </w:r>
      <w:r>
        <w:rPr>
          <w:rStyle w:val="FootnoteAnchor"/>
          <w:rtl w:val="true"/>
        </w:rPr>
        <w:footnoteReference w:id="2280"/>
      </w:r>
      <w:r>
        <w:rPr>
          <w:rFonts w:ascii="IRNazanin" w:hAnsi="IRNazanin" w:eastAsia="IRNazanin"/>
          <w:color w:val="111111"/>
          <w:sz w:val="28"/>
          <w:sz w:val="28"/>
          <w:szCs w:val="28"/>
          <w:rtl w:val="true"/>
          <w:lang w:bidi="fa-IR"/>
        </w:rPr>
        <w:t>فلیس علیه إعادة، خصوصا لو شکّ بعد خروج الوقت، و قد قوّاه فی المنتهی فی هذه المسألة الثانیة بعد أن اختار المشهور فی المسألة الأولی کسائر کتبه فی المسألتین،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الحکم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فی هذا شکّ، و هو أنّه قد تیقّن الطهارة و شکّ فی بعض أعضائها بعد الانصراف، لأنّ الشکّ فی إلحاق المتروک </w:t>
      </w:r>
      <w:r>
        <w:rPr>
          <w:rStyle w:val="FootnoteAnchor"/>
          <w:rtl w:val="true"/>
        </w:rPr>
        <w:footnoteReference w:id="2281"/>
      </w:r>
      <w:r>
        <w:rPr>
          <w:rFonts w:ascii="IRNazanin" w:hAnsi="IRNazanin" w:eastAsia="IRNazanin"/>
          <w:color w:val="111111"/>
          <w:sz w:val="28"/>
          <w:sz w:val="28"/>
          <w:szCs w:val="28"/>
          <w:rtl w:val="true"/>
          <w:lang w:bidi="fa-IR"/>
        </w:rPr>
        <w:t xml:space="preserve">بالیقین منها </w:t>
      </w:r>
      <w:r>
        <w:rPr>
          <w:rStyle w:val="FootnoteAnchor"/>
          <w:rtl w:val="true"/>
        </w:rPr>
        <w:footnoteReference w:id="2282"/>
      </w:r>
      <w:r>
        <w:rPr>
          <w:rFonts w:ascii="IRNazanin" w:hAnsi="IRNazanin" w:eastAsia="IRNazanin"/>
          <w:color w:val="111111"/>
          <w:sz w:val="28"/>
          <w:sz w:val="28"/>
          <w:szCs w:val="28"/>
          <w:rtl w:val="true"/>
          <w:lang w:bidi="fa-IR"/>
        </w:rPr>
        <w:t>هو الشکّ فی ترک أحد الأعضاء الواجبة، فلا</w:t>
      </w:r>
      <w:bookmarkStart w:id="277" w:name="pg13035_132005"/>
    </w:p>
    <w:p>
      <w:pPr>
        <w:pStyle w:val="BookText"/>
        <w:rPr/>
      </w:pPr>
      <w:bookmarkEnd w:id="277"/>
      <w:r>
        <w:rPr>
          <w:rFonts w:ascii="IRNazanin" w:hAnsi="IRNazanin" w:eastAsia="IRNazanin"/>
          <w:color w:val="111111"/>
          <w:sz w:val="28"/>
          <w:sz w:val="28"/>
          <w:szCs w:val="28"/>
          <w:rtl w:val="true"/>
          <w:lang w:bidi="fa-IR"/>
        </w:rPr>
        <w:t xml:space="preserve">یلتفت إلیه، و هو قویّ </w:t>
      </w:r>
      <w:r>
        <w:rPr>
          <w:rStyle w:val="FootnoteAnchor"/>
          <w:rtl w:val="true"/>
        </w:rPr>
        <w:footnoteReference w:id="22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ترک أحد الأعضاء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الشهید حاکیا عن السیّد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عضو تردّد بین طهارة مجزیة و غیر مجزیة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مطلق العلم الإجمالی و تردّد المتروک بین شیئین لا یوجب عدم جریان حکم الشکّ بعد الفراغ، لأنّ هذا الشکّ بالنسبة إلی ما لا یترتب علی الشکّ فیه وجوب التدارک شکّ خال عن العلم الإجمالی، کما مثّلنا سابقا بتردّد المتروک بین واجب و مستحب، أو بین فعل بعض من الوضوء و فعل أجنبی، و کذا تردّد المتروک فی الصلاة بین ما یجب تدارکه و ما لا یجب، إنّما القادح تردّد المتروک فی الوضوء أو الصلاة بین أمرین یجب تدارک کلّ منهما علی تقدیر فواته، فاندفع بذلک ما یقال فی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الشبهة هنا من قبیل الشبهة المحصورة التی لا یجری الأصل فی أحدهما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فی الشبهة المحصورة فیما إذا دار بین ما تنجّز التکلیف بالاجتناب عنه و بین ما لم یتنجّز جاز إجراء الأصل، کما أوضحنا ذلک فی الشبهة المحصورة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6370060_3224264995"/>
      <w:bookmarkStart w:id="279" w:name="_Toc107"/>
      <w:bookmarkEnd w:id="278"/>
      <w:r>
        <w:rPr>
          <w:rtl w:val="true"/>
        </w:rPr>
        <w:t>[</w:t>
      </w:r>
      <w:r>
        <w:rPr>
          <w:rtl w:val="true"/>
        </w:rPr>
        <w:t>المسألة الثالثة</w:t>
      </w:r>
      <w:r>
        <w:rPr>
          <w:rtl w:val="true"/>
        </w:rPr>
        <w:t>] [</w:t>
      </w:r>
      <w:r>
        <w:rPr>
          <w:rtl w:val="true"/>
        </w:rPr>
        <w:t>لو صلّی صلاتین بطهارتین و تیقّن أنّه أحدث عقیب إحداهما</w:t>
      </w:r>
      <w:r>
        <w:rPr>
          <w:rtl w:val="true"/>
        </w:rPr>
        <w:t>]</w:t>
      </w:r>
      <w:bookmarkEnd w:id="279"/>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صلاتین بطهارتین، ثمّ تیقّن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أحدث عقیب واحدة </w:t>
      </w:r>
      <w:r>
        <w:rPr>
          <w:rStyle w:val="FootnoteAnchor"/>
          <w:rtl w:val="true"/>
        </w:rPr>
        <w:footnoteReference w:id="2286"/>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أصالة بقاء الطهارة الأولی لصلاتها و أصالة بقاء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287"/>
      </w:r>
      <w:r>
        <w:rPr>
          <w:rFonts w:ascii="IRNazanin" w:hAnsi="IRNazanin" w:eastAsia="IRNazanin"/>
          <w:color w:val="111111"/>
          <w:sz w:val="28"/>
          <w:sz w:val="28"/>
          <w:szCs w:val="28"/>
          <w:rtl w:val="true"/>
          <w:lang w:bidi="fa-IR"/>
        </w:rPr>
        <w:t xml:space="preserve">أعاد الصلاتین إن </w:t>
      </w:r>
      <w:r>
        <w:rPr>
          <w:rStyle w:val="FootnoteAnchor"/>
          <w:rtl w:val="true"/>
        </w:rPr>
        <w:footnoteReference w:id="2288"/>
      </w:r>
      <w:r>
        <w:rPr>
          <w:rFonts w:ascii="IRNazanin" w:hAnsi="IRNazanin" w:eastAsia="IRNazanin"/>
          <w:color w:val="111111"/>
          <w:sz w:val="28"/>
          <w:sz w:val="28"/>
          <w:szCs w:val="28"/>
          <w:rtl w:val="true"/>
          <w:lang w:bidi="fa-IR"/>
        </w:rPr>
        <w:t xml:space="preserve">اختلفتا </w:t>
      </w:r>
      <w:r>
        <w:rPr>
          <w:rStyle w:val="FootnoteAnchor"/>
          <w:rtl w:val="true"/>
        </w:rPr>
        <w:footnoteReference w:id="2289"/>
      </w:r>
      <w:r>
        <w:rPr>
          <w:rFonts w:ascii="IRNazanin" w:hAnsi="IRNazanin" w:eastAsia="IRNazanin"/>
          <w:color w:val="111111"/>
          <w:sz w:val="28"/>
          <w:sz w:val="28"/>
          <w:szCs w:val="28"/>
          <w:rtl w:val="true"/>
          <w:lang w:bidi="fa-IR"/>
        </w:rPr>
        <w:t>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Style w:val="FootnoteAnchor"/>
          <w:rtl w:val="true"/>
        </w:rPr>
        <w:footnoteReference w:id="2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هنا و إن اختلفوا فی حکم ما یکون هذا من أفراده، و هو تیقّن الطهارة و الحدث و شکّ فی المتأخّر مع کونه متطهّرا قبلها، فینبغی ابتناء الحکم علی الأقوال فی تلک المسألة، و یکفی فی أوّلها الطهارة الثانیة علی إشکال، و وجه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تیقّن البراءة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اتّفاقهما فی القضاء و الأداء و اختلافهما و إن کان ربما یتخیّل مع الاختلاف الاقتصار علی إعادة الثانیة، لأصالة بقاء الأمر به، و قاعدة عدم الالتفات إلی الشکّ فی الأولی بعد خروج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الخدشة فی الحکم مطلقا، لعدم الدلیل علی وجوب تدارک الواجب الواقعی حتّی یجب الجمیع من باب المقدّمة، أو یسلّم المقتضی لوجوبه، إلّا أنّ الیقین بالإتیان به غیر ممکن، لأنّ من جملة ما یعتبر فیه نیّة الوجه المتعذّرة فی المقام للجهل بالواجب الواقعی، فقد ذکرنا فساد ذلک خصوصا الوجه الأخیر فی محلّه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فی الروایة الواردة فی من علیه فائتة</w:t>
      </w:r>
    </w:p>
    <w:p>
      <w:pPr>
        <w:pStyle w:val="BookText"/>
        <w:rPr/>
      </w:pPr>
      <w:r>
        <w:rPr>
          <w:rFonts w:ascii="IRNazanin" w:hAnsi="IRNazanin" w:eastAsia="IRNazanin"/>
          <w:color w:val="111111"/>
          <w:sz w:val="28"/>
          <w:sz w:val="28"/>
          <w:szCs w:val="28"/>
          <w:rtl w:val="true"/>
          <w:lang w:bidi="fa-IR"/>
        </w:rPr>
        <w:t xml:space="preserve">مردّدة بین الخمس، و أنّه یصلّی ثلاث صلوات </w:t>
      </w:r>
      <w:r>
        <w:rPr>
          <w:rStyle w:val="FootnoteAnchor"/>
          <w:rtl w:val="true"/>
        </w:rPr>
        <w:footnoteReference w:id="2291"/>
      </w:r>
      <w:r>
        <w:rPr>
          <w:rFonts w:ascii="IRNazanin" w:hAnsi="IRNazanin" w:eastAsia="IRNazanin"/>
          <w:color w:val="111111"/>
          <w:sz w:val="28"/>
          <w:sz w:val="28"/>
          <w:szCs w:val="28"/>
          <w:rtl w:val="true"/>
          <w:lang w:bidi="fa-IR"/>
        </w:rPr>
        <w:t xml:space="preserve">، و جزم الحلّی فی المقام بالحکم المذکور </w:t>
      </w:r>
      <w:r>
        <w:rPr>
          <w:rStyle w:val="FootnoteAnchor"/>
          <w:rtl w:val="true"/>
        </w:rPr>
        <w:footnoteReference w:id="2292"/>
      </w:r>
      <w:r>
        <w:rPr>
          <w:rFonts w:ascii="IRNazanin" w:hAnsi="IRNazanin" w:eastAsia="IRNazanin"/>
          <w:color w:val="111111"/>
          <w:sz w:val="28"/>
          <w:sz w:val="28"/>
          <w:szCs w:val="28"/>
          <w:rtl w:val="true"/>
          <w:lang w:bidi="fa-IR"/>
        </w:rPr>
        <w:t xml:space="preserve">، مع قوله بعدم وجوب الجمع بین الصلاتین فی الثوبین یعلم نجاسة أحدهما، معلّلا بعدم التمکّن من قصد الوجه، بل أفتی بالصلاة عاریا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یختلفا عددا </w:t>
      </w:r>
      <w:r>
        <w:rPr>
          <w:rStyle w:val="FootnoteAnchor"/>
          <w:rtl w:val="true"/>
        </w:rPr>
        <w:footnoteReference w:id="2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اختلفا فی الجهر و الإخفات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فصلاة واحدة ینوی بها 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لما یستفاد من بعض الروایات من کفایة الواحدة المطابقة لعدد الفائتة و إن خالفتها فی الجهر و الإخفات، و هی مرفوعة الحسین بن سعید إلی أبی عبد اللّٰه علیه السلام، المرویّة فی المحاسن، فی من نسی صلاة من صلاة یومه، و لم یدر أیّ صلاة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ثلاثا و أربعا و رکعتین، فإن کانت الظهر أو العصر أو العشاء کان قد صلّی، و إن کانت المغرب أو الغداة فقد صلّی</w:t>
      </w:r>
      <w:r>
        <w:rPr>
          <w:rFonts w:eastAsia="IRNazanin" w:cs="IRNazanin"/>
          <w:color w:val="111111"/>
          <w:sz w:val="28"/>
          <w:szCs w:val="28"/>
          <w:rtl w:val="true"/>
          <w:lang w:bidi="fa-IR"/>
        </w:rPr>
        <w:t xml:space="preserve">»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مرسلة علی بن أسباط </w:t>
      </w:r>
      <w:r>
        <w:rPr>
          <w:rStyle w:val="FootnoteAnchor"/>
          <w:rtl w:val="true"/>
        </w:rPr>
        <w:footnoteReference w:id="2296"/>
      </w:r>
      <w:r>
        <w:rPr>
          <w:rFonts w:ascii="IRNazanin" w:hAnsi="IRNazanin" w:eastAsia="IRNazanin"/>
          <w:color w:val="111111"/>
          <w:sz w:val="28"/>
          <w:sz w:val="28"/>
          <w:szCs w:val="28"/>
          <w:rtl w:val="true"/>
          <w:lang w:bidi="fa-IR"/>
        </w:rPr>
        <w:t xml:space="preserve">، بحذف التعلیل، و لأجله یضعّف الاستدلال بها و إن وقع من جملة، بناء علی تنقیح المناط، و فیه إشکال، حتّی أنّ الحلّی لم یعمل بالروایة فی المسافر الناسی لإحدی صلواته الخمس </w:t>
      </w:r>
      <w:r>
        <w:rPr>
          <w:rStyle w:val="FootnoteAnchor"/>
          <w:rtl w:val="true"/>
        </w:rPr>
        <w:footnoteReference w:id="22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اقتصارا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روایة البرقی و إن کان یظهر منه مناط الحکم، إلّا أنّ دلالته علی التعلیل حتّی یتعدّی لأجله عن مورده لا یخلو عن قصور، لاحتمال کونه تقریبا للحکم فی هذا المورد لا تعلیلا حقیقیا أو بیانا لحکم الشارع بالاکتفاء بالثلاث علی کلّ تقدیر، و لعلّ الشهرة بین المتأخّرین یجبر قصور الدلالة و إن لم یکن کالشهرة بین القدماء جابرة للسند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ذکرنا من قصور الروایتین عن إفادة الحکم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مخالفته لأصالة عدم إلغاء الجهر و الإخفات عند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 الشیخ </w:t>
      </w:r>
      <w:r>
        <w:rPr>
          <w:rStyle w:val="FootnoteAnchor"/>
          <w:rtl w:val="true"/>
        </w:rPr>
        <w:footnoteReference w:id="2298"/>
      </w:r>
      <w:r>
        <w:rPr>
          <w:rFonts w:ascii="IRNazanin" w:hAnsi="IRNazanin" w:eastAsia="IRNazanin"/>
          <w:color w:val="111111"/>
          <w:sz w:val="28"/>
          <w:sz w:val="28"/>
          <w:szCs w:val="28"/>
          <w:rtl w:val="true"/>
          <w:lang w:bidi="fa-IR"/>
        </w:rPr>
        <w:t xml:space="preserve">و القاضی </w:t>
      </w:r>
      <w:r>
        <w:rPr>
          <w:rStyle w:val="FootnoteAnchor"/>
          <w:rtl w:val="true"/>
        </w:rPr>
        <w:footnoteReference w:id="2299"/>
      </w:r>
      <w:r>
        <w:rPr>
          <w:rFonts w:ascii="IRNazanin" w:hAnsi="IRNazanin" w:eastAsia="IRNazanin"/>
          <w:color w:val="111111"/>
          <w:sz w:val="28"/>
          <w:sz w:val="28"/>
          <w:szCs w:val="28"/>
          <w:rtl w:val="true"/>
          <w:lang w:bidi="fa-IR"/>
        </w:rPr>
        <w:t xml:space="preserve">و الحلبی </w:t>
      </w:r>
      <w:r>
        <w:rPr>
          <w:rStyle w:val="FootnoteAnchor"/>
          <w:rtl w:val="true"/>
        </w:rPr>
        <w:footnoteReference w:id="2300"/>
      </w:r>
      <w:r>
        <w:rPr>
          <w:rFonts w:ascii="Amiri" w:hAnsi="Amiri" w:eastAsia="Amiri" w:cs="Amiri"/>
          <w:color w:val="111111"/>
          <w:sz w:val="28"/>
          <w:sz w:val="28"/>
          <w:szCs w:val="28"/>
          <w:rtl w:val="true"/>
          <w:lang w:bidi="ar-SA"/>
        </w:rPr>
        <w:t xml:space="preserve">و ابن زهرة </w:t>
      </w:r>
      <w:r>
        <w:rPr>
          <w:rStyle w:val="FootnoteAnchor"/>
          <w:rtl w:val="true"/>
        </w:rPr>
        <w:footnoteReference w:id="2301"/>
      </w:r>
      <w:r>
        <w:rPr>
          <w:rFonts w:ascii="Amiri" w:hAnsi="Amiri" w:eastAsia="Amiri" w:cs="Amiri"/>
          <w:color w:val="111111"/>
          <w:sz w:val="28"/>
          <w:sz w:val="28"/>
          <w:szCs w:val="28"/>
          <w:rtl w:val="true"/>
          <w:lang w:bidi="ar-SA"/>
        </w:rPr>
        <w:t xml:space="preserve">و الحلّی </w:t>
      </w:r>
      <w:r>
        <w:rPr>
          <w:rStyle w:val="FootnoteAnchor"/>
          <w:rtl w:val="true"/>
        </w:rPr>
        <w:footnoteReference w:id="2302"/>
      </w:r>
      <w:r>
        <w:rPr>
          <w:rFonts w:ascii="IRNazanin" w:hAnsi="IRNazanin" w:eastAsia="IRNazanin"/>
          <w:color w:val="111111"/>
          <w:sz w:val="28"/>
          <w:sz w:val="28"/>
          <w:szCs w:val="28"/>
          <w:rtl w:val="true"/>
          <w:lang w:bidi="fa-IR"/>
        </w:rPr>
        <w:t xml:space="preserve">و ابن سعید </w:t>
      </w:r>
      <w:r>
        <w:rPr>
          <w:rStyle w:val="FootnoteAnchor"/>
          <w:rtl w:val="true"/>
        </w:rPr>
        <w:footnoteReference w:id="2303"/>
      </w:r>
      <w:r>
        <w:rPr>
          <w:rFonts w:ascii="IRNazanin" w:hAnsi="IRNazanin" w:eastAsia="IRNazanin"/>
          <w:color w:val="111111"/>
          <w:sz w:val="28"/>
          <w:sz w:val="28"/>
          <w:szCs w:val="28"/>
          <w:rtl w:val="true"/>
          <w:lang w:bidi="fa-IR"/>
        </w:rPr>
        <w:t xml:space="preserve">علی ما حکی عنهم بعدم کفایة الواحدة المردّدة و إن اکتفی من عدا الحلبی منهم </w:t>
      </w:r>
      <w:r>
        <w:rPr>
          <w:rStyle w:val="FootnoteAnchor"/>
          <w:rtl w:val="true"/>
        </w:rPr>
        <w:footnoteReference w:id="2304"/>
      </w:r>
      <w:r>
        <w:rPr>
          <w:rFonts w:ascii="IRNazanin" w:hAnsi="IRNazanin" w:eastAsia="IRNazanin"/>
          <w:color w:val="111111"/>
          <w:sz w:val="28"/>
          <w:sz w:val="28"/>
          <w:szCs w:val="28"/>
          <w:rtl w:val="true"/>
          <w:lang w:bidi="fa-IR"/>
        </w:rPr>
        <w:t>بالثلاث لناسی الواحدة من الخمس، لمکان الروایتین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الاکتفاء بالواحدة المردّدة </w:t>
      </w:r>
      <w:r>
        <w:rPr>
          <w:rStyle w:val="FootnoteAnchor"/>
          <w:rtl w:val="true"/>
        </w:rPr>
        <w:footnoteReference w:id="2305"/>
      </w:r>
      <w:r>
        <w:rPr>
          <w:rFonts w:ascii="IRNazanin" w:hAnsi="IRNazanin" w:eastAsia="IRNazanin"/>
          <w:color w:val="111111"/>
          <w:sz w:val="28"/>
          <w:sz w:val="28"/>
          <w:szCs w:val="28"/>
          <w:rtl w:val="true"/>
          <w:lang w:bidi="fa-IR"/>
        </w:rPr>
        <w:t>هل هی رخصة أو عزیمة؟ وجهان،</w:t>
      </w:r>
    </w:p>
    <w:p>
      <w:pPr>
        <w:pStyle w:val="BookText"/>
        <w:rPr/>
      </w:pPr>
      <w:r>
        <w:rPr>
          <w:rFonts w:ascii="IRNazanin" w:hAnsi="IRNazanin" w:eastAsia="IRNazanin"/>
          <w:color w:val="111111"/>
          <w:sz w:val="28"/>
          <w:sz w:val="28"/>
          <w:szCs w:val="28"/>
          <w:rtl w:val="true"/>
          <w:lang w:bidi="fa-IR"/>
        </w:rPr>
        <w:t>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لأدلّة الاحتیاط بعد ورود الأمر بالثلاث فی الروایة مورد توهّم تعیّن الخمس، و لظهور التعلیل فی أنّ الاکتفاء بالواحدة لأجل حصول المقصود به و هو یحصل بالمتعدّد، بل بطریق أولی کما فی الذکری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یکتفی بواحدة مردّدة بین متعدّد متوافق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صلّی بطهارة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أحدث و 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ثمّ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اخری فذکر أنّه أخلّ بعضو </w:t>
      </w:r>
      <w:r>
        <w:rPr>
          <w:rStyle w:val="FootnoteAnchor"/>
          <w:rtl w:val="true"/>
        </w:rPr>
        <w:footnoteReference w:id="2307"/>
      </w:r>
      <w:r>
        <w:rPr>
          <w:rFonts w:ascii="IRNazanin" w:hAnsi="IRNazanin" w:eastAsia="IRNazanin"/>
          <w:color w:val="111111"/>
          <w:sz w:val="28"/>
          <w:sz w:val="28"/>
          <w:szCs w:val="28"/>
          <w:rtl w:val="true"/>
          <w:lang w:bidi="fa-IR"/>
        </w:rPr>
        <w:t>من إحدی الطهارتین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صلّی الخمس بطهارات خمس ثمّ تیقّن </w:t>
      </w:r>
      <w:r>
        <w:rPr>
          <w:rStyle w:val="FootnoteAnchor"/>
          <w:rtl w:val="true"/>
        </w:rPr>
        <w:footnoteReference w:id="2308"/>
      </w:r>
      <w:r>
        <w:rPr>
          <w:rFonts w:ascii="IRNazanin" w:hAnsi="IRNazanin" w:eastAsia="IRNazanin"/>
          <w:color w:val="111111"/>
          <w:sz w:val="28"/>
          <w:sz w:val="28"/>
          <w:szCs w:val="28"/>
          <w:rtl w:val="true"/>
          <w:lang w:bidi="fa-IR"/>
        </w:rPr>
        <w:t>أنّه أحدث عقیب إحدی الطهارات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تقدّم من الاکتفاء بالواحدة عمّا فی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فرائض،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الذمّة من الرباعیات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الجماعة المتقدّمة إلیهم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خمسا</w:t>
      </w:r>
      <w:r>
        <w:rPr>
          <w:rFonts w:eastAsia="IRNazanin" w:cs="IRNazanin"/>
          <w:color w:val="111111"/>
          <w:sz w:val="28"/>
          <w:szCs w:val="28"/>
          <w:rtl w:val="true"/>
          <w:lang w:bidi="fa-IR"/>
        </w:rPr>
        <w:t xml:space="preserve">) </w:t>
      </w:r>
      <w:r>
        <w:rPr>
          <w:rStyle w:val="FootnoteAnchor"/>
          <w:rtl w:val="true"/>
        </w:rPr>
        <w:footnoteReference w:id="2309"/>
      </w:r>
      <w:r>
        <w:rPr>
          <w:rFonts w:ascii="IRNazanin" w:hAnsi="IRNazanin" w:eastAsia="IRNazanin"/>
          <w:color w:val="111111"/>
          <w:sz w:val="28"/>
          <w:sz w:val="28"/>
          <w:szCs w:val="28"/>
          <w:rtl w:val="true"/>
          <w:lang w:bidi="fa-IR"/>
        </w:rPr>
        <w:t xml:space="preserve">، و هذا </w:t>
      </w:r>
      <w:r>
        <w:rPr>
          <w:rStyle w:val="FootnoteAnchor"/>
          <w:rtl w:val="true"/>
        </w:rPr>
        <w:footnoteReference w:id="2310"/>
      </w:r>
      <w:r>
        <w:rPr>
          <w:rFonts w:ascii="IRNazanin" w:hAnsi="IRNazanin" w:eastAsia="IRNazanin"/>
          <w:color w:val="111111"/>
          <w:sz w:val="28"/>
          <w:sz w:val="28"/>
          <w:szCs w:val="28"/>
          <w:rtl w:val="true"/>
          <w:lang w:bidi="fa-IR"/>
        </w:rPr>
        <w:t xml:space="preserve">أوفق بالاحتیاط،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الروایتین المتقدّمتین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المردّدة عمّا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عبارة مشکلة اختلف فی معناها، حتّی أنّه صنّف بعضهم فی ذلک رسالة </w:t>
      </w:r>
      <w:r>
        <w:rPr>
          <w:rStyle w:val="FootnoteAnchor"/>
          <w:rtl w:val="true"/>
        </w:rPr>
        <w:footnoteReference w:id="23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قدّس سرّه فی مسألة الخمس صلوات بخمس 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الإخلال بالطهارتین </w:t>
      </w:r>
      <w:r>
        <w:rPr>
          <w:rStyle w:val="FootnoteAnchor"/>
          <w:rtl w:val="true"/>
        </w:rPr>
        <w:footnoteReference w:id="2312"/>
      </w:r>
      <w:r>
        <w:rPr>
          <w:rFonts w:ascii="IRNazanin" w:hAnsi="IRNazanin" w:eastAsia="IRNazanin"/>
          <w:color w:val="111111"/>
          <w:sz w:val="28"/>
          <w:sz w:val="28"/>
          <w:szCs w:val="28"/>
          <w:rtl w:val="true"/>
          <w:lang w:bidi="fa-IR"/>
        </w:rPr>
        <w:t xml:space="preserve">أعاد أربعا، صبحا، و مغربا، و رباعیا مرّتین، و المسافر یجتزئ بالثنائیّتین و المغرب بینهما، و الأقرب جواز إطلاق النیّة و التعیین، فیأتی بثالثة، و یتخیّر بین تعیین الظهر أو العصر أو العشاء، فیطلق الباقیتین، مراعیا للترتیب، و له إطلاق الثنائی فیکتفی بالمرّتین </w:t>
      </w:r>
      <w:r>
        <w:rPr>
          <w:rStyle w:val="FootnoteAnchor"/>
          <w:rtl w:val="true"/>
        </w:rPr>
        <w:footnoteReference w:id="23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بملاحظة کلامه فی سائر کتبه فی هذا المقام مدخلا فی حلّ هذه العبارة، و التوفیق بید اللّٰه یؤتیه من یشاء</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التوفیق لما یحبّ و یرضی، بمحمد و آله الطاهرین صلوات اللّٰه علیهم أجمعین، و لعنة اللّٰه علی أعدائهم أجمعین إلی یوم الدین</w:t>
      </w:r>
      <w:r>
        <w:rPr>
          <w:rFonts w:eastAsia="IRNazanin" w:cs="IRNazanin"/>
          <w:color w:val="111111"/>
          <w:sz w:val="28"/>
          <w:szCs w:val="28"/>
          <w:rtl w:val="true"/>
          <w:lang w:bidi="fa-IR"/>
        </w:rPr>
        <w:t>.</w:t>
      </w:r>
      <w:bookmarkStart w:id="280" w:name="pg13035_132011"/>
    </w:p>
    <w:p>
      <w:pPr>
        <w:pStyle w:val="Heading4"/>
        <w:numPr>
          <w:ilvl w:val="3"/>
          <w:numId w:val="1"/>
        </w:numPr>
        <w:rPr/>
      </w:pPr>
      <w:bookmarkStart w:id="281" w:name="__RefHeading___Toc6370062_3224264995"/>
      <w:bookmarkStart w:id="282" w:name="_Toc108"/>
      <w:bookmarkEnd w:id="280"/>
      <w:bookmarkEnd w:id="281"/>
      <w:r>
        <w:rPr>
          <w:rtl w:val="true"/>
        </w:rPr>
        <w:t>[</w:t>
      </w:r>
      <w:r>
        <w:rPr>
          <w:rtl w:val="true"/>
        </w:rPr>
        <w:t>و أما الغسل</w:t>
      </w:r>
      <w:r>
        <w:rPr>
          <w:rtl w:val="true"/>
        </w:rPr>
        <w:t>]</w:t>
      </w:r>
      <w:bookmarkEnd w:id="282"/>
    </w:p>
    <w:p>
      <w:pPr>
        <w:pStyle w:val="Heading5"/>
        <w:numPr>
          <w:ilvl w:val="4"/>
          <w:numId w:val="1"/>
        </w:numPr>
        <w:rPr/>
      </w:pPr>
      <w:bookmarkStart w:id="283" w:name="__RefHeading___Toc6370064_3224264995"/>
      <w:bookmarkStart w:id="284" w:name="_Toc109"/>
      <w:bookmarkEnd w:id="283"/>
      <w:r>
        <w:rPr>
          <w:rtl w:val="true"/>
        </w:rPr>
        <w:t>اشارة</w:t>
      </w:r>
      <w:bookmarkEnd w:id="28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الغسل </w:t>
      </w:r>
      <w:r>
        <w:rPr>
          <w:rStyle w:val="FootnoteAnchor"/>
          <w:rtl w:val="true"/>
        </w:rPr>
        <w:footnoteReference w:id="2314"/>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 المندوب</w:t>
      </w:r>
      <w:r>
        <w:rPr>
          <w:rFonts w:eastAsia="IRNazanin" w:cs="IRNazanin"/>
          <w:color w:val="111111"/>
          <w:sz w:val="28"/>
          <w:szCs w:val="28"/>
          <w:rtl w:val="true"/>
          <w:lang w:bidi="fa-IR"/>
        </w:rPr>
        <w:t>)</w:t>
      </w:r>
      <w:bookmarkStart w:id="285" w:name="pg13035_132013"/>
    </w:p>
    <w:p>
      <w:pPr>
        <w:pStyle w:val="Heading5"/>
        <w:numPr>
          <w:ilvl w:val="4"/>
          <w:numId w:val="1"/>
        </w:numPr>
        <w:rPr/>
      </w:pPr>
      <w:bookmarkStart w:id="286" w:name="__RefHeading___Toc6370066_3224264995"/>
      <w:bookmarkStart w:id="287" w:name="_Toc110"/>
      <w:bookmarkEnd w:id="285"/>
      <w:bookmarkEnd w:id="286"/>
      <w:r>
        <w:rPr>
          <w:rtl w:val="true"/>
        </w:rPr>
        <w:t>[</w:t>
      </w:r>
      <w:r>
        <w:rPr>
          <w:rtl w:val="true"/>
        </w:rPr>
        <w:t>الأغسال الواجبة</w:t>
      </w:r>
      <w:r>
        <w:rPr>
          <w:rtl w:val="true"/>
        </w:rPr>
        <w:t>]</w:t>
      </w:r>
      <w:bookmarkEnd w:id="287"/>
    </w:p>
    <w:p>
      <w:pPr>
        <w:pStyle w:val="Heading6"/>
        <w:numPr>
          <w:ilvl w:val="5"/>
          <w:numId w:val="1"/>
        </w:numPr>
        <w:rPr/>
      </w:pPr>
      <w:bookmarkStart w:id="288" w:name="__RefHeading___Toc6370068_3224264995"/>
      <w:bookmarkStart w:id="289" w:name="_Toc111"/>
      <w:bookmarkEnd w:id="288"/>
      <w:r>
        <w:rPr>
          <w:rtl w:val="true"/>
        </w:rPr>
        <w:t>اشارة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w:t>
      </w:r>
      <w:r>
        <w:rPr>
          <w:rStyle w:val="FootnoteAnchor"/>
          <w:rtl w:val="true"/>
        </w:rPr>
        <w:footnoteReference w:id="2315"/>
      </w:r>
      <w:r>
        <w:rPr>
          <w:rFonts w:ascii="IRNazanin" w:hAnsi="IRNazanin" w:eastAsia="IRNazanin"/>
          <w:color w:val="111111"/>
          <w:sz w:val="28"/>
          <w:sz w:val="28"/>
          <w:szCs w:val="28"/>
          <w:rtl w:val="true"/>
          <w:lang w:bidi="fa-IR"/>
        </w:rPr>
        <w:t>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واحد منها سبب أضیف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الغسل کالوضوء حقیقة واحدة فی أسبابه،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 التی تثقب الکرسف،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الأموات من الناس بعد بردهم و قبل تغسیلهم </w:t>
      </w:r>
      <w:r>
        <w:rPr>
          <w:rStyle w:val="FootnoteAnchor"/>
          <w:rtl w:val="true"/>
        </w:rPr>
        <w:footnoteReference w:id="2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الحصر فیها مشهور، و زید علیها أغسال أخر یأتی فی الأغسال المندوبة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بتضمّن أخیرها بغسل المسّ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bookmarkStart w:id="290" w:name="pg13035_132015"/>
    </w:p>
    <w:p>
      <w:pPr>
        <w:pStyle w:val="Heading6"/>
        <w:numPr>
          <w:ilvl w:val="5"/>
          <w:numId w:val="1"/>
        </w:numPr>
        <w:rPr/>
      </w:pPr>
      <w:bookmarkStart w:id="291" w:name="__RefHeading___Toc6370070_3224264995"/>
      <w:bookmarkStart w:id="292" w:name="_Toc112"/>
      <w:bookmarkEnd w:id="290"/>
      <w:bookmarkEnd w:id="291"/>
      <w:r>
        <w:rPr>
          <w:rtl w:val="true"/>
        </w:rPr>
        <w:t>[</w:t>
      </w:r>
      <w:r>
        <w:rPr>
          <w:rtl w:val="true"/>
        </w:rPr>
        <w:t>الفصل الأوّل فی الجنابة</w:t>
      </w:r>
      <w:r>
        <w:rPr>
          <w:rtl w:val="true"/>
        </w:rPr>
        <w:t>]</w:t>
      </w:r>
      <w:bookmarkEnd w:id="292"/>
    </w:p>
    <w:p>
      <w:pPr>
        <w:pStyle w:val="Heading6"/>
        <w:numPr>
          <w:ilvl w:val="5"/>
          <w:numId w:val="1"/>
        </w:numPr>
        <w:rPr/>
      </w:pPr>
      <w:bookmarkStart w:id="293" w:name="__RefHeading___Toc6370072_3224264995"/>
      <w:bookmarkStart w:id="294" w:name="_Toc113"/>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کما فی الروضة </w:t>
      </w:r>
      <w:r>
        <w:rPr>
          <w:rStyle w:val="FootnoteAnchor"/>
          <w:rtl w:val="true"/>
        </w:rPr>
        <w:footnoteReference w:id="2319"/>
      </w:r>
      <w:r>
        <w:rPr>
          <w:rFonts w:ascii="IRNazanin" w:hAnsi="IRNazanin" w:eastAsia="IRNazanin"/>
          <w:color w:val="111111"/>
          <w:sz w:val="28"/>
          <w:sz w:val="28"/>
          <w:szCs w:val="28"/>
          <w:rtl w:val="true"/>
          <w:lang w:bidi="fa-IR"/>
        </w:rPr>
        <w:t>، و هی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و یطلق علی المنی کما فی القاموس </w:t>
      </w:r>
      <w:r>
        <w:rPr>
          <w:rStyle w:val="FootnoteAnchor"/>
          <w:rtl w:val="true"/>
        </w:rPr>
        <w:footnoteReference w:id="2320"/>
      </w:r>
      <w:r>
        <w:rPr>
          <w:rFonts w:ascii="IRNazanin" w:hAnsi="IRNazanin" w:eastAsia="IRNazanin"/>
          <w:color w:val="111111"/>
          <w:sz w:val="28"/>
          <w:sz w:val="28"/>
          <w:szCs w:val="28"/>
          <w:rtl w:val="true"/>
          <w:lang w:bidi="fa-IR"/>
        </w:rPr>
        <w:t xml:space="preserve">، و هی کثیرة فی الأخبار </w:t>
      </w:r>
      <w:r>
        <w:rPr>
          <w:rStyle w:val="FootnoteAnchor"/>
          <w:rtl w:val="true"/>
        </w:rPr>
        <w:footnoteReference w:id="2321"/>
      </w:r>
      <w:r>
        <w:rPr>
          <w:rFonts w:ascii="IRNazanin" w:hAnsi="IRNazanin" w:eastAsia="IRNazanin"/>
          <w:color w:val="111111"/>
          <w:sz w:val="28"/>
          <w:sz w:val="28"/>
          <w:szCs w:val="28"/>
          <w:rtl w:val="true"/>
          <w:lang w:bidi="fa-IR"/>
        </w:rPr>
        <w:t>، 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الخاص،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تفسیرها بالبعد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الشریعة کذلک، لبعده عن أحکام الطاهرین </w:t>
      </w:r>
      <w:r>
        <w:rPr>
          <w:rStyle w:val="FootnoteAnchor"/>
          <w:rtl w:val="true"/>
        </w:rPr>
        <w:footnoteReference w:id="2322"/>
      </w:r>
      <w:r>
        <w:rPr>
          <w:rFonts w:ascii="IRNazanin" w:hAnsi="IRNazanin" w:eastAsia="IRNazanin"/>
          <w:color w:val="111111"/>
          <w:sz w:val="28"/>
          <w:sz w:val="28"/>
          <w:szCs w:val="28"/>
          <w:rtl w:val="true"/>
          <w:lang w:bidi="fa-IR"/>
        </w:rPr>
        <w:t xml:space="preserve">، و نحوه فی المعتبر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شرعا ما یوجب البعد عن أحکام الطاهرین من غیبوبة الحشفة أو نزول المنی </w:t>
      </w:r>
      <w:r>
        <w:rPr>
          <w:rStyle w:val="FootnoteAnchor"/>
          <w:rtl w:val="true"/>
        </w:rPr>
        <w:footnoteReference w:id="2324"/>
      </w:r>
      <w:r>
        <w:rPr>
          <w:rFonts w:ascii="IRNazanin" w:hAnsi="IRNazanin" w:eastAsia="IRNazanin"/>
          <w:color w:val="111111"/>
          <w:sz w:val="28"/>
          <w:sz w:val="28"/>
          <w:szCs w:val="28"/>
          <w:rtl w:val="true"/>
          <w:lang w:bidi="fa-IR"/>
        </w:rPr>
        <w:t>، و لهذا کان السبب لها فعل الشخص لأحد الأمرین، و هذا المعنی هو المناسب لجعل الجنابة من الأحداث الموجبة</w:t>
      </w:r>
    </w:p>
    <w:p>
      <w:pPr>
        <w:pStyle w:val="BookText"/>
        <w:rPr/>
      </w:pPr>
      <w:r>
        <w:rPr>
          <w:rFonts w:ascii="IRNazanin" w:hAnsi="IRNazanin" w:eastAsia="IRNazanin"/>
          <w:color w:val="111111"/>
          <w:sz w:val="28"/>
          <w:sz w:val="28"/>
          <w:szCs w:val="28"/>
          <w:rtl w:val="true"/>
          <w:lang w:bidi="fa-IR"/>
        </w:rPr>
        <w:t>للغسل، کغیره ممّا یوجب الغسل أو الوضوء، فالمراد من رفعها رفع أثرها و هو الحدث، فالجنب من حصل منه الجنابة کالحائض و المستحاضة و النفساء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نقل اللفظ شرعا إلی الحالة المترتّبة علی الأمرین و هی الحالة المانعة عن أمور مخصوصة، فلم یثبت، بل لا یحضرنی من الروایات ما علم فیه استعمال اللفظ فی هذا المعنی، إلّا أن یحمل علیه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کلّ شعرة جنابة</w:t>
      </w:r>
      <w:r>
        <w:rPr>
          <w:rFonts w:eastAsia="IRNazanin" w:cs="IRNazanin"/>
          <w:color w:val="111111"/>
          <w:sz w:val="28"/>
          <w:szCs w:val="28"/>
          <w:rtl w:val="true"/>
          <w:lang w:bidi="fa-IR"/>
        </w:rPr>
        <w:t xml:space="preserve">» </w:t>
      </w:r>
      <w:r>
        <w:rPr>
          <w:rStyle w:val="FootnoteAnchor"/>
          <w:rtl w:val="true"/>
        </w:rPr>
        <w:footnoteReference w:id="2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یناسبه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الجنابة أمران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متضمّنة 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عقیبها</w:t>
      </w:r>
      <w:r>
        <w:rPr>
          <w:rFonts w:eastAsia="IRNazanin" w:cs="IRNazanin"/>
          <w:color w:val="111111"/>
          <w:sz w:val="28"/>
          <w:szCs w:val="28"/>
          <w:rtl w:val="true"/>
          <w:lang w:bidi="fa-IR"/>
        </w:rPr>
        <w:t>.</w:t>
      </w:r>
      <w:bookmarkStart w:id="295" w:name="pg13035_132017"/>
    </w:p>
    <w:p>
      <w:pPr>
        <w:pStyle w:val="Heading6"/>
        <w:numPr>
          <w:ilvl w:val="5"/>
          <w:numId w:val="1"/>
        </w:numPr>
        <w:rPr/>
      </w:pPr>
      <w:bookmarkStart w:id="296" w:name="__RefHeading___Toc6370074_3224264995"/>
      <w:bookmarkStart w:id="297" w:name="_Toc114"/>
      <w:bookmarkEnd w:id="295"/>
      <w:bookmarkEnd w:id="296"/>
      <w:r>
        <w:rPr>
          <w:rtl w:val="true"/>
        </w:rPr>
        <w:t>[</w:t>
      </w:r>
      <w:r>
        <w:rPr>
          <w:rtl w:val="true"/>
        </w:rPr>
        <w:t>سبب الجنابة</w:t>
      </w:r>
      <w:r>
        <w:rPr>
          <w:rtl w:val="true"/>
        </w:rPr>
        <w:t>] [</w:t>
      </w:r>
      <w:r>
        <w:rPr>
          <w:rtl w:val="true"/>
        </w:rPr>
        <w:t>أمران</w:t>
      </w:r>
      <w:r>
        <w:rPr>
          <w:rtl w:val="true"/>
        </w:rPr>
        <w:t>]</w:t>
      </w:r>
      <w:bookmarkEnd w:id="297"/>
    </w:p>
    <w:p>
      <w:pPr>
        <w:pStyle w:val="Heading6"/>
        <w:numPr>
          <w:ilvl w:val="5"/>
          <w:numId w:val="1"/>
        </w:numPr>
        <w:rPr/>
      </w:pPr>
      <w:bookmarkStart w:id="298" w:name="__RefHeading___Toc6370076_3224264995"/>
      <w:bookmarkStart w:id="299" w:name="_Toc115"/>
      <w:bookmarkEnd w:id="298"/>
      <w:r>
        <w:rPr>
          <w:rtl w:val="true"/>
        </w:rPr>
        <w:t>اشارة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سبب الجنابة، فأمران</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6370078_3224264995"/>
      <w:bookmarkStart w:id="301" w:name="_Toc116"/>
      <w:bookmarkEnd w:id="300"/>
      <w:r>
        <w:rPr>
          <w:rtl w:val="true"/>
        </w:rPr>
        <w:t>[</w:t>
      </w:r>
      <w:r>
        <w:rPr>
          <w:rtl w:val="true"/>
        </w:rPr>
        <w:t>الإنزال</w:t>
      </w:r>
      <w:r>
        <w:rPr>
          <w:rtl w:val="true"/>
        </w:rPr>
        <w:t>]</w:t>
      </w:r>
      <w:bookmarkEnd w:id="301"/>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للمنی، بلا خلاف، و لعلّ الإجماع علیه کالأخبار مستفیض، من غیر فرق بین أحوال الإنزال و أفراد المنزل، إلّا أنّه وردت روایات فی عدم وجوب الغسل علی المرأة إذا أنزلت </w:t>
      </w:r>
      <w:r>
        <w:rPr>
          <w:rStyle w:val="FootnoteAnchor"/>
          <w:rtl w:val="true"/>
        </w:rPr>
        <w:footnoteReference w:id="2326"/>
      </w:r>
      <w:r>
        <w:rPr>
          <w:rFonts w:ascii="IRNazanin" w:hAnsi="IRNazanin" w:eastAsia="IRNazanin"/>
          <w:color w:val="111111"/>
          <w:sz w:val="28"/>
          <w:sz w:val="28"/>
          <w:szCs w:val="28"/>
          <w:rtl w:val="true"/>
          <w:lang w:bidi="fa-IR"/>
        </w:rPr>
        <w:t xml:space="preserve">، معارضة بما یتعیّن العمل به </w:t>
      </w:r>
      <w:r>
        <w:rPr>
          <w:rStyle w:val="FootnoteAnchor"/>
          <w:rtl w:val="true"/>
        </w:rPr>
        <w:footnoteReference w:id="2327"/>
      </w:r>
      <w:r>
        <w:rPr>
          <w:rFonts w:ascii="IRNazanin" w:hAnsi="IRNazanin" w:eastAsia="IRNazanin"/>
          <w:color w:val="111111"/>
          <w:sz w:val="28"/>
          <w:sz w:val="28"/>
          <w:szCs w:val="28"/>
          <w:rtl w:val="true"/>
          <w:lang w:bidi="fa-IR"/>
        </w:rPr>
        <w:t>، محمولة لأجل ذلک علی وجوه أقربها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إنکار وجوب الغسل علی صدوره لدفع </w:t>
      </w:r>
      <w:r>
        <w:rPr>
          <w:rStyle w:val="FootnoteAnchor"/>
          <w:rtl w:val="true"/>
        </w:rPr>
        <w:footnoteReference w:id="2328"/>
      </w:r>
      <w:r>
        <w:rPr>
          <w:rFonts w:ascii="IRNazanin" w:hAnsi="IRNazanin" w:eastAsia="IRNazanin"/>
          <w:color w:val="111111"/>
          <w:sz w:val="28"/>
          <w:sz w:val="28"/>
          <w:szCs w:val="28"/>
          <w:rtl w:val="true"/>
          <w:lang w:bidi="fa-IR"/>
        </w:rPr>
        <w:t>مفسدة هی أعظم من ترک الغسل فی نادر من الأوقات لنادر من النسوان، و قد علّمها الإمام علیه السلام بالنسبة إلی بعض موارد السؤال دون بعض</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کتمان الحقّ کما یجوز بل یجب لأجل التقیّة، فکذلک یجوز لغیرها من المصالح، مثل وصول الحکم إلی من یجعله وسیلة</w:t>
      </w:r>
    </w:p>
    <w:p>
      <w:pPr>
        <w:pStyle w:val="BookText"/>
        <w:rPr/>
      </w:pPr>
      <w:r>
        <w:rPr>
          <w:rFonts w:ascii="IRNazanin" w:hAnsi="IRNazanin" w:eastAsia="IRNazanin"/>
          <w:color w:val="111111"/>
          <w:sz w:val="28"/>
          <w:sz w:val="28"/>
          <w:szCs w:val="28"/>
          <w:rtl w:val="true"/>
          <w:lang w:bidi="fa-IR"/>
        </w:rPr>
        <w:t>لارتکاب مفاسد هی أعظم من البقاء علی الجنابة، و قد أمروا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بهذا الحکم بکتمانه من النساء إذا علم أو ظنّ ترتّب المفسدة علی الإظهار لا مطلقا، ففی صحیحة أدیم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تری فی منامها ما یری الرجل فی منامه، علیها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لا تحدّثوهنّ فیتّخذنه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0"/>
      </w:r>
      <w:r>
        <w:rPr>
          <w:rFonts w:ascii="IRNazanin" w:hAnsi="IRNazanin" w:eastAsia="IRNazanin"/>
          <w:color w:val="111111"/>
          <w:sz w:val="28"/>
          <w:sz w:val="28"/>
          <w:szCs w:val="28"/>
          <w:rtl w:val="true"/>
          <w:lang w:bidi="fa-IR"/>
        </w:rPr>
        <w:t>، فإنّ کتمان الحقّ مع کونه محرّما قد یجب، لترتّب المفسدة علیه، و هی جعل دعوی الاحتلام وسیلة للفجور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حمل تلک الأخبار علی التقیّة، لأنّ مضمونها محکی عن بعض العامّة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نوح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علی المرأة غسل إذا لم یأتها زوجها؟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أیّکم یرضی أن یری و یصبر علی ذلک، أن یری ابنته أو أخته، أو زوجته، أو امّه، أو أحد قرابته قائمة تغتسل، فیقول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احتلمت، و لیس لها بعل،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علیهنّ فی ذلک غسل، فقد وضع اللّٰه ذلک علیکم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کتمان الحکم المذکور لدفع مفسدة مترتّبة علی اطّلاع بعض العامّة بذلک الحکم أو بعض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إطلاق العبارة کغیرها من العبائر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فی مخرج المنی بین المعتاد و غیره، و أنّه لیس کالحدث الأصغر، و لذا قیّدوا فیه، و أطلقوا هنا، و یظهر من الحدائق أنّه الأشهر </w:t>
      </w:r>
      <w:r>
        <w:rPr>
          <w:rStyle w:val="FootnoteAnchor"/>
          <w:rtl w:val="true"/>
        </w:rPr>
        <w:footnoteReference w:id="2334"/>
      </w:r>
      <w:r>
        <w:rPr>
          <w:rFonts w:ascii="IRNazanin" w:hAnsi="IRNazanin" w:eastAsia="IRNazanin"/>
          <w:color w:val="111111"/>
          <w:sz w:val="28"/>
          <w:sz w:val="28"/>
          <w:szCs w:val="28"/>
          <w:rtl w:val="true"/>
          <w:lang w:bidi="fa-IR"/>
        </w:rPr>
        <w:t>إلّا أنّ ظاهر العلّامة فی القواعد و 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کالحدث الأصغر،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المنی من ثقبة فی الصلب، فالأقرب اعتبار الاعتیاد و عدمه </w:t>
      </w:r>
      <w:r>
        <w:rPr>
          <w:rStyle w:val="FootnoteAnchor"/>
          <w:rtl w:val="true"/>
        </w:rPr>
        <w:footnoteReference w:id="2335"/>
      </w:r>
      <w:r>
        <w:rPr>
          <w:rFonts w:ascii="IRNazanin" w:hAnsi="IRNazanin" w:eastAsia="IRNazanin"/>
          <w:color w:val="111111"/>
          <w:sz w:val="28"/>
          <w:sz w:val="28"/>
          <w:szCs w:val="28"/>
          <w:rtl w:val="true"/>
          <w:lang w:bidi="fa-IR"/>
        </w:rPr>
        <w:t xml:space="preserve">، انتهی، و استقربه ولده فی الإیضاح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من غیر المعتاد فکالحدث الأصغر فی اعتبار المعاودة و عدمها </w:t>
      </w:r>
      <w:r>
        <w:rPr>
          <w:rStyle w:val="FootnoteAnchor"/>
          <w:rtl w:val="true"/>
        </w:rPr>
        <w:footnoteReference w:id="23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المنی من ثقبة فی الصلب أو فی الإحلیل أو فی خصیة، فالفتوی علی اعتبار الاعتیاد و عدمه، أمّا لو خرج من غیر ذلک فاعتبار ذلک الاعتیاد حقیق أن یکون مقطوعا به </w:t>
      </w:r>
      <w:r>
        <w:rPr>
          <w:rStyle w:val="FootnoteAnchor"/>
          <w:rtl w:val="true"/>
        </w:rPr>
        <w:footnoteReference w:id="23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و الشهید الثانیان و صاحب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یحصل الجنابة للخنثی بإنزال الماء من المخرجین لا من أحدهما إلّا مع الاعتیاد </w:t>
      </w:r>
      <w:r>
        <w:rPr>
          <w:rStyle w:val="FootnoteAnchor"/>
          <w:rtl w:val="true"/>
        </w:rPr>
        <w:footnoteReference w:id="2339"/>
      </w:r>
      <w:r>
        <w:rPr>
          <w:rFonts w:ascii="IRNazanin" w:hAnsi="IRNazanin" w:eastAsia="IRNazanin"/>
          <w:color w:val="111111"/>
          <w:sz w:val="28"/>
          <w:sz w:val="28"/>
          <w:szCs w:val="28"/>
          <w:rtl w:val="true"/>
          <w:lang w:bidi="fa-IR"/>
        </w:rPr>
        <w:t>، و هذا</w:t>
      </w:r>
    </w:p>
    <w:p>
      <w:pPr>
        <w:pStyle w:val="BookText"/>
        <w:rPr/>
      </w:pPr>
      <w:r>
        <w:rPr>
          <w:rFonts w:ascii="IRNazanin" w:hAnsi="IRNazanin" w:eastAsia="IRNazanin"/>
          <w:color w:val="111111"/>
          <w:sz w:val="28"/>
          <w:sz w:val="28"/>
          <w:szCs w:val="28"/>
          <w:rtl w:val="true"/>
          <w:lang w:bidi="fa-IR"/>
        </w:rPr>
        <w:t xml:space="preserve">أقوی، لأنّ ما تقدّم فی الحدث الأصغر ممّا یصلح مستندا لاعتبار الاعتیاد آت هنا، إلّا تقیید الحدث هناک بما یخرج من الطرفین الذین أنعم اللّٰه بها </w:t>
      </w:r>
      <w:r>
        <w:rPr>
          <w:rStyle w:val="FootnoteAnchor"/>
          <w:rtl w:val="true"/>
        </w:rPr>
        <w:footnoteReference w:id="2340"/>
      </w:r>
      <w:r>
        <w:rPr>
          <w:rFonts w:ascii="IRNazanin" w:hAnsi="IRNazanin" w:eastAsia="IRNazanin"/>
          <w:color w:val="111111"/>
          <w:sz w:val="28"/>
          <w:sz w:val="28"/>
          <w:szCs w:val="28"/>
          <w:rtl w:val="true"/>
          <w:lang w:bidi="fa-IR"/>
        </w:rPr>
        <w:t xml:space="preserve">، لکنّا حیث قوّینا هناک عدم اعتبار الاعتیاد لزمنا القول هنا </w:t>
      </w:r>
      <w:r>
        <w:rPr>
          <w:rStyle w:val="FootnoteAnchor"/>
          <w:rtl w:val="true"/>
        </w:rPr>
        <w:footnoteReference w:id="2341"/>
      </w:r>
      <w:r>
        <w:rPr>
          <w:rFonts w:ascii="IRNazanin" w:hAnsi="IRNazanin" w:eastAsia="IRNazanin"/>
          <w:color w:val="111111"/>
          <w:sz w:val="28"/>
          <w:sz w:val="28"/>
          <w:szCs w:val="28"/>
          <w:rtl w:val="true"/>
          <w:lang w:bidi="fa-IR"/>
        </w:rPr>
        <w:t>به بالإجماع المرکّب و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العلّامة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قلنا هناک باعتبار الخروج من تحت المعدة فالعبرة هنا بالصلب </w:t>
      </w:r>
      <w:r>
        <w:rPr>
          <w:rStyle w:val="FootnoteAnchor"/>
          <w:rtl w:val="true"/>
        </w:rPr>
        <w:footnoteReference w:id="2342"/>
      </w:r>
      <w:r>
        <w:rPr>
          <w:rFonts w:ascii="IRNazanin" w:hAnsi="IRNazanin" w:eastAsia="IRNazanin"/>
          <w:color w:val="111111"/>
          <w:sz w:val="28"/>
          <w:sz w:val="28"/>
          <w:szCs w:val="28"/>
          <w:rtl w:val="true"/>
          <w:lang w:bidi="fa-IR"/>
        </w:rPr>
        <w:t xml:space="preserve">، و لعلّه مبنیّ علی أنّ وصف خروجه من الصلب من أوصافه التی ینتفی حقیقة المنی بانتفائها، نظیر اعتبار الخروج من تحت المعدة فی صدق موضوع الغائط عند الشیخ </w:t>
      </w:r>
      <w:r>
        <w:rPr>
          <w:rStyle w:val="FootnoteAnchor"/>
          <w:rtl w:val="true"/>
        </w:rPr>
        <w:footnoteReference w:id="2343"/>
      </w:r>
      <w:r>
        <w:rPr>
          <w:rFonts w:ascii="Amiri" w:hAnsi="Amiri" w:eastAsia="Amiri" w:cs="Amiri"/>
          <w:color w:val="111111"/>
          <w:sz w:val="28"/>
          <w:sz w:val="28"/>
          <w:szCs w:val="28"/>
          <w:rtl w:val="true"/>
          <w:lang w:bidi="ar-SA"/>
        </w:rPr>
        <w:t xml:space="preserve">کما تقدّم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الخارج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بلون الدم، علی ما قرّبه فی الذکری،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تغلیبا للخواصّ، و احتمل العدم، لأنّ المنی دم فی الأصل </w:t>
      </w:r>
      <w:r>
        <w:rPr>
          <w:rStyle w:val="FootnoteAnchor"/>
          <w:rtl w:val="true"/>
        </w:rPr>
        <w:footnoteReference w:id="2345"/>
      </w:r>
      <w:r>
        <w:rPr>
          <w:rStyle w:val="FootnoteAnchor"/>
          <w:rtl w:val="true"/>
        </w:rPr>
        <w:footnoteReference w:id="2346"/>
      </w:r>
      <w:r>
        <w:rPr>
          <w:rFonts w:ascii="IRNazanin" w:hAnsi="IRNazanin" w:eastAsia="IRNazanin"/>
          <w:color w:val="111111"/>
          <w:sz w:val="28"/>
          <w:sz w:val="28"/>
          <w:szCs w:val="28"/>
          <w:rtl w:val="true"/>
          <w:lang w:bidi="fa-IR"/>
        </w:rPr>
        <w:t xml:space="preserve">، فبقاء لونه یکشف عن عدم استحالته،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ما یشتبه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دافقا تقارنه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اللذّة المعهودة عند الإنزال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انکساره المعهود، حکم</w:t>
      </w:r>
    </w:p>
    <w:p>
      <w:pPr>
        <w:pStyle w:val="BookText"/>
        <w:rPr/>
      </w:pPr>
      <w:r>
        <w:rPr>
          <w:rFonts w:ascii="IRNazanin" w:hAnsi="IRNazanin" w:eastAsia="IRNazanin"/>
          <w:color w:val="111111"/>
          <w:sz w:val="28"/>
          <w:sz w:val="28"/>
          <w:szCs w:val="28"/>
          <w:rtl w:val="true"/>
          <w:lang w:bidi="fa-IR"/>
        </w:rPr>
        <w:t xml:space="preserve">علیه بأنّه منیّ،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 علیه قبله بما یحکم علی الجنب، لحصول الظنّ من هذه الصفات فیعتبر فیما لا طریق فیه إلی العلم، و یلزم من إجراء الأصل فیه الوقوع فی المخالفة القطعیة لتکالیف کثیرة، فإنّ من یستیقظ و لا یری فی ثوبه إلّا شیئا رطبا، علیه بعض آثار المنیّ من الرائحة و اللزوجة لو بنی علی إجراء أصالة الطهارة وقع أکثر الأوقات فی فعل ما یحرم علی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یلعب مع امرأته فیقبّلها، فیخرج منه المنی،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الشهوة و دفع و فتر لخروجه فعلیه الغسل، و إن کان إنّما هو شی‌ء لم یجده له فترة و لا شهوة فلا بأس</w:t>
      </w:r>
      <w:r>
        <w:rPr>
          <w:rFonts w:eastAsia="IRNazanin" w:cs="IRNazanin"/>
          <w:color w:val="111111"/>
          <w:sz w:val="28"/>
          <w:szCs w:val="28"/>
          <w:rtl w:val="true"/>
          <w:lang w:bidi="fa-IR"/>
        </w:rPr>
        <w:t xml:space="preserve">» </w:t>
      </w:r>
      <w:r>
        <w:rPr>
          <w:rStyle w:val="FootnoteAnchor"/>
          <w:rtl w:val="true"/>
        </w:rPr>
        <w:footnoteReference w:id="2347"/>
      </w:r>
      <w:r>
        <w:rPr>
          <w:rFonts w:ascii="IRNazanin" w:hAnsi="IRNazanin" w:eastAsia="IRNazanin"/>
          <w:color w:val="111111"/>
          <w:sz w:val="28"/>
          <w:sz w:val="28"/>
          <w:szCs w:val="28"/>
          <w:rtl w:val="true"/>
          <w:lang w:bidi="fa-IR"/>
        </w:rPr>
        <w:t>، و فرض کونه منیّا فی السؤال باعتبار المظنّة، أو أنّ اللفظ مصحّف، إذ المرویّ فی کتاب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 الشی‌ء</w:t>
      </w:r>
      <w:r>
        <w:rPr>
          <w:rFonts w:eastAsia="IRNazanin" w:cs="IRNazanin"/>
          <w:color w:val="111111"/>
          <w:sz w:val="28"/>
          <w:szCs w:val="28"/>
          <w:rtl w:val="true"/>
          <w:lang w:bidi="fa-IR"/>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القدر الثابت من هذه الصحیحة و الذی یندفع به المانع من إجراء أصالة الطهارة و هی کثرة الوقوع فی محرّمات الجنب، هی صورة اجتماع الصفات الثلاث، فیرجع فی فاقد بعضها إلی الأصل، إلّا أنّه یظهر من بعض الأخبار کفایة فتور الجسد، ففی مرسلة ابن رباط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الإحلیل المنیّ و المذی و الودی، فأمّا المنیّ فهو الذی یسترخی به العظام، و یفتر منه الجسد، و فیه الغسل</w:t>
      </w:r>
      <w:r>
        <w:rPr>
          <w:rFonts w:eastAsia="IRNazanin" w:cs="IRNazanin"/>
          <w:color w:val="111111"/>
          <w:sz w:val="28"/>
          <w:szCs w:val="28"/>
          <w:rtl w:val="true"/>
          <w:lang w:bidi="fa-IR"/>
        </w:rPr>
        <w:t xml:space="preserve">» </w:t>
      </w:r>
      <w:r>
        <w:rPr>
          <w:rStyle w:val="FootnoteAnchor"/>
          <w:rtl w:val="true"/>
        </w:rPr>
        <w:footnoteReference w:id="2349"/>
      </w:r>
      <w:r>
        <w:rPr>
          <w:rFonts w:ascii="Amiri" w:hAnsi="Amiri" w:eastAsia="Amiri" w:cs="Amiri"/>
          <w:color w:val="111111"/>
          <w:sz w:val="28"/>
          <w:sz w:val="28"/>
          <w:szCs w:val="28"/>
          <w:rtl w:val="true"/>
          <w:lang w:bidi="ar-SA"/>
        </w:rPr>
        <w:t>، فإنّ مقتضی التحدید کون الحدّ خاصّة</w:t>
      </w:r>
    </w:p>
    <w:p>
      <w:pPr>
        <w:pStyle w:val="BookText"/>
        <w:rPr/>
      </w:pPr>
      <w:r>
        <w:rPr>
          <w:rFonts w:ascii="IRNazanin" w:hAnsi="IRNazanin" w:eastAsia="IRNazanin"/>
          <w:color w:val="111111"/>
          <w:sz w:val="28"/>
          <w:sz w:val="28"/>
          <w:szCs w:val="28"/>
          <w:rtl w:val="true"/>
          <w:lang w:bidi="fa-IR"/>
        </w:rPr>
        <w:t>لا یصدق بدون المحدود،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فیها محمول علی الغالب من عدم انفکاک الفتور عن الدفق، و لذا لم یذکر الدفق فی ذیل صحیحة علیّ 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یجمع بینها و بین ما دلّ علی عدم انفکاک المنیّ عن الدفق، و هی صحیحة ابن أبی یعفور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یری فی المنام و یجد الشهوة فیستیقظ فینظر فلا یجد شیئا، ثمّ یمکث الهوین بعد فیخرج،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مریضا فلیغتسل و إن لم یکن مریضا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الرجل إذا کان صحیحا جاء الماء بدفقة قویّة، و إن کان مریضا لم یجئ إلّا بعد</w:t>
      </w:r>
      <w:r>
        <w:rPr>
          <w:rFonts w:eastAsia="IRNazanin" w:cs="IRNazanin"/>
          <w:color w:val="111111"/>
          <w:sz w:val="28"/>
          <w:szCs w:val="28"/>
          <w:rtl w:val="true"/>
          <w:lang w:bidi="fa-IR"/>
        </w:rPr>
        <w:t xml:space="preserve">» </w:t>
      </w:r>
      <w:r>
        <w:rPr>
          <w:rStyle w:val="FootnoteAnchor"/>
          <w:rtl w:val="true"/>
        </w:rPr>
        <w:footnoteReference w:id="2350"/>
      </w:r>
      <w:r>
        <w:rPr>
          <w:rFonts w:ascii="IRNazanin" w:hAnsi="IRNazanin" w:eastAsia="IRNazanin"/>
          <w:color w:val="111111"/>
          <w:sz w:val="28"/>
          <w:sz w:val="28"/>
          <w:szCs w:val="28"/>
          <w:rtl w:val="true"/>
          <w:lang w:bidi="fa-IR"/>
        </w:rPr>
        <w:t>، و فی روایة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یجئ إلّا بضعف</w:t>
      </w:r>
      <w:r>
        <w:rPr>
          <w:rFonts w:eastAsia="IRNazanin" w:cs="IRNazanin"/>
          <w:color w:val="111111"/>
          <w:sz w:val="28"/>
          <w:szCs w:val="28"/>
          <w:rtl w:val="true"/>
          <w:lang w:bidi="fa-IR"/>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فالصفات الثلاث لمّا کانت متلازمة غالبا لم یکن فی إطلاق ما اقتصر فیه علی إحداها دلالة علی عدم اعتبار اجتماع الباقی، فیقتصر فی مخالفة الأصل علی مورد الاجتماع، و أنّه لا عبرة ببعضها فضلا عن غیرها مثل الرائحة، کما هو ظاهر جماعة ممّن تأخّر عن الشهید الثانی </w:t>
      </w:r>
      <w:r>
        <w:rPr>
          <w:rStyle w:val="FootnoteAnchor"/>
          <w:rtl w:val="true"/>
        </w:rPr>
        <w:footnoteReference w:id="2352"/>
      </w:r>
      <w:r>
        <w:rPr>
          <w:rFonts w:ascii="IRNazanin" w:hAnsi="IRNazanin" w:eastAsia="IRNazanin"/>
          <w:color w:val="111111"/>
          <w:sz w:val="28"/>
          <w:sz w:val="28"/>
          <w:szCs w:val="28"/>
          <w:rtl w:val="true"/>
          <w:lang w:bidi="fa-IR"/>
        </w:rPr>
        <w:t xml:space="preserve">، خلافا لصریح طائفة ممّن تقدّمهم </w:t>
      </w:r>
      <w:r>
        <w:rPr>
          <w:rStyle w:val="FootnoteAnchor"/>
          <w:rtl w:val="true"/>
        </w:rPr>
        <w:footnoteReference w:id="2353"/>
      </w:r>
      <w:r>
        <w:rPr>
          <w:rFonts w:ascii="IRNazanin" w:hAnsi="IRNazanin" w:eastAsia="IRNazanin"/>
          <w:color w:val="111111"/>
          <w:sz w:val="28"/>
          <w:sz w:val="28"/>
          <w:szCs w:val="28"/>
          <w:rtl w:val="true"/>
          <w:lang w:bidi="fa-IR"/>
        </w:rPr>
        <w:t>و ظاهر الباقین ممّن اقتصروا علی إحدی الثلاث</w:t>
      </w:r>
    </w:p>
    <w:p>
      <w:pPr>
        <w:pStyle w:val="BookText"/>
        <w:rPr/>
      </w:pPr>
      <w:r>
        <w:rPr>
          <w:rFonts w:ascii="IRNazanin" w:hAnsi="IRNazanin" w:eastAsia="IRNazanin"/>
          <w:color w:val="111111"/>
          <w:sz w:val="28"/>
          <w:sz w:val="28"/>
          <w:szCs w:val="28"/>
          <w:rtl w:val="true"/>
          <w:lang w:bidi="fa-IR"/>
        </w:rPr>
        <w:t xml:space="preserve">بل غیرها، مثل الرائحة و الثخانة و البیاض فی منیّ الرجل، و الرقّة و الصفرة فی المرأة </w:t>
      </w:r>
      <w:r>
        <w:rPr>
          <w:rStyle w:val="FootnoteAnchor"/>
          <w:rtl w:val="true"/>
        </w:rPr>
        <w:footnoteReference w:id="2354"/>
      </w:r>
      <w:r>
        <w:rPr>
          <w:rFonts w:ascii="IRNazanin" w:hAnsi="IRNazanin" w:eastAsia="IRNazanin"/>
          <w:color w:val="111111"/>
          <w:sz w:val="28"/>
          <w:sz w:val="28"/>
          <w:szCs w:val="28"/>
          <w:rtl w:val="true"/>
          <w:lang w:bidi="fa-IR"/>
        </w:rPr>
        <w:t xml:space="preserve">، بل ظاهر المحقّق و الشهید الثانیین فی جامع المقاصد </w:t>
      </w:r>
      <w:r>
        <w:rPr>
          <w:rStyle w:val="FootnoteAnchor"/>
          <w:rtl w:val="true"/>
        </w:rPr>
        <w:footnoteReference w:id="2355"/>
      </w:r>
      <w:r>
        <w:rPr>
          <w:rFonts w:ascii="IRNazanin" w:hAnsi="IRNazanin" w:eastAsia="IRNazanin"/>
          <w:color w:val="111111"/>
          <w:sz w:val="28"/>
          <w:sz w:val="28"/>
          <w:szCs w:val="28"/>
          <w:rtl w:val="true"/>
          <w:lang w:bidi="fa-IR"/>
        </w:rPr>
        <w:t xml:space="preserve">و المسالک </w:t>
      </w:r>
      <w:r>
        <w:rPr>
          <w:rStyle w:val="FootnoteAnchor"/>
          <w:rtl w:val="true"/>
        </w:rPr>
        <w:footnoteReference w:id="2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من المسلّمات، و إن ذکر الصفات الثلاث أو الاثنین فی کلام الفاضلین </w:t>
      </w:r>
      <w:r>
        <w:rPr>
          <w:rStyle w:val="FootnoteAnchor"/>
          <w:rtl w:val="true"/>
        </w:rPr>
        <w:footnoteReference w:id="2357"/>
      </w:r>
      <w:r>
        <w:rPr>
          <w:rFonts w:ascii="IRNazanin" w:hAnsi="IRNazanin" w:eastAsia="IRNazanin"/>
          <w:color w:val="111111"/>
          <w:sz w:val="28"/>
          <w:sz w:val="28"/>
          <w:szCs w:val="28"/>
          <w:rtl w:val="true"/>
          <w:lang w:bidi="fa-IR"/>
        </w:rPr>
        <w:t xml:space="preserve">لتلازمها غالبا و أنّه لا خلاف فی کفایة وجود الرائحة، بل صرّح فی جامع المقاصد </w:t>
      </w:r>
      <w:r>
        <w:rPr>
          <w:rStyle w:val="FootnoteAnchor"/>
          <w:rtl w:val="true"/>
        </w:rPr>
        <w:footnoteReference w:id="2358"/>
      </w:r>
      <w:r>
        <w:rPr>
          <w:rFonts w:ascii="IRNazanin" w:hAnsi="IRNazanin" w:eastAsia="IRNazanin"/>
          <w:color w:val="111111"/>
          <w:sz w:val="28"/>
          <w:sz w:val="28"/>
          <w:szCs w:val="28"/>
          <w:rtl w:val="true"/>
          <w:lang w:bidi="fa-IR"/>
        </w:rPr>
        <w:t xml:space="preserve">بذلک، بل یؤیّد ما استظهراه ملاحظة کلام </w:t>
      </w:r>
      <w:r>
        <w:rPr>
          <w:rStyle w:val="FootnoteAnchor"/>
          <w:rtl w:val="true"/>
        </w:rPr>
        <w:footnoteReference w:id="2359"/>
      </w:r>
      <w:r>
        <w:rPr>
          <w:rFonts w:ascii="IRNazanin" w:hAnsi="IRNazanin" w:eastAsia="IRNazanin"/>
          <w:color w:val="111111"/>
          <w:sz w:val="28"/>
          <w:sz w:val="28"/>
          <w:szCs w:val="28"/>
          <w:rtl w:val="true"/>
          <w:lang w:bidi="fa-IR"/>
        </w:rPr>
        <w:t>من تقدّمهما من الأصحاب، و استدلالاتهم و الأخبار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للمنیّ </w:t>
      </w:r>
      <w:r>
        <w:rPr>
          <w:rStyle w:val="FootnoteAnchor"/>
          <w:rtl w:val="true"/>
        </w:rPr>
        <w:footnoteReference w:id="2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أربع</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خروجه بدفق دفعات غالبا،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دٰافِقٍ</w:t>
      </w:r>
      <w:r>
        <w:rPr>
          <w:rFonts w:eastAsia="Amiri" w:cs="Amiri" w:ascii="Amiri" w:hAnsi="Amiri"/>
          <w:color w:val="111111"/>
          <w:sz w:val="28"/>
          <w:szCs w:val="28"/>
          <w:rtl w:val="true"/>
          <w:lang w:bidi="ar-SA"/>
        </w:rPr>
        <w:t xml:space="preserve">) </w:t>
      </w:r>
      <w:r>
        <w:rPr>
          <w:rStyle w:val="FootnoteAnchor"/>
          <w:rtl w:val="true"/>
        </w:rPr>
        <w:footnoteReference w:id="2361"/>
      </w:r>
      <w:r>
        <w:rPr>
          <w:rFonts w:ascii="IRNazanin" w:hAnsi="IRNazanin" w:eastAsia="IRNazanin"/>
          <w:color w:val="111111"/>
          <w:sz w:val="28"/>
          <w:sz w:val="28"/>
          <w:szCs w:val="28"/>
          <w:rtl w:val="true"/>
          <w:lang w:bidi="fa-IR"/>
        </w:rPr>
        <w:t xml:space="preserve">، و مقارنة الشهوة له، و فتور الجسد، و هو انکسار الشهوة بعده، و قرب رائحته من رائحة الطلع و العجین ما دام رطبا و من بیاض البیض جافّا، و لمنی الرجل الثخانة و البیاض، و یشارکه فیهما الوذی، و لمنیّ المرأة الرقّة و الصفرة، و یشارکه فیهما المذی، کلّ ذلک حال اعتدال الطبائع </w:t>
      </w:r>
      <w:r>
        <w:rPr>
          <w:rStyle w:val="FootnoteAnchor"/>
          <w:rtl w:val="true"/>
        </w:rPr>
        <w:footnoteReference w:id="2362"/>
      </w:r>
      <w:r>
        <w:rPr>
          <w:rFonts w:ascii="IRNazanin" w:hAnsi="IRNazanin" w:eastAsia="IRNazanin"/>
          <w:color w:val="111111"/>
          <w:sz w:val="28"/>
          <w:sz w:val="28"/>
          <w:szCs w:val="28"/>
          <w:rtl w:val="true"/>
          <w:lang w:bidi="fa-IR"/>
        </w:rPr>
        <w:t xml:space="preserve">، </w:t>
      </w:r>
      <w:r>
        <w:rPr>
          <w:rStyle w:val="FootnoteAnchor"/>
          <w:rtl w:val="true"/>
        </w:rPr>
        <w:footnoteReference w:id="23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ذکر الخواصّ الأربع فی مقابل الصفتین الأخیرتین المشترکتین بین منیّ الرجل و الوذی، و بین منیّ المرأة و المذی، ظاهر فی کفایة کلّ واحدة من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المحقّق رحمه اللّٰه فقد ذکر هنا و فی المعتبر </w:t>
      </w:r>
      <w:r>
        <w:rPr>
          <w:rStyle w:val="FootnoteAnchor"/>
          <w:rtl w:val="true"/>
        </w:rPr>
        <w:footnoteReference w:id="2364"/>
      </w:r>
      <w:r>
        <w:rPr>
          <w:rFonts w:ascii="IRNazanin" w:hAnsi="IRNazanin" w:eastAsia="IRNazanin"/>
          <w:color w:val="111111"/>
          <w:sz w:val="28"/>
          <w:sz w:val="28"/>
          <w:szCs w:val="28"/>
          <w:rtl w:val="true"/>
          <w:lang w:bidi="fa-IR"/>
        </w:rPr>
        <w:t>الصفات الثلاث، و اقتصر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کالمتن للمعتبر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الدفق و الفتور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العلّامة رحمه اللّٰه فقد اقتصر فی القواعد علی الدفق و الشهوة </w:t>
      </w:r>
      <w:r>
        <w:rPr>
          <w:rStyle w:val="FootnoteAnchor"/>
          <w:rtl w:val="true"/>
        </w:rPr>
        <w:footnoteReference w:id="2366"/>
      </w:r>
      <w:r>
        <w:rPr>
          <w:rFonts w:ascii="IRNazanin" w:hAnsi="IRNazanin" w:eastAsia="IRNazanin"/>
          <w:color w:val="111111"/>
          <w:sz w:val="28"/>
          <w:sz w:val="28"/>
          <w:szCs w:val="28"/>
          <w:rtl w:val="true"/>
          <w:lang w:bidi="fa-IR"/>
        </w:rPr>
        <w:t>، و زاد علیهما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الفتور </w:t>
      </w:r>
      <w:r>
        <w:rPr>
          <w:rStyle w:val="FootnoteAnchor"/>
          <w:rtl w:val="true"/>
        </w:rPr>
        <w:footnoteReference w:id="2367"/>
      </w:r>
      <w:r>
        <w:rPr>
          <w:rFonts w:ascii="IRNazanin" w:hAnsi="IRNazanin" w:eastAsia="IRNazanin"/>
          <w:color w:val="111111"/>
          <w:sz w:val="28"/>
          <w:sz w:val="28"/>
          <w:szCs w:val="28"/>
          <w:rtl w:val="true"/>
          <w:lang w:bidi="fa-IR"/>
        </w:rPr>
        <w:t>، و فی بعضها کالتذکرة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الأخر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علامته الدفق، سواء کان معه شهوة أم لا، و إن وجد شهوة من غیر دفق و کان مریضا فکذلک، و إن کان صحیحا لم یکن ذلک منیّا إذا لم یکن معه دفق </w:t>
      </w:r>
      <w:r>
        <w:rPr>
          <w:rStyle w:val="FootnoteAnchor"/>
          <w:rtl w:val="true"/>
        </w:rPr>
        <w:footnoteReference w:id="23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تبع فی ذلک الشیخ فی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وجد الإنسان ماء کثیرا </w:t>
      </w:r>
      <w:r>
        <w:rPr>
          <w:rStyle w:val="FootnoteAnchor"/>
          <w:rtl w:val="true"/>
        </w:rPr>
        <w:footnoteReference w:id="2370"/>
      </w:r>
      <w:r>
        <w:rPr>
          <w:rFonts w:ascii="IRNazanin" w:hAnsi="IRNazanin" w:eastAsia="IRNazanin"/>
          <w:color w:val="111111"/>
          <w:sz w:val="28"/>
          <w:sz w:val="28"/>
          <w:szCs w:val="28"/>
          <w:rtl w:val="true"/>
          <w:lang w:bidi="fa-IR"/>
        </w:rPr>
        <w:t>لا یکون دافقا لم یجب علیه الغسل ما لم یعلم أنّه منیّ و إن وجد من نفسه شهوة، إلّا أن یکون مریضا فإنه یجب علیه الغسل متی وجد فی نفسه</w:t>
      </w:r>
    </w:p>
    <w:p>
      <w:pPr>
        <w:pStyle w:val="BookText"/>
        <w:rPr/>
      </w:pPr>
      <w:r>
        <w:rPr>
          <w:rFonts w:ascii="IRNazanin" w:hAnsi="IRNazanin" w:eastAsia="IRNazanin"/>
          <w:color w:val="111111"/>
          <w:sz w:val="28"/>
          <w:sz w:val="28"/>
          <w:szCs w:val="28"/>
          <w:rtl w:val="true"/>
          <w:lang w:bidi="fa-IR"/>
        </w:rPr>
        <w:t xml:space="preserve">شهوة و لم یلتفت إلی کونه دافقا أو غیر دافق </w:t>
      </w:r>
      <w:r>
        <w:rPr>
          <w:rStyle w:val="FootnoteAnchor"/>
          <w:rtl w:val="true"/>
        </w:rPr>
        <w:footnoteReference w:id="237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فی المعتبر علی اعتبار الصفات المذکورة أنّها صفات لازمة فی الأغلب فمع الاشتباه یستند إلیها،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یؤکّدها ما رواه علیّ بن جعفر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اشتبه الخارج اعتبر بالصفات و اللذّة و فتور الجسد، لأنّها صفات لازمة فی الأغلب، فمع الاشتباه یستند إلیها، لقول الکاظم علیه السلام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ظاهر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الواقع فی عبارة التذکرة الظاهرة فی اعتبار جمیع الصفات، زیادة علی اللذّة و الفتور، استنادا إلی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کلّ واحدة من هذه الصفات، فذکرها من قبیل قول النحاة فی أمارات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بالجرّ و التنوین و دخول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صحیحة ابن أبی یعفور، حیث قال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الفرق بینهما أی بین الصحیح و المریض؟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الرجل إذا کان صحیحا جاء الماء بدفقة قویّة، و إن کان مریضا لم یجئ إلّا بضعف</w:t>
      </w:r>
      <w:r>
        <w:rPr>
          <w:rFonts w:eastAsia="IRNazanin" w:cs="IRNazanin"/>
          <w:color w:val="111111"/>
          <w:sz w:val="28"/>
          <w:szCs w:val="28"/>
          <w:rtl w:val="true"/>
          <w:lang w:bidi="fa-IR"/>
        </w:rPr>
        <w:t xml:space="preserve">» </w:t>
      </w:r>
      <w:r>
        <w:rPr>
          <w:rStyle w:val="FootnoteAnchor"/>
          <w:rtl w:val="true"/>
        </w:rPr>
        <w:footnoteReference w:id="2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یخفی أنّ</w:t>
      </w:r>
    </w:p>
    <w:p>
      <w:pPr>
        <w:pStyle w:val="BookText"/>
        <w:rPr/>
      </w:pPr>
      <w:r>
        <w:rPr>
          <w:rFonts w:ascii="IRNazanin" w:hAnsi="IRNazanin" w:eastAsia="IRNazanin"/>
          <w:color w:val="111111"/>
          <w:sz w:val="28"/>
          <w:sz w:val="28"/>
          <w:szCs w:val="28"/>
          <w:rtl w:val="true"/>
          <w:lang w:bidi="fa-IR"/>
        </w:rPr>
        <w:t>ما ذکره فی الفرق من کون منیّ المریض خارجا بغیر دفق لا یدلّ علی المطلوب، و هو کون الخارج بغیر دفق منیّا إلّا بملاحظة أنّ مجرّد الشهوة عند الخروج أمارة علی المنیّ، و عدم الدفق الغالب فی المنیّ لا یوجب و هنا فی الظنّ المذکور، لأنّ ذلک عارض لأجل ضعف المریض، فالفارق بین الصحیح و المریض فی الحقیقة هو کون انتفاء الدفق فی الصحیح مانعا عن الظنّ من الشهوة بکون الخارج منیّا، بخلاف المریض، فإنّ عدم الدفق لا یمنع من حصول الظن بالمنیّ من أجل الشهوة، فإذا وجد الشهوة 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فبیان الفارق المذکور یمنع عن القول بأنّ کفایة الشهوة فی المریض و عدم اعتبار الدفق فیه لمحض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احتلم، فلمّا انتبه وجد بللا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إلّا أن یکون مریضا، فإنّه یضعف، فعلیه الغسل</w:t>
      </w:r>
      <w:r>
        <w:rPr>
          <w:rFonts w:eastAsia="IRNazanin" w:cs="IRNazanin"/>
          <w:color w:val="111111"/>
          <w:sz w:val="28"/>
          <w:szCs w:val="28"/>
          <w:rtl w:val="true"/>
          <w:lang w:bidi="fa-IR"/>
        </w:rPr>
        <w:t xml:space="preserve">» </w:t>
      </w:r>
      <w:r>
        <w:rPr>
          <w:rStyle w:val="FootnoteAnchor"/>
          <w:rtl w:val="true"/>
        </w:rPr>
        <w:footnoteReference w:id="2375"/>
      </w:r>
      <w:r>
        <w:rPr>
          <w:rFonts w:ascii="IRNazanin" w:hAnsi="IRNazanin" w:eastAsia="IRNazanin"/>
          <w:color w:val="111111"/>
          <w:sz w:val="28"/>
          <w:sz w:val="28"/>
          <w:szCs w:val="28"/>
          <w:rtl w:val="true"/>
          <w:lang w:bidi="fa-IR"/>
        </w:rPr>
        <w:t>و التقریب ما تقدّم من أنّ التعلیل بالضعف لدفع مانع الظنّ ففرّع علیه وجوب الغسل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حسنة حریز المرویّة فی الکافی و 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مریضا فأصابتک شهوة فإنّه ربما کان هو الدافق، و لکنّه یجی‌ء مجیئا ضعیفا لیست له قوّة، لمکان مرضک ساعة بعد ساعة قلیلا قلیلا، فاغتسل منه</w:t>
      </w:r>
      <w:r>
        <w:rPr>
          <w:rFonts w:eastAsia="IRNazanin" w:cs="IRNazanin"/>
          <w:color w:val="111111"/>
          <w:sz w:val="28"/>
          <w:szCs w:val="28"/>
          <w:rtl w:val="true"/>
          <w:lang w:bidi="fa-IR"/>
        </w:rPr>
        <w:t xml:space="preserve">» </w:t>
      </w:r>
      <w:r>
        <w:rPr>
          <w:rStyle w:val="FootnoteAnchor"/>
          <w:rtl w:val="true"/>
        </w:rPr>
        <w:footnoteReference w:id="2376"/>
      </w:r>
      <w:r>
        <w:rPr>
          <w:rFonts w:ascii="IRNazanin" w:hAnsi="IRNazanin" w:eastAsia="IRNazanin"/>
          <w:color w:val="111111"/>
          <w:sz w:val="28"/>
          <w:sz w:val="28"/>
          <w:szCs w:val="28"/>
          <w:rtl w:val="true"/>
          <w:lang w:bidi="fa-IR"/>
        </w:rPr>
        <w:t>، فإنّ تفریع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کان هو الدافق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کفایة الظنّ الحاصل من الشهوة فی وجوب الاغتسال و عدم قدح انتفاء الدفق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فالقول بکفایة بعض الأمارات المذکورة لا یخلو عن قوّة، حیث لم یعلم وجود باقیها، أو علم انتفاء الباقی لعارض کالمرض،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فانتفی الدفق لأجل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 الشهوة و فتور الجسد فی وجوبه،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لو کان بدنه فاترا قبل الخروج کفت الشهوة وحدها، کما صرّح به فی المسالک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لو کان انتفاء بعضها لا لعارض،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من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 و الدفق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من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 xml:space="preserve">) </w:t>
      </w:r>
      <w:r>
        <w:rPr>
          <w:rStyle w:val="FootnoteAnchor"/>
          <w:rtl w:val="true"/>
        </w:rPr>
        <w:footnoteReference w:id="2378"/>
      </w:r>
      <w:r>
        <w:rPr>
          <w:rFonts w:ascii="IRNazanin" w:hAnsi="IRNazanin" w:eastAsia="IRNazanin"/>
          <w:color w:val="111111"/>
          <w:sz w:val="28"/>
          <w:sz w:val="28"/>
          <w:szCs w:val="28"/>
          <w:rtl w:val="true"/>
          <w:lang w:bidi="fa-IR"/>
        </w:rPr>
        <w:t xml:space="preserve">، لتعارض الأمارة الموجودة و انتفاء الأمارة الأخری المفیدة للظنّ بالعدم، فالأقوی حینئذ الرجوع إلی الأصل، و أظنّه ممّا لا خلاف فیه، کما یظهر من حکمهم بقدح انتفاء الدفق فی الصحیح و عدم قدحه فی المریض، معلّلین ذلک بأنّ الانتفاء لأجل العارض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وجه استمرار السیرة علی الالتزام بالغسل إذا انتبه فوجد فی ثوبه أو بدنه بللا لا یوجد فیه إلّا رائحة المنی، إلّا أن یدّعی هنا العلم العادی، لکنّ الظاهر أنّ منشأ سکون النفس جریان العادة بالتزام الجنابة بمجرّد الرائحة، فصار احتمال العدم من جهة عدم الاعتناء کالمعدوم، فتأمّل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علی جسده أو ثوبه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إلّا کونه من جنابة لم یتطهّر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 و لا خلاف، و المسألة و إن لم</w:t>
      </w:r>
    </w:p>
    <w:p>
      <w:pPr>
        <w:pStyle w:val="BookText"/>
        <w:rPr/>
      </w:pPr>
      <w:r>
        <w:rPr>
          <w:rFonts w:ascii="Amiri" w:hAnsi="Amiri" w:eastAsia="Amiri" w:cs="Amiri"/>
          <w:color w:val="111111"/>
          <w:sz w:val="28"/>
          <w:sz w:val="28"/>
          <w:szCs w:val="28"/>
          <w:rtl w:val="true"/>
          <w:lang w:bidi="ar-SA"/>
        </w:rPr>
        <w:t xml:space="preserve">تحتج إلی التعرّض بعد ما تقدّم من کون نزول المنیّ موجبا للغسل، إلّا أنّ بعض من تقدّم علی المصنّف رحمه اللّٰه </w:t>
      </w:r>
      <w:r>
        <w:rPr>
          <w:rStyle w:val="FootnoteAnchor"/>
          <w:rtl w:val="true"/>
        </w:rPr>
        <w:footnoteReference w:id="2380"/>
      </w:r>
      <w:r>
        <w:rPr>
          <w:rFonts w:ascii="IRNazanin" w:hAnsi="IRNazanin" w:eastAsia="IRNazanin"/>
          <w:color w:val="111111"/>
          <w:sz w:val="28"/>
          <w:sz w:val="28"/>
          <w:szCs w:val="28"/>
          <w:rtl w:val="true"/>
          <w:lang w:bidi="fa-IR"/>
        </w:rPr>
        <w:t xml:space="preserve">تعرّض لها، تبعا للنصّ، و لبعض تفاصیل العامّة فی هذا المقام </w:t>
      </w:r>
      <w:r>
        <w:rPr>
          <w:rStyle w:val="FootnoteAnchor"/>
          <w:rtl w:val="true"/>
        </w:rPr>
        <w:footnoteReference w:id="2381"/>
      </w:r>
      <w:r>
        <w:rPr>
          <w:rFonts w:ascii="IRNazanin" w:hAnsi="IRNazanin" w:eastAsia="IRNazanin"/>
          <w:color w:val="111111"/>
          <w:sz w:val="28"/>
          <w:sz w:val="28"/>
          <w:szCs w:val="28"/>
          <w:rtl w:val="true"/>
          <w:lang w:bidi="fa-IR"/>
        </w:rPr>
        <w:t>، و هی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یری فی ثوبه المنیّ بعد ما یصبح، و لم یکن قد رأی فی منامه أنه قد احتلم؟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و یغسل ثوبه و یعید صلاته</w:t>
      </w:r>
      <w:r>
        <w:rPr>
          <w:rFonts w:eastAsia="IRNazanin" w:cs="IRNazanin"/>
          <w:color w:val="111111"/>
          <w:sz w:val="28"/>
          <w:szCs w:val="28"/>
          <w:rtl w:val="true"/>
          <w:lang w:bidi="fa-IR"/>
        </w:rPr>
        <w:t xml:space="preserve">» </w:t>
      </w:r>
      <w:r>
        <w:rPr>
          <w:rStyle w:val="FootnoteAnchor"/>
          <w:rtl w:val="true"/>
        </w:rPr>
        <w:footnoteReference w:id="2382"/>
      </w:r>
      <w:r>
        <w:rPr>
          <w:rFonts w:ascii="IRNazanin" w:hAnsi="IRNazanin" w:eastAsia="IRNazanin"/>
          <w:color w:val="111111"/>
          <w:sz w:val="28"/>
          <w:sz w:val="28"/>
          <w:szCs w:val="28"/>
          <w:rtl w:val="true"/>
          <w:lang w:bidi="fa-IR"/>
        </w:rPr>
        <w:t>، و موثّقته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ینام و لم یر فی نومه أنّه احتلم، فوجد علی ثوبه و علی فخذه الماء، هل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رحمه اللّٰه فیما حکی عن مسائل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أنّ من وجد المنیّ فی ثوب </w:t>
      </w:r>
      <w:r>
        <w:rPr>
          <w:rStyle w:val="FootnoteAnchor"/>
          <w:rtl w:val="true"/>
        </w:rPr>
        <w:footnoteReference w:id="2384"/>
      </w:r>
      <w:r>
        <w:rPr>
          <w:rFonts w:ascii="IRNazanin" w:hAnsi="IRNazanin" w:eastAsia="IRNazanin"/>
          <w:color w:val="111111"/>
          <w:sz w:val="28"/>
          <w:sz w:val="28"/>
          <w:szCs w:val="28"/>
          <w:rtl w:val="true"/>
          <w:lang w:bidi="fa-IR"/>
        </w:rPr>
        <w:t xml:space="preserve">أو فراش یستعمله هو و غیره، و لم یذکر الاحتلام فلا غسل علیه، لتجویزه </w:t>
      </w:r>
      <w:r>
        <w:rPr>
          <w:rStyle w:val="FootnoteAnchor"/>
          <w:rtl w:val="true"/>
        </w:rPr>
        <w:footnoteReference w:id="2385"/>
      </w:r>
      <w:r>
        <w:rPr>
          <w:rFonts w:ascii="IRNazanin" w:hAnsi="IRNazanin" w:eastAsia="IRNazanin"/>
          <w:color w:val="111111"/>
          <w:sz w:val="28"/>
          <w:sz w:val="28"/>
          <w:szCs w:val="28"/>
          <w:rtl w:val="true"/>
          <w:lang w:bidi="fa-IR"/>
        </w:rPr>
        <w:t xml:space="preserve">أن یکون من غیره، فإن وجده فیما لا یستعمله سواه، و لا یجوز فیما وجده </w:t>
      </w:r>
      <w:r>
        <w:rPr>
          <w:rStyle w:val="FootnoteAnchor"/>
          <w:rtl w:val="true"/>
        </w:rPr>
        <w:footnoteReference w:id="2386"/>
      </w:r>
      <w:r>
        <w:rPr>
          <w:rFonts w:ascii="IRNazanin" w:hAnsi="IRNazanin" w:eastAsia="IRNazanin"/>
          <w:color w:val="111111"/>
          <w:sz w:val="28"/>
          <w:sz w:val="28"/>
          <w:szCs w:val="28"/>
          <w:rtl w:val="true"/>
          <w:lang w:bidi="fa-IR"/>
        </w:rPr>
        <w:t>أن یکون من غیره فیلزمه الغسل، و إن لم یذکر الاحتلام، ثمّ ذکر أقوال العامّة،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صحّة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وجد المنی و لم یذکر الاحتلام و هو یجوّز أن یکون من غیره فلا یقین معه </w:t>
      </w:r>
      <w:r>
        <w:rPr>
          <w:rStyle w:val="FootnoteAnchor"/>
          <w:rtl w:val="true"/>
        </w:rPr>
        <w:footnoteReference w:id="2387"/>
      </w:r>
    </w:p>
    <w:p>
      <w:pPr>
        <w:pStyle w:val="BookText"/>
        <w:rPr/>
      </w:pPr>
      <w:r>
        <w:rPr>
          <w:rFonts w:ascii="IRNazanin" w:hAnsi="IRNazanin" w:eastAsia="IRNazanin"/>
          <w:color w:val="111111"/>
          <w:sz w:val="28"/>
          <w:sz w:val="28"/>
          <w:szCs w:val="28"/>
          <w:rtl w:val="true"/>
          <w:lang w:bidi="fa-IR"/>
        </w:rPr>
        <w:t xml:space="preserve">بما یوجب الغسل، و هو علی یقین بتقدّم براءة ذمّته، فإنّه علی أصل الطهارة، فلا یخرج بذلک </w:t>
      </w:r>
      <w:r>
        <w:rPr>
          <w:rStyle w:val="FootnoteAnchor"/>
          <w:rtl w:val="true"/>
        </w:rPr>
        <w:footnoteReference w:id="2388"/>
      </w:r>
      <w:r>
        <w:rPr>
          <w:rFonts w:ascii="IRNazanin" w:hAnsi="IRNazanin" w:eastAsia="IRNazanin"/>
          <w:color w:val="111111"/>
          <w:sz w:val="28"/>
          <w:sz w:val="28"/>
          <w:szCs w:val="28"/>
          <w:rtl w:val="true"/>
          <w:lang w:bidi="fa-IR"/>
        </w:rPr>
        <w:t>الیقین إلّا بیقین مثله، و إذا وجده فیما لا یلبسه و لا یستعمله غیره فقد أیقن أنّه منه، فوجب الغسل،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السرائر بعد حکایة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واضح سدید </w:t>
      </w:r>
      <w:r>
        <w:rPr>
          <w:rStyle w:val="FootnoteAnchor"/>
          <w:rtl w:val="true"/>
        </w:rPr>
        <w:footnoteReference w:id="23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 بعد ذکر حکم الثوب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لا یستعمله غیره وجب علیه الغسل، لأنّه یتحقّق خروجه منه </w:t>
      </w:r>
      <w:r>
        <w:rPr>
          <w:rStyle w:val="FootnoteAnchor"/>
          <w:rtl w:val="true"/>
        </w:rPr>
        <w:footnoteReference w:id="23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 فی ثوبه منیّا، فإن کان یشرکه فیه غیره لم یجب الغسل، لاحتمال کونه من المشارک، لکن یستحبّ الغسل احتیاطا، و یقضی بأنّ أحدهما جنب، و لو ائتمّ أحدهما بصاحبه لم یجز صلاة المؤتمّ، و لو کان منفردا اغتسل واجبا، لأنّه یتیقّن أنّه منه </w:t>
      </w:r>
      <w:r>
        <w:rPr>
          <w:rStyle w:val="FootnoteAnchor"/>
          <w:rtl w:val="true"/>
        </w:rPr>
        <w:footnoteReference w:id="2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حضرنا من کلماتهم الظاهرة فی فرض المسألة فی صورة حصول الیقین بالجنابة، لکنّ المعروف بین من تأخّر من المحقّق رحمه اللّٰه أنّ مجرّد وجدان المنیّ فی الثوب أمارة موجبة شرعا للحکم بجنابته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یشرکه فی الثوب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 فی مسألة الماء المستعمل فی رفع الحدث الأکبر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اغتسل واجبا من جنابة مشکوک فیها کواجد المنیّ فی ثوبه المختصّ، أو المتیقّن لها و للغسل الشاکّ فی السابق منهما أو من حیض مشکوک فیه کناسیة</w:t>
      </w:r>
    </w:p>
    <w:p>
      <w:pPr>
        <w:pStyle w:val="BookText"/>
        <w:rPr/>
      </w:pPr>
      <w:r>
        <w:rPr>
          <w:rFonts w:ascii="IRNazanin" w:hAnsi="IRNazanin" w:eastAsia="IRNazanin"/>
          <w:color w:val="111111"/>
          <w:sz w:val="28"/>
          <w:sz w:val="28"/>
          <w:szCs w:val="28"/>
          <w:rtl w:val="true"/>
          <w:lang w:bidi="fa-IR"/>
        </w:rPr>
        <w:t xml:space="preserve">الوقت و العدد، هل یکون ماؤه مستعملا؟ فیه إشکال </w:t>
      </w:r>
      <w:r>
        <w:rPr>
          <w:rStyle w:val="FootnoteAnchor"/>
          <w:rtl w:val="true"/>
        </w:rPr>
        <w:footnoteReference w:id="23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محکیّ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علیه الغسل عملا بالظاهر </w:t>
      </w:r>
      <w:r>
        <w:rPr>
          <w:rStyle w:val="FootnoteAnchor"/>
          <w:rtl w:val="true"/>
        </w:rPr>
        <w:footnoteReference w:id="239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التفصیل بین المشترک و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قیل بأنّ الاشتراک إن کان معا سقط عنهما، و إن تعاقب وجب علی صاحب النوبة، کان وجها، و لو لم یعلم صاحب النوبة فکالمعیّة </w:t>
      </w:r>
      <w:r>
        <w:rPr>
          <w:rStyle w:val="FootnoteAnchor"/>
          <w:rtl w:val="true"/>
        </w:rPr>
        <w:footnoteReference w:id="239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ظهور هذا الکلام بل صراحته فی فرض المسألة فی صورة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 هذا التفصیل الشهید و المحقّق الثانیان فی الروض </w:t>
      </w:r>
      <w:r>
        <w:rPr>
          <w:rStyle w:val="FootnoteAnchor"/>
          <w:rtl w:val="true"/>
        </w:rPr>
        <w:footnoteReference w:id="2395"/>
      </w:r>
      <w:r>
        <w:rPr>
          <w:rFonts w:ascii="IRNazanin" w:hAnsi="IRNazanin" w:eastAsia="IRNazanin"/>
          <w:color w:val="111111"/>
          <w:sz w:val="28"/>
          <w:sz w:val="28"/>
          <w:szCs w:val="28"/>
          <w:rtl w:val="true"/>
          <w:lang w:bidi="fa-IR"/>
        </w:rPr>
        <w:t xml:space="preserve">و المسالک </w:t>
      </w:r>
      <w:r>
        <w:rPr>
          <w:rStyle w:val="FootnoteAnchor"/>
          <w:rtl w:val="true"/>
        </w:rPr>
        <w:footnoteReference w:id="2396"/>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397"/>
      </w:r>
      <w:r>
        <w:rPr>
          <w:rFonts w:ascii="IRNazanin" w:hAnsi="IRNazanin" w:eastAsia="IRNazanin"/>
          <w:color w:val="111111"/>
          <w:sz w:val="28"/>
          <w:sz w:val="28"/>
          <w:szCs w:val="28"/>
          <w:rtl w:val="true"/>
          <w:lang w:bidi="fa-IR"/>
        </w:rPr>
        <w:t xml:space="preserve">و حاشیتی الإرشاد و الشرائع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للعلّامة </w:t>
      </w:r>
      <w:r>
        <w:rPr>
          <w:rStyle w:val="FootnoteAnchor"/>
          <w:rtl w:val="true"/>
        </w:rPr>
        <w:footnoteReference w:id="2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یحکم ببلوغ الواجد مع إمکان البلوغ فی حقّه بإکمال اثنتی عشرة سنة، و هذا التفصیل لا یجامع العلم بکونه منیّا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توجبه الجنابة بخروج المنیّ من معتاد أو صائرة أو</w:t>
      </w:r>
    </w:p>
    <w:p>
      <w:pPr>
        <w:pStyle w:val="BookText"/>
        <w:rPr/>
      </w:pPr>
      <w:r>
        <w:rPr>
          <w:rFonts w:ascii="IRNazanin" w:hAnsi="IRNazanin" w:eastAsia="IRNazanin"/>
          <w:color w:val="111111"/>
          <w:sz w:val="28"/>
          <w:sz w:val="28"/>
          <w:szCs w:val="28"/>
          <w:rtl w:val="true"/>
          <w:lang w:bidi="fa-IR"/>
        </w:rPr>
        <w:t xml:space="preserve">ثقبة فی الذکر أو الأنثیین، و وجوده فی مختصّ ثوب أو فراش </w:t>
      </w:r>
      <w:r>
        <w:rPr>
          <w:rStyle w:val="FootnoteAnchor"/>
          <w:rtl w:val="true"/>
        </w:rPr>
        <w:footnoteReference w:id="24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عطف الوجدان علی الخروج ظاهر فی کونه سببا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کاشف الالتباس فی شرح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فی </w:t>
      </w:r>
      <w:r>
        <w:rPr>
          <w:rStyle w:val="FootnoteAnchor"/>
          <w:rtl w:val="true"/>
        </w:rPr>
        <w:footnoteReference w:id="2401"/>
      </w:r>
      <w:r>
        <w:rPr>
          <w:rFonts w:ascii="IRNazanin" w:hAnsi="IRNazanin" w:eastAsia="IRNazanin"/>
          <w:color w:val="111111"/>
          <w:sz w:val="28"/>
          <w:sz w:val="28"/>
          <w:szCs w:val="28"/>
          <w:rtl w:val="true"/>
          <w:lang w:bidi="fa-IR"/>
        </w:rPr>
        <w:t xml:space="preserve">ثوبه أو فراشه المختصّ به منیّا وجب علیه الغسل عملا بالظاهر </w:t>
      </w:r>
      <w:r>
        <w:rPr>
          <w:rStyle w:val="FootnoteAnchor"/>
          <w:rtl w:val="true"/>
        </w:rPr>
        <w:footnoteReference w:id="24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بإنزال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العلم بکونه منیّا، بل یثبت و لو بوجدانه فی الثوب المختصّ به </w:t>
      </w:r>
      <w:r>
        <w:rPr>
          <w:rStyle w:val="FootnoteAnchor"/>
          <w:rtl w:val="true"/>
        </w:rPr>
        <w:footnoteReference w:id="240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فالمشهور بین المتأخّرین عن المحقّق رحمه اللّٰه </w:t>
      </w:r>
      <w:r>
        <w:rPr>
          <w:rStyle w:val="FootnoteAnchor"/>
          <w:rtl w:val="true"/>
        </w:rPr>
        <w:footnoteReference w:id="2404"/>
      </w:r>
      <w:r>
        <w:rPr>
          <w:rFonts w:ascii="IRNazanin" w:hAnsi="IRNazanin" w:eastAsia="IRNazanin"/>
          <w:color w:val="111111"/>
          <w:sz w:val="28"/>
          <w:sz w:val="28"/>
          <w:szCs w:val="28"/>
          <w:rtl w:val="true"/>
          <w:lang w:bidi="fa-IR"/>
        </w:rPr>
        <w:t xml:space="preserve">کون وجدان المنیّ فی الثوب المختصّ به سببا شرعیّا ظاهریّا للجنابة، رجّح الشارع </w:t>
      </w:r>
      <w:r>
        <w:rPr>
          <w:rStyle w:val="FootnoteAnchor"/>
          <w:rtl w:val="true"/>
        </w:rPr>
        <w:footnoteReference w:id="2405"/>
      </w:r>
      <w:r>
        <w:rPr>
          <w:rFonts w:ascii="IRNazanin" w:hAnsi="IRNazanin" w:eastAsia="IRNazanin"/>
          <w:color w:val="111111"/>
          <w:sz w:val="28"/>
          <w:sz w:val="28"/>
          <w:szCs w:val="28"/>
          <w:rtl w:val="true"/>
          <w:lang w:bidi="fa-IR"/>
        </w:rPr>
        <w:t xml:space="preserve">فیه الظاهر علی الأصل، کما فی البلل الموجود بعد البول و قبل الاستبراء، و لا إشکال، و إنّما الإشکال فی مستنده، إذ لا یصلح لذلک إلّا موثّقتا سماعة المتقدّمتان </w:t>
      </w:r>
      <w:r>
        <w:rPr>
          <w:rStyle w:val="FootnoteAnchor"/>
          <w:rtl w:val="true"/>
        </w:rPr>
        <w:footnoteReference w:id="2406"/>
      </w:r>
      <w:r>
        <w:rPr>
          <w:rFonts w:ascii="IRNazanin" w:hAnsi="IRNazanin" w:eastAsia="IRNazanin"/>
          <w:color w:val="111111"/>
          <w:sz w:val="28"/>
          <w:sz w:val="28"/>
          <w:szCs w:val="28"/>
          <w:rtl w:val="true"/>
          <w:lang w:bidi="fa-IR"/>
        </w:rPr>
        <w:t>، و لا یخفی أنّ ظاهرهما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الثانیة المشتملة علی وجدان المنی علی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العلم بنزول المنیّ، و لا یستبعد السؤال عن مثله، کما لا یخفی علی من تتبّع أسئلة الروایات، و لاحظ مزخرفات العامّة التی</w:t>
      </w:r>
    </w:p>
    <w:p>
      <w:pPr>
        <w:pStyle w:val="BookText"/>
        <w:rPr/>
      </w:pPr>
      <w:r>
        <w:rPr>
          <w:rFonts w:ascii="IRNazanin" w:hAnsi="IRNazanin" w:eastAsia="IRNazanin"/>
          <w:color w:val="111111"/>
          <w:sz w:val="28"/>
          <w:sz w:val="28"/>
          <w:szCs w:val="28"/>
          <w:rtl w:val="true"/>
          <w:lang w:bidi="fa-IR"/>
        </w:rPr>
        <w:t>أوجبت الشبهة فی أکثر مسلّمات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بها عن القاعدة المجمع علیها من عدم الخروج عن یقین الطهارة بمجرّد الشکّ مشکل، سواء کان الشکّ فی کونه منیّا له أو لغیره، أم فی أنّ هذا المنیّ المعلوم کونه منه من جنابة سابقة تطهّر لها، أو من جنابة حادثة، إلّا أن یقال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الشخص حین خروج هذا </w:t>
      </w:r>
      <w:r>
        <w:rPr>
          <w:rStyle w:val="FootnoteAnchor"/>
          <w:rtl w:val="true"/>
        </w:rPr>
        <w:footnoteReference w:id="2407"/>
      </w:r>
      <w:r>
        <w:rPr>
          <w:rFonts w:ascii="IRNazanin" w:hAnsi="IRNazanin" w:eastAsia="IRNazanin"/>
          <w:color w:val="111111"/>
          <w:sz w:val="28"/>
          <w:sz w:val="28"/>
          <w:szCs w:val="28"/>
          <w:rtl w:val="true"/>
          <w:lang w:bidi="fa-IR"/>
        </w:rPr>
        <w:t>المنیّ یعلم بحدوث جنابة مردّدة بین السابقة و اخری حادثة، و الأصل بقاؤها، کما أنّ الأصل بقاء الطهارة بعد الجنابة السابقة، فهو نظیر من تیقّن الطهارة و الحدث و شکّ فی المتأخّر مع علمه بالحدث قبلها و إن کان المفروض هناک طهارة و حدث غیر الحدث المعلوم قبلها، بخلاف ما نحن فیه إلّا أنّ مناط تعارض الاستصحابین موجود هنا أیضا، و لعلّ هذا من القرائن علی اتّفاقهم هناک علی وجوب الأخذ بضدّ الحالة السابقة إذا علم بها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یصیب ثوبه </w:t>
      </w:r>
      <w:r>
        <w:rPr>
          <w:rStyle w:val="FootnoteAnchor"/>
          <w:rtl w:val="true"/>
        </w:rPr>
        <w:footnoteReference w:id="2408"/>
      </w:r>
      <w:r>
        <w:rPr>
          <w:rFonts w:ascii="IRNazanin" w:hAnsi="IRNazanin" w:eastAsia="IRNazanin"/>
          <w:color w:val="111111"/>
          <w:sz w:val="28"/>
          <w:sz w:val="28"/>
          <w:szCs w:val="28"/>
          <w:rtl w:val="true"/>
          <w:lang w:bidi="fa-IR"/>
        </w:rPr>
        <w:t>منیّا، و لم یعلم أنّه احتلم،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لیغسل ثوبه، و لیتوضّأ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409"/>
      </w:r>
      <w:r>
        <w:rPr>
          <w:rFonts w:ascii="IRNazanin" w:hAnsi="IRNazanin" w:eastAsia="IRNazanin"/>
          <w:color w:val="111111"/>
          <w:sz w:val="28"/>
          <w:sz w:val="28"/>
          <w:szCs w:val="28"/>
          <w:rtl w:val="true"/>
          <w:lang w:bidi="fa-IR"/>
        </w:rPr>
        <w:t xml:space="preserve">، و الأمر بالوضوء فی مقابل الغسل یغنی عن أن یعین </w:t>
      </w:r>
      <w:r>
        <w:rPr>
          <w:rStyle w:val="FootnoteAnchor"/>
          <w:rtl w:val="true"/>
        </w:rPr>
        <w:footnoteReference w:id="2410"/>
      </w:r>
      <w:r>
        <w:rPr>
          <w:rFonts w:ascii="IRNazanin" w:hAnsi="IRNazanin" w:eastAsia="IRNazanin"/>
          <w:color w:val="111111"/>
          <w:sz w:val="28"/>
          <w:sz w:val="28"/>
          <w:szCs w:val="28"/>
          <w:rtl w:val="true"/>
          <w:lang w:bidi="fa-IR"/>
        </w:rPr>
        <w:t>أنّ الطهور فی حقّه هو الوضوء دون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قلنا بظاهر الموثّقتین </w:t>
      </w:r>
      <w:r>
        <w:rPr>
          <w:rStyle w:val="FootnoteAnchor"/>
          <w:rtl w:val="true"/>
        </w:rPr>
        <w:footnoteReference w:id="2411"/>
      </w:r>
      <w:r>
        <w:rPr>
          <w:rFonts w:ascii="IRNazanin" w:hAnsi="IRNazanin" w:eastAsia="IRNazanin"/>
          <w:color w:val="111111"/>
          <w:sz w:val="28"/>
          <w:sz w:val="28"/>
          <w:szCs w:val="28"/>
          <w:rtl w:val="true"/>
          <w:lang w:bidi="fa-IR"/>
        </w:rPr>
        <w:t>من التعبّد، فهل یقتصر فیه علی صورة حصول الظنّ بکونه منه، أو یحکم به بمجرّد الاحتمال، وجهان، أقواهما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إذ لو نزل عن ورودهما فی مقام العلم العادی کما هو الغالب فلا أقلّ من ورودهما فی مقام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یجب الاقتصار علی المتیقّن من مورد الروایتین، و هو وجدان المنیّ علی الجسد أو الثوب، و لا یبعد إلحاق الفراش کما صرّح به بعضهم </w:t>
      </w:r>
      <w:r>
        <w:rPr>
          <w:rStyle w:val="FootnoteAnchor"/>
          <w:rtl w:val="true"/>
        </w:rPr>
        <w:footnoteReference w:id="2412"/>
      </w:r>
      <w:r>
        <w:rPr>
          <w:rFonts w:ascii="IRNazanin" w:hAnsi="IRNazanin" w:eastAsia="IRNazanin"/>
          <w:color w:val="111111"/>
          <w:sz w:val="28"/>
          <w:sz w:val="28"/>
          <w:szCs w:val="28"/>
          <w:rtl w:val="true"/>
          <w:lang w:bidi="fa-IR"/>
        </w:rPr>
        <w:t>، و کذا یجب الاقتصار علی المتیقّن من أزمنة نزول هذا المنیّ الموجب للحدث و الخبث، و لا یعید إلّا الصلاة التی لا یحتمل تأخّر الوجدان عنها، و فی غیرها یکون الأصل بقاء الطهارة السابقة، وفاقا للمشهور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یقضی کلّ صلاة صلّاها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2413"/>
      </w:r>
      <w:r>
        <w:rPr>
          <w:rFonts w:ascii="IRNazanin" w:hAnsi="IRNazanin" w:eastAsia="IRNazanin"/>
          <w:color w:val="111111"/>
          <w:sz w:val="28"/>
          <w:sz w:val="28"/>
          <w:szCs w:val="28"/>
          <w:rtl w:val="true"/>
          <w:lang w:bidi="fa-IR"/>
        </w:rPr>
        <w:t xml:space="preserve">آخر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Style w:val="FootnoteAnchor"/>
          <w:rtl w:val="true"/>
        </w:rPr>
        <w:footnoteReference w:id="2414"/>
      </w:r>
      <w:r>
        <w:rPr>
          <w:rFonts w:ascii="IRNazanin" w:hAnsi="IRNazanin" w:eastAsia="IRNazanin"/>
          <w:color w:val="111111"/>
          <w:sz w:val="28"/>
          <w:sz w:val="28"/>
          <w:szCs w:val="28"/>
          <w:rtl w:val="true"/>
          <w:lang w:bidi="fa-IR"/>
        </w:rPr>
        <w:t xml:space="preserve">من 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غسل یرفع حدث الغسل، انتهی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6"/>
      </w:r>
      <w:r>
        <w:rPr>
          <w:rFonts w:ascii="IRNazanin" w:hAnsi="IRNazanin" w:eastAsia="IRNazanin"/>
          <w:color w:val="111111"/>
          <w:sz w:val="28"/>
          <w:sz w:val="28"/>
          <w:szCs w:val="28"/>
          <w:rtl w:val="true"/>
          <w:lang w:bidi="fa-IR"/>
        </w:rPr>
        <w:t>، و مراده وجوب قضاء کلّ صلاة احتمل تقدّم هذه الجنابة علیها، فقد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لقضاء ما صلّاها بین الغسل و أوّل یوم یحتمل فیها الجنابة، و لعلّ الوجه فیما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بوقوع بعض تلک</w:t>
      </w:r>
    </w:p>
    <w:p>
      <w:pPr>
        <w:pStyle w:val="BookText"/>
        <w:rPr/>
      </w:pPr>
      <w:r>
        <w:rPr>
          <w:rFonts w:ascii="IRNazanin" w:hAnsi="IRNazanin" w:eastAsia="IRNazanin"/>
          <w:color w:val="111111"/>
          <w:sz w:val="28"/>
          <w:sz w:val="28"/>
          <w:szCs w:val="28"/>
          <w:rtl w:val="true"/>
          <w:lang w:bidi="fa-IR"/>
        </w:rPr>
        <w:t>الصلوات مع الجنابة، فیجب قضاء الجمیع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بقاء الطهارة السابقة فیما عدا الصلاة المعلوم وقوعها مع الجنابة تثبت صحّة ما عداها، و لذلک قوّی هذا القول أخیرا فی المبسوط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حکم القضاء من حیث الحدث، و أمّا من حیث الخبث فسیأتی حکم جاهل النجاسة فی أحکام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إشکال و لا خلاف فی عدم وجوب الغسل علی کلّ من المتشارکین فی الثوب و إن علم بکون أحدهما جنبا، و یترتّب علیه آثار الجنب الواقعی فلا یجوز الصلاة خلف واحد منهما، لوجوب الاجتناب عن الصلاة خلف الجنب الواقعی، نظیر الصلاة خلف المشتبه بالفاسق أو الکافر، و الصلاة فی الثوب المشتبه بالنجس، و السجود علی المکان المشتبه به، و غیر ذلک، و ما أبعد ما بینه و ما جوّزه بعض مشایخنا المتأخّرین </w:t>
      </w:r>
      <w:r>
        <w:rPr>
          <w:rStyle w:val="FootnoteAnchor"/>
          <w:rtl w:val="true"/>
        </w:rPr>
        <w:footnoteReference w:id="2418"/>
      </w:r>
      <w:r>
        <w:rPr>
          <w:rFonts w:ascii="IRNazanin" w:hAnsi="IRNazanin" w:eastAsia="IRNazanin"/>
          <w:color w:val="111111"/>
          <w:sz w:val="28"/>
          <w:sz w:val="28"/>
          <w:szCs w:val="28"/>
          <w:rtl w:val="true"/>
          <w:lang w:bidi="fa-IR"/>
        </w:rPr>
        <w:t>من جواز الصلاة خلف کلیهما فی فرضین، بل ادّعی عدم ظهور الخلاف فی ذلک، لکن ملاحظة ما ذکرنا من الأمثلة تشهد بعدم ظهور الخلاف فیما اخترناه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الوجه فی عدم وجوب الغسل علی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الطهارة فی کلّ واحد منهما فی حقّ نفسه لا یعارضه أصالة طهارة الآخر إذا لم یکن طهارة الآخر </w:t>
      </w:r>
      <w:r>
        <w:rPr>
          <w:rStyle w:val="FootnoteAnchor"/>
          <w:rtl w:val="true"/>
        </w:rPr>
        <w:footnoteReference w:id="2419"/>
      </w:r>
      <w:r>
        <w:rPr>
          <w:rFonts w:ascii="IRNazanin" w:hAnsi="IRNazanin" w:eastAsia="IRNazanin"/>
          <w:color w:val="111111"/>
          <w:sz w:val="28"/>
          <w:sz w:val="28"/>
          <w:szCs w:val="28"/>
          <w:rtl w:val="true"/>
          <w:lang w:bidi="fa-IR"/>
        </w:rPr>
        <w:t xml:space="preserve">ممّا یتعلّق به حکمه کجواز الاقتداء به و الاکتفاء به فی عدد الجمعة کما سیجی‌ء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 ذلک ما ذکرناه فی الماءین المشتبهین، و فی مطلق الشبهة المحصورة، من أنّ المعتبر فی تنجیز التکلیف بالأمر المعلوم إجمالا کونه بکلا محتملیه موردا لابتلاء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 فی الأعمال المتوقّفة علی إحراز طهارة الواجد، سواء صدرت من أحد الواجدین، أو من ثالث یترتّب عمله علی عملهما أو </w:t>
      </w:r>
      <w:r>
        <w:rPr>
          <w:rStyle w:val="FootnoteAnchor"/>
          <w:rtl w:val="true"/>
        </w:rPr>
        <w:footnoteReference w:id="2421"/>
      </w:r>
      <w:r>
        <w:rPr>
          <w:rFonts w:ascii="IRNazanin" w:hAnsi="IRNazanin" w:eastAsia="IRNazanin"/>
          <w:color w:val="111111"/>
          <w:sz w:val="28"/>
          <w:sz w:val="28"/>
          <w:szCs w:val="28"/>
          <w:rtl w:val="true"/>
          <w:lang w:bidi="fa-IR"/>
        </w:rPr>
        <w:t>عمل أحدهما علی سلامة أصالة الطهارة، و یترتّب علی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عمل کل منهما إذا لم یترتّب علی عمل صاحبه، و هذا ممّا لا إشکال فیه و لا خلاف</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عمله إذا ترتّب صحّته علی صحّة عمل الآخر عند الأوّل فلا یجوز اقتداؤه به، وفاقا للمحقّق و فخر الدین و الشهید </w:t>
      </w:r>
      <w:r>
        <w:rPr>
          <w:rStyle w:val="FootnoteAnchor"/>
          <w:rtl w:val="true"/>
        </w:rPr>
        <w:footnoteReference w:id="2422"/>
      </w:r>
      <w:r>
        <w:rPr>
          <w:rFonts w:ascii="IRNazanin" w:hAnsi="IRNazanin" w:eastAsia="IRNazanin"/>
          <w:color w:val="111111"/>
          <w:sz w:val="28"/>
          <w:sz w:val="28"/>
          <w:szCs w:val="28"/>
          <w:rtl w:val="true"/>
          <w:lang w:bidi="fa-IR"/>
        </w:rPr>
        <w:t>، لأنّ الشرط فی صحّة صلاة المأموم طهارته من الحدث و طهارة إمامه، و لا یجوز إحرازهما بالأصل، للعلم الإجمالی بجنابة أحدهما فیحصل العلم التفصیلی بفساد صلاته، لاختلال أحد شرطیة، کما لو علم إجمالا بنجاسة مردّدة بین کونها فی ثوبه أو بدنه، خلافا للعلّامة فی التذکرة،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جنابة أسقط الشارع حکمها </w:t>
      </w:r>
      <w:r>
        <w:rPr>
          <w:rStyle w:val="FootnoteAnchor"/>
          <w:rtl w:val="true"/>
        </w:rPr>
        <w:footnoteReference w:id="2423"/>
      </w:r>
      <w:r>
        <w:rPr>
          <w:rFonts w:ascii="IRNazanin" w:hAnsi="IRNazanin" w:eastAsia="IRNazanin"/>
          <w:color w:val="111111"/>
          <w:sz w:val="28"/>
          <w:sz w:val="28"/>
          <w:szCs w:val="28"/>
          <w:rtl w:val="true"/>
          <w:lang w:bidi="fa-IR"/>
        </w:rPr>
        <w:t xml:space="preserve">، و وافقه فی المدارک، لصحّة صلاة کلّ منهما شرعا، و أصالة عدم اشتراط ما زاد علی ذلک، ثمّ ضعّف استدلال المانعین بالقطع بحدث أحدهما، بأنّا نمنع حصول الحدث إلّا مع تحقّق الإنزال من شخص بعینه، و لهذا ارتفع لازمة و هو وجوب الطهارة إجماعا </w:t>
      </w:r>
      <w:r>
        <w:rPr>
          <w:rStyle w:val="FootnoteAnchor"/>
          <w:rtl w:val="true"/>
        </w:rPr>
        <w:footnoteReference w:id="2424"/>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لإناطة</w:t>
      </w:r>
    </w:p>
    <w:p>
      <w:pPr>
        <w:pStyle w:val="BookText"/>
        <w:rPr/>
      </w:pPr>
      <w:r>
        <w:rPr>
          <w:rFonts w:ascii="IRNazanin" w:hAnsi="IRNazanin" w:eastAsia="IRNazanin"/>
          <w:color w:val="111111"/>
          <w:sz w:val="28"/>
          <w:sz w:val="28"/>
          <w:szCs w:val="28"/>
          <w:rtl w:val="true"/>
          <w:lang w:bidi="fa-IR"/>
        </w:rPr>
        <w:t xml:space="preserve">التکلیف بالظاهر، و عدم العبرة بنفس الأمر و لو مع العلم إجمالا، و لهذا یصحّ صلاتهما، و لا یجب الغسل علیهما قطعا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ذلک کلّه بمنع إسقاط الشارع حکم هذه الجنابة، لعدم الدلیل علی المسقط مع وجود السبب و هو الإنزال، إذ لا ریب أنّه إذا حصل العلم لأحدهما بکونه منه لم یکن علمه حدثا جدیدا، و إنّما وجب علیه الغسل بالسبب السابق، فالسبب موجود واقعا فی أحدهما، و إنّما انتفی بعض لوازمه عن کلّ منهما، و هو وجوب الغسل، لإحراز عدمه بحکم الأصل السلیم عن المعارض، فکلّ من کان منهما أو من ثالث عمله مترتّبا علی عدم الجنابة، فإن أمکنه إحرازه بالأصل صحّ منه ذلک العمل بمعونة الأصل و إلّا فلا، و المفروض أنّ صلاة المأموم تترتّب صحّتها علی طهارة الإمام التی لا یمکنه إجراء الأصل، لمعارضته بأصالة طهارة نفسه، مع کون اللازم من العمل بالأصلین طرح مقتضی السبب الواقعی الذی فرضناه سببا، فصحّة الاقتداء مبنیّة علی أحد أمور کلّها مخالفة لمقتضی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صلاة الإمام بالطهارة الواقعیّة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استلزامه صحّة الاقتداء و لو علم بجنابة الإمام، کما یصحّ لو علم بنجاسة ثوبه أو بنسیانه إحدی السجدتین 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بالأدلّة الدالّة علی اشتراطها بها واقعا </w:t>
      </w:r>
      <w:r>
        <w:rPr>
          <w:rStyle w:val="FootnoteAnchor"/>
          <w:rtl w:val="true"/>
        </w:rPr>
        <w:footnoteReference w:id="2426"/>
      </w:r>
      <w:r>
        <w:rPr>
          <w:rFonts w:ascii="IRNazanin" w:hAnsi="IRNazanin" w:eastAsia="IRNazanin"/>
          <w:color w:val="111111"/>
          <w:sz w:val="28"/>
          <w:sz w:val="28"/>
          <w:szCs w:val="28"/>
          <w:rtl w:val="true"/>
          <w:lang w:bidi="fa-IR"/>
        </w:rPr>
        <w:t xml:space="preserve">، و لذا یجب علیه الإعادة فی الوقت </w:t>
      </w:r>
      <w:r>
        <w:rPr>
          <w:rStyle w:val="FootnoteAnchor"/>
          <w:rtl w:val="true"/>
        </w:rPr>
        <w:footnoteReference w:id="2427"/>
      </w:r>
      <w:r>
        <w:rPr>
          <w:rFonts w:ascii="Amiri" w:hAnsi="Amiri" w:eastAsia="Amiri" w:cs="Amiri"/>
          <w:color w:val="111111"/>
          <w:sz w:val="28"/>
          <w:sz w:val="28"/>
          <w:szCs w:val="28"/>
          <w:rtl w:val="true"/>
          <w:lang w:bidi="ar-SA"/>
        </w:rPr>
        <w:t>، فإنّ</w:t>
      </w:r>
    </w:p>
    <w:p>
      <w:pPr>
        <w:pStyle w:val="BookText"/>
        <w:rPr/>
      </w:pPr>
      <w:r>
        <w:rPr>
          <w:rFonts w:ascii="IRNazanin" w:hAnsi="IRNazanin" w:eastAsia="IRNazanin"/>
          <w:color w:val="111111"/>
          <w:sz w:val="28"/>
          <w:sz w:val="28"/>
          <w:szCs w:val="28"/>
          <w:rtl w:val="true"/>
          <w:lang w:bidi="fa-IR"/>
        </w:rPr>
        <w:t xml:space="preserve">الإعادة لا یکون إلّا لاختلال شرط واقعی، و لذا فرّع العلّامة قدّس سرّه فی القواعد صحّة اقتداء من علم بنجاسة ثوب الإمام و فسادها علی عدم وجوب الإعادة علی الجاهل بالنجاسة و وجوبها علیه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صحّة الاقتداء صحّة صلاة الإمام ظاهرا عند نفسه، و لو لم یحرز المأموم صحّتها الواقعیة، و لو بحکم أصالة طهارته، بل یکفی عدم علمه بالفساد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و إن لم یتّضح فساده کالأوّل إلّا أنّ الظاهر من ملاحظة أدلّة شرائط الإمام فی باب الجماعة اشتراط إحراز الصحّة عند المأموم، و لو بأصالة الصحّة أو أصالة الطهارة أو غیرهما ممّا لا یجری فی المقام، و قد ادّعی فخر المحقّقین رحمه اللّٰه فی الإیضاح الاتّفاق علی أنّ الائتمام هیئة اجتماعیّة تقتضی أن تکون الصلاة مشترکة بین الإمام و المأموم، و أنّ صلاة الإمام هی الأصل </w:t>
      </w:r>
      <w:r>
        <w:rPr>
          <w:rStyle w:val="FootnoteAnchor"/>
          <w:rtl w:val="true"/>
        </w:rPr>
        <w:footnoteReference w:id="2429"/>
      </w:r>
      <w:r>
        <w:rPr>
          <w:rFonts w:ascii="IRNazanin" w:hAnsi="IRNazanin" w:eastAsia="IRNazanin"/>
          <w:color w:val="111111"/>
          <w:sz w:val="28"/>
          <w:sz w:val="28"/>
          <w:szCs w:val="28"/>
          <w:rtl w:val="true"/>
          <w:lang w:bidi="fa-IR"/>
        </w:rPr>
        <w:t>، و فی روایة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فسد صلاة الإمام فسد صلاة المأموم</w:t>
      </w:r>
      <w:r>
        <w:rPr>
          <w:rFonts w:eastAsia="IRNazanin" w:cs="IRNazanin"/>
          <w:color w:val="111111"/>
          <w:sz w:val="28"/>
          <w:szCs w:val="28"/>
          <w:rtl w:val="true"/>
          <w:lang w:bidi="fa-IR"/>
        </w:rPr>
        <w:t xml:space="preserve">» </w:t>
      </w:r>
      <w:r>
        <w:rPr>
          <w:rStyle w:val="FootnoteAnchor"/>
          <w:rtl w:val="true"/>
        </w:rPr>
        <w:footnoteReference w:id="2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التلازم فی الفساد أنّه إذا احتمل فساد صلاة الإمام احتمالا غیر مندفع بالأصول کان صلاة المأموم کذلک، فلا یجوز الدخول فیها، لکنّ مورد الروایة وجوب الإعادة علی من علم بعد الصلاة جنابة إمامه، و هو مخالف للفتوی، إلّا أنّه یمکن توجیهه بأنّ المورد لمّا اتّفق فی اقتداء الناس بثانی الشیخین کان هذا الکلام حقّا بالنسبة إلی ذلک المورد،</w:t>
      </w:r>
    </w:p>
    <w:p>
      <w:pPr>
        <w:pStyle w:val="BookText"/>
        <w:rPr/>
      </w:pPr>
      <w:r>
        <w:rPr>
          <w:rFonts w:ascii="IRNazanin" w:hAnsi="IRNazanin" w:eastAsia="IRNazanin"/>
          <w:color w:val="111111"/>
          <w:sz w:val="28"/>
          <w:sz w:val="28"/>
          <w:szCs w:val="28"/>
          <w:rtl w:val="true"/>
          <w:lang w:bidi="fa-IR"/>
        </w:rPr>
        <w:t>فلا یلزم المحذور، و هو طرح العمل بالروایة فی موردها الشخصی، و أمّا طرحها فی نوع موردها فلیس بذلک المحذور، و تمام الکلام یأتی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الأمرین الأوّلین، و منع کون الإنزال المتحقّق من شخص لا بعینه موجبا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بأس بتسلیمه،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الحدث حالة منتزعة من وجوب الغسل فعلا، و لیس أمرا متأصّلا یتفرّع علیه وجوبه، فإذا ارتفع وجوب الغسل فعلا انتفی الحدث واقعا، فکلّ منهما متطهّر واقعی، لعدم وجوب الغسل علیه فعلا، و هذا مردود بما یدلّ علی وجوب الإعادة و القضاء علی من صلّی جنبا بغیر علم </w:t>
      </w:r>
      <w:r>
        <w:rPr>
          <w:rStyle w:val="FootnoteAnchor"/>
          <w:rtl w:val="true"/>
        </w:rPr>
        <w:footnoteReference w:id="2431"/>
      </w:r>
      <w:r>
        <w:rPr>
          <w:rFonts w:ascii="IRNazanin" w:hAnsi="IRNazanin" w:eastAsia="IRNazanin"/>
          <w:color w:val="111111"/>
          <w:sz w:val="28"/>
          <w:sz w:val="28"/>
          <w:szCs w:val="28"/>
          <w:rtl w:val="true"/>
          <w:lang w:bidi="fa-IR"/>
        </w:rPr>
        <w:t xml:space="preserve">، و بالروایة المذکورة </w:t>
      </w:r>
      <w:r>
        <w:rPr>
          <w:rStyle w:val="FootnoteAnchor"/>
          <w:rtl w:val="true"/>
        </w:rPr>
        <w:footnoteReference w:id="2432"/>
      </w:r>
      <w:r>
        <w:rPr>
          <w:rFonts w:ascii="IRNazanin" w:hAnsi="IRNazanin" w:eastAsia="IRNazanin"/>
          <w:color w:val="111111"/>
          <w:sz w:val="28"/>
          <w:sz w:val="28"/>
          <w:szCs w:val="28"/>
          <w:rtl w:val="true"/>
          <w:lang w:bidi="fa-IR"/>
        </w:rPr>
        <w:t>، و باستلزامه تجدّد الحدث عند العلم و عدم تحقّق الحدث بالإدخال بالنسبة إلی الصغیر و المجنون، و هذا ممّا لا یقولون به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فالأقوی ما ذهب إلیه فی المعتبر و الإیضاح و البیان </w:t>
      </w:r>
      <w:r>
        <w:rPr>
          <w:rStyle w:val="FootnoteAnchor"/>
          <w:rtl w:val="true"/>
        </w:rPr>
        <w:footnoteReference w:id="243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434"/>
      </w:r>
      <w:r>
        <w:rPr>
          <w:rFonts w:ascii="IRNazanin" w:hAnsi="IRNazanin" w:eastAsia="IRNazanin"/>
          <w:color w:val="111111"/>
          <w:sz w:val="28"/>
          <w:sz w:val="28"/>
          <w:szCs w:val="28"/>
          <w:rtl w:val="true"/>
          <w:lang w:bidi="fa-IR"/>
        </w:rPr>
        <w:t xml:space="preserve">و المسالک </w:t>
      </w:r>
      <w:r>
        <w:rPr>
          <w:rStyle w:val="FootnoteAnchor"/>
          <w:rtl w:val="true"/>
        </w:rPr>
        <w:footnoteReference w:id="2435"/>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2436"/>
      </w:r>
      <w:r>
        <w:rPr>
          <w:rFonts w:ascii="IRNazanin" w:hAnsi="IRNazanin" w:eastAsia="IRNazanin"/>
          <w:color w:val="111111"/>
          <w:sz w:val="28"/>
          <w:sz w:val="28"/>
          <w:szCs w:val="28"/>
          <w:rtl w:val="true"/>
          <w:lang w:bidi="fa-IR"/>
        </w:rPr>
        <w:t xml:space="preserve">و اللثام </w:t>
      </w:r>
      <w:r>
        <w:rPr>
          <w:rStyle w:val="FootnoteAnchor"/>
          <w:rtl w:val="true"/>
        </w:rPr>
        <w:footnoteReference w:id="2437"/>
      </w:r>
      <w:r>
        <w:rPr>
          <w:rFonts w:ascii="IRNazanin" w:hAnsi="IRNazanin" w:eastAsia="IRNazanin"/>
          <w:color w:val="111111"/>
          <w:sz w:val="28"/>
          <w:sz w:val="28"/>
          <w:szCs w:val="28"/>
          <w:rtl w:val="true"/>
          <w:lang w:bidi="fa-IR"/>
        </w:rPr>
        <w:t xml:space="preserve">و غیرها </w:t>
      </w:r>
      <w:r>
        <w:rPr>
          <w:rStyle w:val="FootnoteAnchor"/>
          <w:rtl w:val="true"/>
        </w:rPr>
        <w:footnoteReference w:id="24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أحدهما علی الآخر فی تکمیل عدد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الغیر بأحدهما، و وطء الزوج إحدی زوجتیه المعلوم حیضها له، و لها، مع علمه بحالهما، و الظاهر عدم الجواز، لعدم إحراز طهارة الإمام بالأصل، لمعارضته بأصالة الطهارة للآخر </w:t>
      </w:r>
      <w:r>
        <w:rPr>
          <w:rStyle w:val="FootnoteAnchor"/>
          <w:rtl w:val="true"/>
        </w:rPr>
        <w:footnoteReference w:id="2439"/>
      </w:r>
      <w:r>
        <w:rPr>
          <w:rFonts w:ascii="IRNazanin" w:hAnsi="IRNazanin" w:eastAsia="IRNazanin"/>
          <w:color w:val="111111"/>
          <w:sz w:val="28"/>
          <w:sz w:val="28"/>
          <w:szCs w:val="28"/>
          <w:rtl w:val="true"/>
          <w:lang w:bidi="fa-IR"/>
        </w:rPr>
        <w:t>فیلزم إمّا جواز الاقتداء بهما أو بأحدهما بعینه، و الأوّل مستلزم لطرح ما دلّ علی المنع علی الاقتداء بالجنب، و الثانی ترجیح بلا مرجّح، فیتعیّن عدم الجواز فیهما، نظیر السجود علی أحد المشتبهین بالنجس، و الصلاة خلف أحد المشتبهین بالفاسق أو بغیره ممّن لا یصحّ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الواجد الآخر خارجا عن مورد ابتلاء المکلّف، کما إذا کان میّتا أو فاسقا أو یتعذّر الوصول إلیه کان مقتضی القاعدة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 من المنع ممّا لا إشکال فیه و لا خلاف </w:t>
      </w:r>
      <w:r>
        <w:rPr>
          <w:rStyle w:val="FootnoteAnchor"/>
          <w:rtl w:val="true"/>
        </w:rPr>
        <w:footnoteReference w:id="2440"/>
      </w:r>
      <w:r>
        <w:rPr>
          <w:rFonts w:ascii="IRNazanin" w:hAnsi="IRNazanin" w:eastAsia="IRNazanin"/>
          <w:color w:val="111111"/>
          <w:sz w:val="28"/>
          <w:sz w:val="28"/>
          <w:szCs w:val="28"/>
          <w:rtl w:val="true"/>
          <w:lang w:bidi="fa-IR"/>
        </w:rPr>
        <w:t>، بناء علی ما یقتضیه قاعدتهم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أبعد ما بینه و بین ما اختاره بعض مشایخنا المعاصرین </w:t>
      </w:r>
      <w:r>
        <w:rPr>
          <w:rStyle w:val="FootnoteAnchor"/>
          <w:rtl w:val="true"/>
        </w:rPr>
        <w:footnoteReference w:id="2441"/>
      </w:r>
      <w:r>
        <w:rPr>
          <w:rFonts w:ascii="IRNazanin" w:hAnsi="IRNazanin" w:eastAsia="IRNazanin"/>
          <w:color w:val="111111"/>
          <w:sz w:val="28"/>
          <w:sz w:val="28"/>
          <w:szCs w:val="28"/>
          <w:rtl w:val="true"/>
          <w:lang w:bidi="fa-IR"/>
        </w:rPr>
        <w:t>، مستظهرا عدم الخلاف فیه من جواز الاقتداء بهما فی فرضین، کأن یأتمّ بأحدهما فی الظهر، و بالآخر فی العصر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 من أنّ مقتضی قاعدة الشبهة عدم جواز الاقتداء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 أراد الدخول فی العصر یقطع تفصیلا بفساد صلاة العصر، إمّا للائتمام فیها بجنب و إمّا لفساد الظهر المقتضی لعدم</w:t>
      </w:r>
    </w:p>
    <w:p>
      <w:pPr>
        <w:pStyle w:val="BookText"/>
        <w:rPr/>
      </w:pPr>
      <w:r>
        <w:rPr>
          <w:rFonts w:ascii="IRNazanin" w:hAnsi="IRNazanin" w:eastAsia="IRNazanin"/>
          <w:color w:val="111111"/>
          <w:sz w:val="28"/>
          <w:sz w:val="28"/>
          <w:szCs w:val="28"/>
          <w:rtl w:val="true"/>
          <w:lang w:bidi="fa-IR"/>
        </w:rPr>
        <w:t>مشروعیّة العصر قبل فعلها،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استظهر صحّة الصلاتین و عدم وجوب إعادة إحداهما ممّا ذکره فخر المحقّقین و المحقّق الثانی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 فعل توقّف صحّته علی صحّة فعل الآخر بطل المتوقّف، کصلاة أحدهما خلف الآخر، و إن کان التوقّف من الجانبین توقّف معیّة بطلا معا، کما فی اعتماد کلّ منهما علی الآخر فی تمام عدد الجمعة، و أمّا إذا لم یتوقّف صحّة صلاة أحدهما علی صلاة الآخر رأسا، صحّت الصلاتان </w:t>
      </w:r>
      <w:r>
        <w:rPr>
          <w:rStyle w:val="FootnoteAnchor"/>
          <w:rtl w:val="true"/>
        </w:rPr>
        <w:footnoteReference w:id="2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صحّت صلاتاهما فی الفرض المذکور صحّت الصلاتان المؤتمّ فی کلّ واحدة منهما بواحدة من صلاتیهما، و أنت خبیر بأنّ مفاد العبارة المذکورة صحّة صلاتهما بالنسبة إلی أنفسهما فی مقابل بطلانهما بالنسبة إلی أنفسهما فی الجمعة و بطلان صلاة المأموم فی الائتمام، و هذا المقدار من الصحّة لا ینافی عدم جواز اقتداء الثالث بتلک الصلاة إذا لم یحرز أصالة طهارة إمامه لأجل المعارضة، کما أنّ صحّة صلاة الإمام من أحدهما بالنسبة إلی نفسه لا ینافی فساد صلاة الآخر المأموم، کیف؟ و لو کفی لجاز الاقتداء بمن علم جنابته مع جهله بها لحصول الصحّة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یعرف وجه المنع فی مثال وطء إحدی الزوجتین مع وجوب العبادة بالنسبة إلی کلیهما، و الظاهر أنّ حکم استیجارهما للصلاة عن المیّت کذلک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الغیر لهما، و لأحدهما فی کنس المسجد المستلزم للمکث أو لحمله فی الطواف، فإنّ الظاهر صحّة ذلک، لعدم توقّف صحّة</w:t>
      </w:r>
    </w:p>
    <w:p>
      <w:pPr>
        <w:pStyle w:val="BookText"/>
        <w:rPr/>
      </w:pPr>
      <w:r>
        <w:rPr>
          <w:rFonts w:ascii="IRNazanin" w:hAnsi="IRNazanin" w:eastAsia="IRNazanin"/>
          <w:color w:val="111111"/>
          <w:sz w:val="28"/>
          <w:sz w:val="28"/>
          <w:szCs w:val="28"/>
          <w:rtl w:val="true"/>
          <w:lang w:bidi="fa-IR"/>
        </w:rPr>
        <w:t xml:space="preserve">الاستیجار علی إحراز طهارة کلّ منهما و لو بحکم الأصل، بل یکفی فی صحّة الاستیجار إباحة الشارع و ترخیصه مکثهما فی المساجد، و إن وقع من کاشف الالتباس ما وقع، حیث منع من دخولهما فی المسجد </w:t>
      </w:r>
      <w:r>
        <w:rPr>
          <w:rStyle w:val="FootnoteAnchor"/>
          <w:rtl w:val="true"/>
        </w:rPr>
        <w:footnoteReference w:id="2443"/>
      </w:r>
      <w:r>
        <w:rPr>
          <w:rFonts w:ascii="IRNazanin" w:hAnsi="IRNazanin" w:eastAsia="IRNazanin"/>
          <w:color w:val="111111"/>
          <w:sz w:val="28"/>
          <w:sz w:val="28"/>
          <w:szCs w:val="28"/>
          <w:rtl w:val="true"/>
          <w:lang w:bidi="fa-IR"/>
        </w:rPr>
        <w:t>، لکنّ الظاهر مخالفته للإجماع، و الرخصة حاصلة بحصول الطهارة الظاهریة فی حقّ الأجیر، لکن لا بدّ أن یلتزم حینئذ بجواز استیجار من یعلم جنابته إذا کان الأجیر جاهلا، و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القول باستیجارهما أو استیجار أحدهما لقراءة العزائم، بناء علی جواز استیجار من علم جنابته مع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فی صحّة فعل الثالث المترتّب علی صحّة فعلهما أو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إن توقّفت علی إحراز صحّة فعلهما فی الواقع و لو بمعونة أصالة الطهارة لم یصحّ ذلک الفعل، مع معارضة أصالة طهارة أحدهما بأصالة طهارة الآخر تفصیلا، و إن اکتفی فیها بصحّة فعلهما </w:t>
      </w:r>
      <w:r>
        <w:rPr>
          <w:rStyle w:val="FootnoteAnchor"/>
          <w:rtl w:val="true"/>
        </w:rPr>
        <w:footnoteReference w:id="2444"/>
      </w:r>
      <w:r>
        <w:rPr>
          <w:rFonts w:ascii="IRNazanin" w:hAnsi="IRNazanin" w:eastAsia="IRNazanin"/>
          <w:color w:val="111111"/>
          <w:sz w:val="28"/>
          <w:sz w:val="28"/>
          <w:szCs w:val="28"/>
          <w:rtl w:val="true"/>
          <w:lang w:bidi="fa-IR"/>
        </w:rPr>
        <w:t>ظاهرا فی حقّ أنفسهما صحّ ذلک الفعل، و الأمارة المائزة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فعل الثالث و إن علم تفصیلا فی أحدهما بعینه ما علمه فی أحدهما لا بعینه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الشرط فی صحّة الفعل المترتّب علی فعل أحدهما هی صحّته الظاهریة فی حقّ الفاعل مع عدم علم الأوّل تفصیلا بفساده،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أدلّة اعتبار صحّة فعل أحدهما فی فعل الثالث لا یمکن خروجه عن الوجهین، لأنّه لو کان فعل أحدهما علی تقدیر جنابته فاسدا فی الواقع لم یکن بدّ للثالث من إحراز عدم الفساد و لو بالأصل، و لو</w:t>
      </w:r>
    </w:p>
    <w:p>
      <w:pPr>
        <w:pStyle w:val="BookText"/>
        <w:rPr/>
      </w:pPr>
      <w:r>
        <w:rPr>
          <w:rFonts w:ascii="IRNazanin" w:hAnsi="IRNazanin" w:eastAsia="IRNazanin"/>
          <w:color w:val="111111"/>
          <w:sz w:val="28"/>
          <w:sz w:val="28"/>
          <w:szCs w:val="28"/>
          <w:rtl w:val="true"/>
          <w:lang w:bidi="fa-IR"/>
        </w:rPr>
        <w:t>لم یکن فاسدا واقعا لم یقدح علمه بالجنابة، لأنّ الفرض أنّ مجرّد وجود ما فی الواقع غیر مؤثّر فی الصحّة الواقعیّة، فعلیک بتفریع الفروع بعد إتقان ما ذکرنا من الضابط و تشخیص موارده من الأدلّة،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 هو أنّه إذا قلنا فی واجد المنیّ فی الثوب المختصّ بالتزام الجنابة و إن لم یعلم بها، عملا بظاهر الحال، فهل یجب التزام الواجدین فی الثوب المشترک بجنابة أحدهما لا بعینه، أم لا؟ وجهان، من وجوب الاقتصار فیما خالف قاعدة عدم نقض الیقین بغیره علی مورد النصّ و هو الثوب المختصّ، و من قیام ظاهر الحال هنا و عدم تعقّل الفارق بین احتمال کون الجنابة فی الثوب المختصّ من غیر صاحبه و احتمال کونها فی الثوب المشترک من ثالث، فلا یعقل إلغاء الأوّل و الاعتناء بالثانی، و الرجوع من أجله إلی أصالة طهارتهما، و لذا ألحق جماعة </w:t>
      </w:r>
      <w:r>
        <w:rPr>
          <w:rStyle w:val="FootnoteAnchor"/>
          <w:rtl w:val="true"/>
        </w:rPr>
        <w:footnoteReference w:id="2445"/>
      </w:r>
      <w:r>
        <w:rPr>
          <w:rFonts w:ascii="IRNazanin" w:hAnsi="IRNazanin" w:eastAsia="IRNazanin"/>
          <w:color w:val="111111"/>
          <w:sz w:val="28"/>
          <w:sz w:val="28"/>
          <w:szCs w:val="28"/>
          <w:rtl w:val="true"/>
          <w:lang w:bidi="fa-IR"/>
        </w:rPr>
        <w:t xml:space="preserve">الواجد منهما فی نوبته بالمنفرد بالثوب، و هذا هو الأقوی، لکن عرفت الأصل فی أصل المسألة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ذکر جماعة </w:t>
      </w:r>
      <w:r>
        <w:rPr>
          <w:rStyle w:val="FootnoteAnchor"/>
          <w:rtl w:val="true"/>
        </w:rPr>
        <w:footnoteReference w:id="2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نسبه غیر واحد </w:t>
      </w:r>
      <w:r>
        <w:rPr>
          <w:rStyle w:val="FootnoteAnchor"/>
          <w:rtl w:val="true"/>
        </w:rPr>
        <w:footnoteReference w:id="2448"/>
      </w:r>
      <w:r>
        <w:rPr>
          <w:rFonts w:ascii="IRNazanin" w:hAnsi="IRNazanin" w:eastAsia="IRNazanin"/>
          <w:color w:val="111111"/>
          <w:sz w:val="28"/>
          <w:sz w:val="28"/>
          <w:szCs w:val="28"/>
          <w:rtl w:val="true"/>
          <w:lang w:bidi="fa-IR"/>
        </w:rPr>
        <w:t>إلی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یستحبّ الغسل لهما مع الوضوء الواجب علیهما فی ظاهر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وجهه حسن الاحتیاط، و هل ینوی الوجوب أو الاستحباب؟ قیل بالأوّل </w:t>
      </w:r>
      <w:r>
        <w:rPr>
          <w:rStyle w:val="FootnoteAnchor"/>
          <w:rtl w:val="true"/>
        </w:rPr>
        <w:footnoteReference w:id="2449"/>
      </w:r>
      <w:r>
        <w:rPr>
          <w:rFonts w:ascii="IRNazanin" w:hAnsi="IRNazanin" w:eastAsia="IRNazanin"/>
          <w:color w:val="111111"/>
          <w:sz w:val="28"/>
          <w:sz w:val="28"/>
          <w:szCs w:val="28"/>
          <w:rtl w:val="true"/>
          <w:lang w:bidi="fa-IR"/>
        </w:rPr>
        <w:t>و لعلّ وجهه أنّ الاحتیاط إنّما یحصل بفعل ما احتمل وجوبه مشتملا علی جمیع ما یعتبر فیه حتّی قصد الوجه، و فیه نظر، لمنع اعتبار قصد الوجه علی جهة الوصفیة و عدم تحقّق قصده فی المقام علی جهة الغائیة، و من ذلک یظهر قوّة الوجه الثانی، و الأحوط إخطار الغسل موصوفا بالوجوب</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ظهرت الحاجة إلی هذا الغسل فالظاهر الاکتفاء، لأنّ المقصود من الاحتیاط إحراز الواقع، و المنویّ بهذا الغسل رفع الحدث علی تقدیر الوجود، و إذا شرع فعل لغرض فلا بدّ من حصوله،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Style w:val="FootnoteAnchor"/>
          <w:rtl w:val="true"/>
        </w:rPr>
        <w:footnoteReference w:id="2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المحقّق الثانی فاستوجه عدم الإجزاء </w:t>
      </w:r>
      <w:r>
        <w:rPr>
          <w:rStyle w:val="FootnoteAnchor"/>
          <w:rtl w:val="true"/>
        </w:rPr>
        <w:footnoteReference w:id="2451"/>
      </w:r>
      <w:r>
        <w:rPr>
          <w:rFonts w:ascii="IRNazanin" w:hAnsi="IRNazanin" w:eastAsia="IRNazanin"/>
          <w:color w:val="111111"/>
          <w:sz w:val="28"/>
          <w:sz w:val="28"/>
          <w:szCs w:val="28"/>
          <w:rtl w:val="true"/>
          <w:lang w:bidi="fa-IR"/>
        </w:rPr>
        <w:t xml:space="preserve">، و هو لازم کلّ من أفتی فیما تقدّم فی الوضوء بأنّ المحکوم بالطهارة شرعا لو توضّأ احتیاطا لم یجز عند تبیّن الحاجة إلیه، کما فی القواعد </w:t>
      </w:r>
      <w:r>
        <w:rPr>
          <w:rStyle w:val="FootnoteAnchor"/>
          <w:rtl w:val="true"/>
        </w:rPr>
        <w:footnoteReference w:id="2452"/>
      </w:r>
      <w:r>
        <w:rPr>
          <w:rFonts w:ascii="IRNazanin" w:hAnsi="IRNazanin" w:eastAsia="IRNazanin"/>
          <w:color w:val="111111"/>
          <w:sz w:val="28"/>
          <w:sz w:val="28"/>
          <w:szCs w:val="28"/>
          <w:rtl w:val="true"/>
          <w:lang w:bidi="fa-IR"/>
        </w:rPr>
        <w:t xml:space="preserve">و البیان </w:t>
      </w:r>
      <w:r>
        <w:rPr>
          <w:rStyle w:val="FootnoteAnchor"/>
          <w:rtl w:val="true"/>
        </w:rPr>
        <w:footnoteReference w:id="245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454"/>
      </w:r>
      <w:r>
        <w:rPr>
          <w:rFonts w:ascii="IRNazanin" w:hAnsi="IRNazanin" w:eastAsia="IRNazanin"/>
          <w:color w:val="111111"/>
          <w:sz w:val="28"/>
          <w:sz w:val="28"/>
          <w:szCs w:val="28"/>
          <w:rtl w:val="true"/>
          <w:lang w:bidi="fa-IR"/>
        </w:rPr>
        <w:t>، لعدم نیّة الوجوب أو عدم نیّة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نیّة الوجوب الوصفی حاصل علی تقدیر وجوبها، و الغائی غیر معتبر، خصوصا مع عدم الإمکان، و أمّا الرفع فهو ینوی علی تقدیر الحدث</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اعتبار قصده علی وجه التخییر فیما لا یتحقّق إلّا علی بعض التقادیر إن کان فی الامتثال و سقوط الأمر، فالمفروض حصوله فی المقام بدونه لتعذّره، و إن کان فی الصحّة بمعنی ترتّب الأثر و هو رفع الحدث الموجود،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یحصل بحکم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bookmarkStart w:id="302" w:name="pg13035_132045"/>
    </w:p>
    <w:p>
      <w:pPr>
        <w:pStyle w:val="Heading6"/>
        <w:numPr>
          <w:ilvl w:val="5"/>
          <w:numId w:val="1"/>
        </w:numPr>
        <w:rPr/>
      </w:pPr>
      <w:bookmarkStart w:id="303" w:name="__RefHeading___Toc6370080_3224264995"/>
      <w:bookmarkStart w:id="304" w:name="_Toc117"/>
      <w:bookmarkEnd w:id="302"/>
      <w:bookmarkEnd w:id="303"/>
      <w:r>
        <w:rPr>
          <w:rtl w:val="true"/>
        </w:rPr>
        <w:t>[</w:t>
      </w:r>
      <w:r>
        <w:rPr>
          <w:rtl w:val="true"/>
        </w:rPr>
        <w:t>الجماع</w:t>
      </w:r>
      <w:r>
        <w:rPr>
          <w:rtl w:val="true"/>
        </w:rPr>
        <w:t>] [</w:t>
      </w:r>
      <w:r>
        <w:rPr>
          <w:rtl w:val="true"/>
        </w:rPr>
        <w:t>سبب الجنابة</w:t>
      </w:r>
      <w:r>
        <w:rPr>
          <w:rtl w:val="true"/>
        </w:rPr>
        <w:t>]</w:t>
      </w:r>
      <w:bookmarkEnd w:id="30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الجماع </w:t>
      </w:r>
      <w:r>
        <w:rPr>
          <w:rStyle w:val="FootnoteAnchor"/>
          <w:rtl w:val="true"/>
        </w:rPr>
        <w:footnoteReference w:id="2456"/>
      </w:r>
      <w:r>
        <w:rPr>
          <w:rFonts w:ascii="Amiri" w:hAnsi="Amiri" w:eastAsia="Amiri" w:cs="Amiri"/>
          <w:color w:val="111111"/>
          <w:sz w:val="28"/>
          <w:sz w:val="28"/>
          <w:szCs w:val="28"/>
          <w:rtl w:val="true"/>
          <w:lang w:bidi="ar-SA"/>
        </w:rPr>
        <w:t>، فإن جامع امرأة فی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جنب و إن لم ینزل، بالکتاب و السنّة و الإجماع من المسلمین من یوم رجع الأنصار عن قولهم بأنّ الماء من الماء إلی قول المهاجرین،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 فَتَیَمَّمُوا صَعِیداً</w:t>
      </w:r>
      <w:r>
        <w:rPr>
          <w:rFonts w:eastAsia="Amiri" w:cs="Amiri" w:ascii="Amiri" w:hAnsi="Amiri"/>
          <w:color w:val="111111"/>
          <w:sz w:val="28"/>
          <w:szCs w:val="28"/>
          <w:rtl w:val="true"/>
          <w:lang w:bidi="ar-SA"/>
        </w:rPr>
        <w:t xml:space="preserve">)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انصراف المطلق إلی الغالب من صورة الإنزال ممنوعة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عن أمیر المؤمنین علیه السلام فی صحیحة زرارة الحاکیة لمحاکمته علیه السلام بین المهاجرین و الأنصار أنّه </w:t>
      </w:r>
      <w:r>
        <w:rPr>
          <w:rStyle w:val="FootnoteAnchor"/>
          <w:rtl w:val="true"/>
        </w:rPr>
        <w:footnoteReference w:id="2458"/>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الختانان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الغسل</w:t>
      </w:r>
      <w:r>
        <w:rPr>
          <w:rFonts w:eastAsia="IRNazanin" w:cs="IRNazanin"/>
          <w:color w:val="111111"/>
          <w:sz w:val="28"/>
          <w:szCs w:val="28"/>
          <w:rtl w:val="true"/>
          <w:lang w:bidi="fa-IR"/>
        </w:rPr>
        <w:t xml:space="preserve">)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نحوها صحیحة ابن بزیع </w:t>
      </w:r>
      <w:r>
        <w:rPr>
          <w:rStyle w:val="FootnoteAnchor"/>
          <w:rtl w:val="true"/>
        </w:rPr>
        <w:footnoteReference w:id="2460"/>
      </w:r>
      <w:r>
        <w:rPr>
          <w:rFonts w:ascii="IRNazanin" w:hAnsi="IRNazanin" w:eastAsia="IRNazanin"/>
          <w:color w:val="111111"/>
          <w:sz w:val="28"/>
          <w:sz w:val="28"/>
          <w:szCs w:val="28"/>
          <w:rtl w:val="true"/>
          <w:lang w:bidi="fa-IR"/>
        </w:rPr>
        <w:t>، و زید فیها تفسیر الالتقاء بغیبوبة الحشفة، فیکون معنی الالتقاء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المقابلة، لأنّ ختان المرأة فوق مدخل الذکر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الختان الختان فقد وجب الغسل</w:t>
      </w:r>
      <w:r>
        <w:rPr>
          <w:rFonts w:eastAsia="IRNazanin" w:cs="IRNazanin"/>
          <w:color w:val="111111"/>
          <w:sz w:val="28"/>
          <w:szCs w:val="28"/>
          <w:rtl w:val="true"/>
          <w:lang w:bidi="fa-IR"/>
        </w:rPr>
        <w:t xml:space="preserve">» </w:t>
      </w:r>
      <w:r>
        <w:rPr>
          <w:rStyle w:val="FootnoteAnchor"/>
          <w:rtl w:val="true"/>
        </w:rPr>
        <w:footnoteReference w:id="2461"/>
      </w:r>
      <w:r>
        <w:rPr>
          <w:rFonts w:ascii="IRNazanin" w:hAnsi="IRNazanin" w:eastAsia="IRNazanin"/>
          <w:color w:val="111111"/>
          <w:sz w:val="28"/>
          <w:sz w:val="28"/>
          <w:szCs w:val="28"/>
          <w:rtl w:val="true"/>
          <w:lang w:bidi="fa-IR"/>
        </w:rPr>
        <w:t>، و فی صحیحة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الختان</w:t>
      </w:r>
    </w:p>
    <w:p>
      <w:pPr>
        <w:pStyle w:val="BookText"/>
        <w:rPr/>
      </w:pPr>
      <w:r>
        <w:rPr>
          <w:rFonts w:ascii="IRNazanin" w:hAnsi="IRNazanin" w:eastAsia="IRNazanin"/>
          <w:color w:val="111111"/>
          <w:sz w:val="28"/>
          <w:sz w:val="28"/>
          <w:szCs w:val="28"/>
          <w:rtl w:val="true"/>
          <w:lang w:bidi="fa-IR"/>
        </w:rPr>
        <w:t xml:space="preserve">علی الختان فقد وجب الغسل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الکلّ تحقّق التواصل بینهما، لکن ذکر جماعة </w:t>
      </w:r>
      <w:r>
        <w:rPr>
          <w:rStyle w:val="FootnoteAnchor"/>
          <w:rtl w:val="true"/>
        </w:rPr>
        <w:footnoteReference w:id="2463"/>
      </w:r>
      <w:r>
        <w:rPr>
          <w:rFonts w:ascii="IRNazanin" w:hAnsi="IRNazanin" w:eastAsia="IRNazanin"/>
          <w:color w:val="111111"/>
          <w:sz w:val="28"/>
          <w:sz w:val="28"/>
          <w:szCs w:val="28"/>
          <w:rtl w:val="true"/>
          <w:lang w:bidi="fa-IR"/>
        </w:rPr>
        <w:t xml:space="preserve">أنّ المراد مجرّد التحاذی بینهما لعدم إمکان تماسّهما، و الأمر سهل بعد تفسیره فی الصحیحة بغیبوبة الحشفة، لکن ظاهر بعض الأخبار کفایة مجرّد الإدخال و الإیلاج فی وجوب الغسل و المهر و الرجم </w:t>
      </w:r>
      <w:r>
        <w:rPr>
          <w:rStyle w:val="FootnoteAnchor"/>
          <w:rtl w:val="true"/>
        </w:rPr>
        <w:footnoteReference w:id="2464"/>
      </w:r>
      <w:r>
        <w:rPr>
          <w:rFonts w:ascii="IRNazanin" w:hAnsi="IRNazanin" w:eastAsia="IRNazanin"/>
          <w:color w:val="111111"/>
          <w:sz w:val="28"/>
          <w:sz w:val="28"/>
          <w:szCs w:val="28"/>
          <w:rtl w:val="true"/>
          <w:lang w:bidi="fa-IR"/>
        </w:rPr>
        <w:t>، لکن لا یبعد کونها مسوقة لبیان عدم الاکتفاء بالتفخیذ و شبهه ممّا یقرب الإدخال، مضافا إلی انصراف الإدخال إلی أزید من مسماه، حتّی ورد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یجب علیهما الغسل حین یدخله، و إذا التقی الختانان فیغسلان فرجهما</w:t>
      </w:r>
      <w:r>
        <w:rPr>
          <w:rFonts w:eastAsia="IRNazanin" w:cs="IRNazanin"/>
          <w:color w:val="111111"/>
          <w:sz w:val="28"/>
          <w:szCs w:val="28"/>
          <w:rtl w:val="true"/>
          <w:lang w:bidi="fa-IR"/>
        </w:rPr>
        <w:t xml:space="preserve">» </w:t>
      </w:r>
      <w:r>
        <w:rPr>
          <w:rStyle w:val="FootnoteAnchor"/>
          <w:rtl w:val="true"/>
        </w:rPr>
        <w:footnoteReference w:id="2465"/>
      </w:r>
      <w:r>
        <w:rPr>
          <w:rFonts w:ascii="IRNazanin" w:hAnsi="IRNazanin" w:eastAsia="IRNazanin"/>
          <w:color w:val="111111"/>
          <w:sz w:val="28"/>
          <w:sz w:val="28"/>
          <w:szCs w:val="28"/>
          <w:rtl w:val="true"/>
          <w:lang w:bidi="fa-IR"/>
        </w:rPr>
        <w:t>فأراد من إدخاله إدخال جمیعه، لکن الروایة لمخالفتها للنصوص و الإجماع، یمکن حملها علی إرادة تلاقی الختانین بمجرّد وضع أحدهما علی الآخر أو تحاذیهما بالتفخیذ</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الالتقاء سبب للجنابة من طرف الذکر و 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 واحد منهما أو أحدهما نائما أو مجنونا أو صغیرا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الموطوءة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حیّة استدخلت میّتا، بلا خلاف فی شی‌ء من ذلک، للإطلاقات، و إن أمکن دعوی انصرافها إلی ما لا یشتمل بعض المذکورات إلّا أنّه </w:t>
      </w:r>
      <w:r>
        <w:rPr>
          <w:rStyle w:val="FootnoteAnchor"/>
          <w:rtl w:val="true"/>
        </w:rPr>
        <w:footnoteReference w:id="2466"/>
      </w:r>
    </w:p>
    <w:p>
      <w:pPr>
        <w:pStyle w:val="BookText"/>
        <w:rPr/>
      </w:pPr>
      <w:r>
        <w:rPr>
          <w:rFonts w:ascii="IRNazanin" w:hAnsi="IRNazanin" w:eastAsia="IRNazanin"/>
          <w:color w:val="111111"/>
          <w:sz w:val="28"/>
          <w:sz w:val="28"/>
          <w:szCs w:val="28"/>
          <w:rtl w:val="true"/>
          <w:lang w:bidi="fa-IR"/>
        </w:rPr>
        <w:t xml:space="preserve">لا وقع لها، فإنّ مثل هذا الانصراف لو أثّر لذهب بعموم أکثر القواعد المستنبطة من الإطلاقات، مضافا فی وطء المیتة إلی استفادة جماعة </w:t>
      </w:r>
      <w:r>
        <w:rPr>
          <w:rStyle w:val="FootnoteAnchor"/>
          <w:rtl w:val="true"/>
        </w:rPr>
        <w:footnoteReference w:id="2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للسرائر </w:t>
      </w:r>
      <w:r>
        <w:rPr>
          <w:rStyle w:val="FootnoteAnchor"/>
          <w:rtl w:val="true"/>
        </w:rPr>
        <w:footnoteReference w:id="2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توجبون علیه الحدّ و لا توجبون علیه صاعا من ماء</w:t>
      </w:r>
      <w:r>
        <w:rPr>
          <w:rFonts w:eastAsia="IRNazanin" w:cs="IRNazanin"/>
          <w:color w:val="111111"/>
          <w:sz w:val="28"/>
          <w:szCs w:val="28"/>
          <w:rtl w:val="true"/>
          <w:lang w:bidi="fa-IR"/>
        </w:rPr>
        <w:t xml:space="preserve">» </w:t>
      </w:r>
      <w:r>
        <w:rPr>
          <w:rStyle w:val="FootnoteAnchor"/>
          <w:rtl w:val="true"/>
        </w:rPr>
        <w:footnoteReference w:id="2469"/>
      </w:r>
      <w:r>
        <w:rPr>
          <w:rFonts w:ascii="IRNazanin" w:hAnsi="IRNazanin" w:eastAsia="IRNazanin"/>
          <w:color w:val="111111"/>
          <w:sz w:val="28"/>
          <w:sz w:val="28"/>
          <w:szCs w:val="28"/>
          <w:rtl w:val="true"/>
          <w:lang w:bidi="fa-IR"/>
        </w:rPr>
        <w:t xml:space="preserve">من </w:t>
      </w:r>
      <w:r>
        <w:rPr>
          <w:rStyle w:val="FootnoteAnchor"/>
          <w:rtl w:val="true"/>
        </w:rPr>
        <w:footnoteReference w:id="2470"/>
      </w:r>
      <w:r>
        <w:rPr>
          <w:rFonts w:ascii="IRNazanin" w:hAnsi="IRNazanin" w:eastAsia="IRNazanin"/>
          <w:color w:val="111111"/>
          <w:sz w:val="28"/>
          <w:sz w:val="28"/>
          <w:szCs w:val="28"/>
          <w:rtl w:val="true"/>
          <w:lang w:bidi="fa-IR"/>
        </w:rPr>
        <w:t>الملازمة بین إیجاب الحدّ و إیجاب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وروده فی مقام إلزام الخصم القائم بجواز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الحدائق،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علیه السلام أنکر علیهم ذلک مع مخالفته لاعتقادهم، بمعنی أنّه کیف تقولون بهذا القول مع أنّه مخالف لمعتقدکم </w:t>
      </w:r>
      <w:r>
        <w:rPr>
          <w:rStyle w:val="FootnoteAnchor"/>
          <w:rtl w:val="true"/>
        </w:rPr>
        <w:footnoteReference w:id="24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بأنّه لا مجال هنا للقیاس،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تقدیره فلم یظهر أنّ المخالفین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عاملون بالقیاس مطلقا خصوصا فی المقام، و مستندهم فی نفی الغسل السنّة دون القیاس، مضافا إلی أنّ الحمل علی ذلک خلاف الظاهر، إذ الظاهر ورود کلام المتکلّم علی طبق معتقده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وجوب الحدّ و عدم وجوب الغسل ممّا لا یجتمعان فی نظر</w:t>
      </w:r>
    </w:p>
    <w:p>
      <w:pPr>
        <w:pStyle w:val="BookText"/>
        <w:rPr/>
      </w:pP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أنّا لا نفهم الربط الواقعی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الظاهری أنّه إذا کان الإدخال مؤثّرا لهذا الأمر العظیم من آثار الجنابة فکیف لا یؤثّر فی تحقّق الحدث الذی هو أخفّ منها؟</w:t>
      </w:r>
    </w:p>
    <w:p>
      <w:pPr>
        <w:pStyle w:val="BookText"/>
        <w:rPr/>
      </w:pPr>
      <w:r>
        <w:rPr>
          <w:rFonts w:ascii="IRNazanin" w:hAnsi="IRNazanin" w:eastAsia="IRNazanin"/>
          <w:color w:val="111111"/>
          <w:sz w:val="28"/>
          <w:sz w:val="28"/>
          <w:szCs w:val="28"/>
          <w:rtl w:val="true"/>
          <w:lang w:bidi="fa-IR"/>
        </w:rPr>
        <w:t>و ممّا یؤیّد إرادة الملازمة الواقعیّة بین الحدّ و الغسل قوله علیه السلام فی صحیحة الحلبی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یجب الغسل و الحدّ یجب فیه؟</w:t>
      </w:r>
      <w:r>
        <w:rPr>
          <w:rFonts w:eastAsia="IRNazanin" w:cs="IRNazanin"/>
          <w:color w:val="111111"/>
          <w:sz w:val="28"/>
          <w:szCs w:val="28"/>
          <w:rtl w:val="true"/>
          <w:lang w:bidi="fa-IR"/>
        </w:rPr>
        <w:t xml:space="preserve">» </w:t>
      </w:r>
      <w:r>
        <w:rPr>
          <w:rStyle w:val="FootnoteAnchor"/>
          <w:rtl w:val="true"/>
        </w:rPr>
        <w:footnoteReference w:id="2472"/>
      </w:r>
      <w:r>
        <w:rPr>
          <w:rFonts w:ascii="IRNazanin" w:hAnsi="IRNazanin" w:eastAsia="IRNazanin"/>
          <w:color w:val="111111"/>
          <w:sz w:val="28"/>
          <w:sz w:val="28"/>
          <w:szCs w:val="28"/>
          <w:rtl w:val="true"/>
          <w:lang w:bidi="fa-IR"/>
        </w:rPr>
        <w:t>فإنّ حکایة هذا الکلام فی مقام بیان الحکم الواقعی لا یناسب صدوره من الأمیر صلوات اللّٰه علیه علی طریق الإسکات و الإلزام، کما لا یخفی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کالشهیدین </w:t>
      </w:r>
      <w:r>
        <w:rPr>
          <w:rStyle w:val="FootnoteAnchor"/>
          <w:rtl w:val="true"/>
        </w:rPr>
        <w:footnoteReference w:id="2473"/>
      </w:r>
      <w:r>
        <w:rPr>
          <w:rFonts w:ascii="IRNazanin" w:hAnsi="IRNazanin" w:eastAsia="IRNazanin"/>
          <w:color w:val="111111"/>
          <w:sz w:val="28"/>
          <w:sz w:val="28"/>
          <w:szCs w:val="28"/>
          <w:rtl w:val="true"/>
          <w:lang w:bidi="fa-IR"/>
        </w:rPr>
        <w:t xml:space="preserve">تبعا للمبسوط </w:t>
      </w:r>
      <w:r>
        <w:rPr>
          <w:rStyle w:val="FootnoteAnchor"/>
          <w:rtl w:val="true"/>
        </w:rPr>
        <w:footnoteReference w:id="2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تحقّق الجنابة بمجامعة المیّتة بما ورد من أنّ حرمة الحیّ کحرمة المیّت </w:t>
      </w:r>
      <w:r>
        <w:rPr>
          <w:rStyle w:val="FootnoteAnchor"/>
          <w:rtl w:val="true"/>
        </w:rPr>
        <w:footnoteReference w:id="2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أعظم</w:t>
      </w:r>
      <w:r>
        <w:rPr>
          <w:rFonts w:eastAsia="IRNazanin" w:cs="IRNazanin"/>
          <w:color w:val="111111"/>
          <w:sz w:val="28"/>
          <w:szCs w:val="28"/>
          <w:rtl w:val="true"/>
          <w:lang w:bidi="fa-IR"/>
        </w:rPr>
        <w:t xml:space="preserve">» </w:t>
      </w:r>
      <w:r>
        <w:rPr>
          <w:rStyle w:val="FootnoteAnchor"/>
          <w:rtl w:val="true"/>
        </w:rPr>
        <w:footnoteReference w:id="2476"/>
      </w:r>
      <w:r>
        <w:rPr>
          <w:rFonts w:ascii="IRNazanin" w:hAnsi="IRNazanin" w:eastAsia="IRNazanin"/>
          <w:color w:val="111111"/>
          <w:sz w:val="28"/>
          <w:sz w:val="28"/>
          <w:szCs w:val="28"/>
          <w:rtl w:val="true"/>
          <w:lang w:bidi="fa-IR"/>
        </w:rPr>
        <w:t xml:space="preserve">، و فیه نظر، لعدم إناطة الجنابة باحترام الموطوء، و أمّا التمسّک بالاستصحاب، لأنّ مجامعتها قبل موتها کانت موجبة للجنابة فکذا بعد موتها، لعدم العلم بتأخیر </w:t>
      </w:r>
      <w:r>
        <w:rPr>
          <w:rStyle w:val="FootnoteAnchor"/>
          <w:rtl w:val="true"/>
        </w:rPr>
        <w:footnoteReference w:id="2477"/>
      </w:r>
      <w:r>
        <w:rPr>
          <w:rFonts w:ascii="IRNazanin" w:hAnsi="IRNazanin" w:eastAsia="IRNazanin"/>
          <w:color w:val="111111"/>
          <w:sz w:val="28"/>
          <w:sz w:val="28"/>
          <w:szCs w:val="28"/>
          <w:rtl w:val="true"/>
          <w:lang w:bidi="fa-IR"/>
        </w:rPr>
        <w:t>الحیاة، فهو و إن کان صحیحا</w:t>
      </w:r>
    </w:p>
    <w:p>
      <w:pPr>
        <w:pStyle w:val="BookText"/>
        <w:rPr/>
      </w:pPr>
      <w:r>
        <w:rPr>
          <w:rFonts w:ascii="IRNazanin" w:hAnsi="IRNazanin" w:eastAsia="IRNazanin"/>
          <w:color w:val="111111"/>
          <w:sz w:val="28"/>
          <w:sz w:val="28"/>
          <w:szCs w:val="28"/>
          <w:rtl w:val="true"/>
          <w:lang w:bidi="fa-IR"/>
        </w:rPr>
        <w:t xml:space="preserve">علی مذاق المشهور إلّا أنّا قد ذکرنا فی محلّه أنّ مثل هذا الاستصحاب غیر معتبر بل غیر جار، لأنّ الموضوع الذی حمل علیه المستصحب أعنی سببیّة مجامعته للجنابة غیر معلوم البقاء بعد الموت، و استصحاب الموضوع غیر جار، و تمام الکلام فی محلّه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فی استنباط جنابة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کان أو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المجنون من الأدلّة المذکورة غموضا، من حیث إنّ الجنابة فیها مستنبطة من وجوب الغسل بعد وضوح أنّ الغسل لیس إلّا لرفع الحدث المأمور به فی قوله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2479"/>
      </w:r>
      <w:r>
        <w:rPr>
          <w:rFonts w:ascii="IRNazanin" w:hAnsi="IRNazanin" w:eastAsia="IRNazanin"/>
          <w:color w:val="111111"/>
          <w:sz w:val="28"/>
          <w:sz w:val="28"/>
          <w:szCs w:val="28"/>
          <w:rtl w:val="true"/>
          <w:lang w:bidi="fa-IR"/>
        </w:rPr>
        <w:t xml:space="preserve">، و المفروض أنّه لا یتصوّر حدث غیر الجنابة، فمؤدّی تلک الأدلّة أنّ الالتقاء سبب لوجوب رفع حدث الجنابة عند اجتماع شرائط الوجوب، و لا یستقیم هذا المعنی إلّا بکون الالتقاء سببا للجنابة التی یجب رفعها عند تنجّز التکلیف المشروط بالطهارة کما لا یخفی، لکن هذا موقوف علی کون الشرائط شرائط الوجوب و قیودا له، و تقیید وجوب الغسل بها لیس بأولی من تقیید الالتقاء بها، غایة الأمر أنّه ثبت </w:t>
      </w:r>
      <w:r>
        <w:rPr>
          <w:rStyle w:val="FootnoteAnchor"/>
          <w:rtl w:val="true"/>
        </w:rPr>
        <w:footnoteReference w:id="2480"/>
      </w:r>
      <w:r>
        <w:rPr>
          <w:rFonts w:ascii="IRNazanin" w:hAnsi="IRNazanin" w:eastAsia="IRNazanin"/>
          <w:color w:val="111111"/>
          <w:sz w:val="28"/>
          <w:sz w:val="28"/>
          <w:szCs w:val="28"/>
          <w:rtl w:val="true"/>
          <w:lang w:bidi="fa-IR"/>
        </w:rPr>
        <w:t>بالإجماع أنّ ما عدا البلوغ و العقل کعدم النوم و التمکّن من الماء و اشتغال الذمّة بمشروط بالطهارة قیود للوجوب، و أمّا البلوغ و العقل فکما یحتمل کونهما کغیرهما یحتمل رجوعهما إلی الالتقاء، فیکون المعنی أنّ الالتقاء بعد البلوغ و العقل یوجب الغسل عند تحقّق سائر الشروط، فیکون للوصفین مدخل فی</w:t>
      </w:r>
    </w:p>
    <w:p>
      <w:pPr>
        <w:pStyle w:val="BookText"/>
        <w:rPr/>
      </w:pPr>
      <w:r>
        <w:rPr>
          <w:rFonts w:ascii="IRNazanin" w:hAnsi="IRNazanin" w:eastAsia="IRNazanin"/>
          <w:color w:val="111111"/>
          <w:sz w:val="28"/>
          <w:sz w:val="28"/>
          <w:szCs w:val="28"/>
          <w:rtl w:val="true"/>
          <w:lang w:bidi="fa-IR"/>
        </w:rPr>
        <w:t>تحقّق الجنابة التی هی سبب لوجوب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الوجوب بالبلوغ و العقل متیقّن بالإجماع، و الشکّ فی تقیید الالتقاء بهما،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بالإجماع عدم وجوب الغسل علی الصغیر و المجنون، أمّا کون ذلک لعدم تحقّق الجنابة أو لعدم وجوب رفعها فلیس متیقّنا، فالإجماع لا یکشف إلّا عن القضیة السلبیة المذکورة، و هی أعمّ من کونها لرجوع القید إلی الوجوب فلا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رجوع التقیید إلی الوجوب، لم یدلّ علی المطلوب أیضا، لاحتمال أن یکون لبعض قیود الوجوب مدخل فی تحقّق الموضوع، فوجوب رفع الحدث عند استجماع شرائط التکلیف لعلّه لحصول الجنابة حینئذ، فیثبت حدوث الجنابة للصغیر بعد البلوغ بالالتقاء قبله، فلا یکون فی حقّ الصغیر 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القیود تقییدات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وجب رفع الحدث عند البلوغ، و العقل، و دخول الوقت، و التمکّن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المتبادر من ذلک ثبوت الحدث مع قطع النظر عن هذه القیود و کونها شروطا لتحقّق الحکم دون الموضوع، لکنّ المقام لیس کذلک، بل ثبت بأدلّة تلک الشروط قضایا سلبیّة لا تدلّ علی تأخّر اعتبارها فی الحکم عن تحقّق الموضوع،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یخلو عن وجه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الاستدلال بتلک الأخبار بناء علی کون الوجوب بمعنی الثبوت، فلا یحتاج إلی تقییده بشروط التکلیف حتّی یختصّ بالبالغ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عطف المهر و الحدّ فی بعض تلک الأخبار علی الغسل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تصحیح العطف بإرادة أداء المهر عند التمکّن منه و مطالبة المرأة و إقامة الحاکم الحدّ بعد ثبوته عنده بشرائطه بعید جدّا، و إن کان یقرّب ذلک اختصاص الحدّ بالبالغ العاقل إجماعا، و عطف الحدّ فی البعض الآخر علیه، فإنّه یبعد شموله للصغیر و المجنون بالالتقاء حال الصغر، إلّا أنّ بعض الأخبار لم یذکر فیه الحدّ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قوله علیه السلام فی الدبر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المأتیین، فیه الغسل</w:t>
      </w:r>
      <w:r>
        <w:rPr>
          <w:rFonts w:eastAsia="IRNazanin" w:cs="IRNazanin"/>
          <w:color w:val="111111"/>
          <w:sz w:val="28"/>
          <w:szCs w:val="28"/>
          <w:rtl w:val="true"/>
          <w:lang w:bidi="fa-IR"/>
        </w:rPr>
        <w:t xml:space="preserve">» </w:t>
      </w:r>
      <w:r>
        <w:rPr>
          <w:rStyle w:val="FootnoteAnchor"/>
          <w:rtl w:val="true"/>
        </w:rPr>
        <w:footnoteReference w:id="2483"/>
      </w:r>
      <w:r>
        <w:rPr>
          <w:rFonts w:ascii="IRNazanin" w:hAnsi="IRNazanin" w:eastAsia="IRNazanin"/>
          <w:color w:val="111111"/>
          <w:sz w:val="28"/>
          <w:sz w:val="28"/>
          <w:szCs w:val="28"/>
          <w:rtl w:val="true"/>
          <w:lang w:bidi="fa-IR"/>
        </w:rPr>
        <w:t xml:space="preserve">، فإنّ هذا الکلام مسوق لمجرّد السببیة لا یختصّ </w:t>
      </w:r>
      <w:r>
        <w:rPr>
          <w:rStyle w:val="FootnoteAnchor"/>
          <w:rtl w:val="true"/>
        </w:rPr>
        <w:footnoteReference w:id="2484"/>
      </w:r>
      <w:r>
        <w:rPr>
          <w:rFonts w:ascii="IRNazanin" w:hAnsi="IRNazanin" w:eastAsia="IRNazanin"/>
          <w:color w:val="111111"/>
          <w:sz w:val="28"/>
          <w:sz w:val="28"/>
          <w:szCs w:val="28"/>
          <w:rtl w:val="true"/>
          <w:lang w:bidi="fa-IR"/>
        </w:rPr>
        <w:t>بالمورد، و هذا موجب للجنابة بعد البلوغ، و إنّما الإشکال فی حال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فالاستدلال علی جنابة الصغیر و المجنون یحتاج إلی مزید تأمّل، و لذا توقّف فی محکی التذکرة و التحریر و الذکری و الذخیرة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الدبر و لم ینزل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الفاعل و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المجزوم به </w:t>
      </w:r>
      <w:r>
        <w:rPr>
          <w:rStyle w:val="FootnoteAnchor"/>
          <w:rtl w:val="true"/>
        </w:rPr>
        <w:footnoteReference w:id="2486"/>
      </w:r>
      <w:r>
        <w:rPr>
          <w:rFonts w:ascii="IRNazanin" w:hAnsi="IRNazanin" w:eastAsia="IRNazanin"/>
          <w:color w:val="111111"/>
          <w:sz w:val="28"/>
          <w:sz w:val="28"/>
          <w:szCs w:val="28"/>
          <w:rtl w:val="true"/>
          <w:lang w:bidi="fa-IR"/>
        </w:rPr>
        <w:t xml:space="preserve">عند الأصحاب، بل المجمع علیه بین المسلمین کما فی صریح السرائر </w:t>
      </w:r>
      <w:r>
        <w:rPr>
          <w:rStyle w:val="FootnoteAnchor"/>
          <w:rtl w:val="true"/>
        </w:rPr>
        <w:footnoteReference w:id="2487"/>
      </w:r>
      <w:r>
        <w:rPr>
          <w:rFonts w:ascii="IRNazanin" w:hAnsi="IRNazanin" w:eastAsia="IRNazanin"/>
          <w:color w:val="111111"/>
          <w:sz w:val="28"/>
          <w:sz w:val="28"/>
          <w:szCs w:val="28"/>
          <w:rtl w:val="true"/>
          <w:lang w:bidi="fa-IR"/>
        </w:rPr>
        <w:t>، و ظاهر السیّد،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خلافا</w:t>
      </w:r>
    </w:p>
    <w:p>
      <w:pPr>
        <w:pStyle w:val="BookText"/>
        <w:rPr/>
      </w:pPr>
      <w:r>
        <w:rPr>
          <w:rFonts w:ascii="IRNazanin" w:hAnsi="IRNazanin" w:eastAsia="IRNazanin"/>
          <w:color w:val="111111"/>
          <w:sz w:val="28"/>
          <w:sz w:val="28"/>
          <w:szCs w:val="28"/>
          <w:rtl w:val="true"/>
          <w:lang w:bidi="fa-IR"/>
        </w:rPr>
        <w:t>بین المسلمین فی أنّ الوطء فی الموضع المکروه من ذکر أو أنثی یجری مجری القبل مع الإیقاب و غیبوبة الحشفة فی وجوب الغسل علی الفاعل و المفعول و إن لم یکن إنزال، و لا وجدت فی الکتب المصنّفة لأصحابنا رحمهم اللّٰه إلّا ذلک، و لا سمعت ممّن عاصرنی من الشیوخ نحوا من الستّین یفتی إلّا بذلک، فهذا إجماع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شئت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معلوم بالضرورة من دین الرسول صلّی اللّٰه علیه و آله، إنّه لا فرق بین الفرجین فی هذا الحکم، فإنّ داود و إن خالف فی أنّ الوطء فی القبل إذا لم یکن معه إنزال لا یوجب الغسل، فإنّه لا یفرّق بین الفرجین کما لا یفرّق باقی الأمّة بینهما فی وجوب الغسل بالإیلاج فی کلّ واحد منهما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اتّصل لی فی هذه الأزمان من بعض الشیعة الإمامیّة أنّ الوطء فی الدبر لا یوجب الغسل، تعویلا علی أنّ الأصل عدم الوجوب، أو علی خبر یذکر أنّه فی منتخبات سعد </w:t>
      </w:r>
      <w:r>
        <w:rPr>
          <w:rStyle w:val="FootnoteAnchor"/>
          <w:rtl w:val="true"/>
        </w:rPr>
        <w:footnoteReference w:id="2488"/>
      </w:r>
      <w:r>
        <w:rPr>
          <w:rFonts w:ascii="Amiri" w:hAnsi="Amiri" w:eastAsia="Amiri" w:cs="Amiri"/>
          <w:color w:val="111111"/>
          <w:sz w:val="28"/>
          <w:sz w:val="28"/>
          <w:szCs w:val="28"/>
          <w:rtl w:val="true"/>
          <w:lang w:bidi="ar-SA"/>
        </w:rPr>
        <w:t xml:space="preserve">أو غیرها، و هذا ممّا لا یلتفت إلیه، أمّا الأصل فباطل، لأنّ الإجماع و القرآن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Style w:val="FootnoteAnchor"/>
          <w:rtl w:val="true"/>
        </w:rPr>
        <w:footnoteReference w:id="2489"/>
      </w:r>
      <w:r>
        <w:rPr>
          <w:rFonts w:ascii="IRNazanin" w:hAnsi="IRNazanin" w:eastAsia="IRNazanin"/>
          <w:color w:val="111111"/>
          <w:sz w:val="28"/>
          <w:sz w:val="28"/>
          <w:szCs w:val="28"/>
          <w:rtl w:val="true"/>
          <w:lang w:bidi="fa-IR"/>
        </w:rPr>
        <w:t xml:space="preserve">یزیل حکمه، و أمّا الخبر فلا یعتمد علیه فی معارضة الإجماع و القرآن، مع أنّه لم یفت به فقیه و لم یعتمده عالم، مع أنّ الأخبار تدلّ علی ما أوردناه، لأنّ کلّ خبر یتضمّن تعلیق الغسل علی الجماع و الإیلاج فی الفرج فإنّه یدلّ علی ما ادّعیناه، لأنّ الفرج یتناول القبل و الدبر، لأنّه لا خلاف بین أهل اللغة و أهل الشرع </w:t>
      </w:r>
      <w:r>
        <w:rPr>
          <w:rStyle w:val="FootnoteAnchor"/>
          <w:rtl w:val="true"/>
        </w:rPr>
        <w:footnoteReference w:id="24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یتخیّل أنّه لو کان نقل الإجماع حجّة لم یکن فیما نقل من الإجماعات فی مسائل الفقه أولی بالحجّیة منه، لکنّک خبیر بأنّه رحمه اللّٰه لم یدّع إلّا الإجماع المعنوی، و هو الاتّفاق ممّن عدا الإمام علیه السلام، و إن کان کاشفا عند الناقل إلّا أنّه لم ینقل إلّا الکاشف دون المکشوف عنه، فنقله فی الحقیقة یرجع إلی نقل أقوال العلماء دون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دعواه الضرورة، تستلزم دعوی قول الإمام علیه السلام إلّا أنّ من المعلوم أنّ هذا الحکم لم یبلغ إلی هذا الحدّ من البداهة و إلّا فهذا الذی حکی عنه القول بالتفصیل بین القبل و الدبر لیس أدنی من داود الذی حکی عنه نفی الغسل مع عدم الإنزال، و لم یعدّه مخالفا للضرورة، مع أنّ الحلّی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دعوی إجماع المسلمین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الصحیح من الأقوال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فیهما من التدافع إلّا أن یرید استقرار الإجماع بعد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دعوی الاتّفاق المذکور إنّما ینفع فی تحصیل الإجماع علی طریقة بعض أفاضل عصرنا </w:t>
      </w:r>
      <w:r>
        <w:rPr>
          <w:rStyle w:val="FootnoteAnchor"/>
          <w:rtl w:val="true"/>
        </w:rPr>
        <w:footnoteReference w:id="2492"/>
      </w:r>
      <w:r>
        <w:rPr>
          <w:rFonts w:ascii="IRNazanin" w:hAnsi="IRNazanin" w:eastAsia="IRNazanin"/>
          <w:color w:val="111111"/>
          <w:sz w:val="28"/>
          <w:sz w:val="28"/>
          <w:szCs w:val="28"/>
          <w:rtl w:val="true"/>
          <w:lang w:bidi="fa-IR"/>
        </w:rPr>
        <w:t>، حیث یجعل نقل الاتّفاق الراجع إلی نقل فتاوی المتّفقین بمنزلة تحصیل فتاویهم، فإذا فرضت علی تقدیر العلم بها کاشفة عن قول الإمام علیه السلام لکثرتها و احتفافها بالقرائن الداخلیّة أو الخارجیّة، کانت کذلک مع فرض ثبوتها بنقل الثقة العدل الغیر المسامح فی النقل و الغیر المعتمد فی نسبة الفتاوی إلی أربابها بمجرّد وجدان دلیل أو أصل لا بدّ لهم فی اعتقاده من التزامهم بمضمونه، لأنّ ما دلّ علی اعتبار حکایة الثقة للروایات المشتملة علی أسئلة الرواة و أجوبة الأئمة علیهم السلام دلّ علی</w:t>
      </w:r>
    </w:p>
    <w:p>
      <w:pPr>
        <w:pStyle w:val="BookText"/>
        <w:rPr/>
      </w:pPr>
      <w:r>
        <w:rPr>
          <w:rFonts w:ascii="IRNazanin" w:hAnsi="IRNazanin" w:eastAsia="IRNazanin"/>
          <w:color w:val="111111"/>
          <w:sz w:val="28"/>
          <w:sz w:val="28"/>
          <w:szCs w:val="28"/>
          <w:rtl w:val="true"/>
          <w:lang w:bidi="fa-IR"/>
        </w:rPr>
        <w:t xml:space="preserve">اعتبارها فی فتاوی العلماء، و قد تکلّمنا علی هذه الطریقة فی الأصول فی مسألة الإجماع المنقول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هذه الطریقة أیضا غیر مجدیة فی المقام، إذ یوهن هذا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مخالفة الشیخ </w:t>
      </w:r>
      <w:r>
        <w:rPr>
          <w:rStyle w:val="FootnoteAnchor"/>
          <w:rtl w:val="true"/>
        </w:rPr>
        <w:footnoteReference w:id="2494"/>
      </w:r>
      <w:r>
        <w:rPr>
          <w:rFonts w:ascii="Amiri" w:hAnsi="Amiri" w:eastAsia="Amiri" w:cs="Amiri"/>
          <w:color w:val="111111"/>
          <w:sz w:val="28"/>
          <w:sz w:val="28"/>
          <w:szCs w:val="28"/>
          <w:rtl w:val="true"/>
          <w:lang w:bidi="ar-SA"/>
        </w:rPr>
        <w:t xml:space="preserve">و سلّار </w:t>
      </w:r>
      <w:r>
        <w:rPr>
          <w:rStyle w:val="FootnoteAnchor"/>
          <w:rtl w:val="true"/>
        </w:rPr>
        <w:footnoteReference w:id="2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المحکیّ عن الشیخ فی الحائریات </w:t>
      </w:r>
      <w:r>
        <w:rPr>
          <w:rStyle w:val="FootnoteAnchor"/>
          <w:rtl w:val="true"/>
        </w:rPr>
        <w:footnoteReference w:id="2496"/>
      </w:r>
      <w:r>
        <w:rPr>
          <w:rFonts w:ascii="IRNazanin" w:hAnsi="IRNazanin" w:eastAsia="IRNazanin"/>
          <w:color w:val="111111"/>
          <w:sz w:val="28"/>
          <w:sz w:val="28"/>
          <w:szCs w:val="28"/>
          <w:rtl w:val="true"/>
          <w:lang w:bidi="fa-IR"/>
        </w:rPr>
        <w:t xml:space="preserve">فی وجود هذا القول بین أصحابنا، حیث </w:t>
      </w:r>
      <w:r>
        <w:rPr>
          <w:rStyle w:val="FootnoteAnchor"/>
          <w:rtl w:val="true"/>
        </w:rPr>
        <w:footnoteReference w:id="2497"/>
      </w:r>
      <w:r>
        <w:rPr>
          <w:rFonts w:ascii="IRNazanin" w:hAnsi="IRNazanin" w:eastAsia="IRNazanin"/>
          <w:color w:val="111111"/>
          <w:sz w:val="28"/>
          <w:sz w:val="28"/>
          <w:szCs w:val="28"/>
          <w:rtl w:val="true"/>
          <w:lang w:bidi="fa-IR"/>
        </w:rPr>
        <w:t xml:space="preserve">حمل روایة حفص ابن سوقة الآتیة الآمرة بالغسل علی التقیّة، لموافقتها لمذهب العامّة </w:t>
      </w:r>
      <w:r>
        <w:rPr>
          <w:rStyle w:val="FootnoteAnchor"/>
          <w:rtl w:val="true"/>
        </w:rPr>
        <w:footnoteReference w:id="2498"/>
      </w:r>
      <w:r>
        <w:rPr>
          <w:rFonts w:ascii="IRNazanin" w:hAnsi="IRNazanin" w:eastAsia="IRNazanin"/>
          <w:color w:val="111111"/>
          <w:sz w:val="28"/>
          <w:sz w:val="28"/>
          <w:szCs w:val="28"/>
          <w:rtl w:val="true"/>
          <w:lang w:bidi="fa-IR"/>
        </w:rPr>
        <w:t>، و عدم اشتهار مضمونها بین الخاصّة، و إلّا فاشتهار المذهب بین الفریقین لا یوجب طرح الخبر، لمجرّد موافقة العامة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ما ذکرنا بعض ما لاحظه الفاضل الورع التقی مولانا عبد اللّٰه التستری، حیث حکی عنه بعض شرّاح الوسائل </w:t>
      </w:r>
      <w:r>
        <w:rPr>
          <w:rStyle w:val="FootnoteAnchor"/>
          <w:rtl w:val="true"/>
        </w:rPr>
        <w:footnoteReference w:id="2499"/>
      </w:r>
      <w:r>
        <w:rPr>
          <w:rFonts w:ascii="Amiri" w:hAnsi="Amiri" w:eastAsia="Amiri" w:cs="Amiri"/>
          <w:color w:val="111111"/>
          <w:sz w:val="28"/>
          <w:sz w:val="28"/>
          <w:szCs w:val="28"/>
          <w:rtl w:val="true"/>
          <w:lang w:bidi="ar-SA"/>
        </w:rPr>
        <w:t>أنّه ذکر أنّ الإجماع الذی ذکره السیّد رحمه اللّٰه لا یفید 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لکن منع الظنّ خلاف ما نجده فی أنفسنا، و حمل الشیخ خبر حفص علی التقیّة لا ینافی اشتهار مضمونه بین الأصحاب إذا کان هو و معارضه کلاهما مشهورین من حیث الروایة، و لا یبعد أن یکون مذهب الشیخ فی الخبرین المشهورین روایة طرح ما خالف منهما مذهب العامّة و إن وافق فتوی المشهور، بل هو ظاهر مقبولة عمر بن حنظلة </w:t>
      </w:r>
      <w:r>
        <w:rPr>
          <w:rStyle w:val="FootnoteAnchor"/>
          <w:rtl w:val="true"/>
        </w:rPr>
        <w:footnoteReference w:id="2500"/>
      </w:r>
      <w:r>
        <w:rPr>
          <w:rFonts w:ascii="IRNazanin" w:hAnsi="IRNazanin" w:eastAsia="IRNazanin"/>
          <w:color w:val="111111"/>
          <w:sz w:val="28"/>
          <w:sz w:val="28"/>
          <w:szCs w:val="28"/>
          <w:rtl w:val="true"/>
          <w:lang w:bidi="fa-IR"/>
        </w:rPr>
        <w:t>، و غیرها من الأخبار الواردة فی علاج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انضمّت الشهرة بین من تأخّر عن الشیخ و السیّد إلی حکایة السیّد رحمه اللّٰه و لو حظ رجوع الشیخ فی نکاح المبسوط </w:t>
      </w:r>
      <w:r>
        <w:rPr>
          <w:rStyle w:val="FootnoteAnchor"/>
          <w:rtl w:val="true"/>
        </w:rPr>
        <w:footnoteReference w:id="2501"/>
      </w:r>
      <w:r>
        <w:rPr>
          <w:rFonts w:ascii="IRNazanin" w:hAnsi="IRNazanin" w:eastAsia="IRNazanin"/>
          <w:color w:val="111111"/>
          <w:sz w:val="28"/>
          <w:sz w:val="28"/>
          <w:szCs w:val="28"/>
          <w:rtl w:val="true"/>
          <w:lang w:bidi="fa-IR"/>
        </w:rPr>
        <w:t xml:space="preserve">بل فی صومه </w:t>
      </w:r>
      <w:r>
        <w:rPr>
          <w:rStyle w:val="FootnoteAnchor"/>
          <w:rtl w:val="true"/>
        </w:rPr>
        <w:footnoteReference w:id="2502"/>
      </w:r>
      <w:r>
        <w:rPr>
          <w:rFonts w:ascii="IRNazanin" w:hAnsi="IRNazanin" w:eastAsia="IRNazanin"/>
          <w:color w:val="111111"/>
          <w:sz w:val="28"/>
          <w:sz w:val="28"/>
          <w:szCs w:val="28"/>
          <w:rtl w:val="true"/>
          <w:lang w:bidi="fa-IR"/>
        </w:rPr>
        <w:t xml:space="preserve">و فی الحائریات </w:t>
      </w:r>
      <w:r>
        <w:rPr>
          <w:rStyle w:val="FootnoteAnchor"/>
          <w:rtl w:val="true"/>
        </w:rPr>
        <w:footnoteReference w:id="2503"/>
      </w:r>
      <w:r>
        <w:rPr>
          <w:rFonts w:ascii="IRNazanin" w:hAnsi="IRNazanin" w:eastAsia="IRNazanin"/>
          <w:color w:val="111111"/>
          <w:sz w:val="28"/>
          <w:sz w:val="28"/>
          <w:szCs w:val="28"/>
          <w:rtl w:val="true"/>
          <w:lang w:bidi="fa-IR"/>
        </w:rPr>
        <w:t>إلی المشهور قوی الظنّ، و صلح مدرکا للحکم و إن لم نقل بحجّیة مطلق الظنّ، لما ثبت عندنا من حجّیة البالغ حدّا یکشف قطعا عن وجود دلیل لو عثرنا علیه لالتزمنا به و إن کان ظنّیا، لکشفه القطعی عن وجود دلیل معتبر، خصوصا مع وجود مرسلة حفص بن سوقة، عمّن أخبره،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یأتی أهله من خلفها؟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المأتیین فیه الغسل</w:t>
      </w:r>
      <w:r>
        <w:rPr>
          <w:rFonts w:eastAsia="IRNazanin" w:cs="IRNazanin"/>
          <w:color w:val="111111"/>
          <w:sz w:val="28"/>
          <w:szCs w:val="28"/>
          <w:rtl w:val="true"/>
          <w:lang w:bidi="fa-IR"/>
        </w:rPr>
        <w:t xml:space="preserve">» </w:t>
      </w:r>
      <w:r>
        <w:rPr>
          <w:rStyle w:val="FootnoteAnchor"/>
          <w:rtl w:val="true"/>
        </w:rPr>
        <w:footnoteReference w:id="2504"/>
      </w:r>
      <w:r>
        <w:rPr>
          <w:rFonts w:ascii="IRNazanin" w:hAnsi="IRNazanin" w:eastAsia="IRNazanin"/>
          <w:color w:val="111111"/>
          <w:sz w:val="28"/>
          <w:sz w:val="28"/>
          <w:szCs w:val="28"/>
          <w:rtl w:val="true"/>
          <w:lang w:bidi="fa-IR"/>
        </w:rPr>
        <w:t xml:space="preserve">، و یؤیّده، بل یدلّ علی الحکم ما تقدّم من الملازمة بین الحدّ و الغسل المستفاد من کلام أمیر المؤمنین علیه السلام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وجه طرح ما عارضها من مرفوعة البرقی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الرجل المرأة فی </w:t>
      </w:r>
      <w:r>
        <w:rPr>
          <w:rStyle w:val="FootnoteAnchor"/>
          <w:rtl w:val="true"/>
        </w:rPr>
        <w:footnoteReference w:id="2506"/>
      </w:r>
      <w:r>
        <w:rPr>
          <w:rFonts w:ascii="IRNazanin" w:hAnsi="IRNazanin" w:eastAsia="IRNazanin"/>
          <w:color w:val="111111"/>
          <w:sz w:val="28"/>
          <w:sz w:val="28"/>
          <w:szCs w:val="28"/>
          <w:rtl w:val="true"/>
          <w:lang w:bidi="fa-IR"/>
        </w:rPr>
        <w:t>دبرها فلم ینزل فلا غسل علیهما، و إن أنزل فعلیه الغسل، و لا غسل علیها</w:t>
      </w:r>
      <w:r>
        <w:rPr>
          <w:rFonts w:eastAsia="IRNazanin" w:cs="IRNazanin"/>
          <w:color w:val="111111"/>
          <w:sz w:val="28"/>
          <w:szCs w:val="28"/>
          <w:rtl w:val="true"/>
          <w:lang w:bidi="fa-IR"/>
        </w:rPr>
        <w:t xml:space="preserve">» </w:t>
      </w:r>
      <w:r>
        <w:rPr>
          <w:rStyle w:val="FootnoteAnchor"/>
          <w:rtl w:val="true"/>
        </w:rPr>
        <w:footnoteReference w:id="2507"/>
      </w:r>
      <w:r>
        <w:rPr>
          <w:rFonts w:ascii="IRNazanin" w:hAnsi="IRNazanin" w:eastAsia="IRNazanin"/>
          <w:color w:val="111111"/>
          <w:sz w:val="28"/>
          <w:sz w:val="28"/>
          <w:szCs w:val="28"/>
          <w:rtl w:val="true"/>
          <w:lang w:bidi="fa-IR"/>
        </w:rPr>
        <w:t xml:space="preserve">، و روایة ابن محبوب عن أحمد بن محمّد عن بعض الکوفیین یرفعه </w:t>
      </w:r>
      <w:r>
        <w:rPr>
          <w:rStyle w:val="FootnoteAnchor"/>
          <w:rtl w:val="true"/>
        </w:rPr>
        <w:footnoteReference w:id="2508"/>
      </w:r>
      <w:r>
        <w:rPr>
          <w:rFonts w:ascii="IRNazanin" w:hAnsi="IRNazanin" w:eastAsia="IRNazanin"/>
          <w:color w:val="111111"/>
          <w:sz w:val="28"/>
          <w:sz w:val="28"/>
          <w:szCs w:val="28"/>
          <w:rtl w:val="true"/>
          <w:lang w:bidi="fa-IR"/>
        </w:rPr>
        <w:t>إلی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یأتی المرأة فی دبرها و هی صائمة،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ینقض صومها، و لیس علیها غسل</w:t>
      </w:r>
      <w:r>
        <w:rPr>
          <w:rFonts w:eastAsia="IRNazanin" w:cs="IRNazanin"/>
          <w:color w:val="111111"/>
          <w:sz w:val="28"/>
          <w:szCs w:val="28"/>
          <w:rtl w:val="true"/>
          <w:lang w:bidi="fa-IR"/>
        </w:rPr>
        <w:t xml:space="preserve">» </w:t>
      </w:r>
      <w:r>
        <w:rPr>
          <w:rStyle w:val="FootnoteAnchor"/>
          <w:rtl w:val="true"/>
        </w:rPr>
        <w:footnoteReference w:id="2509"/>
      </w:r>
      <w:r>
        <w:rPr>
          <w:rFonts w:ascii="IRNazanin" w:hAnsi="IRNazanin" w:eastAsia="IRNazanin"/>
          <w:color w:val="111111"/>
          <w:sz w:val="28"/>
          <w:sz w:val="28"/>
          <w:szCs w:val="28"/>
          <w:rtl w:val="true"/>
          <w:lang w:bidi="fa-IR"/>
        </w:rPr>
        <w:t xml:space="preserve">، و مثلها مرسلة علی بن الحکم </w:t>
      </w:r>
      <w:r>
        <w:rPr>
          <w:rStyle w:val="FootnoteAnchor"/>
          <w:rtl w:val="true"/>
        </w:rPr>
        <w:footnoteReference w:id="2510"/>
      </w:r>
      <w:r>
        <w:rPr>
          <w:rFonts w:ascii="IRNazanin" w:hAnsi="IRNazanin" w:eastAsia="IRNazanin"/>
          <w:color w:val="111111"/>
          <w:sz w:val="28"/>
          <w:sz w:val="28"/>
          <w:szCs w:val="28"/>
          <w:rtl w:val="true"/>
          <w:lang w:bidi="fa-IR"/>
        </w:rPr>
        <w:t xml:space="preserve">، و هذه و إن انجبر إرسالها و رفعها بوجود ابن محبوب و ابن عیسی </w:t>
      </w:r>
      <w:r>
        <w:rPr>
          <w:rStyle w:val="FootnoteAnchor"/>
          <w:rtl w:val="true"/>
        </w:rPr>
        <w:footnoteReference w:id="2511"/>
      </w:r>
      <w:r>
        <w:rPr>
          <w:rFonts w:ascii="IRNazanin" w:hAnsi="IRNazanin" w:eastAsia="IRNazanin"/>
          <w:color w:val="111111"/>
          <w:sz w:val="28"/>
          <w:sz w:val="28"/>
          <w:szCs w:val="28"/>
          <w:rtl w:val="true"/>
          <w:lang w:bidi="fa-IR"/>
        </w:rPr>
        <w:t>فی الطریق، إلّا أنّهما یقصران عن المقاومة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ربما یتمسّک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تقدّم عن السیّد رحمه اللّٰه </w:t>
      </w:r>
      <w:r>
        <w:rPr>
          <w:rStyle w:val="FootnoteAnchor"/>
          <w:rtl w:val="true"/>
        </w:rPr>
        <w:footnoteReference w:id="2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بإطلاقات الملامسة و الجماع فی الفرج و </w:t>
      </w:r>
      <w:r>
        <w:rPr>
          <w:rStyle w:val="FootnoteAnchor"/>
          <w:rtl w:val="true"/>
        </w:rPr>
        <w:footnoteReference w:id="2513"/>
      </w:r>
      <w:r>
        <w:rPr>
          <w:rFonts w:ascii="IRNazanin" w:hAnsi="IRNazanin" w:eastAsia="IRNazanin"/>
          <w:color w:val="111111"/>
          <w:sz w:val="28"/>
          <w:sz w:val="28"/>
          <w:szCs w:val="28"/>
          <w:rtl w:val="true"/>
          <w:lang w:bidi="fa-IR"/>
        </w:rPr>
        <w:t>الإدخال و الإیلاج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آیة الملامسة، فلأنّ المراد بها لیس معناه اللغوی،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اللمس، و إنّما هی کنایة عن ملامسة معهودة خاصّة، و لا دلیل علی إرادة</w:t>
      </w:r>
    </w:p>
    <w:p>
      <w:pPr>
        <w:pStyle w:val="BookText"/>
        <w:rPr/>
      </w:pPr>
      <w:r>
        <w:rPr>
          <w:rFonts w:ascii="IRNazanin" w:hAnsi="IRNazanin" w:eastAsia="IRNazanin"/>
          <w:color w:val="111111"/>
          <w:sz w:val="28"/>
          <w:sz w:val="28"/>
          <w:szCs w:val="28"/>
          <w:rtl w:val="true"/>
          <w:lang w:bidi="fa-IR"/>
        </w:rPr>
        <w:t>مطلق الوطء، بل الظاهر إرادة خصوص القبل، لا أقلّ من الشکّ فی إرادة المطلق و المقیّد فیصیر مجملا، إذ لیس بعد إرادة الفرد المعهود إطلاق یرجع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الجماع فی الفرج، فلو </w:t>
      </w:r>
      <w:r>
        <w:rPr>
          <w:rStyle w:val="FootnoteAnchor"/>
          <w:rtl w:val="true"/>
        </w:rPr>
        <w:footnoteReference w:id="2514"/>
      </w:r>
      <w:r>
        <w:rPr>
          <w:rFonts w:ascii="IRNazanin" w:hAnsi="IRNazanin" w:eastAsia="IRNazanin"/>
          <w:color w:val="111111"/>
          <w:sz w:val="28"/>
          <w:sz w:val="28"/>
          <w:szCs w:val="28"/>
          <w:rtl w:val="true"/>
          <w:lang w:bidi="fa-IR"/>
        </w:rPr>
        <w:t xml:space="preserve">أغمض عمّا فی المصباح من أنّ الفرج من الإنسان القبل </w:t>
      </w:r>
      <w:r>
        <w:rPr>
          <w:rStyle w:val="FootnoteAnchor"/>
          <w:rtl w:val="true"/>
        </w:rPr>
        <w:footnoteReference w:id="2515"/>
      </w:r>
      <w:r>
        <w:rPr>
          <w:rFonts w:ascii="IRNazanin" w:hAnsi="IRNazanin" w:eastAsia="IRNazanin"/>
          <w:color w:val="111111"/>
          <w:sz w:val="28"/>
          <w:sz w:val="28"/>
          <w:szCs w:val="28"/>
          <w:rtl w:val="true"/>
          <w:lang w:bidi="fa-IR"/>
        </w:rPr>
        <w:t xml:space="preserve">، و لذا تردّد کاشف الرموز فی صدقه علی الدبر </w:t>
      </w:r>
      <w:r>
        <w:rPr>
          <w:rStyle w:val="FootnoteAnchor"/>
          <w:rtl w:val="true"/>
        </w:rPr>
        <w:footnoteReference w:id="2516"/>
      </w:r>
      <w:r>
        <w:rPr>
          <w:rFonts w:ascii="IRNazanin" w:hAnsi="IRNazanin" w:eastAsia="IRNazanin"/>
          <w:color w:val="111111"/>
          <w:sz w:val="28"/>
          <w:sz w:val="28"/>
          <w:szCs w:val="28"/>
          <w:rtl w:val="true"/>
          <w:lang w:bidi="fa-IR"/>
        </w:rPr>
        <w:t>، لکنّ الظاهر منه بحکم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إضافة الفرج إلی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فی القبل، و کذا إضافة الإدخال و الإیلاج، فإنّ حذف المتعلّق إنّما یفید العموم إذا لم یکن هنا معهود ینصرف شموله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الإمام علیه السلام خصوص القبل من إطلاق السؤال فی الروایات عن المجامعة فی الفرج و إصابة المرأة و إتیان الأهل، حیث علّق فی الجواب الحکم بوجوب الغسل فی تلک السؤالات علی التقاء الختانین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أنّه لا خلاف فی أنّ المناط فی حصول الجنابة بوطء الدبر و القبل واحد، و هو غیبوبة الحشفة، لکنّ استفادة ذلک من الأخبار مشکل، لاختصاص هذا التحدید بالقبل، إلّا أن یستأنس له بقوله علیه السلام فی روایة حفص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المأتیین فیه الغسل</w:t>
      </w:r>
      <w:r>
        <w:rPr>
          <w:rFonts w:eastAsia="IRNazanin" w:cs="IRNazanin"/>
          <w:color w:val="111111"/>
          <w:sz w:val="28"/>
          <w:szCs w:val="28"/>
          <w:rtl w:val="true"/>
          <w:lang w:bidi="fa-IR"/>
        </w:rPr>
        <w:t xml:space="preserve">» </w:t>
      </w:r>
      <w:r>
        <w:rPr>
          <w:rStyle w:val="FootnoteAnchor"/>
          <w:rtl w:val="true"/>
        </w:rPr>
        <w:footnoteReference w:id="2518"/>
      </w:r>
      <w:r>
        <w:rPr>
          <w:rFonts w:ascii="IRNazanin" w:hAnsi="IRNazanin" w:eastAsia="IRNazanin"/>
          <w:color w:val="111111"/>
          <w:sz w:val="28"/>
          <w:sz w:val="28"/>
          <w:szCs w:val="28"/>
          <w:rtl w:val="true"/>
          <w:lang w:bidi="fa-IR"/>
        </w:rPr>
        <w:t>، و یستفاد منها اتّحاد</w:t>
      </w:r>
    </w:p>
    <w:p>
      <w:pPr>
        <w:pStyle w:val="BookText"/>
        <w:rPr/>
      </w:pPr>
      <w:r>
        <w:rPr>
          <w:rFonts w:ascii="IRNazanin" w:hAnsi="IRNazanin" w:eastAsia="IRNazanin"/>
          <w:color w:val="111111"/>
          <w:sz w:val="28"/>
          <w:sz w:val="28"/>
          <w:szCs w:val="28"/>
          <w:rtl w:val="true"/>
          <w:lang w:bidi="fa-IR"/>
        </w:rPr>
        <w:t>المخرجین و تنزیل کلّ منهما منزلة الآخر فی هذا الحکم، مضافا إلی الملازمة بین الحدّ و الغسل و ظاهر الإجماع عن السیّد بسیطا و مرکّبا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فأوقبه</w:t>
      </w:r>
      <w:r>
        <w:rPr>
          <w:rFonts w:eastAsia="IRNazanin" w:cs="IRNazanin"/>
          <w:color w:val="111111"/>
          <w:sz w:val="28"/>
          <w:szCs w:val="28"/>
          <w:rtl w:val="true"/>
          <w:lang w:bidi="fa-IR"/>
        </w:rPr>
        <w:t xml:space="preserve">) </w:t>
      </w:r>
      <w:r>
        <w:rPr>
          <w:rStyle w:val="FootnoteAnchor"/>
          <w:rtl w:val="true"/>
        </w:rPr>
        <w:footnoteReference w:id="2519"/>
      </w:r>
      <w:r>
        <w:rPr>
          <w:rFonts w:ascii="IRNazanin" w:hAnsi="IRNazanin" w:eastAsia="IRNazanin"/>
          <w:color w:val="111111"/>
          <w:sz w:val="28"/>
          <w:sz w:val="28"/>
          <w:szCs w:val="28"/>
          <w:rtl w:val="true"/>
          <w:lang w:bidi="fa-IR"/>
        </w:rPr>
        <w:t xml:space="preserve">بغیبوبة </w:t>
      </w:r>
      <w:r>
        <w:rPr>
          <w:rStyle w:val="FootnoteAnchor"/>
          <w:rtl w:val="true"/>
        </w:rPr>
        <w:footnoteReference w:id="2520"/>
      </w:r>
      <w:r>
        <w:rPr>
          <w:rFonts w:ascii="IRNazanin" w:hAnsi="IRNazanin" w:eastAsia="IRNazanin"/>
          <w:color w:val="111111"/>
          <w:sz w:val="28"/>
          <w:sz w:val="28"/>
          <w:szCs w:val="28"/>
          <w:rtl w:val="true"/>
          <w:lang w:bidi="fa-IR"/>
        </w:rPr>
        <w:t xml:space="preserve">الحشفة، فمن قال بعدم وجوب الغسل بالوطء فی دبر المرأة، فالظاهر أنّه لا إشکال عنده فی عدمه بالوطء فی دبر الغلام بالأولویة و الإجماع المرکّب،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Style w:val="FootnoteAnchor"/>
          <w:rtl w:val="true"/>
        </w:rPr>
        <w:footnoteReference w:id="2521"/>
      </w:r>
      <w:r>
        <w:rPr>
          <w:rFonts w:ascii="IRNazanin" w:hAnsi="IRNazanin" w:eastAsia="IRNazanin"/>
          <w:color w:val="111111"/>
          <w:sz w:val="28"/>
          <w:sz w:val="28"/>
          <w:szCs w:val="28"/>
          <w:rtl w:val="true"/>
          <w:lang w:bidi="fa-IR"/>
        </w:rPr>
        <w:t>من وجوب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الغسل معوّلا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الأدلّة المتقدّمة فی دبر المرأة،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 الذی ادّعاه السیّد و الحلّی </w:t>
      </w:r>
      <w:r>
        <w:rPr>
          <w:rStyle w:val="FootnoteAnchor"/>
          <w:rtl w:val="true"/>
        </w:rPr>
        <w:footnoteReference w:id="25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المرکّب</w:t>
      </w:r>
      <w:r>
        <w:rPr>
          <w:rFonts w:eastAsia="Amiri" w:cs="Amiri" w:ascii="Amiri" w:hAnsi="Amiri"/>
          <w:color w:val="111111"/>
          <w:sz w:val="28"/>
          <w:szCs w:val="28"/>
          <w:rtl w:val="true"/>
          <w:lang w:bidi="ar-SA"/>
        </w:rPr>
        <w:t xml:space="preserve">) </w:t>
      </w:r>
      <w:r>
        <w:rPr>
          <w:rStyle w:val="FootnoteAnchor"/>
          <w:rtl w:val="true"/>
        </w:rPr>
        <w:footnoteReference w:id="2523"/>
      </w:r>
      <w:r>
        <w:rPr>
          <w:rFonts w:ascii="IRNazanin" w:hAnsi="IRNazanin" w:eastAsia="IRNazanin"/>
          <w:color w:val="111111"/>
          <w:sz w:val="28"/>
          <w:sz w:val="28"/>
          <w:szCs w:val="28"/>
          <w:rtl w:val="true"/>
          <w:lang w:bidi="fa-IR"/>
        </w:rPr>
        <w:t xml:space="preserve">الذی ادّعاه فی المختلف </w:t>
      </w:r>
      <w:r>
        <w:rPr>
          <w:rStyle w:val="FootnoteAnchor"/>
          <w:rtl w:val="true"/>
        </w:rPr>
        <w:footnoteReference w:id="2524"/>
      </w:r>
      <w:r>
        <w:rPr>
          <w:rFonts w:ascii="IRNazanin" w:hAnsi="IRNazanin" w:eastAsia="IRNazanin"/>
          <w:color w:val="111111"/>
          <w:sz w:val="28"/>
          <w:sz w:val="28"/>
          <w:szCs w:val="28"/>
          <w:rtl w:val="true"/>
          <w:lang w:bidi="fa-IR"/>
        </w:rPr>
        <w:t xml:space="preserve">و الإیضاح </w:t>
      </w:r>
      <w:r>
        <w:rPr>
          <w:rStyle w:val="FootnoteAnchor"/>
          <w:rtl w:val="true"/>
        </w:rPr>
        <w:footnoteReference w:id="2525"/>
      </w:r>
      <w:r>
        <w:rPr>
          <w:rFonts w:ascii="IRNazanin" w:hAnsi="IRNazanin" w:eastAsia="IRNazanin"/>
          <w:color w:val="111111"/>
          <w:sz w:val="28"/>
          <w:sz w:val="28"/>
          <w:szCs w:val="28"/>
          <w:rtl w:val="true"/>
          <w:lang w:bidi="fa-IR"/>
        </w:rPr>
        <w:t xml:space="preserve">و الذکری </w:t>
      </w:r>
      <w:r>
        <w:rPr>
          <w:rStyle w:val="FootnoteAnchor"/>
          <w:rtl w:val="true"/>
        </w:rPr>
        <w:footnoteReference w:id="2526"/>
      </w:r>
      <w:r>
        <w:rPr>
          <w:rFonts w:ascii="IRNazanin" w:hAnsi="IRNazanin" w:eastAsia="IRNazanin"/>
          <w:color w:val="111111"/>
          <w:sz w:val="28"/>
          <w:sz w:val="28"/>
          <w:szCs w:val="28"/>
          <w:rtl w:val="true"/>
          <w:lang w:bidi="fa-IR"/>
        </w:rPr>
        <w:t>، و الملازمة المتقدّمة بین الحدّ و الغسل، بل قوله علیه السلام فی روایة حفص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المأتیین فیه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رجوع الضمیر إلی مطلق الدبر لا خصوص دبر المرأة، و خصوص قوله علیه السلام فی حسنة الحضرمی المرویة عن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w:t>
      </w:r>
    </w:p>
    <w:p>
      <w:pPr>
        <w:pStyle w:val="BookText"/>
        <w:rPr/>
      </w:pPr>
      <w:r>
        <w:rPr>
          <w:rFonts w:ascii="IRNazanin" w:hAnsi="IRNazanin" w:eastAsia="IRNazanin"/>
          <w:color w:val="111111"/>
          <w:sz w:val="28"/>
          <w:sz w:val="28"/>
          <w:szCs w:val="28"/>
          <w:rtl w:val="true"/>
          <w:lang w:bidi="fa-IR"/>
        </w:rPr>
        <w:t>غلاما جاء جنبا یوم القیامة لا ینقّیه ماء الدنیا</w:t>
      </w:r>
      <w:r>
        <w:rPr>
          <w:rFonts w:eastAsia="IRNazanin" w:cs="IRNazanin"/>
          <w:color w:val="111111"/>
          <w:sz w:val="28"/>
          <w:szCs w:val="28"/>
          <w:rtl w:val="true"/>
          <w:lang w:bidi="fa-IR"/>
        </w:rPr>
        <w:t xml:space="preserve">» </w:t>
      </w:r>
      <w:r>
        <w:rPr>
          <w:rStyle w:val="FootnoteAnchor"/>
          <w:rtl w:val="true"/>
        </w:rPr>
        <w:footnoteReference w:id="2527"/>
      </w:r>
      <w:r>
        <w:rPr>
          <w:rFonts w:ascii="IRNazanin" w:hAnsi="IRNazanin" w:eastAsia="IRNazanin"/>
          <w:color w:val="111111"/>
          <w:sz w:val="28"/>
          <w:sz w:val="28"/>
          <w:szCs w:val="28"/>
          <w:rtl w:val="true"/>
          <w:lang w:bidi="fa-IR"/>
        </w:rPr>
        <w:t>، و یمکن الخدشة فی دلالته،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المختار من عدم الفرق فی وطء الدبر بین الذکر و الأنثی، لا إشکال فی حصول الجنابة للخنثی بإیلاج الواطئ فی دبرها، أمّا الخنثی الواطئ فلا یحکم بجنابته، کما لا یحکم بجنابة الخنثی الموطوء فی قبله، و لو کانا خنثیین و تواطیا کانا جنبین، کما لو کان الخنثی واطئا و موطوءا، أمّا موطوءته </w:t>
      </w:r>
      <w:r>
        <w:rPr>
          <w:rStyle w:val="FootnoteAnchor"/>
          <w:rtl w:val="true"/>
        </w:rPr>
        <w:footnoteReference w:id="2528"/>
      </w:r>
      <w:r>
        <w:rPr>
          <w:rFonts w:ascii="IRNazanin" w:hAnsi="IRNazanin" w:eastAsia="IRNazanin"/>
          <w:color w:val="111111"/>
          <w:sz w:val="28"/>
          <w:sz w:val="28"/>
          <w:szCs w:val="28"/>
          <w:rtl w:val="true"/>
          <w:lang w:bidi="fa-IR"/>
        </w:rPr>
        <w:t>و واطئته فهما کواجد المنیّ فی الثوب المشترک، کلّ ذلک لجریان أصالة العدم فی غیر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سببا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استوجه فی التذکرة حصول الجنابة بإیلاج الواطئ فی قبل الخنثی، مستدلّا بعموم روایة الالتقاء، و بوجوب الحدّ به </w:t>
      </w:r>
      <w:r>
        <w:rPr>
          <w:rStyle w:val="FootnoteAnchor"/>
          <w:rtl w:val="true"/>
        </w:rPr>
        <w:footnoteReference w:id="2529"/>
      </w:r>
      <w:r>
        <w:rPr>
          <w:rFonts w:ascii="IRNazanin" w:hAnsi="IRNazanin" w:eastAsia="IRNazanin"/>
          <w:color w:val="111111"/>
          <w:sz w:val="28"/>
          <w:sz w:val="28"/>
          <w:szCs w:val="28"/>
          <w:rtl w:val="true"/>
          <w:lang w:bidi="fa-IR"/>
        </w:rPr>
        <w:t>،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أیضا فی إیلاج الخنثی فی قبل المرأة جنابة المرأة، للعموم </w:t>
      </w:r>
      <w:r>
        <w:rPr>
          <w:rStyle w:val="FootnoteAnchor"/>
          <w:rtl w:val="true"/>
        </w:rPr>
        <w:footnoteReference w:id="2530"/>
      </w:r>
      <w:r>
        <w:rPr>
          <w:rFonts w:ascii="IRNazanin" w:hAnsi="IRNazanin" w:eastAsia="IRNazanin"/>
          <w:color w:val="111111"/>
          <w:sz w:val="28"/>
          <w:sz w:val="28"/>
          <w:szCs w:val="28"/>
          <w:rtl w:val="true"/>
          <w:lang w:bidi="fa-IR"/>
        </w:rPr>
        <w:t xml:space="preserve">، و استقرب فی إیلاج الخنثی فی دبر الغلام وجوب الغسل علیهما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الخنثی منزلة الواضح فی کلّ من عضویه، لصدق الالتقاء و المجامعة و المواقعة و غیرها من العنوانات، و فیه نظر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الغسل بوطء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لطهارة المبسوط </w:t>
      </w:r>
      <w:r>
        <w:rPr>
          <w:rStyle w:val="FootnoteAnchor"/>
          <w:rtl w:val="true"/>
        </w:rPr>
        <w:footnoteReference w:id="2532"/>
      </w:r>
      <w:r>
        <w:rPr>
          <w:rFonts w:ascii="IRNazanin" w:hAnsi="IRNazanin" w:eastAsia="IRNazanin"/>
          <w:color w:val="111111"/>
          <w:sz w:val="28"/>
          <w:sz w:val="28"/>
          <w:szCs w:val="28"/>
          <w:rtl w:val="true"/>
          <w:lang w:bidi="fa-IR"/>
        </w:rPr>
        <w:t xml:space="preserve">و کتب المصنّف </w:t>
      </w:r>
      <w:r>
        <w:rPr>
          <w:rStyle w:val="FootnoteAnchor"/>
          <w:rtl w:val="true"/>
        </w:rPr>
        <w:footnoteReference w:id="2533"/>
      </w:r>
      <w:r>
        <w:rPr>
          <w:rFonts w:ascii="IRNazanin" w:hAnsi="IRNazanin" w:eastAsia="IRNazanin"/>
          <w:color w:val="111111"/>
          <w:sz w:val="28"/>
          <w:sz w:val="28"/>
          <w:szCs w:val="28"/>
          <w:rtl w:val="true"/>
          <w:lang w:bidi="fa-IR"/>
        </w:rPr>
        <w:t xml:space="preserve">و المنتهی </w:t>
      </w:r>
      <w:r>
        <w:rPr>
          <w:rStyle w:val="FootnoteAnchor"/>
          <w:rtl w:val="true"/>
        </w:rPr>
        <w:footnoteReference w:id="2534"/>
      </w:r>
      <w:r>
        <w:rPr>
          <w:rFonts w:ascii="IRNazanin" w:hAnsi="IRNazanin" w:eastAsia="IRNazanin"/>
          <w:color w:val="111111"/>
          <w:sz w:val="28"/>
          <w:sz w:val="28"/>
          <w:szCs w:val="28"/>
          <w:rtl w:val="true"/>
          <w:lang w:bidi="fa-IR"/>
        </w:rPr>
        <w:t xml:space="preserve">و القواعد </w:t>
      </w:r>
      <w:r>
        <w:rPr>
          <w:rStyle w:val="FootnoteAnchor"/>
          <w:rtl w:val="true"/>
        </w:rPr>
        <w:footnoteReference w:id="253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536"/>
      </w:r>
      <w:r>
        <w:rPr>
          <w:rFonts w:ascii="IRNazanin" w:hAnsi="IRNazanin" w:eastAsia="IRNazanin"/>
          <w:color w:val="111111"/>
          <w:sz w:val="28"/>
          <w:sz w:val="28"/>
          <w:szCs w:val="28"/>
          <w:rtl w:val="true"/>
          <w:lang w:bidi="fa-IR"/>
        </w:rPr>
        <w:t xml:space="preserve">و ظاهر الوسیلة </w:t>
      </w:r>
      <w:r>
        <w:rPr>
          <w:rStyle w:val="FootnoteAnchor"/>
          <w:rtl w:val="true"/>
        </w:rPr>
        <w:footnoteReference w:id="2537"/>
      </w:r>
      <w:r>
        <w:rPr>
          <w:rFonts w:ascii="IRNazanin" w:hAnsi="IRNazanin" w:eastAsia="IRNazanin"/>
          <w:color w:val="111111"/>
          <w:sz w:val="28"/>
          <w:sz w:val="28"/>
          <w:szCs w:val="28"/>
          <w:rtl w:val="true"/>
          <w:lang w:bidi="fa-IR"/>
        </w:rPr>
        <w:t xml:space="preserve">و السرائر </w:t>
      </w:r>
      <w:r>
        <w:rPr>
          <w:rStyle w:val="FootnoteAnchor"/>
          <w:rtl w:val="true"/>
        </w:rPr>
        <w:footnoteReference w:id="2538"/>
      </w:r>
      <w:r>
        <w:rPr>
          <w:rFonts w:ascii="IRNazanin" w:hAnsi="IRNazanin" w:eastAsia="IRNazanin"/>
          <w:color w:val="111111"/>
          <w:sz w:val="28"/>
          <w:sz w:val="28"/>
          <w:szCs w:val="28"/>
          <w:rtl w:val="true"/>
          <w:lang w:bidi="fa-IR"/>
        </w:rPr>
        <w:t xml:space="preserve">و الموجز </w:t>
      </w:r>
      <w:r>
        <w:rPr>
          <w:rStyle w:val="FootnoteAnchor"/>
          <w:rtl w:val="true"/>
        </w:rPr>
        <w:footnoteReference w:id="2539"/>
      </w:r>
      <w:r>
        <w:rPr>
          <w:rFonts w:ascii="IRNazanin" w:hAnsi="IRNazanin" w:eastAsia="IRNazanin"/>
          <w:color w:val="111111"/>
          <w:sz w:val="28"/>
          <w:sz w:val="28"/>
          <w:szCs w:val="28"/>
          <w:rtl w:val="true"/>
          <w:lang w:bidi="fa-IR"/>
        </w:rPr>
        <w:t xml:space="preserve">و الجامع </w:t>
      </w:r>
      <w:r>
        <w:rPr>
          <w:rStyle w:val="FootnoteAnchor"/>
          <w:rtl w:val="true"/>
        </w:rPr>
        <w:footnoteReference w:id="2540"/>
      </w:r>
      <w:r>
        <w:rPr>
          <w:rFonts w:ascii="IRNazanin" w:hAnsi="IRNazanin" w:eastAsia="IRNazanin"/>
          <w:color w:val="111111"/>
          <w:sz w:val="28"/>
          <w:sz w:val="28"/>
          <w:szCs w:val="28"/>
          <w:rtl w:val="true"/>
          <w:lang w:bidi="fa-IR"/>
        </w:rPr>
        <w:t xml:space="preserve">حیث قیّدوا الموطوء بالآدمی، بل المشهور کما فی الحدائق </w:t>
      </w:r>
      <w:r>
        <w:rPr>
          <w:rStyle w:val="FootnoteAnchor"/>
          <w:rtl w:val="true"/>
        </w:rPr>
        <w:footnoteReference w:id="2541"/>
      </w:r>
      <w:r>
        <w:rPr>
          <w:rFonts w:ascii="IRNazanin" w:hAnsi="IRNazanin" w:eastAsia="IRNazanin"/>
          <w:color w:val="111111"/>
          <w:sz w:val="28"/>
          <w:sz w:val="28"/>
          <w:szCs w:val="28"/>
          <w:rtl w:val="true"/>
          <w:lang w:bidi="fa-IR"/>
        </w:rPr>
        <w:t xml:space="preserve">، للأصل و فقد ما یصرف عنه عدا ما تقدّم من الملازمة بین الحدّ و الغسل، بناء علی أنّ الثابت فی وطء البهیمة حدّ، أو استفادة أولویة وجوب الغسل من وجوب التعزیر، من </w:t>
      </w:r>
      <w:r>
        <w:rPr>
          <w:rStyle w:val="FootnoteAnchor"/>
          <w:rtl w:val="true"/>
        </w:rPr>
        <w:footnoteReference w:id="2542"/>
      </w:r>
      <w:r>
        <w:rPr>
          <w:rFonts w:ascii="IRNazanin" w:hAnsi="IRNazanin" w:eastAsia="IRNazanin"/>
          <w:color w:val="111111"/>
          <w:sz w:val="28"/>
          <w:sz w:val="28"/>
          <w:szCs w:val="28"/>
          <w:rtl w:val="true"/>
          <w:lang w:bidi="fa-IR"/>
        </w:rPr>
        <w:t>أولویّته من وجوب الحدّ، و فی المرسلة المرویّة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أوجب الحدّ أوجب الغسل</w:t>
      </w:r>
      <w:r>
        <w:rPr>
          <w:rFonts w:eastAsia="IRNazanin" w:cs="IRNazanin"/>
          <w:color w:val="111111"/>
          <w:sz w:val="28"/>
          <w:szCs w:val="28"/>
          <w:rtl w:val="true"/>
          <w:lang w:bidi="fa-IR"/>
        </w:rPr>
        <w:t xml:space="preserve">» </w:t>
      </w:r>
      <w:r>
        <w:rPr>
          <w:rStyle w:val="FootnoteAnchor"/>
          <w:rtl w:val="true"/>
        </w:rPr>
        <w:footnoteReference w:id="2543"/>
      </w:r>
      <w:r>
        <w:rPr>
          <w:rFonts w:ascii="IRNazanin" w:hAnsi="IRNazanin" w:eastAsia="IRNazanin"/>
          <w:color w:val="111111"/>
          <w:sz w:val="28"/>
          <w:sz w:val="28"/>
          <w:szCs w:val="28"/>
          <w:rtl w:val="true"/>
          <w:lang w:bidi="fa-IR"/>
        </w:rPr>
        <w:t>، و ظهور عبارة السیّد فی الإجماع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تمسّک النافی لوجوب الغسل بوطء الدبر بمفهوم خبر التقاء الختانین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 المتضمّنة لوجوب الغسل بالتقاء الختانین، فلیست مانعة عن الجنابة</w:t>
      </w:r>
    </w:p>
    <w:p>
      <w:pPr>
        <w:pStyle w:val="BookText"/>
        <w:rPr/>
      </w:pPr>
      <w:r>
        <w:rPr>
          <w:rFonts w:ascii="IRNazanin" w:hAnsi="IRNazanin" w:eastAsia="IRNazanin"/>
          <w:color w:val="111111"/>
          <w:sz w:val="28"/>
          <w:sz w:val="28"/>
          <w:szCs w:val="28"/>
          <w:rtl w:val="true"/>
          <w:lang w:bidi="fa-IR"/>
        </w:rPr>
        <w:t xml:space="preserve">فی موضع آخر لا التقاء فیه، علی أنّهم یوجبون الغسل بالإیلاج فی فرج البهیمة و فی قبل المرأة و إن لم یکن لهما </w:t>
      </w:r>
      <w:r>
        <w:rPr>
          <w:rStyle w:val="FootnoteAnchor"/>
          <w:rtl w:val="true"/>
        </w:rPr>
        <w:footnoteReference w:id="2544"/>
      </w:r>
      <w:r>
        <w:rPr>
          <w:rFonts w:ascii="IRNazanin" w:hAnsi="IRNazanin" w:eastAsia="IRNazanin"/>
          <w:color w:val="111111"/>
          <w:sz w:val="28"/>
          <w:sz w:val="28"/>
          <w:szCs w:val="28"/>
          <w:rtl w:val="true"/>
          <w:lang w:bidi="fa-IR"/>
        </w:rPr>
        <w:t xml:space="preserve">ختان، فقد عملوا بخلاف ظاهر الخبر، فإن قالوا البهیمة و إن لم یکن فی فرجها ختان فذلک موضع الختان من غیرها، و کذلک من لیس بمختون من الناس </w:t>
      </w:r>
      <w:r>
        <w:rPr>
          <w:rStyle w:val="FootnoteAnchor"/>
          <w:rtl w:val="true"/>
        </w:rPr>
        <w:footnoteReference w:id="2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لظاهر السیّد فیما عرفت من کلامه </w:t>
      </w:r>
      <w:r>
        <w:rPr>
          <w:rStyle w:val="FootnoteAnchor"/>
          <w:rtl w:val="true"/>
        </w:rPr>
        <w:footnoteReference w:id="2547"/>
      </w:r>
      <w:r>
        <w:rPr>
          <w:rFonts w:ascii="IRNazanin" w:hAnsi="IRNazanin" w:eastAsia="IRNazanin"/>
          <w:color w:val="111111"/>
          <w:sz w:val="28"/>
          <w:sz w:val="28"/>
          <w:szCs w:val="28"/>
          <w:rtl w:val="true"/>
          <w:lang w:bidi="fa-IR"/>
        </w:rPr>
        <w:t xml:space="preserve">، و الشیخ فی صوم المبسوط و الخلاف </w:t>
      </w:r>
      <w:r>
        <w:rPr>
          <w:rStyle w:val="FootnoteAnchor"/>
          <w:rtl w:val="true"/>
        </w:rPr>
        <w:footnoteReference w:id="2548"/>
      </w:r>
      <w:r>
        <w:rPr>
          <w:rFonts w:ascii="IRNazanin" w:hAnsi="IRNazanin" w:eastAsia="IRNazanin"/>
          <w:color w:val="111111"/>
          <w:sz w:val="28"/>
          <w:sz w:val="28"/>
          <w:szCs w:val="28"/>
          <w:rtl w:val="true"/>
          <w:lang w:bidi="fa-IR"/>
        </w:rPr>
        <w:t xml:space="preserve">، و العلّامة فی المختلف </w:t>
      </w:r>
      <w:r>
        <w:rPr>
          <w:rStyle w:val="FootnoteAnchor"/>
          <w:rtl w:val="true"/>
        </w:rPr>
        <w:footnoteReference w:id="2549"/>
      </w:r>
      <w:r>
        <w:rPr>
          <w:rFonts w:ascii="IRNazanin" w:hAnsi="IRNazanin" w:eastAsia="IRNazanin"/>
          <w:color w:val="111111"/>
          <w:sz w:val="28"/>
          <w:sz w:val="28"/>
          <w:szCs w:val="28"/>
          <w:rtl w:val="true"/>
          <w:lang w:bidi="fa-IR"/>
        </w:rPr>
        <w:t xml:space="preserve">، و الشهیدین فی الذکری </w:t>
      </w:r>
      <w:r>
        <w:rPr>
          <w:rStyle w:val="FootnoteAnchor"/>
          <w:rtl w:val="true"/>
        </w:rPr>
        <w:footnoteReference w:id="2550"/>
      </w:r>
      <w:r>
        <w:rPr>
          <w:rFonts w:ascii="IRNazanin" w:hAnsi="IRNazanin" w:eastAsia="IRNazanin"/>
          <w:color w:val="111111"/>
          <w:sz w:val="28"/>
          <w:sz w:val="28"/>
          <w:szCs w:val="28"/>
          <w:rtl w:val="true"/>
          <w:lang w:bidi="fa-IR"/>
        </w:rPr>
        <w:t xml:space="preserve">و المسالک </w:t>
      </w:r>
      <w:r>
        <w:rPr>
          <w:rStyle w:val="FootnoteAnchor"/>
          <w:rtl w:val="true"/>
        </w:rPr>
        <w:footnoteReference w:id="2551"/>
      </w:r>
      <w:r>
        <w:rPr>
          <w:rFonts w:ascii="IRNazanin" w:hAnsi="IRNazanin" w:eastAsia="IRNazanin"/>
          <w:color w:val="111111"/>
          <w:sz w:val="28"/>
          <w:sz w:val="28"/>
          <w:szCs w:val="28"/>
          <w:rtl w:val="true"/>
          <w:lang w:bidi="fa-IR"/>
        </w:rPr>
        <w:t xml:space="preserve">و الروض </w:t>
      </w:r>
      <w:r>
        <w:rPr>
          <w:rStyle w:val="FootnoteAnchor"/>
          <w:rtl w:val="true"/>
        </w:rPr>
        <w:footnoteReference w:id="2552"/>
      </w:r>
      <w:r>
        <w:rPr>
          <w:rFonts w:ascii="IRNazanin" w:hAnsi="IRNazanin" w:eastAsia="IRNazanin"/>
          <w:color w:val="111111"/>
          <w:sz w:val="28"/>
          <w:sz w:val="28"/>
          <w:szCs w:val="28"/>
          <w:rtl w:val="true"/>
          <w:lang w:bidi="fa-IR"/>
        </w:rPr>
        <w:t xml:space="preserve">، و الوحید البهبهانی فی شرح المفاتیح </w:t>
      </w:r>
      <w:r>
        <w:rPr>
          <w:rStyle w:val="FootnoteAnchor"/>
          <w:rtl w:val="true"/>
        </w:rPr>
        <w:footnoteReference w:id="2553"/>
      </w:r>
      <w:r>
        <w:rPr>
          <w:rFonts w:ascii="IRNazanin" w:hAnsi="IRNazanin" w:eastAsia="IRNazanin"/>
          <w:color w:val="111111"/>
          <w:sz w:val="28"/>
          <w:sz w:val="28"/>
          <w:szCs w:val="28"/>
          <w:rtl w:val="true"/>
          <w:lang w:bidi="fa-IR"/>
        </w:rPr>
        <w:t xml:space="preserve">، و صهره السیّد فی الریاض </w:t>
      </w:r>
      <w:r>
        <w:rPr>
          <w:rStyle w:val="FootnoteAnchor"/>
          <w:rtl w:val="true"/>
        </w:rPr>
        <w:footnoteReference w:id="2554"/>
      </w:r>
      <w:r>
        <w:rPr>
          <w:rFonts w:ascii="IRNazanin" w:hAnsi="IRNazanin" w:eastAsia="IRNazanin"/>
          <w:color w:val="111111"/>
          <w:sz w:val="28"/>
          <w:sz w:val="28"/>
          <w:szCs w:val="28"/>
          <w:rtl w:val="true"/>
          <w:lang w:bidi="fa-IR"/>
        </w:rPr>
        <w:t xml:space="preserve">فأوجب الغسل لما ذکر من الملازمة المعتضدة </w:t>
      </w:r>
      <w:r>
        <w:rPr>
          <w:rStyle w:val="FootnoteAnchor"/>
          <w:rtl w:val="true"/>
        </w:rPr>
        <w:footnoteReference w:id="2555"/>
      </w:r>
      <w:r>
        <w:rPr>
          <w:rFonts w:ascii="Amiri" w:hAnsi="Amiri" w:eastAsia="Amiri" w:cs="Amiri"/>
          <w:color w:val="111111"/>
          <w:sz w:val="28"/>
          <w:sz w:val="28"/>
          <w:szCs w:val="28"/>
          <w:rtl w:val="true"/>
          <w:lang w:bidi="ar-SA"/>
        </w:rPr>
        <w:t>بما تقدّم من</w:t>
      </w:r>
    </w:p>
    <w:p>
      <w:pPr>
        <w:pStyle w:val="BookText"/>
        <w:rPr/>
      </w:pPr>
      <w:r>
        <w:rPr>
          <w:rFonts w:ascii="Amiri" w:hAnsi="Amiri" w:eastAsia="Amiri" w:cs="Amiri"/>
          <w:color w:val="111111"/>
          <w:sz w:val="28"/>
          <w:sz w:val="28"/>
          <w:szCs w:val="28"/>
          <w:rtl w:val="true"/>
          <w:lang w:bidi="ar-SA"/>
        </w:rPr>
        <w:t>السیّد رحمه اللّٰه، و هو غیر بعید مع أنّه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هنا شی‌ء، و هو أنّک قد عرفت أنّ المناط فی إیجاب الغسل غیبوبة الحشفة من غیر فرق بین کبیرها و صغیرها،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مقطوع الحشفة أو بعضها فلیس فی النصوص تعرّض لحکمهما، إلّا أنّه ذکر جماعة </w:t>
      </w:r>
      <w:r>
        <w:rPr>
          <w:rStyle w:val="FootnoteAnchor"/>
          <w:rtl w:val="true"/>
        </w:rPr>
        <w:footnoteReference w:id="2556"/>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المعروف بینهم </w:t>
      </w:r>
      <w:r>
        <w:rPr>
          <w:rStyle w:val="FootnoteAnchor"/>
          <w:rtl w:val="true"/>
        </w:rPr>
        <w:footnoteReference w:id="2557"/>
      </w:r>
      <w:r>
        <w:rPr>
          <w:rFonts w:ascii="IRNazanin" w:hAnsi="IRNazanin" w:eastAsia="IRNazanin"/>
          <w:color w:val="111111"/>
          <w:sz w:val="28"/>
          <w:sz w:val="28"/>
          <w:szCs w:val="28"/>
          <w:rtl w:val="true"/>
          <w:lang w:bidi="fa-IR"/>
        </w:rPr>
        <w:t xml:space="preserve">بل استظهر شارح الدروس الاتّفاق علیه </w:t>
      </w:r>
      <w:r>
        <w:rPr>
          <w:rStyle w:val="FootnoteAnchor"/>
          <w:rtl w:val="true"/>
        </w:rPr>
        <w:footnoteReference w:id="2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الجنابة فی مقطوع الحشفة إدخال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المنساق من دلیل اعتبار التقاء الختانین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التقدیر بهذا المقدار، و أنّه أقلّ إدخال یجب فیه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التقدیر مع مخالفته لظاهر اللفظ یوجب حمل الحشفة علی المتعارف، فیلزم أن یقدّر فی صغیر الحشفة حدّا و کبیرها مقدار الحشفة المتوسّطة، فإنّ التقدیر بأمثال ذلک یقدّر بالفرد المتعارف منها، لا بالشخص الموجود فی کلّ مکلّف و لو لم یکن متعارفا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w:t>
      </w:r>
      <w:r>
        <w:rPr>
          <w:rStyle w:val="FootnoteAnchor"/>
          <w:rtl w:val="true"/>
        </w:rPr>
        <w:footnoteReference w:id="2559"/>
      </w:r>
      <w:r>
        <w:rPr>
          <w:rFonts w:ascii="IRNazanin" w:hAnsi="IRNazanin" w:eastAsia="IRNazanin"/>
          <w:color w:val="111111"/>
          <w:sz w:val="28"/>
          <w:sz w:val="28"/>
          <w:szCs w:val="28"/>
          <w:rtl w:val="true"/>
          <w:lang w:bidi="fa-IR"/>
        </w:rPr>
        <w:t>یکشف عن عدم استنادهم فی هذا الحکم إلی اعتبار التقدیر</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أکثرهم ذکروا فی مقطوع البعض کفایة إدخال الباقی، مع أنّ اللازم علی</w:t>
      </w:r>
    </w:p>
    <w:p>
      <w:pPr>
        <w:pStyle w:val="BookText"/>
        <w:rPr/>
      </w:pPr>
      <w:r>
        <w:rPr>
          <w:rFonts w:ascii="IRNazanin" w:hAnsi="IRNazanin" w:eastAsia="IRNazanin"/>
          <w:color w:val="111111"/>
          <w:sz w:val="28"/>
          <w:sz w:val="28"/>
          <w:szCs w:val="28"/>
          <w:rtl w:val="true"/>
          <w:lang w:bidi="fa-IR"/>
        </w:rPr>
        <w:t xml:space="preserve">اعتبار </w:t>
      </w:r>
      <w:r>
        <w:rPr>
          <w:rStyle w:val="FootnoteAnchor"/>
          <w:rtl w:val="true"/>
        </w:rPr>
        <w:footnoteReference w:id="2560"/>
      </w:r>
      <w:r>
        <w:rPr>
          <w:rFonts w:ascii="IRNazanin" w:hAnsi="IRNazanin" w:eastAsia="IRNazanin"/>
          <w:color w:val="111111"/>
          <w:sz w:val="28"/>
          <w:sz w:val="28"/>
          <w:szCs w:val="28"/>
          <w:rtl w:val="true"/>
          <w:lang w:bidi="fa-IR"/>
        </w:rPr>
        <w:t xml:space="preserve">المقدار اعتبار </w:t>
      </w:r>
      <w:r>
        <w:rPr>
          <w:rStyle w:val="FootnoteAnchor"/>
          <w:rtl w:val="true"/>
        </w:rPr>
        <w:footnoteReference w:id="2561"/>
      </w:r>
      <w:r>
        <w:rPr>
          <w:rFonts w:ascii="IRNazanin" w:hAnsi="IRNazanin" w:eastAsia="IRNazanin"/>
          <w:color w:val="111111"/>
          <w:sz w:val="28"/>
          <w:sz w:val="28"/>
          <w:szCs w:val="28"/>
          <w:rtl w:val="true"/>
          <w:lang w:bidi="fa-IR"/>
        </w:rPr>
        <w:t>إتمام الباقی بما یساوی مجموع الحشفة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قیام الإجماع علی تحقّق الجنابة لمقطوع الحشفة بالإدخال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إمّا المسمّی، و إمّا إدخال المجموع، و إمّا مقدار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إرادة المجموع، فهی و إن ساعدها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 أو أولجه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إدخاله و إیلاجه یصدق بإدخال البعض، لکن إرادة المسمّی خلاف منصرف المطلق، فتعیّن مقدار الحشفة، للإجماع علی عدم اعتبار غیره بعد المسمّی و المجموع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المطلقة کلّها مختصّة </w:t>
      </w:r>
      <w:r>
        <w:rPr>
          <w:rStyle w:val="FootnoteAnchor"/>
          <w:rtl w:val="true"/>
        </w:rPr>
        <w:footnoteReference w:id="2562"/>
      </w:r>
      <w:r>
        <w:rPr>
          <w:rFonts w:ascii="IRNazanin" w:hAnsi="IRNazanin" w:eastAsia="IRNazanin"/>
          <w:color w:val="111111"/>
          <w:sz w:val="28"/>
          <w:sz w:val="28"/>
          <w:szCs w:val="28"/>
          <w:rtl w:val="true"/>
          <w:lang w:bidi="fa-IR"/>
        </w:rPr>
        <w:t>بذی الحشفة فمقطوعها خارج عنها، فیحتمل حصول الجنابة فیه بالمسمّی، و یحتمل اعتبار المجموع، و یحتمل اعتبار مقدار الحشفة، و الأوّل منتف بالأصل، و الثانی بالإجماع فتعیّن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أنّ المسألة لا تخلو من إشکال، لعدم ما تطمئنّ به النفس، إلّا أنّ ما ذکروه لا یخلو عن قوّة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المقطوع البعض، ففی التذکرة </w:t>
      </w:r>
      <w:r>
        <w:rPr>
          <w:rStyle w:val="FootnoteAnchor"/>
          <w:rtl w:val="true"/>
        </w:rPr>
        <w:footnoteReference w:id="2563"/>
      </w:r>
      <w:r>
        <w:rPr>
          <w:rFonts w:ascii="IRNazanin" w:hAnsi="IRNazanin" w:eastAsia="IRNazanin"/>
          <w:color w:val="111111"/>
          <w:sz w:val="28"/>
          <w:sz w:val="28"/>
          <w:szCs w:val="28"/>
          <w:rtl w:val="true"/>
          <w:lang w:bidi="fa-IR"/>
        </w:rPr>
        <w:t xml:space="preserve">و الذکری </w:t>
      </w:r>
      <w:r>
        <w:rPr>
          <w:rStyle w:val="FootnoteAnchor"/>
          <w:rtl w:val="true"/>
        </w:rPr>
        <w:footnoteReference w:id="2564"/>
      </w:r>
      <w:r>
        <w:rPr>
          <w:rFonts w:ascii="IRNazanin" w:hAnsi="IRNazanin" w:eastAsia="IRNazanin"/>
          <w:color w:val="111111"/>
          <w:sz w:val="28"/>
          <w:sz w:val="28"/>
          <w:szCs w:val="28"/>
          <w:rtl w:val="true"/>
          <w:lang w:bidi="fa-IR"/>
        </w:rPr>
        <w:t xml:space="preserve">کما عن الموجز </w:t>
      </w:r>
      <w:r>
        <w:rPr>
          <w:rStyle w:val="FootnoteAnchor"/>
          <w:rtl w:val="true"/>
        </w:rPr>
        <w:footnoteReference w:id="256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غیبوبة الباقی، و الظاهر استنادهم إلی صدق</w:t>
      </w:r>
    </w:p>
    <w:p>
      <w:pPr>
        <w:pStyle w:val="BookText"/>
        <w:rPr/>
      </w:pPr>
      <w:r>
        <w:rPr>
          <w:rFonts w:ascii="IRNazanin" w:hAnsi="IRNazanin" w:eastAsia="IRNazanin"/>
          <w:color w:val="111111"/>
          <w:sz w:val="28"/>
          <w:sz w:val="28"/>
          <w:szCs w:val="28"/>
          <w:rtl w:val="true"/>
          <w:lang w:bidi="fa-IR"/>
        </w:rPr>
        <w:t>الالتقاء، لکن قیّده فی الذکری بما إذا لم یذهب المعظم، و إلّا فکمقطوع الکلّ، و لعلّه لعدم انصراف الالتقاء إلی ما یحصل بإدخال شی‌ء یسیر، و یتعیّن علی استفادة التقدیر من الأدلّة وجوب إتمام الباقی بما یبلغ مقدار الحشفة، و المسألة مشکلة فلا ینبغی ترک الاحتیاط</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إشکال فی وجوب الغسل بإدخال الملفوف، بل لا خلاف ظاهرا بیّنا، و أمّا العضو المقطوع ففیه إشکال، و کذلک الإشکال فی آلة المیتة و آلة البهیمة، و الاحتیاط فی الکلّ ممّا لا ینبغی أن یترک</w:t>
      </w:r>
      <w:r>
        <w:rPr>
          <w:rFonts w:eastAsia="IRNazanin" w:cs="IRNazanin"/>
          <w:color w:val="111111"/>
          <w:sz w:val="28"/>
          <w:szCs w:val="28"/>
          <w:rtl w:val="true"/>
          <w:lang w:bidi="fa-IR"/>
        </w:rPr>
        <w:t>.</w:t>
      </w:r>
      <w:bookmarkStart w:id="305" w:name="pg13035_132065"/>
    </w:p>
    <w:p>
      <w:pPr>
        <w:pStyle w:val="Heading6"/>
        <w:numPr>
          <w:ilvl w:val="5"/>
          <w:numId w:val="1"/>
        </w:numPr>
        <w:rPr/>
      </w:pPr>
      <w:bookmarkStart w:id="306" w:name="__RefHeading___Toc6370082_3224264995"/>
      <w:bookmarkStart w:id="307" w:name="_Toc118"/>
      <w:bookmarkEnd w:id="305"/>
      <w:bookmarkEnd w:id="306"/>
      <w:r>
        <w:rPr>
          <w:rtl w:val="true"/>
        </w:rPr>
        <w:t>وجوب الغسل علی الکافر</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الجنابة و غیرها من الأحداث کالوضوء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حصول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لعموم الأدلّة و فقد ما یدلّ علی خروج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مذمّة المجوس من أنّهم کانوا لا یغتسلون من الجنابة </w:t>
      </w:r>
      <w:r>
        <w:rPr>
          <w:rStyle w:val="FootnoteAnchor"/>
          <w:rtl w:val="true"/>
        </w:rPr>
        <w:footnoteReference w:id="2567"/>
      </w:r>
      <w:r>
        <w:rPr>
          <w:rFonts w:ascii="IRNazanin" w:hAnsi="IRNazanin" w:eastAsia="IRNazanin"/>
          <w:color w:val="111111"/>
          <w:sz w:val="28"/>
          <w:sz w:val="28"/>
          <w:szCs w:val="28"/>
          <w:rtl w:val="true"/>
          <w:lang w:bidi="fa-IR"/>
        </w:rPr>
        <w:t xml:space="preserve">، و قد تقرّر فی الأصول </w:t>
      </w:r>
      <w:r>
        <w:rPr>
          <w:rStyle w:val="FootnoteAnchor"/>
          <w:rtl w:val="true"/>
        </w:rPr>
        <w:footnoteReference w:id="2568"/>
      </w:r>
      <w:r>
        <w:rPr>
          <w:rFonts w:ascii="IRNazanin" w:hAnsi="IRNazanin" w:eastAsia="IRNazanin"/>
          <w:color w:val="111111"/>
          <w:sz w:val="28"/>
          <w:sz w:val="28"/>
          <w:szCs w:val="28"/>
          <w:rtl w:val="true"/>
          <w:lang w:bidi="fa-IR"/>
        </w:rPr>
        <w:t xml:space="preserve">أنّ الکفّار مخاطبون بالفروع کالأصول، خلافا لأبی حنیفة </w:t>
      </w:r>
      <w:r>
        <w:rPr>
          <w:rStyle w:val="FootnoteAnchor"/>
          <w:rtl w:val="true"/>
        </w:rPr>
        <w:footnoteReference w:id="2569"/>
      </w:r>
      <w:r>
        <w:rPr>
          <w:rFonts w:ascii="Amiri" w:hAnsi="Amiri" w:eastAsia="Amiri" w:cs="Amiri"/>
          <w:color w:val="111111"/>
          <w:sz w:val="28"/>
          <w:sz w:val="28"/>
          <w:szCs w:val="28"/>
          <w:rtl w:val="true"/>
          <w:lang w:bidi="ar-SA"/>
        </w:rPr>
        <w:t>، لأدلّة مزیّفة فی محلّها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صاحب الحدائق </w:t>
      </w:r>
      <w:r>
        <w:rPr>
          <w:rStyle w:val="FootnoteAnchor"/>
          <w:rtl w:val="true"/>
        </w:rPr>
        <w:footnoteReference w:id="2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للمحدّثین الأسترآبادی </w:t>
      </w:r>
      <w:r>
        <w:rPr>
          <w:rStyle w:val="FootnoteAnchor"/>
          <w:rtl w:val="true"/>
        </w:rPr>
        <w:footnoteReference w:id="2571"/>
      </w:r>
      <w:r>
        <w:rPr>
          <w:rFonts w:ascii="IRNazanin" w:hAnsi="IRNazanin" w:eastAsia="IRNazanin"/>
          <w:color w:val="111111"/>
          <w:sz w:val="28"/>
          <w:sz w:val="28"/>
          <w:szCs w:val="28"/>
          <w:rtl w:val="true"/>
          <w:lang w:bidi="fa-IR"/>
        </w:rPr>
        <w:t xml:space="preserve">و الکاشانی </w:t>
      </w:r>
      <w:r>
        <w:rPr>
          <w:rStyle w:val="FootnoteAnchor"/>
          <w:rtl w:val="true"/>
        </w:rPr>
        <w:footnoteReference w:id="2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أخبارا زعموا دلالتها علی عدم مخاطبتهم بالفروع و نهوضها لتخصیص العمومات التی لا تحصی ممّا یدلّ علی عموم التکالیف الفرعیّة و معارضة ما دلّ بالخصوص من الآیات و الأخبار علی مؤاخذتهم بمخالفتها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الأخبار التی ذکرها فی الحدائق، ما نقله عن الکافی بطریق صحیح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معرفة الإمام منکم واجبة علی جمیع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آله إلی الناس أجمعین رسولا و حجّة للّٰه علی خلقه فی أرضه، فمن آمن باللّه و بمحمد صلّی اللّٰه علیه و آله و اتّبعه و صدّقه فإنّ معرفة الإمام هنا واجبة علیه، و من لم یؤمن باللّه و رسوله و لم یتّبعه و لم یصدّقه و یعرف حقّهما </w:t>
      </w:r>
      <w:r>
        <w:rPr>
          <w:rStyle w:val="FootnoteAnchor"/>
          <w:rtl w:val="true"/>
        </w:rPr>
        <w:footnoteReference w:id="2573"/>
      </w:r>
      <w:r>
        <w:rPr>
          <w:rFonts w:ascii="IRNazanin" w:hAnsi="IRNazanin" w:eastAsia="IRNazanin"/>
          <w:color w:val="111111"/>
          <w:sz w:val="28"/>
          <w:sz w:val="28"/>
          <w:szCs w:val="28"/>
          <w:rtl w:val="true"/>
          <w:lang w:bidi="fa-IR"/>
        </w:rPr>
        <w:t>، فکیف یجب علیه معرفة الإمام علیه السلام و هو لا یؤمن باللّه و رسوله صلّی اللّٰه علیه و آله</w:t>
      </w:r>
      <w:r>
        <w:rPr>
          <w:rFonts w:eastAsia="IRNazanin" w:cs="IRNazanin"/>
          <w:color w:val="111111"/>
          <w:sz w:val="28"/>
          <w:szCs w:val="28"/>
          <w:rtl w:val="true"/>
          <w:lang w:bidi="fa-IR"/>
        </w:rPr>
        <w:t xml:space="preserve">»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کما تری صریح فی الدلالة علی خلاف ما ذکروه، فإنّه متی لم یجب معرفة الإمام قبل الإیمان باللّه و رسوله صلّی اللّٰه علیه و آله فبالطریق الأولی معرفة سائر الفروع التی هی متلقّاة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صحیح السند، صریح الدلالة، فلا وجه لطرحه و العمل بخلافه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تفسیر القمّی عن الصادق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وَیْلٌ لِلْمُشْرِکِینَ الَّذِینَ لٰا یُؤْتُونَ الزَّکٰاةَ وَ هُمْ بِالْآخِرَةِ هُمْ کٰافِرُونَ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أنّ اللّٰه طلب من المشرکین زکاة أموالهم و هم یشرکون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وَیْلٌ لِلْمُشْرِکِینَ الَّذِینَ لٰا یُؤْتُونَ الزَّکٰاةَ وَ هُمْ بِالْآخِرَةِ هُمْ 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دعا اللّٰه العباد للإیمان فإذا آمنوا باللّه و رسوله افترض علیهم الفرض</w:t>
      </w:r>
      <w:r>
        <w:rPr>
          <w:rFonts w:eastAsia="Amiri" w:cs="Amiri" w:ascii="Amiri" w:hAnsi="Amiri"/>
          <w:color w:val="111111"/>
          <w:sz w:val="28"/>
          <w:szCs w:val="28"/>
          <w:rtl w:val="true"/>
          <w:lang w:bidi="ar-SA"/>
        </w:rPr>
        <w:t xml:space="preserve">»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احتجاج الطبرسی، عن أمیر المؤمنین علیه السلام فی</w:t>
      </w:r>
    </w:p>
    <w:p>
      <w:pPr>
        <w:pStyle w:val="BookText"/>
        <w:rPr/>
      </w:pPr>
      <w:r>
        <w:rPr>
          <w:rFonts w:ascii="IRNazanin" w:hAnsi="IRNazanin" w:eastAsia="IRNazanin"/>
          <w:color w:val="111111"/>
          <w:sz w:val="28"/>
          <w:sz w:val="28"/>
          <w:szCs w:val="28"/>
          <w:rtl w:val="true"/>
          <w:lang w:bidi="fa-IR"/>
        </w:rPr>
        <w:t>حدیث الزندیق الذی جاء إلیه مستدلّا بآیات من القرآن قد اشتبهت علیه، و فیه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أوّل ما قیّدهم به الإقرار بالوحدانیة و الربوبیة و شهادة أن لا إله إلّا اللّٰه، فلمّا أقرّوا بذلک تلاه بالإقرار لنبیّه صلّی اللّٰه علیه و آله بالنبوّة و الشهادة برسالته، فلمّا انقادوا بذلک فرض علیهم الصلاة، ثمّ الصوم، ثمّ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نقول بکون الکفّار مخاطبین بالفروع تفصیلا، کیف، و هم جاهلون بها غافلون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یعقل خطاب منکری الصانع و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الالتفات فیستهجن بل یقبح خطاب من أنکر الرسول بالإیمان بخلیفته و المعرفة بحقّه و أخذ الأحکام منه، بل المراد أنّ المنکر للرسول صلّی اللّٰه علیه و آله مثلا مخاطب بالإیمان به </w:t>
      </w:r>
      <w:r>
        <w:rPr>
          <w:rStyle w:val="FootnoteAnchor"/>
          <w:rtl w:val="true"/>
        </w:rPr>
        <w:footnoteReference w:id="2578"/>
      </w:r>
      <w:r>
        <w:rPr>
          <w:rFonts w:ascii="IRNazanin" w:hAnsi="IRNazanin" w:eastAsia="IRNazanin"/>
          <w:color w:val="111111"/>
          <w:sz w:val="28"/>
          <w:sz w:val="28"/>
          <w:szCs w:val="28"/>
          <w:rtl w:val="true"/>
          <w:lang w:bidi="fa-IR"/>
        </w:rPr>
        <w:t>و الائتمار بأوامره و الانتهاء عن نواهیه، فإن آمن و حصل ذلک کلّه کان مطیعا، و إن لم یؤمن ففعل المحرّمات و ترک الواجبات عوقب علیها کما یعاقب علی ترک الإیمان لمخاطبته بها إجمالا و إن لم یخاطب تفصیلا بفعل الصلاة و ترک الزنا و نحو ذلک لغفلته عنها،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أمر الملک أهل بلد نصب لهم حاکما بالإذعان بولایته من قبل الملک و الانقیاد له فی أوامره و نواهیه المسطورة فی طومار بیده، فلم یذعن تلک الرعیّة لذلک الحاکم و لم یلتفتوا إلی ذلک الطومار و لم یطّلعوا علیه أصلا، فاتّفق وقوعهم من أجل ذلک فی کثیر من النواهی و ترک الأوامر الموجودة فیه، فإنّه لا یقبح عقابهم علی کلّ واحد واحد من تلک المخالفات، لکفایة الخطاب الإجمالی مع تمکّن المخاطب من المعرفة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یندفع ما ورد علی صاحب الذخیرة من الإشکال فی مسألة الصلاة مع النجاسة، حیث نقل عن بعضهم </w:t>
      </w:r>
      <w:r>
        <w:rPr>
          <w:rStyle w:val="FootnoteAnchor"/>
          <w:rtl w:val="true"/>
        </w:rPr>
        <w:footnoteReference w:id="2579"/>
      </w:r>
      <w:r>
        <w:rPr>
          <w:rFonts w:ascii="IRNazanin" w:hAnsi="IRNazanin" w:eastAsia="IRNazanin"/>
          <w:color w:val="111111"/>
          <w:sz w:val="28"/>
          <w:sz w:val="28"/>
          <w:szCs w:val="28"/>
          <w:rtl w:val="true"/>
          <w:lang w:bidi="fa-IR"/>
        </w:rPr>
        <w:t>الإشکال فی إلحاق الجاهل بالعالم، ثمّ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التکلیف متعلّق بمقدّمات الفعل، کالنظر و السعی و التعلّم، و إلّا لزم تکلیف الغافل أو التکلیف بما لا یطاق، و العقاب إنّما یترتّب علی ترک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یلزم علی هذا أن لا یکون الکفّار مخاطبین بالأحکام و إنّما یکونون مخاطبین بمقدّمات الأحکام، و هذا خلاف ما قرّره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هذا المقام من المشکلات </w:t>
      </w:r>
      <w:r>
        <w:rPr>
          <w:rStyle w:val="FootnoteAnchor"/>
          <w:rtl w:val="true"/>
        </w:rPr>
        <w:footnoteReference w:id="258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الغفلة زمان العمل لا یوجب قبح العقاب علی الفعل، لأنّه زمان امتناع الواجب علیه و إنما هو مکلّف حین الالتفات بالإیمان بالرسول و الانقیاد له فی جمیع أوامره و نواهیه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یتوجّه الإشکال فی تکلیف منکری الصانع و الشرائع بالأصول و الفروع، و هذا غیر مختصّ بمن یری تکلیف الکفّار بالفروع، بل یرد علی المحدثین المذکورین </w:t>
      </w:r>
      <w:r>
        <w:rPr>
          <w:rStyle w:val="FootnoteAnchor"/>
          <w:rtl w:val="true"/>
        </w:rPr>
        <w:footnoteReference w:id="2581"/>
      </w:r>
      <w:r>
        <w:rPr>
          <w:rFonts w:ascii="IRNazanin" w:hAnsi="IRNazanin" w:eastAsia="IRNazanin"/>
          <w:color w:val="111111"/>
          <w:sz w:val="28"/>
          <w:sz w:val="28"/>
          <w:szCs w:val="28"/>
          <w:rtl w:val="true"/>
          <w:lang w:bidi="fa-IR"/>
        </w:rPr>
        <w:t xml:space="preserve">المنکرین لذلک و علی صاحب الذخیرة و من تبعهم کصاحب المدارک </w:t>
      </w:r>
      <w:r>
        <w:rPr>
          <w:rStyle w:val="FootnoteAnchor"/>
          <w:rtl w:val="true"/>
        </w:rPr>
        <w:footnoteReference w:id="2582"/>
      </w:r>
      <w:r>
        <w:rPr>
          <w:rFonts w:ascii="IRNazanin" w:hAnsi="IRNazanin" w:eastAsia="IRNazanin"/>
          <w:color w:val="111111"/>
          <w:sz w:val="28"/>
          <w:sz w:val="28"/>
          <w:szCs w:val="28"/>
          <w:rtl w:val="true"/>
          <w:lang w:bidi="fa-IR"/>
        </w:rPr>
        <w:t xml:space="preserve">و شیخه الأردبیلی </w:t>
      </w:r>
      <w:r>
        <w:rPr>
          <w:rStyle w:val="FootnoteAnchor"/>
          <w:rtl w:val="true"/>
        </w:rPr>
        <w:footnoteReference w:id="2583"/>
      </w:r>
      <w:r>
        <w:rPr>
          <w:rFonts w:ascii="IRNazanin" w:hAnsi="IRNazanin" w:eastAsia="IRNazanin"/>
          <w:color w:val="111111"/>
          <w:sz w:val="28"/>
          <w:sz w:val="28"/>
          <w:szCs w:val="28"/>
          <w:rtl w:val="true"/>
          <w:lang w:bidi="fa-IR"/>
        </w:rPr>
        <w:t>، القائلین بکون العقاب علی ترک النظر و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یجری ذلک فی هذا الکافر لغفلته عن ذلک أیضا إلّا أن یمنع غفلة المکلّف فی جمیع أوقات تکلیفه عن وجود الصانع، بناء علی</w:t>
      </w:r>
    </w:p>
    <w:p>
      <w:pPr>
        <w:pStyle w:val="BookText"/>
        <w:rPr/>
      </w:pPr>
      <w:r>
        <w:rPr>
          <w:rFonts w:ascii="IRNazanin" w:hAnsi="IRNazanin" w:eastAsia="IRNazanin"/>
          <w:color w:val="111111"/>
          <w:sz w:val="28"/>
          <w:sz w:val="28"/>
          <w:szCs w:val="28"/>
          <w:rtl w:val="true"/>
          <w:lang w:bidi="fa-IR"/>
        </w:rPr>
        <w:t>اشتراط التکلیف بسبق معرفة إلهیة الخالق و بأنّ له رضا و سخطا، و بأنّه لا بدّ له من معلّم من جهته لیعلّم الناس ما یصلحهم و یفسدهم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فی الأخبار المذکورة هو خطاب الکافر تفصیلا بما لا یعقل امتثاله إلّا بعد امتثال التکلیف الذی أقام المخاطب علی مخالفته کخطابه بالفرائض الإلهیة مع عدم تصدیقه رسالة من یخاطبه بذلک، فإنّ ذلک مستهجن جدّا کما أشار إلیه الإمام علیه السلام فی الصحیحة الأولی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یجب معرفة الإمام</w:t>
      </w:r>
      <w:r>
        <w:rPr>
          <w:rFonts w:eastAsia="IRNazanin" w:cs="IRNazanin"/>
          <w:color w:val="111111"/>
          <w:sz w:val="28"/>
          <w:szCs w:val="28"/>
          <w:rtl w:val="true"/>
          <w:lang w:bidi="fa-IR"/>
        </w:rPr>
        <w:t xml:space="preserve">» </w:t>
      </w:r>
      <w:r>
        <w:rPr>
          <w:rStyle w:val="FootnoteAnchor"/>
          <w:rtl w:val="true"/>
        </w:rPr>
        <w:footnoteReference w:id="2584"/>
      </w:r>
      <w:r>
        <w:rPr>
          <w:rFonts w:ascii="IRNazanin" w:hAnsi="IRNazanin" w:eastAsia="IRNazanin"/>
          <w:color w:val="111111"/>
          <w:sz w:val="28"/>
          <w:sz w:val="28"/>
          <w:szCs w:val="28"/>
          <w:rtl w:val="true"/>
          <w:lang w:bidi="fa-IR"/>
        </w:rPr>
        <w:t>، و فی الروایة الثانیة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 أنّ اللّٰه طلب من المشرکین</w:t>
      </w:r>
      <w:r>
        <w:rPr>
          <w:rFonts w:eastAsia="IRNazanin" w:cs="IRNazanin"/>
          <w:color w:val="111111"/>
          <w:sz w:val="28"/>
          <w:szCs w:val="28"/>
          <w:rtl w:val="true"/>
          <w:lang w:bidi="fa-IR"/>
        </w:rPr>
        <w:t xml:space="preserve">» </w:t>
      </w:r>
      <w:r>
        <w:rPr>
          <w:rStyle w:val="FootnoteAnchor"/>
          <w:rtl w:val="true"/>
        </w:rPr>
        <w:footnoteReference w:id="2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نثبته هو تکلیفه بتصدیق النبی و الانقیاد لأوامره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عدا الصحیحة لا ظهور لها فی عدم تکلیف الکفّار بالفروع، و إنّما تدلّ علی تدرّج تبلیغ التکالیف کما هو صریح قوله علیه السلام فی روایة 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علیهم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586"/>
      </w:r>
      <w:r>
        <w:rPr>
          <w:rFonts w:ascii="IRNazanin" w:hAnsi="IRNazanin" w:eastAsia="IRNazanin"/>
          <w:color w:val="111111"/>
          <w:sz w:val="28"/>
          <w:sz w:val="28"/>
          <w:szCs w:val="28"/>
          <w:rtl w:val="true"/>
          <w:lang w:bidi="fa-IR"/>
        </w:rPr>
        <w:t>، و هذا لا مساغ لإنکاره کما یظهر من الأخبار المتظافرة، و لا دخل له بمخالفة مذهب المشهور فإنّ التکلیف بالزکاة و الحجّ و إن حدث بعد التکلیف بالصلاة إلّا أنه بعد الحدوث لم یکن مختصّا بالمصلّین بحیث لا یکون غیرهم مخاطبا بالحجّ و الزکاة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 فی دفع إشکال صاحب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استدلال صاحب الحدائق علی مطلبه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تکلیف الکفّار بالفروع تکلیف بما لا یطاق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الاستدلال مباین للمطلب، لأنّ الکلام فی مانعیة الکفر عن التکلیف دون الغفلة التی قد توجد فی الکفّار و قد تفقد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ذلک استدلاله بما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Style w:val="FootnoteAnchor"/>
          <w:rtl w:val="true"/>
        </w:rPr>
        <w:footnoteReference w:id="2588"/>
      </w:r>
      <w:r>
        <w:rPr>
          <w:rFonts w:ascii="IRNazanin" w:hAnsi="IRNazanin" w:eastAsia="IRNazanin"/>
          <w:color w:val="111111"/>
          <w:sz w:val="28"/>
          <w:sz w:val="28"/>
          <w:szCs w:val="28"/>
          <w:rtl w:val="true"/>
          <w:lang w:bidi="fa-IR"/>
        </w:rPr>
        <w:t>، فلم یجب بمجرّد العقل و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ذلک استدلاله باختصاص بعض الخطابات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Style w:val="FootnoteAnchor"/>
          <w:rtl w:val="true"/>
        </w:rPr>
        <w:footnoteReference w:id="2589"/>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رحمه اللّٰه قد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الأدلّة علی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یعلم من النبیّ صلّی اللّٰه علیه و آله أمر أحدا ممّن دخل فی الإسلام بالغسل من الجنابة کما لم یعلم منه أمر أحدهم بقضاء صلاته، مع أنّه قلّما ینفکّ أحد منهم من الجنابة فی تلک الأزمنة المتطاولة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لو تمّ هذا لدلّ إمّا علی أنّ الإنزال و الإدخال لا یوجب الجنابة بالنسبة إلی الکافر، و إمّا علی سقوط ما وجب حال کفره بسبب إسلامه، و الأوّل لا دخل له بمطلبه، و لا أظنّ أحدا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مناف لمطلبه و مناسب </w:t>
      </w:r>
      <w:r>
        <w:rPr>
          <w:rStyle w:val="FootnoteAnchor"/>
          <w:rtl w:val="true"/>
        </w:rPr>
        <w:footnoteReference w:id="2591"/>
      </w:r>
      <w:r>
        <w:rPr>
          <w:rFonts w:ascii="IRNazanin" w:hAnsi="IRNazanin" w:eastAsia="IRNazanin"/>
          <w:color w:val="111111"/>
          <w:sz w:val="28"/>
          <w:sz w:val="28"/>
          <w:szCs w:val="28"/>
          <w:rtl w:val="true"/>
          <w:lang w:bidi="fa-IR"/>
        </w:rPr>
        <w:t xml:space="preserve">لمذهب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أنّه لا خلاف منهم فی عدم سقوطه عنه بعد الإسلام 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منه حال الکفر </w:t>
      </w:r>
      <w:r>
        <w:rPr>
          <w:rStyle w:val="FootnoteAnchor"/>
          <w:rtl w:val="true"/>
        </w:rPr>
        <w:footnoteReference w:id="2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لاشتراط العبادة بالإسلام، بل و عدم التمکّن من قصد التقرّب، و علّله فی المنتهی بعدم معرفته باللّه </w:t>
      </w:r>
      <w:r>
        <w:rPr>
          <w:rStyle w:val="FootnoteAnchor"/>
          <w:rtl w:val="true"/>
        </w:rPr>
        <w:footnoteReference w:id="2593"/>
      </w:r>
      <w:r>
        <w:rPr>
          <w:rFonts w:ascii="IRNazanin" w:hAnsi="IRNazanin" w:eastAsia="IRNazanin"/>
          <w:color w:val="111111"/>
          <w:sz w:val="28"/>
          <w:sz w:val="28"/>
          <w:szCs w:val="28"/>
          <w:rtl w:val="true"/>
          <w:lang w:bidi="fa-IR"/>
        </w:rPr>
        <w:t>، و لتنجّس ماء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النظر فی الجمیع، أمّا اشتراط الإسلام فإن أرید فی القبول الثواب فلا یدلّ علی الفساد بمعنی عدم رفع الجنابة، فإنّ الظاهر عدم الخلاف فی رفعه للحدث، و إن أرید فی رفع الحدث فلا دلیل علیه، و أمّا عدم التمکّن من القربة فهو مسلّم فی حقّ من لا یتمکّن منه دون المتمکّن ککثیر من الفرق القائلین بوجوب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اعتبار قابلیّة الفاعل للتقرّب فلا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نجاسة الماء بالغسل فهی تمنع من اغتساله بالقلیل لا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وجوب إزالة النجاسة عن البدن فإن أرید الخارجیة فلا ینفع، و إن أرید العینیة فهو عین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الدلیل الأوّل فساد غسل المخالف فلا یحکم بارتفاع حدثه، فیترتّب علی المخالفین أحکام الجنب حتّی نجاسة العرق إذا کانت الجنابة عن حرام، و الظاهر عدم سقوط إعادته عنهم إذا استبصروا، لأنّ الجنابة سبب لوجوب الغسل، فإذا فرض عدم ارتفاعها بالغسل الواقع حال الخلاف وجب رفعها بعد الاستبصار إذا وجب علیه ما یشترط بالطهارة، و کذلک الوضوء</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دلّ علی عدم وجوب إعادة ما عدا الزکاة من العبادات علی المخالف إذا استبصر </w:t>
      </w:r>
      <w:r>
        <w:rPr>
          <w:rStyle w:val="FootnoteAnchor"/>
          <w:rtl w:val="true"/>
        </w:rPr>
        <w:footnoteReference w:id="2594"/>
      </w:r>
      <w:r>
        <w:rPr>
          <w:rFonts w:ascii="IRNazanin" w:hAnsi="IRNazanin" w:eastAsia="IRNazanin"/>
          <w:color w:val="111111"/>
          <w:sz w:val="28"/>
          <w:sz w:val="28"/>
          <w:szCs w:val="28"/>
          <w:rtl w:val="true"/>
          <w:lang w:bidi="fa-IR"/>
        </w:rPr>
        <w:t>فلا ینفع فیما نحن فیه، لأنّا لا نحکم علیه بوجوب إعادة ما فعله من الغسل تدارکا لما فات عنه من الغسل الصحیح حال</w:t>
      </w:r>
    </w:p>
    <w:p>
      <w:pPr>
        <w:pStyle w:val="BookText"/>
        <w:rPr/>
      </w:pPr>
      <w:r>
        <w:rPr>
          <w:rFonts w:ascii="IRNazanin" w:hAnsi="IRNazanin" w:eastAsia="IRNazanin"/>
          <w:color w:val="111111"/>
          <w:sz w:val="28"/>
          <w:sz w:val="28"/>
          <w:szCs w:val="28"/>
          <w:rtl w:val="true"/>
          <w:lang w:bidi="fa-IR"/>
        </w:rPr>
        <w:t>المخالفة، نظیر قضاء الصلوات و غیرها، و إنّما نحکم بتأثیر الجنابة الباقیة بعد الإستبصار فی المنع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کالشهید فی البیان </w:t>
      </w:r>
      <w:r>
        <w:rPr>
          <w:rStyle w:val="FootnoteAnchor"/>
          <w:rtl w:val="true"/>
        </w:rPr>
        <w:footnoteReference w:id="2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الإعادة إلّا أن یقال إنّ الظاهر من بعض روایات عدم الإعادة إمضاء ما فعله، حتّی کأنّه وقع صحیحا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روایة محمّد بن حکم </w:t>
      </w:r>
      <w:r>
        <w:rPr>
          <w:rStyle w:val="FootnoteAnchor"/>
          <w:rtl w:val="true"/>
        </w:rPr>
        <w:footnoteReference w:id="25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علیه السلام إذ دخل علیه کوفیّان و کانا زیدیّین </w:t>
      </w:r>
      <w:r>
        <w:rPr>
          <w:rStyle w:val="FootnoteAnchor"/>
          <w:rtl w:val="true"/>
        </w:rPr>
        <w:footnoteReference w:id="2597"/>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لک الفداء فقد منّ اللّٰه علینا بولایتک، فهل یقبل منّا شی‌ء من أعمالنا؟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الصلاة و الصوم و الحجّ و الصدقة، فإنّ اللّٰه ینفعکما ذلک و یلحق بکما، و أمّا الزکاة فلا، لأنّکما أخذتما </w:t>
      </w:r>
      <w:r>
        <w:rPr>
          <w:rStyle w:val="FootnoteAnchor"/>
          <w:rtl w:val="true"/>
        </w:rPr>
        <w:footnoteReference w:id="2598"/>
      </w:r>
      <w:r>
        <w:rPr>
          <w:rFonts w:ascii="IRNazanin" w:hAnsi="IRNazanin" w:eastAsia="IRNazanin"/>
          <w:color w:val="111111"/>
          <w:sz w:val="28"/>
          <w:sz w:val="28"/>
          <w:szCs w:val="28"/>
          <w:rtl w:val="true"/>
          <w:lang w:bidi="fa-IR"/>
        </w:rPr>
        <w:t>حقّ امرئ مسلم، و أعطیتما غیره</w:t>
      </w:r>
      <w:r>
        <w:rPr>
          <w:rFonts w:eastAsia="IRNazanin" w:cs="IRNazanin"/>
          <w:color w:val="111111"/>
          <w:sz w:val="28"/>
          <w:szCs w:val="28"/>
          <w:rtl w:val="true"/>
          <w:lang w:bidi="fa-IR"/>
        </w:rPr>
        <w:t xml:space="preserve">» </w:t>
      </w:r>
      <w:r>
        <w:rPr>
          <w:rStyle w:val="FootnoteAnchor"/>
          <w:rtl w:val="true"/>
        </w:rPr>
        <w:footnoteReference w:id="2599"/>
      </w:r>
      <w:r>
        <w:rPr>
          <w:rFonts w:ascii="IRNazanin" w:hAnsi="IRNazanin" w:eastAsia="IRNazanin"/>
          <w:color w:val="111111"/>
          <w:sz w:val="28"/>
          <w:sz w:val="28"/>
          <w:szCs w:val="28"/>
          <w:rtl w:val="true"/>
          <w:lang w:bidi="fa-IR"/>
        </w:rPr>
        <w:t xml:space="preserve">، و لازم قبول الغسل منه </w:t>
      </w:r>
      <w:r>
        <w:rPr>
          <w:rStyle w:val="FootnoteAnchor"/>
          <w:rtl w:val="true"/>
        </w:rPr>
        <w:footnoteReference w:id="2600"/>
      </w:r>
      <w:r>
        <w:rPr>
          <w:rFonts w:ascii="IRNazanin" w:hAnsi="IRNazanin" w:eastAsia="IRNazanin"/>
          <w:color w:val="111111"/>
          <w:sz w:val="28"/>
          <w:sz w:val="28"/>
          <w:szCs w:val="28"/>
          <w:rtl w:val="true"/>
          <w:lang w:bidi="fa-IR"/>
        </w:rPr>
        <w:t>ارتفاع الحدث به فلا یجب الطهارة لما یستقبل، کما أنّ لازم قبول الصلاة</w:t>
      </w:r>
    </w:p>
    <w:p>
      <w:pPr>
        <w:pStyle w:val="BookText"/>
        <w:rPr/>
      </w:pPr>
      <w:r>
        <w:rPr>
          <w:rFonts w:ascii="IRNazanin" w:hAnsi="IRNazanin" w:eastAsia="IRNazanin"/>
          <w:color w:val="111111"/>
          <w:sz w:val="28"/>
          <w:sz w:val="28"/>
          <w:szCs w:val="28"/>
          <w:rtl w:val="true"/>
          <w:lang w:bidi="fa-IR"/>
        </w:rPr>
        <w:t xml:space="preserve">سقوط الأمر به و إن کان الوقت باقیا، و لذا لا یحکم علیه بوجوب إعادة الصلاة إذا استبصر فی الوقت بعد ما صلّی، مع أنّ کلّ جزء من الوقت سبب لوجوب الصلاة، و لذا تجب علی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کالصغیر إذا بلغ فی أثناء الوقت فعل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من الجنابة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مقتضی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قبله</w:t>
      </w:r>
      <w:r>
        <w:rPr>
          <w:rFonts w:eastAsia="IRNazanin" w:cs="IRNazanin"/>
          <w:color w:val="111111"/>
          <w:sz w:val="28"/>
          <w:szCs w:val="28"/>
          <w:rtl w:val="true"/>
          <w:lang w:bidi="fa-IR"/>
        </w:rPr>
        <w:t xml:space="preserve">» </w:t>
      </w:r>
      <w:r>
        <w:rPr>
          <w:rStyle w:val="FootnoteAnchor"/>
          <w:rtl w:val="true"/>
        </w:rPr>
        <w:footnoteReference w:id="2601"/>
      </w:r>
      <w:r>
        <w:rPr>
          <w:rFonts w:ascii="IRNazanin" w:hAnsi="IRNazanin" w:eastAsia="IRNazanin"/>
          <w:color w:val="111111"/>
          <w:sz w:val="28"/>
          <w:sz w:val="28"/>
          <w:szCs w:val="28"/>
          <w:rtl w:val="true"/>
          <w:lang w:bidi="fa-IR"/>
        </w:rPr>
        <w:t>عدم وجوب الغسل علیه، لأنّ معنی هدم کلّ ما کان قبله عدم تأثیر ما وقع حال الکفر فی وجوب شی‌ء علیه بعد الإسلام، بل صیرورته بالإسلام کأن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دفعه فی جامع المقاصد </w:t>
      </w:r>
      <w:r>
        <w:rPr>
          <w:rStyle w:val="FootnoteAnchor"/>
          <w:rtl w:val="true"/>
        </w:rPr>
        <w:footnoteReference w:id="2602"/>
      </w:r>
      <w:r>
        <w:rPr>
          <w:rFonts w:ascii="IRNazanin" w:hAnsi="IRNazanin" w:eastAsia="IRNazanin"/>
          <w:color w:val="111111"/>
          <w:sz w:val="28"/>
          <w:sz w:val="28"/>
          <w:szCs w:val="28"/>
          <w:rtl w:val="true"/>
          <w:lang w:bidi="fa-IR"/>
        </w:rPr>
        <w:t>بما حاصله منع عموم الموصول مجرّدا عن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تسلیم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بحکم النبوی تأثیر ما کان قبل الإسلام فی وجوب شی‌ء بعده، فإنّ فوت الصلاة أو الصوم فی وقتهما سبب لوجوب القضاء، فالفوت الواقع حال الکفر غیر مؤثّر فی وجوب القضاء بعد الإسلام، أمّا سبب الجنابة الحادث قبل الإسلام فهو فی نفسه غیر مؤثّر لوجوب الغسل، و إنّما هو سبب للجنابة التی هی حالة معنویّة موجبة لأحکام کثیرة، کحرمة أمور علیه، و کراهة حضوره عند المیّت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ثبت بالنبویّ ارتفاع الجنابة بالإسلام سقط </w:t>
      </w:r>
      <w:r>
        <w:rPr>
          <w:rStyle w:val="FootnoteAnchor"/>
          <w:rtl w:val="true"/>
        </w:rPr>
        <w:footnoteReference w:id="2603"/>
      </w:r>
      <w:r>
        <w:rPr>
          <w:rFonts w:ascii="IRNazanin" w:hAnsi="IRNazanin" w:eastAsia="IRNazanin"/>
          <w:color w:val="111111"/>
          <w:sz w:val="28"/>
          <w:sz w:val="28"/>
          <w:szCs w:val="28"/>
          <w:rtl w:val="true"/>
          <w:lang w:bidi="fa-IR"/>
        </w:rPr>
        <w:t>وجوب الغسل،</w:t>
      </w:r>
    </w:p>
    <w:p>
      <w:pPr>
        <w:pStyle w:val="BookText"/>
        <w:rPr/>
      </w:pPr>
      <w:r>
        <w:rPr>
          <w:rFonts w:ascii="IRNazanin" w:hAnsi="IRNazanin" w:eastAsia="IRNazanin"/>
          <w:color w:val="111111"/>
          <w:sz w:val="28"/>
          <w:sz w:val="28"/>
          <w:szCs w:val="28"/>
          <w:rtl w:val="true"/>
          <w:lang w:bidi="fa-IR"/>
        </w:rPr>
        <w:t>لأنّه لرفع حدث الجنابة، أمّا لو لم یثبت، فوجوب الغسل بتأثیر الجنابة الموجودة حال الإسلام، لا سببها المتحقّق حال الکفر، و هو نظیر ما إذا أسلم قبل غروب الشمس، فإنّ وجوب الصلاة علیه، من حیث وجود سبب الوجوب علیه حال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فی جزء من الوقت جامعا لشرائط التکلیف، و لیس وجوبها علیه فی هذا الزمان مسبّبا عن دلوک الشمس قبل الإسلام حتّی نحکم بعدم کونه مؤثّرا و کونه کأن لم یکن، و حیث إنّه لم یثبت من حدیث الجبّ ارتفاع حدث الجنابة أو الحیض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متطهّرا، یجری علیه أحکام الطاهرین، لأنّ مساق الحدیث العفو و المسامحة المناسبتین للأمور الراجعة إلی التکلیف، دون مثل الطهارة من الحیض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الحدث باقیا فیجب علیه رفعه </w:t>
      </w:r>
      <w:r>
        <w:rPr>
          <w:rStyle w:val="FootnoteAnchor"/>
          <w:rtl w:val="true"/>
        </w:rPr>
        <w:footnoteReference w:id="2604"/>
      </w:r>
      <w:r>
        <w:rPr>
          <w:rFonts w:ascii="IRNazanin" w:hAnsi="IRNazanin" w:eastAsia="IRNazanin"/>
          <w:color w:val="111111"/>
          <w:sz w:val="28"/>
          <w:sz w:val="28"/>
          <w:szCs w:val="28"/>
          <w:rtl w:val="true"/>
          <w:lang w:bidi="fa-IR"/>
        </w:rPr>
        <w:t>عند وجود ما یشترط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النبویّ مختصّ بما إذا تحقّق تکلیف قبل الإسلام بسبب من الأسباب </w:t>
      </w:r>
      <w:r>
        <w:rPr>
          <w:rStyle w:val="FootnoteAnchor"/>
          <w:rtl w:val="true"/>
        </w:rPr>
        <w:footnoteReference w:id="2605"/>
      </w:r>
      <w:r>
        <w:rPr>
          <w:rFonts w:ascii="IRNazanin" w:hAnsi="IRNazanin" w:eastAsia="IRNazanin"/>
          <w:color w:val="111111"/>
          <w:sz w:val="28"/>
          <w:sz w:val="28"/>
          <w:szCs w:val="28"/>
          <w:rtl w:val="true"/>
          <w:lang w:bidi="fa-IR"/>
        </w:rPr>
        <w:t>، فإنّه ینقطع و ینهدم بالإسلام دون سائر الأمور فإنّها لا تنقطع، فالتکلیف بعد الإسلام لوجود السبب حینئذ، لا للسبب الحادث قبله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فساد الاستشهاد بعموم حدیث </w:t>
      </w:r>
      <w:r>
        <w:rPr>
          <w:rStyle w:val="FootnoteAnchor"/>
          <w:rtl w:val="true"/>
        </w:rPr>
        <w:footnoteReference w:id="2606"/>
      </w:r>
      <w:r>
        <w:rPr>
          <w:rFonts w:ascii="IRNazanin" w:hAnsi="IRNazanin" w:eastAsia="IRNazanin"/>
          <w:color w:val="111111"/>
          <w:sz w:val="28"/>
          <w:sz w:val="28"/>
          <w:szCs w:val="28"/>
          <w:rtl w:val="true"/>
          <w:lang w:bidi="fa-IR"/>
        </w:rPr>
        <w:t xml:space="preserve">ببعض </w:t>
      </w:r>
      <w:r>
        <w:rPr>
          <w:rStyle w:val="FootnoteAnchor"/>
          <w:rtl w:val="true"/>
        </w:rPr>
        <w:footnoteReference w:id="2607"/>
      </w:r>
      <w:r>
        <w:rPr>
          <w:rFonts w:ascii="IRNazanin" w:hAnsi="IRNazanin" w:eastAsia="IRNazanin"/>
          <w:color w:val="111111"/>
          <w:sz w:val="28"/>
          <w:sz w:val="28"/>
          <w:szCs w:val="28"/>
          <w:rtl w:val="true"/>
          <w:lang w:bidi="fa-IR"/>
        </w:rPr>
        <w:t>الروایات التی یظهر منها تقریر الإمام علیه السلام لاقتضاء حدیث الجبّ سقوط حدّ الزنا عن الکافر إذا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الزنا قبل الإسلام سبب لوجوب الحدّ بعده، فعموم الروایة یقتضی نفیه إلّا لمانع، بخلاف ما نحن فیه، فإنّ سبب الوجوب هی الجنابة الموجودة بعد الإسلام، لا سببها الحادث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المذکورة هی ما رواه المشایخ الثلاثة، و الطبرسی عن جعفر ابن رزق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إلی المتوکّل رجل نصرانیّ مع امرأة مسلمة فأراد أن یقیم علیه الحدّ فأسلم، 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هدم إیمانه شرکه و فعله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به کذا و کذا، فأمر المتوکّل بالکتاب إلی أبی الحسن الثالث علیه السلام و سأله عن ذلک، فلمّا قدم الکتاب کتب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حتّی یموت، فأنکر یحیی بن أکثم و أنکر فقهاء العسکر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 عن هذا فإنّه شی‌ء لم ینطق به کتاب، و لم یجئ به سنّة، فکتب إلیه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فقهاء المسلمین قد أنکروه، و </w:t>
      </w:r>
      <w:r>
        <w:rPr>
          <w:rStyle w:val="FootnoteAnchor"/>
          <w:rtl w:val="true"/>
        </w:rPr>
        <w:footnoteReference w:id="260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یجئ به سنّة و لم ینطق به کتاب، فبیّن لنا بما أوجبت علیه الضرب حتّی یموت؟ فکتب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المتوکّل فضرب حتّی مات</w:t>
      </w:r>
      <w:r>
        <w:rPr>
          <w:rFonts w:eastAsia="Amiri" w:cs="Amiri" w:ascii="Amiri" w:hAnsi="Amiri"/>
          <w:color w:val="111111"/>
          <w:sz w:val="28"/>
          <w:szCs w:val="28"/>
          <w:rtl w:val="true"/>
          <w:lang w:bidi="ar-SA"/>
        </w:rPr>
        <w:t xml:space="preserve">» </w:t>
      </w:r>
      <w:r>
        <w:rPr>
          <w:rStyle w:val="FootnoteAnchor"/>
          <w:rtl w:val="true"/>
        </w:rPr>
        <w:footnoteReference w:id="2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w:t>
      </w:r>
    </w:p>
    <w:p>
      <w:pPr>
        <w:pStyle w:val="BookText"/>
        <w:rPr/>
      </w:pPr>
      <w:r>
        <w:rPr>
          <w:rFonts w:ascii="IRNazanin" w:hAnsi="IRNazanin" w:eastAsia="IRNazanin"/>
          <w:color w:val="111111"/>
          <w:sz w:val="28"/>
          <w:sz w:val="28"/>
          <w:szCs w:val="28"/>
          <w:rtl w:val="true"/>
          <w:lang w:bidi="fa-IR"/>
        </w:rPr>
        <w:t xml:space="preserve">جواب الإمام علیه السلام بالآیة </w:t>
      </w:r>
      <w:r>
        <w:rPr>
          <w:rStyle w:val="FootnoteAnchor"/>
          <w:rtl w:val="true"/>
        </w:rPr>
        <w:footnoteReference w:id="2611"/>
      </w:r>
      <w:r>
        <w:rPr>
          <w:rFonts w:ascii="IRNazanin" w:hAnsi="IRNazanin" w:eastAsia="IRNazanin"/>
          <w:color w:val="111111"/>
          <w:sz w:val="28"/>
          <w:sz w:val="28"/>
          <w:szCs w:val="28"/>
          <w:rtl w:val="true"/>
          <w:lang w:bidi="fa-IR"/>
        </w:rPr>
        <w:t>تقریره علیه السلام لما فهمه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اقتضاء عموم حدیث الجبّ لدفع الحدّ عنه و هدم ما کان حال الکفر بالإسلام، إلّا أنّه علیه السلام أجاب بما أجاب و حاصله عدم نفع الإیمان عند إرادة إقامة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 أنّ عموم الحدیث لسقوط وجوب الحدّ بالإسلام لا ینافی ما نحن فیه، للفرق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المقام أنّ مقتضی عمومه سقوط حقوق الناس إذا حدث سببها حال الکفر، 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أسبابها سبب لاشتغال الذمّة و هو باق إلی ما بعد الإسلام و یکون سببا لوجوب الأداء، لأنّ نفس اشتغال الذمّة ممّا ینفیه حدیث الجبّ الوارد مورد العفو و المسامحة، و لیس نظیر الجنابة و الحدث الأصغر،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 منه حکومة حدیث الجبّ علی أدلّة تأثیر تلک الأسباب، و ما دلّ علی أنّه لا مسقط لحقوق الناس إلّا أداؤها أو عفو صاحب الحق </w:t>
      </w:r>
      <w:r>
        <w:rPr>
          <w:rStyle w:val="FootnoteAnchor"/>
          <w:rtl w:val="true"/>
        </w:rPr>
        <w:footnoteReference w:id="2612"/>
      </w:r>
      <w:r>
        <w:rPr>
          <w:rFonts w:ascii="IRNazanin" w:hAnsi="IRNazanin" w:eastAsia="IRNazanin"/>
          <w:color w:val="111111"/>
          <w:sz w:val="28"/>
          <w:sz w:val="28"/>
          <w:szCs w:val="28"/>
          <w:rtl w:val="true"/>
          <w:lang w:bidi="fa-IR"/>
        </w:rPr>
        <w:t>فلا یتوهّم معارضته لها بالعموم من وجه و الرجوع إلی أصالة بقاء الحقّ</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التمسّک لعدم السقوط بما دلّ علی أنّ المخالف یعید الزکاة، معلّلا بأنّه وضعها فی غیر موضعها، و أنّه أبعد حقّ امرئ مسلم، و أعطاه غیره </w:t>
      </w:r>
      <w:r>
        <w:rPr>
          <w:rStyle w:val="FootnoteAnchor"/>
          <w:rtl w:val="true"/>
        </w:rPr>
        <w:footnoteReference w:id="2613"/>
      </w:r>
      <w:r>
        <w:rPr>
          <w:rFonts w:ascii="IRNazanin" w:hAnsi="IRNazanin" w:eastAsia="IRNazanin"/>
          <w:color w:val="111111"/>
          <w:sz w:val="28"/>
          <w:sz w:val="28"/>
          <w:szCs w:val="28"/>
          <w:rtl w:val="true"/>
          <w:lang w:bidi="fa-IR"/>
        </w:rPr>
        <w:t>، فیدلّ علی أنّ حقوق الناس لا تسقط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یوهنه أنّ المشهور سقوط الزکاة عن الکافر بالإسلام و إن بقی عین النصاب، استنادا إلی حدیث الجبّ </w:t>
      </w:r>
      <w:r>
        <w:rPr>
          <w:rStyle w:val="FootnoteAnchor"/>
          <w:rtl w:val="true"/>
        </w:rPr>
        <w:footnoteReference w:id="2614"/>
      </w:r>
      <w:r>
        <w:rPr>
          <w:rFonts w:ascii="IRNazanin" w:hAnsi="IRNazanin" w:eastAsia="IRNazanin"/>
          <w:color w:val="111111"/>
          <w:sz w:val="28"/>
          <w:sz w:val="28"/>
          <w:szCs w:val="28"/>
          <w:rtl w:val="true"/>
          <w:lang w:bidi="fa-IR"/>
        </w:rPr>
        <w:t>، و إن کان بین الزکاة و دیون الناس فرق، من حیث أنّ اشتغال الذمّة بحقّ الناس فی الزکاة متفرّع علی تکلیفه بالإخراج، فإذا سقط بالإسلام التکلیف سقط الاشتغال، بخلاف الدیون، فإنّ التکلیف بأدائها متفرّع علی اشتغال الذمّة بها عکس الزکاة، فلا یرتفع التکلیف إلّا ببراءة الذمّة، فیرجع الکلام إلی دلالة حدیث الجبّ علی سقوط الاشتغال، و المسألة محتاجة إلی التأمّل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حدثه بمجرّد الارتداد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عمله و لا شی‌ء من عمله، فضلا عن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w:t>
      </w:r>
      <w:r>
        <w:rPr>
          <w:rStyle w:val="FootnoteAnchor"/>
          <w:rtl w:val="true"/>
        </w:rPr>
        <w:footnoteReference w:id="2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للأصل، و قوله علیه السلام فی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مؤمنا فحجّ، و عمل فی إیمانه، ثمّ أصابته فتنة، ثمّ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و آمن یحسب له کلّ عمل صالح عمله فی إیمانه، و لا یبطل منه شی‌ء</w:t>
      </w:r>
      <w:r>
        <w:rPr>
          <w:rFonts w:eastAsia="IRNazanin" w:cs="IRNazanin"/>
          <w:color w:val="111111"/>
          <w:sz w:val="28"/>
          <w:szCs w:val="28"/>
          <w:rtl w:val="true"/>
          <w:lang w:bidi="fa-IR"/>
        </w:rPr>
        <w:t xml:space="preserve">»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مفهوم الروایة أنّه لو لم یعد إلی الإیمان بطل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لأنّ الکفر محبط أو کاشف عن عدم صحّته، بناء علی أنّ الصحّة مشروطة بالإیمان المستقرّ، أو أنّ المستودع لیس بإیمان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یعود حدثه؟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رفع الحدث مترتّب علی الامتثال المستلزم للثواب، فانتفاؤه یکشف عن عدم الامتثال الموجب لبقاء الحدث،</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 الحبط </w:t>
      </w:r>
      <w:r>
        <w:rPr>
          <w:rStyle w:val="FootnoteAnchor"/>
          <w:rtl w:val="true"/>
        </w:rPr>
        <w:footnoteReference w:id="2617"/>
      </w:r>
      <w:r>
        <w:rPr>
          <w:rFonts w:ascii="IRNazanin" w:hAnsi="IRNazanin" w:eastAsia="IRNazanin"/>
          <w:color w:val="111111"/>
          <w:sz w:val="28"/>
          <w:sz w:val="28"/>
          <w:szCs w:val="28"/>
          <w:rtl w:val="true"/>
          <w:lang w:bidi="fa-IR"/>
        </w:rPr>
        <w:t>حکم شرعی، و رفع الحدث إنّما یترتّب علی الفعل الصحیح حین الوقوع، و اشتراطه بالإیمان المستقرّ غیر ثابت، و المسألة قلیلة الجدوی</w:t>
      </w:r>
      <w:r>
        <w:rPr>
          <w:rFonts w:eastAsia="IRNazanin" w:cs="IRNazanin"/>
          <w:color w:val="111111"/>
          <w:sz w:val="28"/>
          <w:szCs w:val="28"/>
          <w:rtl w:val="true"/>
          <w:lang w:bidi="fa-IR"/>
        </w:rPr>
        <w:t>.</w:t>
      </w:r>
      <w:bookmarkStart w:id="308" w:name="pg13035_132079"/>
    </w:p>
    <w:p>
      <w:pPr>
        <w:pStyle w:val="BookText"/>
        <w:rPr/>
      </w:pPr>
      <w:bookmarkEnd w:id="308"/>
      <w:r>
        <w:rPr>
          <w:rFonts w:ascii="IRNazanin" w:hAnsi="IRNazanin" w:eastAsia="IRNazanin"/>
          <w:color w:val="111111"/>
          <w:sz w:val="28"/>
          <w:sz w:val="28"/>
          <w:szCs w:val="28"/>
          <w:rtl w:val="true"/>
          <w:lang w:bidi="fa-IR"/>
        </w:rPr>
        <w:t xml:space="preserve">حکم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علی الجنابة</w:t>
      </w:r>
      <w:r>
        <w:rPr>
          <w:rFonts w:eastAsia="IRNazanin" w:cs="IRNazanin"/>
          <w:color w:val="111111"/>
          <w:sz w:val="28"/>
          <w:szCs w:val="28"/>
          <w:rtl w:val="true"/>
          <w:lang w:bidi="fa-IR"/>
        </w:rPr>
        <w:t>:</w:t>
      </w:r>
    </w:p>
    <w:p>
      <w:pPr>
        <w:pStyle w:val="Heading6"/>
        <w:numPr>
          <w:ilvl w:val="5"/>
          <w:numId w:val="1"/>
        </w:numPr>
        <w:rPr/>
      </w:pPr>
      <w:bookmarkStart w:id="309" w:name="__RefHeading___Toc6370084_3224264995"/>
      <w:bookmarkStart w:id="310" w:name="_Toc119"/>
      <w:bookmarkEnd w:id="309"/>
      <w:r>
        <w:rPr>
          <w:rtl w:val="true"/>
        </w:rPr>
        <w:t>[</w:t>
      </w:r>
      <w:r>
        <w:rPr>
          <w:rtl w:val="true"/>
        </w:rPr>
        <w:t>ما یحرم علی الجنب</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فیحرم علیه قراءة کلّ من سور العزائم </w:t>
      </w:r>
      <w:r>
        <w:rPr>
          <w:rStyle w:val="FootnoteAnchor"/>
          <w:rtl w:val="true"/>
        </w:rPr>
        <w:footnoteReference w:id="2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التنزیل، و حم السجدة، و سورة النجم، و سورة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أن یقرأ من سور القرآن و آیة ما شاء إلّا أربع سور منه، فإنّه لا یقرؤها حتّی یطهر ثمّ ذکر السور،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هذه السور سجودا واجبا، و لا یجوز السجود إلّا لطاهر من النجاسات </w:t>
      </w:r>
      <w:r>
        <w:rPr>
          <w:rStyle w:val="FootnoteAnchor"/>
          <w:rtl w:val="true"/>
        </w:rPr>
        <w:footnoteReference w:id="261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استدلّ الشیخ فی التهذیب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للجنب أن یقرأ من القرآن ما شاء إلّا سور العزائم الأربع، روی ذلک البزنطی فی جامعه عن الحسن الصیقل، و هو مذهب فقهائنا أجمع </w:t>
      </w:r>
      <w:r>
        <w:rPr>
          <w:rStyle w:val="FootnoteAnchor"/>
          <w:rtl w:val="true"/>
        </w:rPr>
        <w:footnoteReference w:id="262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الجنب قراءة العزائم، و هی أربع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تحریم العزائم فبإجماع أهل البیت علیهم السلام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ادّعی الإجماع فی السرائر </w:t>
      </w:r>
      <w:r>
        <w:rPr>
          <w:rStyle w:val="FootnoteAnchor"/>
          <w:rtl w:val="true"/>
        </w:rPr>
        <w:footnoteReference w:id="2623"/>
      </w:r>
      <w:r>
        <w:rPr>
          <w:rFonts w:ascii="IRNazanin" w:hAnsi="IRNazanin" w:eastAsia="IRNazanin"/>
          <w:color w:val="111111"/>
          <w:sz w:val="28"/>
          <w:sz w:val="28"/>
          <w:szCs w:val="28"/>
          <w:rtl w:val="true"/>
          <w:lang w:bidi="fa-IR"/>
        </w:rPr>
        <w:t xml:space="preserve">و الذکری أیضا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استدلال الشیخین حرمة قراءة مجموع السورة، لاشتمالها علی آیة العزیمة و هو ظاهر معقد إجماع التذکرة و المنتهی، لأنّه ذکر بعد ذلک فی الفروع حرمة قراءة أبعاض السور </w:t>
      </w:r>
      <w:r>
        <w:rPr>
          <w:rStyle w:val="FootnoteAnchor"/>
          <w:rtl w:val="true"/>
        </w:rPr>
        <w:footnoteReference w:id="2625"/>
      </w:r>
      <w:r>
        <w:rPr>
          <w:rFonts w:ascii="IRNazanin" w:hAnsi="IRNazanin" w:eastAsia="IRNazanin"/>
          <w:color w:val="111111"/>
          <w:sz w:val="28"/>
          <w:sz w:val="28"/>
          <w:szCs w:val="28"/>
          <w:rtl w:val="true"/>
          <w:lang w:bidi="fa-IR"/>
        </w:rPr>
        <w:t xml:space="preserve">، و لذا حکی عن کاشف اللثام أنّه احتمل حرمة خصوص آیة السجدة عن عدّة من کتب الجماعة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یبعد إرادة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ذکرهم کراهة ما زاد علی السبع من عموم الجواز من غیر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هو المجموع فإن کان باعتبار اشتماله علی آیة السجدة فهی المحرّمة فی الحقیقة، و لا ینبغی التعبیر عن ذلک بحرمة السورة، لأنّ ما عدا آیة السجدة منها لا دخل له فی الحرمة، و إن کان باعتبار المجموع من حیث المجموع کان اللازم عدم تحریم قراءة خصوص آیة السجدة، و لا أظنّ أحدا التزم به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لفهم ذلک کلّه ادّعی فی الروض </w:t>
      </w:r>
      <w:r>
        <w:rPr>
          <w:rStyle w:val="FootnoteAnchor"/>
          <w:rtl w:val="true"/>
        </w:rPr>
        <w:footnoteReference w:id="2627"/>
      </w:r>
      <w:r>
        <w:rPr>
          <w:rFonts w:ascii="IRNazanin" w:hAnsi="IRNazanin" w:eastAsia="IRNazanin"/>
          <w:color w:val="111111"/>
          <w:sz w:val="28"/>
          <w:sz w:val="28"/>
          <w:szCs w:val="28"/>
          <w:rtl w:val="true"/>
          <w:lang w:bidi="fa-IR"/>
        </w:rPr>
        <w:t xml:space="preserve">الإجماع صریحا </w:t>
      </w:r>
      <w:r>
        <w:rPr>
          <w:rStyle w:val="FootnoteAnchor"/>
          <w:rtl w:val="true"/>
        </w:rPr>
        <w:footnoteReference w:id="2628"/>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Style w:val="FootnoteAnchor"/>
          <w:rtl w:val="true"/>
        </w:rPr>
        <w:footnoteReference w:id="2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بعضها حتّی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نواها منها</w:t>
      </w:r>
      <w:r>
        <w:rPr>
          <w:rFonts w:eastAsia="IRNazanin" w:cs="IRNazanin"/>
          <w:color w:val="111111"/>
          <w:sz w:val="28"/>
          <w:szCs w:val="28"/>
          <w:rtl w:val="true"/>
          <w:lang w:bidi="fa-IR"/>
        </w:rPr>
        <w:t xml:space="preserve">) </w:t>
      </w:r>
      <w:r>
        <w:rPr>
          <w:rStyle w:val="FootnoteAnchor"/>
          <w:rtl w:val="true"/>
        </w:rPr>
        <w:footnoteReference w:id="2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ینسب دعوی هذا الإجماع إلی الذکری </w:t>
      </w:r>
      <w:r>
        <w:rPr>
          <w:rStyle w:val="FootnoteAnchor"/>
          <w:rtl w:val="true"/>
        </w:rPr>
        <w:footnoteReference w:id="2631"/>
      </w:r>
      <w:r>
        <w:rPr>
          <w:rFonts w:ascii="IRNazanin" w:hAnsi="IRNazanin" w:eastAsia="IRNazanin"/>
          <w:color w:val="111111"/>
          <w:sz w:val="28"/>
          <w:sz w:val="28"/>
          <w:szCs w:val="28"/>
          <w:rtl w:val="true"/>
          <w:lang w:bidi="fa-IR"/>
        </w:rPr>
        <w:t>و لم نجد فیها إلّا دعوی الإجماع علی حرمة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فی الروض من حرمة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النیّة لا إشکال إذا تلفّظ بها ناویا لضمّ غیرها ممّا یصدق معه علیه قراءة القرآن، أمّا لو قصد الاقتصار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حرمته إشکال، من حیث عدم صدق القراءة علیه، لأنّها لیست مطلق التلفّظ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قصد صدق أنّه اشتغل بالقراءة بأوّل حرف یتلفّظ به فیها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ظاهرا إلّا من الإسکافی فیما حکی عنه </w:t>
      </w:r>
      <w:r>
        <w:rPr>
          <w:rStyle w:val="FootnoteAnchor"/>
          <w:rtl w:val="true"/>
        </w:rPr>
        <w:footnoteReference w:id="2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الإجماع المدّعی فی کلام جماعة </w:t>
      </w:r>
      <w:r>
        <w:rPr>
          <w:rStyle w:val="FootnoteAnchor"/>
          <w:rtl w:val="true"/>
        </w:rPr>
        <w:footnoteReference w:id="2633"/>
      </w:r>
      <w:r>
        <w:rPr>
          <w:rFonts w:ascii="IRNazanin" w:hAnsi="IRNazanin" w:eastAsia="IRNazanin"/>
          <w:color w:val="111111"/>
          <w:sz w:val="28"/>
          <w:sz w:val="28"/>
          <w:szCs w:val="28"/>
          <w:rtl w:val="true"/>
          <w:lang w:bidi="fa-IR"/>
        </w:rPr>
        <w:t>قد انعقد بعده، أو فهموا من الکراهة فی کلامه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نسبة الکراهة إلی المبسوط </w:t>
      </w:r>
      <w:r>
        <w:rPr>
          <w:rStyle w:val="FootnoteAnchor"/>
          <w:rtl w:val="true"/>
        </w:rPr>
        <w:footnoteReference w:id="2634"/>
      </w:r>
      <w:r>
        <w:rPr>
          <w:rFonts w:ascii="Amiri" w:hAnsi="Amiri" w:eastAsia="Amiri" w:cs="Amiri"/>
          <w:color w:val="111111"/>
          <w:sz w:val="28"/>
          <w:sz w:val="28"/>
          <w:szCs w:val="28"/>
          <w:rtl w:val="true"/>
          <w:lang w:bidi="ar-SA"/>
        </w:rPr>
        <w:t>فغیر مطابقة لما وجدنا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استفاضة نقل الإجماع کفتنا مئونة الکلام فی 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2635"/>
      </w:r>
      <w:r>
        <w:rPr>
          <w:rFonts w:ascii="IRNazanin" w:hAnsi="IRNazanin" w:eastAsia="IRNazanin"/>
          <w:color w:val="111111"/>
          <w:sz w:val="28"/>
          <w:sz w:val="28"/>
          <w:szCs w:val="28"/>
          <w:rtl w:val="true"/>
          <w:lang w:bidi="fa-IR"/>
        </w:rPr>
        <w:t xml:space="preserve">، و دلالة روایة </w:t>
      </w:r>
      <w:r>
        <w:rPr>
          <w:rStyle w:val="FootnoteAnchor"/>
          <w:rtl w:val="true"/>
        </w:rPr>
        <w:footnoteReference w:id="2636"/>
      </w:r>
    </w:p>
    <w:p>
      <w:pPr>
        <w:pStyle w:val="BookText"/>
        <w:rPr/>
      </w:pPr>
      <w:r>
        <w:rPr>
          <w:rFonts w:ascii="IRNazanin" w:hAnsi="IRNazanin" w:eastAsia="IRNazanin"/>
          <w:color w:val="111111"/>
          <w:sz w:val="28"/>
          <w:sz w:val="28"/>
          <w:szCs w:val="28"/>
          <w:rtl w:val="true"/>
          <w:lang w:bidi="fa-IR"/>
        </w:rPr>
        <w:t>استشهد فیها بها للنهی عن عدّة أمور بعضها مکروه قطعا، و قد تقدّم ذلک فی حکم الحدث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مسّ الاسم، لا ما یوهمه العبارة من مسّ الشی‌ء الذی نقش علی بعض أجزائه اسم اللّٰه تعالی، کاللوح المنقوش فیه ذلک، و الدرهم و الدینار 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w:t>
      </w:r>
      <w:r>
        <w:rPr>
          <w:rStyle w:val="FootnoteAnchor"/>
          <w:rtl w:val="true"/>
        </w:rPr>
        <w:footnoteReference w:id="2637"/>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فحوی الحکم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الروایات </w:t>
      </w:r>
      <w:r>
        <w:rPr>
          <w:rStyle w:val="FootnoteAnchor"/>
          <w:rtl w:val="true"/>
        </w:rPr>
        <w:footnoteReference w:id="2638"/>
      </w:r>
      <w:r>
        <w:rPr>
          <w:rFonts w:ascii="IRNazanin" w:hAnsi="IRNazanin" w:eastAsia="IRNazanin"/>
          <w:color w:val="111111"/>
          <w:sz w:val="28"/>
          <w:sz w:val="28"/>
          <w:szCs w:val="28"/>
          <w:rtl w:val="true"/>
          <w:lang w:bidi="fa-IR"/>
        </w:rPr>
        <w:t xml:space="preserve">المنجبرة بالشهرة، و عدم الخلاف المحکیّ عن نهایة الإحکام </w:t>
      </w:r>
      <w:r>
        <w:rPr>
          <w:rStyle w:val="FootnoteAnchor"/>
          <w:rtl w:val="true"/>
        </w:rPr>
        <w:footnoteReference w:id="2639"/>
      </w:r>
      <w:r>
        <w:rPr>
          <w:rFonts w:ascii="IRNazanin" w:hAnsi="IRNazanin" w:eastAsia="IRNazanin"/>
          <w:color w:val="111111"/>
          <w:sz w:val="28"/>
          <w:sz w:val="28"/>
          <w:szCs w:val="28"/>
          <w:rtl w:val="true"/>
          <w:lang w:bidi="fa-IR"/>
        </w:rPr>
        <w:t xml:space="preserve">، و ظهور اتّفاق الأصحاب المحکیّ عن المنتهی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الجنب درهما و لا دینارا علیه اسم اللّٰه</w:t>
      </w:r>
      <w:r>
        <w:rPr>
          <w:rFonts w:eastAsia="IRNazanin" w:cs="IRNazanin"/>
          <w:color w:val="111111"/>
          <w:sz w:val="28"/>
          <w:szCs w:val="28"/>
          <w:rtl w:val="true"/>
          <w:lang w:bidi="fa-IR"/>
        </w:rPr>
        <w:t xml:space="preserve">»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دلّ علی جوز مسّ ما علیه ذلک، کروایة ابن محبوب المحکیّة فی المعتبر عن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الجنب یمسّ الدراهم و فیها اسم اللّٰه، و اسم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الجنب و الطامث یمسّان بأیدیهما الدراهم البیض؟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المحکیّ فی المعتبر أیضا عن جامع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یمسّ الرجل الدرهم الأبیض و هو 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لأوتیت بالدرهم فآخذه و إنّی جنب، و ما سمعت أحدا یکره من ذلک شیئا إلّا أنّ عبد اللّٰه بن محمّد کان یعیبهم عیبا شدیدا،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السورة من القرآن فی الدرهم فیعطی الزانیة، و فی الخمر، و یوضع علی لحم الخنزیر</w:t>
      </w:r>
      <w:r>
        <w:rPr>
          <w:rFonts w:eastAsia="IRNazanin" w:cs="IRNazanin"/>
          <w:color w:val="111111"/>
          <w:sz w:val="28"/>
          <w:szCs w:val="28"/>
          <w:rtl w:val="true"/>
          <w:lang w:bidi="fa-IR"/>
        </w:rPr>
        <w:t xml:space="preserve">» </w:t>
      </w:r>
      <w:r>
        <w:rPr>
          <w:rStyle w:val="FootnoteAnchor"/>
          <w:rtl w:val="true"/>
        </w:rPr>
        <w:footnoteReference w:id="2644"/>
      </w:r>
      <w:r>
        <w:rPr>
          <w:rFonts w:ascii="IRNazanin" w:hAnsi="IRNazanin" w:eastAsia="IRNazanin"/>
          <w:color w:val="111111"/>
          <w:sz w:val="28"/>
          <w:sz w:val="28"/>
          <w:szCs w:val="28"/>
          <w:rtl w:val="true"/>
          <w:lang w:bidi="fa-IR"/>
        </w:rPr>
        <w:t>، فهی محمولة علی مسّ ما عدا الاسم کما یشهد له ذیل الروایة الأخیرة، مع حرمة مسّ سورة القرآن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مقتضی إطلاق عبارة المصنّف رحمه اللّٰه 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مسّ کلّ اسم مختصّ به جلّ اسمه و إن کانت من صفاته المختصّة بحسب الاستعمال بل المشترکة إذا عدّ من أسماء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تغییر الحکم بصیرورة الاسم جزءا من أسماء المخلوق، کعبد اللّٰه و عبد الرحمن علی إشکال، خصوصا مع کون المرکّب مزجیّا، لا إضافیا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إلحاق اسم النبیّ صلّی اللّٰه علیه و آله و الأئمة علیهم السلام و سائر الأنبیاء علیهم السلام، کما عن المقنع </w:t>
      </w:r>
      <w:r>
        <w:rPr>
          <w:rStyle w:val="FootnoteAnchor"/>
          <w:rtl w:val="true"/>
        </w:rPr>
        <w:footnoteReference w:id="2645"/>
      </w:r>
      <w:r>
        <w:rPr>
          <w:rFonts w:ascii="IRNazanin" w:hAnsi="IRNazanin" w:eastAsia="IRNazanin"/>
          <w:color w:val="111111"/>
          <w:sz w:val="28"/>
          <w:sz w:val="28"/>
          <w:szCs w:val="28"/>
          <w:rtl w:val="true"/>
          <w:lang w:bidi="fa-IR"/>
        </w:rPr>
        <w:t xml:space="preserve">و المبسوط </w:t>
      </w:r>
      <w:r>
        <w:rPr>
          <w:rStyle w:val="FootnoteAnchor"/>
          <w:rtl w:val="true"/>
        </w:rPr>
        <w:footnoteReference w:id="2646"/>
      </w:r>
      <w:r>
        <w:rPr>
          <w:rFonts w:ascii="IRNazanin" w:hAnsi="IRNazanin" w:eastAsia="IRNazanin"/>
          <w:color w:val="111111"/>
          <w:sz w:val="28"/>
          <w:sz w:val="28"/>
          <w:szCs w:val="28"/>
          <w:rtl w:val="true"/>
          <w:lang w:bidi="fa-IR"/>
        </w:rPr>
        <w:t xml:space="preserve">و الغنیة </w:t>
      </w:r>
      <w:r>
        <w:rPr>
          <w:rStyle w:val="FootnoteAnchor"/>
          <w:rtl w:val="true"/>
        </w:rPr>
        <w:footnoteReference w:id="2647"/>
      </w:r>
      <w:r>
        <w:rPr>
          <w:rFonts w:ascii="IRNazanin" w:hAnsi="IRNazanin" w:eastAsia="IRNazanin"/>
          <w:color w:val="111111"/>
          <w:sz w:val="28"/>
          <w:sz w:val="28"/>
          <w:szCs w:val="28"/>
          <w:rtl w:val="true"/>
          <w:lang w:bidi="fa-IR"/>
        </w:rPr>
        <w:t xml:space="preserve">و الوسیلة </w:t>
      </w:r>
      <w:r>
        <w:rPr>
          <w:rStyle w:val="FootnoteAnchor"/>
          <w:rtl w:val="true"/>
        </w:rPr>
        <w:footnoteReference w:id="2648"/>
      </w:r>
    </w:p>
    <w:p>
      <w:pPr>
        <w:pStyle w:val="BookText"/>
        <w:rPr/>
      </w:pPr>
      <w:r>
        <w:rPr>
          <w:rFonts w:ascii="Amiri" w:hAnsi="Amiri" w:eastAsia="Amiri" w:cs="Amiri"/>
          <w:color w:val="111111"/>
          <w:sz w:val="28"/>
          <w:sz w:val="28"/>
          <w:szCs w:val="28"/>
          <w:rtl w:val="true"/>
          <w:lang w:bidi="ar-SA"/>
        </w:rPr>
        <w:t xml:space="preserve">و المهذّب </w:t>
      </w:r>
      <w:r>
        <w:rPr>
          <w:rStyle w:val="FootnoteAnchor"/>
          <w:rtl w:val="true"/>
        </w:rPr>
        <w:footnoteReference w:id="2649"/>
      </w:r>
      <w:r>
        <w:rPr>
          <w:rFonts w:ascii="IRNazanin" w:hAnsi="IRNazanin" w:eastAsia="IRNazanin"/>
          <w:color w:val="111111"/>
          <w:sz w:val="28"/>
          <w:sz w:val="28"/>
          <w:szCs w:val="28"/>
          <w:rtl w:val="true"/>
          <w:lang w:bidi="fa-IR"/>
        </w:rPr>
        <w:t xml:space="preserve">و السرائر </w:t>
      </w:r>
      <w:r>
        <w:rPr>
          <w:rStyle w:val="FootnoteAnchor"/>
          <w:rtl w:val="true"/>
        </w:rPr>
        <w:footnoteReference w:id="2650"/>
      </w:r>
      <w:r>
        <w:rPr>
          <w:rFonts w:ascii="IRNazanin" w:hAnsi="IRNazanin" w:eastAsia="IRNazanin"/>
          <w:color w:val="111111"/>
          <w:sz w:val="28"/>
          <w:sz w:val="28"/>
          <w:szCs w:val="28"/>
          <w:rtl w:val="true"/>
          <w:lang w:bidi="fa-IR"/>
        </w:rPr>
        <w:t xml:space="preserve">و الجامع </w:t>
      </w:r>
      <w:r>
        <w:rPr>
          <w:rStyle w:val="FootnoteAnchor"/>
          <w:rtl w:val="true"/>
        </w:rPr>
        <w:footnoteReference w:id="2651"/>
      </w:r>
      <w:r>
        <w:rPr>
          <w:rFonts w:ascii="IRNazanin" w:hAnsi="IRNazanin" w:eastAsia="IRNazanin"/>
          <w:color w:val="111111"/>
          <w:sz w:val="28"/>
          <w:sz w:val="28"/>
          <w:szCs w:val="28"/>
          <w:rtl w:val="true"/>
          <w:lang w:bidi="fa-IR"/>
        </w:rPr>
        <w:t xml:space="preserve">و الإرشاد </w:t>
      </w:r>
      <w:r>
        <w:rPr>
          <w:rStyle w:val="FootnoteAnchor"/>
          <w:rtl w:val="true"/>
        </w:rPr>
        <w:footnoteReference w:id="2652"/>
      </w:r>
      <w:r>
        <w:rPr>
          <w:rFonts w:ascii="IRNazanin" w:hAnsi="IRNazanin" w:eastAsia="IRNazanin"/>
          <w:color w:val="111111"/>
          <w:sz w:val="28"/>
          <w:sz w:val="28"/>
          <w:szCs w:val="28"/>
          <w:rtl w:val="true"/>
          <w:lang w:bidi="fa-IR"/>
        </w:rPr>
        <w:t xml:space="preserve">و الذکری </w:t>
      </w:r>
      <w:r>
        <w:rPr>
          <w:rStyle w:val="FootnoteAnchor"/>
          <w:rtl w:val="true"/>
        </w:rPr>
        <w:footnoteReference w:id="2653"/>
      </w:r>
      <w:r>
        <w:rPr>
          <w:rFonts w:ascii="IRNazanin" w:hAnsi="IRNazanin" w:eastAsia="IRNazanin"/>
          <w:color w:val="111111"/>
          <w:sz w:val="28"/>
          <w:sz w:val="28"/>
          <w:szCs w:val="28"/>
          <w:rtl w:val="true"/>
          <w:lang w:bidi="fa-IR"/>
        </w:rPr>
        <w:t xml:space="preserve">و الدروس </w:t>
      </w:r>
      <w:r>
        <w:rPr>
          <w:rStyle w:val="FootnoteAnchor"/>
          <w:rtl w:val="true"/>
        </w:rPr>
        <w:footnoteReference w:id="2654"/>
      </w:r>
      <w:r>
        <w:rPr>
          <w:rFonts w:ascii="IRNazanin" w:hAnsi="IRNazanin" w:eastAsia="IRNazanin"/>
          <w:color w:val="111111"/>
          <w:sz w:val="28"/>
          <w:sz w:val="28"/>
          <w:szCs w:val="28"/>
          <w:rtl w:val="true"/>
          <w:lang w:bidi="fa-IR"/>
        </w:rPr>
        <w:t xml:space="preserve">و الروض </w:t>
      </w:r>
      <w:r>
        <w:rPr>
          <w:rStyle w:val="FootnoteAnchor"/>
          <w:rtl w:val="true"/>
        </w:rPr>
        <w:footnoteReference w:id="265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656"/>
      </w:r>
      <w:r>
        <w:rPr>
          <w:rFonts w:ascii="IRNazanin" w:hAnsi="IRNazanin" w:eastAsia="IRNazanin"/>
          <w:color w:val="111111"/>
          <w:sz w:val="28"/>
          <w:sz w:val="28"/>
          <w:szCs w:val="28"/>
          <w:rtl w:val="true"/>
          <w:lang w:bidi="fa-IR"/>
        </w:rPr>
        <w:t xml:space="preserve">، و عن الأخیر نسبته إلی کبراء الأصحاب، و عن الغنیة الإجماع علیه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عبائر جماعة </w:t>
      </w:r>
      <w:r>
        <w:rPr>
          <w:rStyle w:val="FootnoteAnchor"/>
          <w:rtl w:val="true"/>
        </w:rPr>
        <w:footnoteReference w:id="2658"/>
      </w:r>
      <w:r>
        <w:rPr>
          <w:rFonts w:ascii="IRNazanin" w:hAnsi="IRNazanin" w:eastAsia="IRNazanin"/>
          <w:color w:val="111111"/>
          <w:sz w:val="28"/>
          <w:sz w:val="28"/>
          <w:szCs w:val="28"/>
          <w:rtl w:val="true"/>
          <w:lang w:bidi="fa-IR"/>
        </w:rPr>
        <w:t xml:space="preserve">، بل دخولها کما فی المبسوط </w:t>
      </w:r>
      <w:r>
        <w:rPr>
          <w:rStyle w:val="FootnoteAnchor"/>
          <w:rtl w:val="true"/>
        </w:rPr>
        <w:footnoteReference w:id="2659"/>
      </w:r>
      <w:r>
        <w:rPr>
          <w:rFonts w:ascii="IRNazanin" w:hAnsi="IRNazanin" w:eastAsia="IRNazanin"/>
          <w:color w:val="111111"/>
          <w:sz w:val="28"/>
          <w:sz w:val="28"/>
          <w:szCs w:val="28"/>
          <w:rtl w:val="true"/>
          <w:lang w:bidi="fa-IR"/>
        </w:rPr>
        <w:t xml:space="preserve">و الوسیلة </w:t>
      </w:r>
      <w:r>
        <w:rPr>
          <w:rStyle w:val="FootnoteAnchor"/>
          <w:rtl w:val="true"/>
        </w:rPr>
        <w:footnoteReference w:id="2660"/>
      </w:r>
      <w:r>
        <w:rPr>
          <w:rFonts w:ascii="IRNazanin" w:hAnsi="IRNazanin" w:eastAsia="IRNazanin"/>
          <w:color w:val="111111"/>
          <w:sz w:val="28"/>
          <w:sz w:val="28"/>
          <w:szCs w:val="28"/>
          <w:rtl w:val="true"/>
          <w:lang w:bidi="fa-IR"/>
        </w:rPr>
        <w:t xml:space="preserve">و البیان </w:t>
      </w:r>
      <w:r>
        <w:rPr>
          <w:rStyle w:val="FootnoteAnchor"/>
          <w:rtl w:val="true"/>
        </w:rPr>
        <w:footnoteReference w:id="2661"/>
      </w:r>
      <w:r>
        <w:rPr>
          <w:rFonts w:ascii="Amiri" w:hAnsi="Amiri" w:eastAsia="Amiri" w:cs="Amiri"/>
          <w:color w:val="111111"/>
          <w:sz w:val="28"/>
          <w:sz w:val="28"/>
          <w:szCs w:val="28"/>
          <w:rtl w:val="true"/>
          <w:lang w:bidi="ar-SA"/>
        </w:rPr>
        <w:t>،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الاستثناء عن 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جُنُباً إِلّٰا عٰابِرِی سَبِیلٍ</w:t>
      </w:r>
      <w:r>
        <w:rPr>
          <w:rFonts w:eastAsia="Amiri" w:cs="Amiri" w:ascii="Amiri" w:hAnsi="Amiri"/>
          <w:color w:val="111111"/>
          <w:sz w:val="28"/>
          <w:szCs w:val="28"/>
          <w:rtl w:val="true"/>
          <w:lang w:bidi="ar-SA"/>
        </w:rPr>
        <w:t xml:space="preserve">) </w:t>
      </w:r>
      <w:r>
        <w:rPr>
          <w:rStyle w:val="FootnoteAnchor"/>
          <w:rtl w:val="true"/>
        </w:rPr>
        <w:footnoteReference w:id="2662"/>
      </w:r>
      <w:r>
        <w:rPr>
          <w:rFonts w:ascii="IRNazanin" w:hAnsi="IRNazanin" w:eastAsia="IRNazanin"/>
          <w:color w:val="111111"/>
          <w:sz w:val="28"/>
          <w:sz w:val="28"/>
          <w:szCs w:val="28"/>
          <w:rtl w:val="true"/>
          <w:lang w:bidi="fa-IR"/>
        </w:rPr>
        <w:t>، و القرب کنایة عن الدخول، نظیر قوله تعالی فی المشرکین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2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مئونة الکلام فی دلالة الآیة من حیث وجوب ارتکاب خلاف الظاهر فیها صحیحة زرارة و محمد بن مسلم، 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یدخلان المسجد؟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 الجنب لا یدخلان المسجد إلّا مجتازین،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سَبِیلٍ</w:t>
      </w:r>
      <w:r>
        <w:rPr>
          <w:rFonts w:eastAsia="Amiri" w:cs="Amiri" w:ascii="Amiri" w:hAnsi="Amiri"/>
          <w:color w:val="111111"/>
          <w:sz w:val="28"/>
          <w:szCs w:val="28"/>
          <w:rtl w:val="true"/>
          <w:lang w:bidi="ar-SA"/>
        </w:rPr>
        <w:t xml:space="preserve">) </w:t>
      </w:r>
      <w:r>
        <w:rPr>
          <w:rStyle w:val="FootnoteAnchor"/>
          <w:rtl w:val="true"/>
        </w:rPr>
        <w:footnoteReference w:id="2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مجمع البیان عن أبی جعفر علیه السلام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مواضع الصلاة من المساجد و أنتم جنب، إلّا مجتازین</w:t>
      </w:r>
      <w:r>
        <w:rPr>
          <w:rFonts w:eastAsia="Amiri" w:cs="Amiri" w:ascii="Amiri" w:hAnsi="Amiri"/>
          <w:color w:val="111111"/>
          <w:sz w:val="28"/>
          <w:szCs w:val="28"/>
          <w:rtl w:val="true"/>
          <w:lang w:bidi="ar-SA"/>
        </w:rPr>
        <w:t xml:space="preserve">»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کبعض الفتاوی </w:t>
      </w:r>
      <w:r>
        <w:rPr>
          <w:rStyle w:val="FootnoteAnchor"/>
          <w:rtl w:val="true"/>
        </w:rPr>
        <w:footnoteReference w:id="2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الجلوس </w:t>
      </w:r>
      <w:r>
        <w:rPr>
          <w:rStyle w:val="FootnoteAnchor"/>
          <w:rtl w:val="true"/>
        </w:rPr>
        <w:footnoteReference w:id="2667"/>
      </w:r>
      <w:r>
        <w:rPr>
          <w:rFonts w:ascii="IRNazanin" w:hAnsi="IRNazanin" w:eastAsia="IRNazanin"/>
          <w:color w:val="111111"/>
          <w:sz w:val="28"/>
          <w:sz w:val="28"/>
          <w:szCs w:val="28"/>
          <w:rtl w:val="true"/>
          <w:lang w:bidi="fa-IR"/>
        </w:rPr>
        <w:t xml:space="preserve">، و الظاهر کونه کنایة عن اللبث کما عبّر به فی بعض الکتب </w:t>
      </w:r>
      <w:r>
        <w:rPr>
          <w:rStyle w:val="FootnoteAnchor"/>
          <w:rtl w:val="true"/>
        </w:rPr>
        <w:footnoteReference w:id="2668"/>
      </w:r>
      <w:r>
        <w:rPr>
          <w:rFonts w:ascii="IRNazanin" w:hAnsi="IRNazanin" w:eastAsia="IRNazanin"/>
          <w:color w:val="111111"/>
          <w:sz w:val="28"/>
          <w:sz w:val="28"/>
          <w:szCs w:val="28"/>
          <w:rtl w:val="true"/>
          <w:lang w:bidi="fa-IR"/>
        </w:rPr>
        <w:t>، و حینئذ فلا یحرم المشی فیها لا بقصد الاجتیاز و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لظاهر قوله علیه السلام فی صحیحة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سهل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للجنب أن یمشی فی المساجد کلّها، و لا یجلس فیها إلّا المسجد الحرام، و مسجد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أبی حمزة،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یمرّ فی سائر المساجد، و لا یجلس فی شی‌ء من المساجد</w:t>
      </w:r>
      <w:r>
        <w:rPr>
          <w:rFonts w:eastAsia="IRNazanin" w:cs="IRNazanin"/>
          <w:color w:val="111111"/>
          <w:sz w:val="28"/>
          <w:szCs w:val="28"/>
          <w:rtl w:val="true"/>
          <w:lang w:bidi="fa-IR"/>
        </w:rPr>
        <w:t xml:space="preserve">»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یجلس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یمرّ فیه إلّا المسجد الحرام و مسجد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و إن کانت أخصّ من وجه من الصحیحة، إلّا أنّ تقیید المرور فیها بالاجتیاز أولی من تخصیص عموم النهی عن الدخول فی الصحیحة علی وجه غیر الاجتیاز،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اعتضادها بظاهر الکتاب، و إن کان فی الاعتضاد بمثله ممّا یحتاج العاضد فی ظهوره إلی المعضود تأمّل، لکن محلّ الحاجة هنا إلی الاعتضاد فی غیر محلّ حاجة العاضد إلی المعضود،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الاقتصار علی مدلول الآیة، و هو العبور فی المسجد علی وجه کونه سبیلا، بأن یکون للمسجد بابان یدخل من أحدهما و یخرج من الآخر، أو یحتلم فی المسجد فیخرج منه من غیر 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الدخول فیه لأخذ شی‌ء و لو لم یستقرّ فیه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w:t>
      </w:r>
      <w:r>
        <w:rPr>
          <w:rStyle w:val="FootnoteAnchor"/>
          <w:rtl w:val="true"/>
        </w:rPr>
        <w:footnoteReference w:id="2672"/>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المسجد ماء کثیر فالأقرب عندی جواز الدخول إلیه، و الاغتسال فیه ما لم یلوّث المسجد بالنجاسة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ما فی المنتهی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المدارک فی باب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الماء إلّا فی المسجد و کان جنبا، فالأظهر أنّه یجوز له الدخول و الأخذ من الماء، و الاغتسال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یکن معه ما یغترف به فقد استقرب فی المنتهی جواز اغتساله فیه، و هو حسن إن لم یتحقّق معه الجلوس </w:t>
      </w:r>
      <w:r>
        <w:rPr>
          <w:rStyle w:val="FootnoteAnchor"/>
          <w:rtl w:val="true"/>
        </w:rPr>
        <w:footnoteReference w:id="26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النظر فی ذلک ممّا ذکرنا، حتّی لو عبر الجنب فی المسجد فاتّفق له ماء کثیر فرمی نفسه فیه بنیّة الغسل، ففی جوازه نظر، من حیث إنّ إیقاع نفسه فی الماء لیس عبورا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اغتسل مرتبا و هو عابر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فی الذکری عن المفید فی الغریة 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المشاهد المشرّفة بالمساجد، و استحسنه </w:t>
      </w:r>
      <w:r>
        <w:rPr>
          <w:rStyle w:val="FootnoteAnchor"/>
          <w:rtl w:val="true"/>
        </w:rPr>
        <w:footnoteReference w:id="2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الشهید الثانی اختیاره أیضا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لوجوب تعظیمها المنافی لترخیص دخول الجنب و الحائض، و لفحوی الحکم فی المسجد، بناء علی ما یستفاد من بعض الأخبار من أنّ سبب صیرورة بعض البقاع مسجدا أنّه قد أصابها شی‌ء من دم نبیّ أو وصیّ، فأحبّ اللّٰه أن یعبد فی تلک البقعة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لغیر واحد ممّا یظهر منه المنع من دخول الجنب علی الإمام حیّا </w:t>
      </w:r>
      <w:r>
        <w:rPr>
          <w:rStyle w:val="FootnoteAnchor"/>
          <w:rtl w:val="true"/>
        </w:rPr>
        <w:footnoteReference w:id="2679"/>
      </w:r>
      <w:r>
        <w:rPr>
          <w:rFonts w:ascii="IRNazanin" w:hAnsi="IRNazanin" w:eastAsia="IRNazanin"/>
          <w:color w:val="111111"/>
          <w:sz w:val="28"/>
          <w:sz w:val="28"/>
          <w:szCs w:val="28"/>
          <w:rtl w:val="true"/>
          <w:lang w:bidi="fa-IR"/>
        </w:rPr>
        <w:t xml:space="preserve">، بضمیمة ما ثبت من أنّ حرمة المیّت کحرمة الحیّ، بل أعظم </w:t>
      </w:r>
      <w:r>
        <w:rPr>
          <w:rStyle w:val="FootnoteAnchor"/>
          <w:rtl w:val="true"/>
        </w:rPr>
        <w:footnoteReference w:id="2680"/>
      </w:r>
      <w:r>
        <w:rPr>
          <w:rFonts w:ascii="IRNazanin" w:hAnsi="IRNazanin" w:eastAsia="IRNazanin"/>
          <w:color w:val="111111"/>
          <w:sz w:val="28"/>
          <w:sz w:val="28"/>
          <w:szCs w:val="28"/>
          <w:rtl w:val="true"/>
          <w:lang w:bidi="fa-IR"/>
        </w:rPr>
        <w:t>، و أنّه یجب اعتقاد حرمتهم فی غیابهم عنّا و حضورهم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عن الصفّار فی بصائر الدرجات، عن عبد اللّٰه بن الصلت، عن بکر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من المدینة نرید منزل أبی عبد اللّٰه علیه السلام، فلحقنا أبو بصیر خارجا من زقاق، و هو جنب، و نحن لا نعلم، حتّی دخلنا علی أبی عبد اللّٰه علیه السلام، فرفع رأسه إلی أبی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أما تعلم أنّه لا ینبغی للجنب أن یدخل بیوت الأنبیاء؟ فرجع أبو بصیر، و دخلنا</w:t>
      </w:r>
      <w:r>
        <w:rPr>
          <w:rFonts w:eastAsia="IRNazanin" w:cs="IRNazanin"/>
          <w:color w:val="111111"/>
          <w:sz w:val="28"/>
          <w:szCs w:val="28"/>
          <w:rtl w:val="true"/>
          <w:lang w:bidi="fa-IR"/>
        </w:rPr>
        <w:t xml:space="preserve">»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إرشاد المفید،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المدینة و معی جویریة، فأصبت منها، فخرجت إلی الحمّام، فلقیت أصحابنا الشیعة و هم متوجّهون إلی أبی عبد اللّٰه علیه السلام، فخشیت أن یفوتنی الدخول علیه، فمشیت معهم حتّی دخلت الدار، فلمّا مثلت بین یدیه نظر إلیّ ثمّ قال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بصیر، أما علمت أنّ بیوت الأنبیاء و أولاد الأنبیاء لا یدخلها الجنب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bookmarkStart w:id="311" w:name="pg13035_132089"/>
    </w:p>
    <w:p>
      <w:pPr>
        <w:pStyle w:val="BookText"/>
        <w:rPr/>
      </w:pPr>
      <w:bookmarkEnd w:id="311"/>
      <w:r>
        <w:rPr>
          <w:rFonts w:ascii="IRNazanin" w:hAnsi="IRNazanin" w:eastAsia="IRNazanin"/>
          <w:color w:val="111111"/>
          <w:sz w:val="28"/>
          <w:sz w:val="28"/>
          <w:szCs w:val="28"/>
          <w:rtl w:val="true"/>
          <w:lang w:bidi="fa-IR"/>
        </w:rPr>
        <w:t>و عن کشف الغمّة نقلا من کتاب الدلائل لعبد اللّٰه بن جعفر الحمیری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 اللّٰه و إنّما أرید أن یعطینی من </w:t>
      </w:r>
      <w:r>
        <w:rPr>
          <w:rStyle w:val="FootnoteAnchor"/>
          <w:rtl w:val="true"/>
        </w:rPr>
        <w:footnoteReference w:id="2683"/>
      </w:r>
      <w:r>
        <w:rPr>
          <w:rFonts w:ascii="IRNazanin" w:hAnsi="IRNazanin" w:eastAsia="IRNazanin"/>
          <w:color w:val="111111"/>
          <w:sz w:val="28"/>
          <w:sz w:val="28"/>
          <w:szCs w:val="28"/>
          <w:rtl w:val="true"/>
          <w:lang w:bidi="fa-IR"/>
        </w:rPr>
        <w:t>دلائل الإمامة مثل ما أعطانی أبو جعفر، فلمّا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کان ذلک فیما کنت فیه شغل، تدخل علیّ و أنت جنب؟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فعلته إلّا 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قم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اغتسلت و صرت إلی مجلسی، و قلت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w:t>
      </w:r>
      <w:r>
        <w:rPr>
          <w:rFonts w:eastAsia="IRNazanin" w:cs="IRNazanin"/>
          <w:color w:val="111111"/>
          <w:sz w:val="28"/>
          <w:szCs w:val="28"/>
          <w:rtl w:val="true"/>
          <w:lang w:bidi="fa-IR"/>
        </w:rPr>
        <w:t xml:space="preserve">»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شی‌ء فیها، و الجواز فی المسجد الحرام أو مسجد النبی صلّی اللّٰه علیه و آله و سلّم خاصّة، و لو أجنب فیهما لم یقطعهما إلّا بالتیمّم</w:t>
      </w:r>
      <w:r>
        <w:rPr>
          <w:rFonts w:eastAsia="IRNazanin" w:cs="IRNazanin"/>
          <w:color w:val="111111"/>
          <w:sz w:val="28"/>
          <w:szCs w:val="28"/>
          <w:rtl w:val="true"/>
          <w:lang w:bidi="fa-IR"/>
        </w:rPr>
        <w:t>.)</w:t>
      </w:r>
    </w:p>
    <w:p>
      <w:pPr>
        <w:pStyle w:val="Heading6"/>
        <w:numPr>
          <w:ilvl w:val="5"/>
          <w:numId w:val="1"/>
        </w:numPr>
        <w:rPr/>
      </w:pPr>
      <w:bookmarkStart w:id="312" w:name="__RefHeading___Toc6370086_3224264995"/>
      <w:bookmarkStart w:id="313" w:name="_Toc120"/>
      <w:bookmarkEnd w:id="312"/>
      <w:r>
        <w:rPr>
          <w:rtl w:val="true"/>
        </w:rPr>
        <w:t>[</w:t>
      </w:r>
      <w:r>
        <w:rPr>
          <w:rtl w:val="true"/>
        </w:rPr>
        <w:t>مکروهات الجنابة</w:t>
      </w:r>
      <w:r>
        <w:rPr>
          <w:rtl w:val="true"/>
        </w:rPr>
        <w:t>]</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له الأکل و الشرب، و تخفّ الکراهة بالمضمضة و الاستنشاق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قراءة ما زاد علی سبع آیات من غیر العزائم، و أشدّ من ذلک قراءة سبعین، و ما زاد أغلظ کراهیة، و مسّ المصحف، و النوم حتّی یغتسل أو یتوضّأ أو یتیمّم، و الخضاب</w:t>
      </w:r>
      <w:r>
        <w:rPr>
          <w:rFonts w:eastAsia="IRNazanin" w:cs="IRNazanin"/>
          <w:color w:val="111111"/>
          <w:sz w:val="28"/>
          <w:szCs w:val="28"/>
          <w:rtl w:val="true"/>
          <w:lang w:bidi="fa-IR"/>
        </w:rPr>
        <w:t>.)</w:t>
      </w:r>
    </w:p>
    <w:p>
      <w:pPr>
        <w:pStyle w:val="Heading6"/>
        <w:numPr>
          <w:ilvl w:val="5"/>
          <w:numId w:val="1"/>
        </w:numPr>
        <w:rPr/>
      </w:pPr>
      <w:bookmarkStart w:id="314" w:name="__RefHeading___Toc6370088_3224264995"/>
      <w:bookmarkStart w:id="315" w:name="_Toc121"/>
      <w:bookmarkEnd w:id="314"/>
      <w:r>
        <w:rPr>
          <w:rtl w:val="true"/>
        </w:rPr>
        <w:t>[</w:t>
      </w:r>
      <w:r>
        <w:rPr>
          <w:rtl w:val="true"/>
        </w:rPr>
        <w:t>واجبات الغسل</w:t>
      </w:r>
      <w:r>
        <w:rPr>
          <w:rtl w:val="true"/>
        </w:rPr>
        <w:t>]</w:t>
      </w:r>
      <w:bookmarkEnd w:id="315"/>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الغسل فواجباته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استدامة حکمها إلی آخر الغسل، و غسل البشرة بما یسمّی غسلا، و تخلیل ما لا یصل إلیه الماء إلّا به، و الترتیب، یبدأ بالرأس، ثمّ بالجانب الأیمن، ثمّ الأیسر، و یسقط الترتیب بارتماسیة واحدة</w:t>
      </w:r>
      <w:r>
        <w:rPr>
          <w:rFonts w:eastAsia="IRNazanin" w:cs="IRNazanin"/>
          <w:color w:val="111111"/>
          <w:sz w:val="28"/>
          <w:szCs w:val="28"/>
          <w:rtl w:val="true"/>
          <w:lang w:bidi="fa-IR"/>
        </w:rPr>
        <w:t>.)</w:t>
      </w:r>
      <w:bookmarkStart w:id="316" w:name="pg13035_132090"/>
    </w:p>
    <w:p>
      <w:pPr>
        <w:pStyle w:val="Heading6"/>
        <w:numPr>
          <w:ilvl w:val="5"/>
          <w:numId w:val="1"/>
        </w:numPr>
        <w:rPr/>
      </w:pPr>
      <w:bookmarkStart w:id="317" w:name="__RefHeading___Toc6370090_3224264995"/>
      <w:bookmarkStart w:id="318" w:name="_Toc122"/>
      <w:bookmarkEnd w:id="316"/>
      <w:bookmarkEnd w:id="317"/>
      <w:r>
        <w:rPr>
          <w:rtl w:val="true"/>
        </w:rPr>
        <w:t>[</w:t>
      </w:r>
      <w:r>
        <w:rPr>
          <w:rtl w:val="true"/>
        </w:rPr>
        <w:t>سنن الغسل</w:t>
      </w:r>
      <w:r>
        <w:rPr>
          <w:rtl w:val="true"/>
        </w:rPr>
        <w:t>]</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النیّة عند غسل الیدین، و تتضیّق عند غسل الرأس، و إمرار الید علی الجسد، و تخلیل ما یصل إلیه الماء، استظهارا، و البول أمام الغسل، و الاستبراء،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یمسح من المقعدة إلی أصل القضیب ثلاثا، و منه إلی رأس الحشفة ثلاثا، و ینتره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الیدین ثلاثا قبل إدخالهما الإناء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المضمضة و الاستنشاق، و الغسل بصاع</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370092_3224264995"/>
      <w:bookmarkStart w:id="320" w:name="_Toc123"/>
      <w:bookmarkEnd w:id="319"/>
      <w:r>
        <w:rPr>
          <w:rtl w:val="true"/>
        </w:rPr>
        <w:t>مسائل ثلاث</w:t>
      </w:r>
      <w:r>
        <w:rPr>
          <w:rtl w:val="true"/>
        </w:rPr>
        <w:t>:</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المغتسل بللا مشتبها بعد الغسل، فإن کان قد بال أو استبرأ لم یعد، و إلّا کان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بعض أعضائه ثمّ أحدث،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الغسل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 علی إتمام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یتمّه و یتوضّأ للصلاة، و هو الأشبه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یغسّله غیره مع الإمکان، و یکره أن یستعین فیه</w:t>
      </w:r>
      <w:r>
        <w:rPr>
          <w:rFonts w:eastAsia="IRNazanin" w:cs="IRNazanin"/>
          <w:color w:val="111111"/>
          <w:sz w:val="28"/>
          <w:szCs w:val="28"/>
          <w:rtl w:val="true"/>
          <w:lang w:bidi="fa-IR"/>
        </w:rPr>
        <w:t xml:space="preserve">)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الفصل الأوّل و الثانی فی المجلّد الأوّل، 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 وَ مٰا أُمِرُوا إِلّٰا لِیَعْبُدُوا اللّٰهَ مُخْلِصِینَ لَهُ الدِّینَ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 الأوّل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عبادة ما سواه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الشیخ البهائی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قدّس سرّه فی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أورده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باختلاف یسیر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نویت نیّة و نواة، أی عزمت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الفخریة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المحققین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صاحب الفصول فی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مال إلیه أخوه فی حاشیة المعالم، 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الفقیه علی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الذی یعبّر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مرجع الضمائر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المرکوز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الحاکی، و لم نجد التعبیر بالداعی فی کلام الأردبیلی، و إلیک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عرفت وجوب شی‌ء من النیّة التی اعتبرها المتأخرون علی التفصیل المذکور فی شی‌ء من العبادات إلّا قصد إیقاع الفعل الخاص مخلصا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التعبیر بالداعی فی کلامه أیضا، انظر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شرح أصول الکافی، لکن نقل کلامه المحدّث البحرانی فی الحدائق و استجوده، انظر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التعبیر بالداعی فی کلامه، 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القمی فی الغنائم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یکتف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بالتصور و القصد المتعلّقین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من نسب ذلک إلی المشهور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ببالنا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مفتاح الکرامة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مع اختصار و اختلاف فی بعض الألفاظ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الجواهر قدّس سرّه، کما سیأتی کلامه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الثانی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یقال فی الفرق بینهما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الإرادة للفعل حین التعقل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الأولی بناء علی أن یجعل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 الأوّل،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عمل إلّا بنیّة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عبادة أیضا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الفائدة الثالثة عشرة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المقارنة المعتبرة للجزء تنفی هذه الاحتمالات، و لو جعلناها شرطا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یجعل الوقت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هریرة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الفریضة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الفریضة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معرفان لتلک الفرض و الخصوصیات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وضوئه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لم نعثر علیه فی سائر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استحضار أصل الوجوب و الندب موجود فیها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تعمّدا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الطبریة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المسألة الخامسة عشرة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مشتملة علی قصد الوجوب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أخذهما وصفا و غایة من بعض الکتب المذکورة مشکلة جدا، انظر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اقتضتها العبارة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غیرهما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ذیل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مشتملة علی قصد الوجوب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عند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مشتملة علی قصد الوجوب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الفائدة الثانیة، و لیس فیه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العبارة فی النسخ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غسل ثوبه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یصحح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سیظهر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الشرائع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استباحة شی‌ء ممّا یشترط فیه الطهارة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لم نعثر علی کلام السید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لدینا، و حکاه عنها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عدا المتیمم و دائم الحدث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رحمه اللّٰه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رحمه اللّٰه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الطهور و الصلاة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فی 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شرائطها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الوحید البهبهانی قدّس سرّه علی ما نقله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المحقّق الخوانساری فی 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کمن علیه واجب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لتباین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یؤدی بصلاة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یؤدی به الواجب فهو واجب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العبارة للأوّل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لاستباحته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یفهم هذا من کلام سلطان العلماء عند قول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فی وقت العبادة الواجبة المشروطة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حاشیة سلطان العلماء علی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المطلب بتمامه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سلطان العلماء علی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لعلّها سهو من النسّاخ</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سلطان العلماء علی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قول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لا اشتراک فی الوضوء حتی فی الوجوب و الندب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فی وقت العبادة الواجبة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الأصفهانی قدّس سرّه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شقیقة الشیخ محمد حسین قدّس سرّه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لفظ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استیقنت أنّک قد أحدثت فتوضّأ، و إیّاک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الجلوس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فحکم المحدث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کقراءة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أثبتناه کما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فینکشف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سادس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بحثهما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الوضوء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جاءه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المترتب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بعد الطهور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المجلس السابع،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عبارة السرائر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عبارة المبسوط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إلّا أنّه لیس فی العبارة المنقولة عن المبسوط ادّعاء الإجماع، فراجع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و لفظ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یتوضّأ الرجل حتی یسمّی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العبارة فی النسخ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أنّک توضأت فإیّاک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استدلّ به غیر صاحب المدارک نفسه، فإنّه استدلّ به أوّلا ثمّ أیّده بموثّقة ابن بکیر، راجع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علیه بعد التتبع فی مظانّه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سعید فی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صحّحناه،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توضیح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نیّته،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کلامه المتقدم آنفا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یحتمل کونه فی الأصل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للکلام فی الوضوء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المتجدد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الشرائع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طهارة الثیاب، و لا غیر ذلک مما یقصد به رفع الخبث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المتطهر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یصیبه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الباب الأوّل من أبواب النجاسات و ما بعده من الأبواب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 الأوّل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غیر ذلک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جماعة استدلّوا بما فی المبسوط و المعتبر، لکن فی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نقل صحّة الوضوء مع نیّة التبرّد عن الشیخ و المحقق و العلّامة و الجامع و المدارک،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محتجّین علیه بأنّه ضمیمة زیادة غیر منافیة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قدّس سرّه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القربة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شرح الفاضل و عن المشکاة للسیّد بحر العلوم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عنهما فی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فنمنع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 الأوّل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روایتی السکونی و أبی بصیر المتقدّمتین فی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أدخل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الأوّل،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علامات للمرائی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خصوصا لو</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 اختلاف یسیر فی العبارة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المحجّة البیضاء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بطریق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الفائدة الثانیة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 الأوّل، و الروایة فی الوسائل عن أبی جعفر علیه 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فیه التصریح بعدم الخلاف، 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إلّا أنّه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تصحیحا، و لا یخفی ما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الأصل فی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حیث تحقّق تحصیل راجحین بها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جعفر علیه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من صفر أو خزف یشرب منه و یتوضأ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مکانها کلمة لا تقرأ، و لم ترد فی سائر النسخ، إلّا أنّ فی بعضها مکانها بیاض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الاشتمال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بهذا المضمون عدة روایات،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 الحدیث الأوّل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فیه التصریح بعدم الخلاف، انظر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و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فیه التصریح بالأولویة، انظر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تلمیذه صاحب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 الأوّل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فیلتزمون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یفتقر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یتطهر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استظهرناه،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یقصده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 الواحد لمفهوم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 الواحد المفهوم واحد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تجعله غسلا واحدا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العلیّة فی شرح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خلاف فی إجزاء غسل الجنابة عن غیره إذا کان هو المنویّ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العلیّة فی شرح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خلاف فی إجزاء غسل الجنابة عن غیره إذا کان هو المنویّ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فی الألفاظ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لم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 فی الألفاظ</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منهما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العلیة فی شرح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یأتی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نوی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 اختلاف فی الألفاظ</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 و الآیة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 فیهما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لم نعثر علی غیره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النراقی و والده، علی ما حکاه عنه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 فی الصفحة السابقة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العلیّة فی شرح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الإجزاء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المشهور فیما بینهم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خبر باللفظ المذکور، و لعلّه قدّس سرّه قاله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الحدیث المشهور عنه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نام فلیتوضّأ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اغتسل بعد طلوع الفجر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نسبة الحکم إلی المشهور بین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متّفق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نعثر علی حکایة الاتفاق فی غیره، نعم فی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الإجماع فی خصوص المسألة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المنع ممّا قاله فی مجمع الفوائد، علی ما 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البهبهانی و الشیخ الکبیر کاشف الغطاء و السید بحر العلوم، علی ما نسب إلیهم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فی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 ضدّان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الفائدة الرابعة،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لتنافی الوجهین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الصفحة الآتیة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بعطف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نیة المندوب فی حکم التابع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فی المصدر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المندوب فی حکم التابع للواجب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الجواهر قدّس سرّه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یجوز للمکلّف الاقتصار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غیر واضحة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الفاضل المقداد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لم ترد فی جمیع المصادر الحدیثیة، و لعلّها کانت حاشیة توضیحیة خلطت بالمتن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خرج عن ذلک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مع اختلاف کثیر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الناصیة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المنسوب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إلّا علی کلامه المتقدّم الصریح فی خروج العذار عن الوجه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 ما ذکرناه متّفق علی أنّه من الوجه، و ما وراء العذار لیس کذلک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الحکایة هو الشهید قدّس سرّه، حیث نقل عبائر الفاضلین و ابن أبی عقیل و ابن الجنید،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هذه العبارات وجوب غسل العذار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صحیحة زرارة المتقدّمة فی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 من المصدر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باقی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المصدر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بعض الجبینین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الوحید البهبهانی فی شرح المفاتیح علی ما نقله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المحقّق النجفی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بالأغمّ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تجاوزت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فیغسل ما یغسله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العبارة لا تخلو عن قصور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غسل منکوسا لم یجز علی الأظهر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اثنی عشریّته، علی ما 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موضع نفسه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 أنّ الابتداء من موضع من نفسه واجب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 اختلاف، و ما أورده موافق لما أرسله فی الفقیه عن موسی بن جعفر علیه السلام، 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استحبابه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خلاله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المناسب ما أثبتناه کما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إنّما علیه إجراء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الذکری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هکذا استظهرها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المواجه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ما نسبه إلیه، 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علیک أن تغسل ما ظهر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الشهید الأوّل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کشعر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یجب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جهة تحیّر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کفی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الابتداء من المرفق، و لو غسل منکوسا لم یجز علی الأظهر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رحمه اللّٰه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و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 فی شرح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إلیها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جمال الدین فی الحاشیة علی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لم نعثر علی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لا فی مجمع الفائدة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جمال الدین فی الحاشیة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یخاف علیک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مع اختلاف فی الألفاظ،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مع تفاوت، و عنه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ذلک المکان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مع تفاوت فی الألفاظ</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مع تفاوت فی الألفاظ</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فرض غسلها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المرفق قطع جمیعه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اختلاف فی الألفاظ</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علیک أن تغسل ما ظهر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یجب له غسله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غسلهما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فعرفنا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بعضهما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فسر ذلک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رأسک أو بشی‌ء من قدمیک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الواجب منه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یسمی به ماسحا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کما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المصدر 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الرجلین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مع اختلاف یسیر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ثلاث</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الکعبین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عبر 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سهو، و الصواب ما أثبتناه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و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کما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 للمحقق الثانی،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خروجا من خلاف من أوجبها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سیجی‌ء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کونهما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المعتبر عن مسائل خلافه، کما تقدّم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أثبتناه،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فی الصفحة السابقة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کما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تقدّمت الروایة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أثبتناه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لم نعثر علیه فی المدارک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تمسح ببلة یمناک ناصیتک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تمسح المرأة بالرأس کما یمسح الرجال، إنّما المرأة إذا أصبحت مسحت رأسها، تضع الخمار عنها، و إذا کان الظهر و العصر و المغرب و العشاء تمسح بناصیتها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بفضل ما بقی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السید بحر العلوم فی 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بفضل کفیه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مفتاح الکرامة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یفهم من الخلاف و صاحب المعالم و بعض المحشّین علی التهذیب وجوب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ظهر قدمیه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بالمجاز</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یجوز استئناف ماء جدید 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فیه علی الحکایة عن الإسکافی، نعم حکاه فیه عن الشهید فی الذکری، انظر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کعبیک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الأوّل، و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عنهما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تفاوت فیها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یکن بقی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 من لحیتک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أشفار عینیک و امسح به رأسک و رجلیک فإن لم یبق شی‌ء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روی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عن شرح المفاتیح و حاشیة المدارک،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الکلام فی کتب الشهید الثانی رحمه اللّٰه و لا فی غیرها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ماسح</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اقتضتها العبارة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ذکر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إجراء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لإجزاء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کان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ظاهر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تقدّمه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من رأی أبا الحسن علیه السلام بمنی یمسح بظهر القدم من أعلی القدم إلی الکعب و من الکعب إلی أعلی القدم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فی مسح الرجلین موسّع، من شاء مسح مقبلا و من شاء مسح مدبرا، فإنّه من الأمر الموسّع إن شاء اللّٰه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بمسح القدمین مقبلا و مدبرا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أن العبارة کانت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الدروس و ظاهر جماعة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من نسبه إلی المشهور غیر الشهید بل قال المحقق الخوانساری فی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کونه مشهورا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یجزئه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تقدّم فی الصفحة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المحلّ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بالإمرار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لا وجه له، لأنّ الحدیث مذکور بتمامه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البشرة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 بناصیته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تمسح المرأة بالرأس کما یمسح الرجال، إنّما المرأة إذا أصبحت مسحت رأسها، تضع الخمار عنها، و إذا کان الظهر و العصر و المغرب و العشاء، تمسح بناصیتها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حتّی یصیب بشرة رأسه بالماء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الجلالة لم ترد فی الوسائل، و أورده بدون هذه اللفظة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تفاوت یسیر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جمع</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کان رقیقا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غیرها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الآیة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اختلاف فی الألفاظ، و الآیة 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المتقدّمة فی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تحدید الممسوح منه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یندفع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هما واحد، و لعلّ هذا صار سببا لاشتباه بعض النسّاخ، حیث أضاف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نسب هذا القول إلی الأصحاب، نعم قال السیّد العاملی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الدخول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للنیشابوری، المطبوع بهامش جامع البیان للطبری،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الکشّاف، و لا یوجد لدینا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 اللغة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العضدی و الحاجبی ذلک إلی الشیعة علی ما نقله المؤلف فی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رءوس الأصابع إلی الکعبین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ظهور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روی عنهما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نقلا بالمعنی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یقطع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ما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الکعب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علی علیه السلام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عن السرائر و کنز العرفان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تقدّم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الشرائع، و لم نقف علی شرح المؤلف قدّس سرّه له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عبارة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تخلّف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المسح</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الضرورة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 مع اختلاف فی الألفاظ فی کلیهما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ذیل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لیست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متعة الحجّ</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عنه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مع اختلاف فی الألفاظ</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المسح علی الخفّین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القلم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و اختصار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فی کلّ شی‌ء یضطرّ إلیه ابن آدم فقد أحلّه اللّٰه 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مع اختلاف فی الألفاظ، و عنه فی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الحدیث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تشیروا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عنه فی 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عنه فی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الوحید البهبهانی، قال السیّد العاملی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علیه الأستاذ الآقا سمعته منه فی جواب سائل سأله عن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یذکر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فیما تقدّم و لا فی الذکری علیه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زال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 الظفر به أوجبناه و إلّا فلا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أتّقی فیهنّ أحدا شرب المسکر، و مسح الخفّین، و متعة الحج</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أعاد الطهارة علی قول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الطهور و الصلاة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زالت الشمس فقد دخل وقت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ینقصه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ینقض الوضوء إلّا حدث</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لیس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توضّأت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تردا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الصفحة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الصفحة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الفاضل الأصفهانی، انظر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مشروعیّة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الشرائع، و لم 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بأیدینا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شرح المؤلّف قدّس سرّه له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 إِذٰا قُمْتُمْ إِلَی الصَّلٰاةِ فَاغْسِلُوا وُجُوهَکُمْ وَ أَیْدِیَکُمْ إِلَی الْمَرٰافِقِ وَ امْسَحُوا بِرُؤُسِکُمْ وَ أَرْجُلَکُمْ إِلَی الْکَعْبَیْنِ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مسح الرأس ثالثا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اقتضاها السیاق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یسارک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 وجهک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فرضناه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جعل مجزیا، و الظاهر أنّه من سهو القلم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الشیخ الحرّ العاملی فی بدایة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کما نسب إلیه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نقله عن رسالة أبیه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الفاضل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الوضوء لا یبعّض</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من الذکری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قال اللّٰه عزّ و جلّ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انظر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إلیهم فی الصفحة السابقة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باختیاره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الوضوء</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الریح یجفّ منهما العضو المتقدّم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جفّ ماء الوضوء لحرارة الهواء المفرطة جاز البناء، و مع إفراط حرارته یغسل متوالیا بحیث لو اعتدل لم یحکم بجفاف السابق حینئذ، و لا یجوز استئناف ماء جدید للمسح</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رحمه اللّٰه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أن لا یؤخّر بعض الأعضاء عن بعض</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یتقدّم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عباراتهم 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تخریج کلامهم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یکمل طهارته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العلیة فی شرح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ببعید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بالانتقال علی ذلک التقدیر إلی التیمّم، لفقد شرط الوضوء، و هو ضعیف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فرّق لعذر لم یعد إلّا مع الجفاف فی الهواء المعتدل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جفّ ماء الوضوء لحرارة الهواء المفرطة جاز البناء دون استئناف ماء جدید للمسح، لحصول الضرورة المبیحة للترخّص</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بالمعنی المذکور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کلامهما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السید فی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ابن زهرة فی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دار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فریصة، و هی اللحمة بین جنب الدابة و کتفها لا تزال ترعد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فأبصر أبو عبد اللّٰه علیه السلام إلیّ</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القی إلیه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 المنصور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طهارته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أشرف</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ید هذا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لا وجه له لأنّ الحدیث مذکور بتمامه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ابتدئ الآن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الحلّی فی مستطرفات السرائر، راجع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الحدیث منقول بالمعنی</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بناء علی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اثنتین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المفید فی المقنعة، و الشیخ الطوسی فی مصباح المتهجّد، و سیأتی کلامهما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لیس فیه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عن صریح المبسوط و ظاهر المقنع أنّها عندنا بدعة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الثالث 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تقدّمت الإشارة إلیها فی هامش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غسلا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غیرهما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إمساس</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المحقّق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جنابة، الحدیث الأوّل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فی الطبعة الجدیدة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لا وجه له، لأنّ الحدیث مذکور بتمامه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الملزوم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لا وجه له، لأنّ الحدیث مذکور بتمامه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یشدّونه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الشرائع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علیها حتّی یصل إلی البشرة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تقدّم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أذرعه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الخرقة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یجزیه المسّ بالماء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یمسح علیه و یجزیه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به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یدع</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یعبث بجراحته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تقدّم کلام الشیخ رحمه اللّٰه فی الصفحة السابقة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العلیّة فی شرح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إجراء الماء علی الجبیرة و إن أمکن فغیر واجب بل غیر جائز</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یحتمل وجوب أقلّ ما یسمّی غسلا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کلامهما فی الصفحة السابقة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کلامهما فی الصفحة السابقة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استقربناه 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وردت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قدّس سرّه قال فیها ما استقربناه، و هو توهّم یعرف بمراجعة التذکرة منتهی الجبائر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إیصاله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بغمسه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لصق</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الاحتیاط التامّ أن یمسح أوّلا الخرقة النجسة ثمّ الخرقة الطاهرة فوقها، لإطلاق الأمر بالروایة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یترک المیسور بالمعسور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یؤیّد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فینتسب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فیتسبّب إلیه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یؤمّمان و لا یغسلان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القرح</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الکاشانی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الوحید البهبهانی فی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الکلام فی التذکرة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غنائم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المفاتیح</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شارح الدروس، راجع الصفحة السابقة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الباب الأوّل من أبواب الوضوء، الحدیث الأوّل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نیّته،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الباب الأوّل من أبواب الوضوء، الحدیث الأوّل</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الأوّل من نواقض الوضوء،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کعبارة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استأنف الطهارة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الاختیار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 علیک الماء أ تکره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یشرک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الآیة من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تشرک یا أمیر المؤمنین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بظاهرهما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المعبودیة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یطلب</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روی عنهما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الآیة من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رحمه اللّٰه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الاضطرار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هذا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یجوز له أن یمسّ ما عدا الکتابة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حکی ذلک عنهم، نعم فی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المیل إلیه إلی جملة من متأخری المتأخّرین، و مثله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موهونة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الصفحتین السابقتین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قوّاه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ذلک فی الصفحة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للصبیان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یسع الوضوء</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یجعله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اختلفت المصادر الحدیثیة فی هذه العبارة، ففی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ینضح ثوبه فی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ینتضح فی النهار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الباب الأوّل من أبواب الوضوء، الحدیث الأوّل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شرطیة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بما ذکرنا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الباب الأوّل من أبواب الوضوء، الحدیث الأوّل</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حدثه فی أثناء الصلاة، یتطهر و یبنی</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 به سلس</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وضع الإناء</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المعتبر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کتاب الوضوء، باب التیمّن فی الوضوء و الغسل</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رواه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أبی عبد اللّٰه علیه السلام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بالمعنی</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البول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حدث البول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حدث النوم و البول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نقله مرسلا عن الصدوق، و لم نعثر بهذا المضمون عن محمد بن سنان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النوم مرّة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یغمسها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افتقاره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حجّتی</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تقیید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حجّتی</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تمرّ بذنب قد أذنبه إلّا محته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حکاه عن جامع الأخبار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خزانة</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لکنّه لم یفصل بین الغسلة الاولی و الثانیة،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المصدرین المتقدّمین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المصدرین المتقدّمین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بغسل ظاهر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بطنها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الحدیث مذکور بتمامه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بکیر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فی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 العبارة لا تخلو عن تصحیف</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السواک،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الشهید رحمه اللّٰه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 الحدیث الأوّل</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مع اختلاف فی الألفاظ</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هو منقول بالمعنی</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الشهید الأوّل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أعضائه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قد ورد فی النسخ بعد أسطر، 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یحتمل أن یکون الحسنة الواحدة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لم یورد المصنّف المسائل التالیة مرقّمة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یوجد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بها الأخبار الناهیة عن نقض الیقین بالشکّ،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المتیقن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الطهور و الصلاة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بدخول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وضوءه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العلیّة فی شرح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التصریح بذلک فی کلامه، نعم حکاه عن ظاهر کلامه السیّد العاملی، انظر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ولده المحقّق جمال الدین فی 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صاحب الجواهر مع تأمّل فیه، انظر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ناشئا عنه</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جریان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مشطوب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رحمه اللّٰه تعالی</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کلام الوحید البهبهانی فی حاشیة المدارک، حکاه عنها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فکلّما</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رحمه اللّٰه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قبلهما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الشارحتین من کلام المؤلّف قدّس سرّه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اغتسل واجبا من جنابة مشکوک فیها کالواجد فی ثوبه المختصّ أو المتیقّن لها و للغسل، الشاکّ فی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 لو تیقّن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کتبهما</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غیرهم</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حکاه عنه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حکاه عنه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فی الصلاة، الحدیث الأوّل</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به فی کلامهم، نعم، یظهر ذلک من تعابیرهم فی مقام التمثیل لتجاوز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صحیحة زرارة المتقدّمة فی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إلیهم آنفا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بالحدوث بالوضوء</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أمّا الشهید الثانی، فلم نعثر علی ما یدلّ علیه من کلامه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العلیّة فی شرح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لکن لا یستفاد الاستثناء من کلامه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الخوانساری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الشیخ البهائی فی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فتطمعوه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الحدیث الأوّل</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 الأوّل</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جمال الدین فی 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انظر حواشی الطبعة الحجریة من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عبد الرحیم</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فی شی‌ء</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الثانی فی 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یعد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موثّقة ابن أبی یعفور المتقدّمة آنفا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زعمه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اللاحق</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الفراغ</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الهامش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بإلغاء احتمال الإخلال بعد الفراغ</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بمقدمیته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الإخلال</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فی النسخ،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متدرّجة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المحقّقین فی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 تدارک</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التعبیر ما لا یخفی، لأنّ الکتاب شرح للشرائع</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فی الصفحة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دلّ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الموافقة من کلامه مشکل،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شکّ فی أفعاله و هو علی حاله فکالوضوء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الألفیة و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جامع المقاصد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کلاما عن بعض حواشی الشهید، لکن استفادة ما ذکر من کلامه المنقول مشکل أیضا، 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نظره قدّس سرّه إلی مثل ما رواه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لکنّه ظاهر فی نسیان الاستنجاء کما لا یخفی، و حمله علی فرض خروج الحدث من غیر شعور به بعید جدّا</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صاحب الجواهر قدّس سرّه، انظر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نظره إلی مکاتبه سلیمان بن رشید، 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فات وقتها فلا إعادة علیک لها</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 الأوّل</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راجعنا تلک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نجد التمسّک بالروایة المذکورة فیها، و الروایة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البدن</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الاستنجاء فیها مطلق، إلّا أن یدعی ظهوره فی تطهیر مخرج الغائط</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بظاهرها</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وضوءین</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جدّد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نستفد الظهور من کلامه، 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أفتی فی الأوّل بصحّة الصلاة فی فرض المسألة، و فی الثانی بلزوم نیّة الرفع و الاستباحة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لکن صرّح هناک بأنّ الشهید انتصر لقول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ذکره هنا، فراجع</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فخر المحقّقین فی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 لأنّ عادة المجدّد تدارک الخلل فی الأولی</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من تعرّض للمسألة بالخصوص، نعم، یستفاد ذلک من کلام کاشف الغطاء، و قد أورد کلامه صاحب الجواهر و استوجهه، انظر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 فی الصفحة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بکلّ واحدة منهما</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 علیه علی من علیه</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ورود خبر باللفظ المذکور، و إنّما هو مضمون بعض الروایات، 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الترک</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بالمعیّن منهما</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التنبیه الثالث</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عقیب طهارة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 یعلمها بعینها أعاد </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الشرائع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اختلفا</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الشرائع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یختلفا عددا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الحدیث الأوّل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حیث صرّح بلزوم الاقتصار علی مورد الإجماع، و هو من فاتته صلاة من الخمس</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أمّا ابن زهرة فلم نجد فی الغنیة فتواه بالاکتفاء بالثلاث، فراجع</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المتردّدة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ذکر أنّه أخلّ بواجب</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 طهارات و تیقّن</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عن المؤلّف قدّس سرّه استثناء الحلبی فقط ممّن اکتفی بالثلاث لناسی الواحدة من الخمس، و علّقنا علی کلامه هناک بأنّا لم نجد فی الغنیة أیضا الاکتفاء بالثلاث فی المسألة المذکورة، راجع الصفحة السابقة</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للشیخ البهائی قدّس سرّه، و قد أوردها السیّد العاملی قدّس سرّه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الشرائع،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یرد هذا الموضوع 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ممّا وقف علیه النسّاخ فیما بعد فألحقوه بکتاب الطهارة</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فالواجب ستّة </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أضیف إلیه ظ</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تغسیلهم و بعد بردهم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باختلاف فی التعبیر</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26601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الأحادیث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أحادیث أخری فی نفس الباب</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لدفع</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الحدیث مذکور بتمامه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النخعی، انظر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آخر باب الغسل من المنیّ</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الحدیث مذکور بتمامه</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الآیة 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راجع الجزء الأوّل من هذا الکتاب،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باختلاف فی التعبیر</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الجزء الأوّل من هذا الکتاب،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المحقّق القمّی فی الغنائم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اکتفی بالدفق، و مثله ابن حمزة فی الوسیلة</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العلّامة فی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المسالک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للمنیّ</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متی خرج من الإنسان ماء لا یکون دافقا</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الروایة المشار إلیها أوردها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مراده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علیّ بن جعفر المتقدّمة</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عنهما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تجرّد عن الشهوة و الدفق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اشتباهه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یجب</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لتجوزه</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یجده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ذلک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الإرشاد للمحقّق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حاشیة الشرائع للشهید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ثوبه</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کلام جملة منهم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بثوبه</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حصل الخلط بین مضمرة محمّد بن مسلم و خبر أبی بصیر،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ثمّ إنّ ما ذکره هو تمام خبر أبی بصیر، فلا وجه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 یعین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موثّقتی سماعة المتقدّمتین فی 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قدّس سرّه، انظر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یکن طهارة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جنابة سقط اعتبارها فی نظر الشرع</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تقیید وجوب الإعادة بالوقت فی الإخلال بالطهارة عن الحدث، نصّا و فتوی</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فسدت صلاة الإمام فسدت صلاة المأمومین</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تقدّم آنفا عن أمیر المؤمنین علیه الصلاة و السلام</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الثلاثة فی الصفحة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طهارة الآخر</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لا خلاف</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انظر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فعلها</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لکن هؤلاء الإعلام لم یتعرّضوا للوضوء</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جماعة من الأصحاب،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الأصحاب،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جملة من أصحابنا</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لامرئ ما 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فی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لکلّ امرئ ما نوی</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قاله فی من جدّد الوضوء</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آنفا</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الجماع</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الإنصاف</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بالملازمة الفاضل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استدلّ بفحوی قوله علیه السلام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لم نعثر علی من استدلّ بقوله علیه السلام فی هذه المسألة غیرهما، نعم استدلّ به العلّامة فی مسألة وطء الدبر، انظر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الشهیدان فی مسألة وطء البهیمة، انظر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لم نقف علی الاستدلال به فی کتب الشهید الثانی الموجودة لدینا</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المیّت کحرمة الحیّ</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حرمته میتا أعظم من حرمته و هو حیّ</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بتأثیر</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الأمر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الاستصحاب التعلیقی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الأمر الأوّل من الخاتمة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بقاء الموضوع</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ثبت</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یخصّص</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لیس فی هذه الکتب التعرّض لحکم المجنون</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عبد اللّٰه بن أبی خلف الأشعری القمّی، صنّف کتبا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المنتخبات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کتب السیّد، و 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لیس صریحا فی المخالفة، انظر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مسألتها الثانیة و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لکن هذه المسألة لا توجد فی النسخة الموجودة لدینا، علی ما ذکره مصحّحها فی مقدّمة التحقیق انظر الحائریات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حیث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إلی مخالفة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کان لا یلائم السیاق</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للوسائل شروح متعدّدة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لم یتعیّن لنا مقصود المؤلّف قدّس سرّه منها</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دبرها</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 الروایة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الفرج من الإنسان یطلق علی القبل و الدبر، لأنّ کلّ واحد منفرج، أی منفتح، و أکثر استعماله فی العرف فی القبل</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ینزل</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بغیبوبته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عنهما فی الصفحة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یثبت الإجماع</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 الحدیث الأوّل</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موطوءة</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لم نعثر علیه فی غیره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27337</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 فیما تقدّم عنه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أنّهم یوجبون الغسل بالإیلاج فی فرج البهیمة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لکنّ الموجود فی الخلاف خلاف ذلک،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یقتضیه مذهبنا أن لا یجب الغسل فی فرج البهیمة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المعتضدة</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الشهید فی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نسبه فی المدارک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الأصحاب</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إرادة المقدار</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لزوم اعتبار </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تعرّض المؤلّف قدّس سرّه للمسألة، و قد تعرّضوا لها فی مبحث الطلب و الإرادة من مباحث الأوامر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مراده بالأصول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عنونوا المسألة فی مباحث التکلیف، انظر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 الردّ إلیه،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الآیة من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یتعیّن لنا هذا البعض</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الأسترآبادی و الکاشانی</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صحیحة زرارة المتقدّمة فی الصفحة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عن تفسیر القمّی فی الصفحة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الحدیث رواه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مناف</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حال کفره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الشهید فی البیان هنا و فی مسألة قضاء الصلوات لحکم المخالف إذا استبصر، نعم تعرّض له فی الذکری فی مسألة قضاء الصلوات، لکن لا یستظهر من کلامه عدم وجوب إعادة الغسل لما یستقبلها من العبادات المشروطة بالطهارة، انظر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المسألة الخامسة</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حکیم</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زندیقین</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أبعدتما أخذتما</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لسقط</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الإسلام</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لعموم الحدیث</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قتله</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من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غسله</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 الأوّل</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المحبط</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واحدة من العزائم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لأنّ فیه ادّعی الإجماع صریحا</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نوی بها إحداها</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انظر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ابن زهرة فی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إلیه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موثّقة عمّار الآتیة</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عنه صدره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لم نقف علیه فی المقنع</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للمسألة فی أحکام الجنب، و عبّر فی أحکام الحائض باللبث، انظر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عن المقنعة و السرائر و القواعد</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الذکری حکایة ذلک عن المفید فقط، انظر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الجزء الخامس،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الشرائع، و لم نقف علی شرح المؤلف قدّس سرّه له، و به یتمّ الفصل الأوّل من فصول الغسل، و به یتمّ أیضا الجزء الثانی من کتاب الطهارة حسب تجزئتنا، و یلیه الجزء الثالث، و هو شرح مزجی لکتاب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المؤلّف قدّس سرّه ترک شرح الشرائع إلی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شرح الشرائع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وجدنا النسخة المنسوبة إلیه طیّب اللّٰه رمسه و أنار برهانه، حرّره العبد الفانی زین العابدین القمّی المسکن، اللّٰهم اغفر له و لوالدیه و لمن اتّبع الهدی،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image" Target="media/image2.jpeg"/><Relationship Id="rId589" Type="http://schemas.openxmlformats.org/officeDocument/2006/relationships/image" Target="media/image2.jpeg"/><Relationship Id="rId590" Type="http://schemas.openxmlformats.org/officeDocument/2006/relationships/footer" Target="footer583.xml"/><Relationship Id="rId591" Type="http://schemas.openxmlformats.org/officeDocument/2006/relationships/footnotes" Target="footnotes.xml"/><Relationship Id="rId592" Type="http://schemas.openxmlformats.org/officeDocument/2006/relationships/numbering" Target="numbering.xml"/><Relationship Id="rId593" Type="http://schemas.openxmlformats.org/officeDocument/2006/relationships/fontTable" Target="fontTable.xml"/><Relationship Id="rId594" Type="http://schemas.openxmlformats.org/officeDocument/2006/relationships/settings" Target="settings.xml"/><Relationship Id="rId5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101719</Words>
  <Characters>416529</Characters>
  <CharactersWithSpaces>515597</CharactersWithSpaces>
  <Paragraphs>2652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2026-08-24T00:07:51Z</dcterms:created>
  <dc:creator>ghaemiyeh.com</dc:creator>
  <dc:description/>
  <dc:language>en-US</dc:language>
  <cp:lastModifiedBy/>
  <dcterms:modified xsi:type="dcterms:W3CDTF">2026-08-24T03:38:11Z</dcterms:modified>
  <cp:revision>1</cp:revision>
  <dc:subject/>
  <dc:title>کتاب الطهاره جلد 2</dc:title>
</cp:coreProperties>
</file>

<file path=docProps/custom.xml><?xml version="1.0" encoding="utf-8"?>
<Properties xmlns="http://schemas.openxmlformats.org/officeDocument/2006/custom-properties" xmlns:vt="http://schemas.openxmlformats.org/officeDocument/2006/docPropsVTypes"/>
</file>