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7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1.xml" ContentType="application/vnd.openxmlformats-officedocument.wordprocessingml.footer+xml"/>
  <Override PartName="/word/footer202.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2.xml" ContentType="application/vnd.openxmlformats-officedocument.wordprocessingml.footer+xml"/>
  <Override PartName="/word/footer562.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357.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جواهر الاصول تقریر ابحاث لاستاد روح الله الموسوی الامام الخمینی قدس سره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26011_3224264995">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4026013_3224264995">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4026015_3224264995">
            <w:r>
              <w:rPr>
                <w:webHidden/>
                <w:rStyle w:val="IndexLink"/>
                <w:rtl w:val="true"/>
              </w:rPr>
              <w:t>[</w:t>
            </w:r>
            <w:r>
              <w:rPr>
                <w:rStyle w:val="IndexLink"/>
                <w:rtl w:val="true"/>
              </w:rPr>
              <w:t>هویة الکتاب</w:t>
            </w:r>
            <w:r>
              <w:rPr>
                <w:rStyle w:val="IndexLink"/>
                <w:rtl w:val="true"/>
              </w:rPr>
              <w:t>]</w:t>
              <w:tab/>
            </w:r>
            <w:r>
              <w:rPr>
                <w:rStyle w:val="IndexLink"/>
              </w:rPr>
              <w:t>11</w:t>
            </w:r>
          </w:hyperlink>
        </w:p>
        <w:p>
          <w:pPr>
            <w:pStyle w:val="Contents2"/>
            <w:tabs>
              <w:tab w:val="clear" w:pos="8743"/>
              <w:tab w:val="right" w:pos="9026" w:leader="dot"/>
            </w:tabs>
            <w:rPr/>
          </w:pPr>
          <w:hyperlink w:anchor="__RefHeading___Toc4026017_3224264995">
            <w:r>
              <w:rPr>
                <w:webHidden/>
                <w:rStyle w:val="IndexLink"/>
                <w:rtl w:val="true"/>
              </w:rPr>
              <w:t>[</w:t>
            </w:r>
            <w:r>
              <w:rPr>
                <w:rStyle w:val="IndexLink"/>
                <w:rtl w:val="true"/>
              </w:rPr>
              <w:t>خطبة الکتاب</w:t>
            </w:r>
            <w:r>
              <w:rPr>
                <w:rStyle w:val="IndexLink"/>
                <w:rtl w:val="true"/>
              </w:rPr>
              <w:t>]</w:t>
              <w:tab/>
            </w:r>
            <w:r>
              <w:rPr>
                <w:rStyle w:val="IndexLink"/>
              </w:rPr>
              <w:t>12</w:t>
            </w:r>
          </w:hyperlink>
        </w:p>
        <w:p>
          <w:pPr>
            <w:pStyle w:val="Contents2"/>
            <w:tabs>
              <w:tab w:val="clear" w:pos="8743"/>
              <w:tab w:val="right" w:pos="9026" w:leader="dot"/>
            </w:tabs>
            <w:rPr/>
          </w:pPr>
          <w:hyperlink w:anchor="__RefHeading___Toc4026019_3224264995">
            <w:r>
              <w:rPr>
                <w:webHidden/>
                <w:rStyle w:val="IndexLink"/>
                <w:rtl w:val="true"/>
              </w:rPr>
              <w:t>المقصد الثانی فی النواهی</w:t>
            </w:r>
            <w:r>
              <w:rPr>
                <w:rStyle w:val="IndexLink"/>
                <w:rtl w:val="true"/>
              </w:rPr>
              <w:tab/>
            </w:r>
            <w:r>
              <w:rPr>
                <w:rStyle w:val="IndexLink"/>
              </w:rPr>
              <w:t>13</w:t>
            </w:r>
          </w:hyperlink>
        </w:p>
        <w:p>
          <w:pPr>
            <w:pStyle w:val="Contents3"/>
            <w:tabs>
              <w:tab w:val="clear" w:pos="8459"/>
              <w:tab w:val="right" w:pos="9026" w:leader="dot"/>
            </w:tabs>
            <w:rPr/>
          </w:pPr>
          <w:hyperlink w:anchor="__RefHeading___Toc4026021_3224264995">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4026023_3224264995">
            <w:r>
              <w:rPr>
                <w:webHidden/>
                <w:rStyle w:val="IndexLink"/>
                <w:rtl w:val="true"/>
              </w:rPr>
              <w:t>المبحث الأوّل فی حقیقة النهی</w:t>
            </w:r>
            <w:r>
              <w:rPr>
                <w:rStyle w:val="IndexLink"/>
                <w:rtl w:val="true"/>
              </w:rPr>
              <w:tab/>
            </w:r>
            <w:r>
              <w:rPr>
                <w:rStyle w:val="IndexLink"/>
              </w:rPr>
              <w:t>14</w:t>
            </w:r>
          </w:hyperlink>
        </w:p>
        <w:p>
          <w:pPr>
            <w:pStyle w:val="Contents3"/>
            <w:tabs>
              <w:tab w:val="clear" w:pos="8459"/>
              <w:tab w:val="right" w:pos="9026" w:leader="dot"/>
            </w:tabs>
            <w:rPr/>
          </w:pPr>
          <w:hyperlink w:anchor="__RefHeading___Toc4026025_3224264995">
            <w:r>
              <w:rPr>
                <w:webHidden/>
                <w:rStyle w:val="IndexLink"/>
                <w:rtl w:val="true"/>
              </w:rPr>
              <w:t>المبحث الثانی فی سرّ الفرق بین مقتضی الأمر و النهی</w:t>
            </w:r>
            <w:r>
              <w:rPr>
                <w:rStyle w:val="IndexLink"/>
                <w:rtl w:val="true"/>
              </w:rPr>
              <w:tab/>
            </w:r>
            <w:r>
              <w:rPr>
                <w:rStyle w:val="IndexLink"/>
              </w:rPr>
              <w:t>17</w:t>
            </w:r>
          </w:hyperlink>
        </w:p>
        <w:p>
          <w:pPr>
            <w:pStyle w:val="Contents4"/>
            <w:tabs>
              <w:tab w:val="clear" w:pos="8176"/>
              <w:tab w:val="right" w:pos="9026" w:leader="dot"/>
            </w:tabs>
            <w:rPr/>
          </w:pPr>
          <w:hyperlink w:anchor="__RefHeading___Toc4026027_3224264995">
            <w:r>
              <w:rPr>
                <w:webHidden/>
                <w:rStyle w:val="IndexLink"/>
                <w:rtl w:val="true"/>
              </w:rPr>
              <w:t>اشارة</w:t>
            </w:r>
            <w:r>
              <w:rPr>
                <w:rStyle w:val="IndexLink"/>
                <w:rtl w:val="true"/>
              </w:rPr>
              <w:tab/>
            </w:r>
            <w:r>
              <w:rPr>
                <w:rStyle w:val="IndexLink"/>
              </w:rPr>
              <w:t>17</w:t>
            </w:r>
          </w:hyperlink>
        </w:p>
        <w:p>
          <w:pPr>
            <w:pStyle w:val="Contents4"/>
            <w:tabs>
              <w:tab w:val="clear" w:pos="8176"/>
              <w:tab w:val="right" w:pos="9026" w:leader="dot"/>
            </w:tabs>
            <w:rPr/>
          </w:pPr>
          <w:hyperlink w:anchor="__RefHeading___Toc4026029_3224264995">
            <w:r>
              <w:rPr>
                <w:webHidden/>
                <w:rStyle w:val="IndexLink"/>
                <w:rtl w:val="true"/>
              </w:rPr>
              <w:t>حکم النهی بالنسبة إلی الأفراد الطولیة</w:t>
            </w:r>
            <w:r>
              <w:rPr>
                <w:rStyle w:val="IndexLink"/>
                <w:rtl w:val="true"/>
              </w:rPr>
              <w:tab/>
            </w:r>
            <w:r>
              <w:rPr>
                <w:rStyle w:val="IndexLink"/>
              </w:rPr>
              <w:t>22</w:t>
            </w:r>
          </w:hyperlink>
        </w:p>
        <w:p>
          <w:pPr>
            <w:pStyle w:val="Contents3"/>
            <w:tabs>
              <w:tab w:val="clear" w:pos="8459"/>
              <w:tab w:val="right" w:pos="9026" w:leader="dot"/>
            </w:tabs>
            <w:rPr/>
          </w:pPr>
          <w:hyperlink w:anchor="__RefHeading___Toc4026031_3224264995">
            <w:r>
              <w:rPr>
                <w:webHidden/>
                <w:rStyle w:val="IndexLink"/>
                <w:rtl w:val="true"/>
              </w:rPr>
              <w:t>المبحث الثالث فی اجتماع الأمر و النهی</w:t>
            </w:r>
            <w:r>
              <w:rPr>
                <w:rStyle w:val="IndexLink"/>
                <w:rtl w:val="true"/>
              </w:rPr>
              <w:tab/>
            </w:r>
            <w:r>
              <w:rPr>
                <w:rStyle w:val="IndexLink"/>
              </w:rPr>
              <w:t>28</w:t>
            </w:r>
          </w:hyperlink>
        </w:p>
        <w:p>
          <w:pPr>
            <w:pStyle w:val="Contents4"/>
            <w:tabs>
              <w:tab w:val="clear" w:pos="8176"/>
              <w:tab w:val="right" w:pos="9026" w:leader="dot"/>
            </w:tabs>
            <w:rPr/>
          </w:pPr>
          <w:hyperlink w:anchor="__RefHeading___Toc4026033_3224264995">
            <w:r>
              <w:rPr>
                <w:webHidden/>
                <w:rStyle w:val="IndexLink"/>
                <w:rtl w:val="true"/>
              </w:rPr>
              <w:t>اشارة</w:t>
            </w:r>
            <w:r>
              <w:rPr>
                <w:rStyle w:val="IndexLink"/>
                <w:rtl w:val="true"/>
              </w:rPr>
              <w:tab/>
            </w:r>
            <w:r>
              <w:rPr>
                <w:rStyle w:val="IndexLink"/>
              </w:rPr>
              <w:t>28</w:t>
            </w:r>
          </w:hyperlink>
        </w:p>
        <w:p>
          <w:pPr>
            <w:pStyle w:val="Contents4"/>
            <w:tabs>
              <w:tab w:val="clear" w:pos="8176"/>
              <w:tab w:val="right" w:pos="9026" w:leader="dot"/>
            </w:tabs>
            <w:rPr/>
          </w:pPr>
          <w:hyperlink w:anchor="__RefHeading___Toc4026035_3224264995">
            <w:r>
              <w:rPr>
                <w:webHidden/>
                <w:rStyle w:val="IndexLink"/>
                <w:rtl w:val="true"/>
              </w:rPr>
              <w:t>یقتضی تمهید امور</w:t>
            </w:r>
            <w:r>
              <w:rPr>
                <w:rStyle w:val="IndexLink"/>
                <w:rtl w:val="true"/>
              </w:rPr>
              <w:t>:</w:t>
              <w:tab/>
            </w:r>
            <w:r>
              <w:rPr>
                <w:rStyle w:val="IndexLink"/>
              </w:rPr>
              <w:t>28</w:t>
            </w:r>
          </w:hyperlink>
        </w:p>
        <w:p>
          <w:pPr>
            <w:pStyle w:val="Contents5"/>
            <w:tabs>
              <w:tab w:val="clear" w:pos="7892"/>
              <w:tab w:val="right" w:pos="9026" w:leader="dot"/>
            </w:tabs>
            <w:rPr/>
          </w:pPr>
          <w:hyperlink w:anchor="__RefHeading___Toc4026037_3224264995">
            <w:r>
              <w:rPr>
                <w:webHidden/>
                <w:rStyle w:val="IndexLink"/>
                <w:rtl w:val="true"/>
              </w:rPr>
              <w:t>الأمر الأوّل</w:t>
            </w:r>
            <w:r>
              <w:rPr>
                <w:rStyle w:val="IndexLink"/>
                <w:rtl w:val="true"/>
              </w:rPr>
              <w:t xml:space="preserve">: </w:t>
            </w:r>
            <w:r>
              <w:rPr>
                <w:rStyle w:val="IndexLink"/>
                <w:rtl w:val="true"/>
              </w:rPr>
              <w:t>فی عنوان البحث</w:t>
            </w:r>
            <w:r>
              <w:rPr>
                <w:rStyle w:val="IndexLink"/>
                <w:rtl w:val="true"/>
              </w:rPr>
              <w:tab/>
            </w:r>
            <w:r>
              <w:rPr>
                <w:rStyle w:val="IndexLink"/>
              </w:rPr>
              <w:t>28</w:t>
            </w:r>
          </w:hyperlink>
        </w:p>
        <w:p>
          <w:pPr>
            <w:pStyle w:val="Contents5"/>
            <w:tabs>
              <w:tab w:val="clear" w:pos="7892"/>
              <w:tab w:val="right" w:pos="9026" w:leader="dot"/>
            </w:tabs>
            <w:rPr/>
          </w:pPr>
          <w:hyperlink w:anchor="__RefHeading___Toc4026039_3224264995">
            <w:r>
              <w:rPr>
                <w:webHidden/>
                <w:rStyle w:val="IndexLink"/>
                <w:rtl w:val="true"/>
              </w:rPr>
              <w:t>الأمر الثانی فی الفرق بین هذه المسألة و مسألة النهی عن العبادة أو المعاملة</w:t>
            </w:r>
            <w:r>
              <w:rPr>
                <w:rStyle w:val="IndexLink"/>
                <w:rtl w:val="true"/>
              </w:rPr>
              <w:tab/>
            </w:r>
            <w:r>
              <w:rPr>
                <w:rStyle w:val="IndexLink"/>
              </w:rPr>
              <w:t>33</w:t>
            </w:r>
          </w:hyperlink>
        </w:p>
        <w:p>
          <w:pPr>
            <w:pStyle w:val="Contents5"/>
            <w:tabs>
              <w:tab w:val="clear" w:pos="7892"/>
              <w:tab w:val="right" w:pos="9026" w:leader="dot"/>
            </w:tabs>
            <w:rPr/>
          </w:pPr>
          <w:hyperlink w:anchor="__RefHeading___Toc4026041_3224264995">
            <w:r>
              <w:rPr>
                <w:webHidden/>
                <w:rStyle w:val="IndexLink"/>
                <w:rtl w:val="true"/>
              </w:rPr>
              <w:t>الأمر الثالث فی کون المسألة اصولیة</w:t>
            </w:r>
            <w:r>
              <w:rPr>
                <w:rStyle w:val="IndexLink"/>
                <w:rtl w:val="true"/>
              </w:rPr>
              <w:tab/>
            </w:r>
            <w:r>
              <w:rPr>
                <w:rStyle w:val="IndexLink"/>
              </w:rPr>
              <w:t>34</w:t>
            </w:r>
          </w:hyperlink>
        </w:p>
        <w:p>
          <w:pPr>
            <w:pStyle w:val="Contents5"/>
            <w:tabs>
              <w:tab w:val="clear" w:pos="7892"/>
              <w:tab w:val="right" w:pos="9026" w:leader="dot"/>
            </w:tabs>
            <w:rPr/>
          </w:pPr>
          <w:hyperlink w:anchor="__RefHeading___Toc4026043_3224264995">
            <w:r>
              <w:rPr>
                <w:webHidden/>
                <w:rStyle w:val="IndexLink"/>
                <w:rtl w:val="true"/>
              </w:rPr>
              <w:t>الأمر الرابع فی عدم اعتبار وجود المندوحة</w:t>
            </w:r>
            <w:r>
              <w:rPr>
                <w:rStyle w:val="IndexLink"/>
                <w:rtl w:val="true"/>
              </w:rPr>
              <w:tab/>
            </w:r>
            <w:r>
              <w:rPr>
                <w:rStyle w:val="IndexLink"/>
              </w:rPr>
              <w:t>43</w:t>
            </w:r>
          </w:hyperlink>
        </w:p>
        <w:p>
          <w:pPr>
            <w:pStyle w:val="Contents5"/>
            <w:tabs>
              <w:tab w:val="clear" w:pos="7892"/>
              <w:tab w:val="right" w:pos="9026" w:leader="dot"/>
            </w:tabs>
            <w:rPr/>
          </w:pPr>
          <w:hyperlink w:anchor="__RefHeading___Toc4026045_3224264995">
            <w:r>
              <w:rPr>
                <w:webHidden/>
                <w:rStyle w:val="IndexLink"/>
                <w:rtl w:val="true"/>
              </w:rPr>
              <w:t>الأمر الخامس فی جریان النزاع حتّی مع تعلّق الأوامر و النواهی بالأفراد</w:t>
            </w:r>
            <w:r>
              <w:rPr>
                <w:rStyle w:val="IndexLink"/>
                <w:rtl w:val="true"/>
              </w:rPr>
              <w:tab/>
            </w:r>
            <w:r>
              <w:rPr>
                <w:rStyle w:val="IndexLink"/>
              </w:rPr>
              <w:t>47</w:t>
            </w:r>
          </w:hyperlink>
        </w:p>
        <w:p>
          <w:pPr>
            <w:pStyle w:val="Contents6"/>
            <w:tabs>
              <w:tab w:val="clear" w:pos="7609"/>
              <w:tab w:val="right" w:pos="9026" w:leader="dot"/>
            </w:tabs>
            <w:rPr/>
          </w:pPr>
          <w:hyperlink w:anchor="__RefHeading___Toc4026047_3224264995">
            <w:r>
              <w:rPr>
                <w:webHidden/>
                <w:rStyle w:val="IndexLink"/>
                <w:rtl w:val="true"/>
              </w:rPr>
              <w:t>اشارة</w:t>
            </w:r>
            <w:r>
              <w:rPr>
                <w:rStyle w:val="IndexLink"/>
                <w:rtl w:val="true"/>
              </w:rPr>
              <w:tab/>
            </w:r>
            <w:r>
              <w:rPr>
                <w:rStyle w:val="IndexLink"/>
              </w:rPr>
              <w:t>47</w:t>
            </w:r>
          </w:hyperlink>
        </w:p>
        <w:p>
          <w:pPr>
            <w:pStyle w:val="Contents6"/>
            <w:tabs>
              <w:tab w:val="clear" w:pos="7609"/>
              <w:tab w:val="right" w:pos="9026" w:leader="dot"/>
            </w:tabs>
            <w:rPr/>
          </w:pPr>
          <w:hyperlink w:anchor="__RefHeading___Toc4026049_3224264995">
            <w:r>
              <w:rPr>
                <w:webHidden/>
                <w:rStyle w:val="IndexLink"/>
                <w:rtl w:val="true"/>
              </w:rPr>
              <w:t>صحّة النزاع فی هذه المسألة علی القول بتعلّق الأحکام بالطبائع</w:t>
            </w:r>
            <w:r>
              <w:rPr>
                <w:rStyle w:val="IndexLink"/>
                <w:rtl w:val="true"/>
              </w:rPr>
              <w:tab/>
            </w:r>
            <w:r>
              <w:rPr>
                <w:rStyle w:val="IndexLink"/>
              </w:rPr>
              <w:t>50</w:t>
            </w:r>
          </w:hyperlink>
        </w:p>
        <w:p>
          <w:pPr>
            <w:pStyle w:val="Contents6"/>
            <w:tabs>
              <w:tab w:val="clear" w:pos="7609"/>
              <w:tab w:val="right" w:pos="9026" w:leader="dot"/>
            </w:tabs>
            <w:rPr/>
          </w:pPr>
          <w:hyperlink w:anchor="__RefHeading___Toc4026051_3224264995">
            <w:r>
              <w:rPr>
                <w:webHidden/>
                <w:rStyle w:val="IndexLink"/>
                <w:rtl w:val="true"/>
              </w:rPr>
              <w:t>کلام المحقّق النائینی قدس سره فی المقام و نقده</w:t>
            </w:r>
            <w:r>
              <w:rPr>
                <w:rStyle w:val="IndexLink"/>
                <w:rtl w:val="true"/>
              </w:rPr>
              <w:tab/>
            </w:r>
            <w:r>
              <w:rPr>
                <w:rStyle w:val="IndexLink"/>
              </w:rPr>
              <w:t>51</w:t>
            </w:r>
          </w:hyperlink>
        </w:p>
        <w:p>
          <w:pPr>
            <w:pStyle w:val="Contents6"/>
            <w:tabs>
              <w:tab w:val="clear" w:pos="7609"/>
              <w:tab w:val="right" w:pos="9026" w:leader="dot"/>
            </w:tabs>
            <w:rPr/>
          </w:pPr>
          <w:hyperlink w:anchor="__RefHeading___Toc4026053_3224264995">
            <w:r>
              <w:rPr>
                <w:webHidden/>
                <w:rStyle w:val="IndexLink"/>
                <w:rtl w:val="true"/>
              </w:rPr>
              <w:t>توضیح الضعف</w:t>
            </w:r>
            <w:r>
              <w:rPr>
                <w:rStyle w:val="IndexLink"/>
                <w:rtl w:val="true"/>
              </w:rPr>
              <w:t>:</w:t>
              <w:tab/>
            </w:r>
            <w:r>
              <w:rPr>
                <w:rStyle w:val="IndexLink"/>
              </w:rPr>
              <w:t>51</w:t>
            </w:r>
          </w:hyperlink>
        </w:p>
        <w:p>
          <w:pPr>
            <w:pStyle w:val="Contents5"/>
            <w:tabs>
              <w:tab w:val="clear" w:pos="7892"/>
              <w:tab w:val="right" w:pos="9026" w:leader="dot"/>
            </w:tabs>
            <w:rPr/>
          </w:pPr>
          <w:hyperlink w:anchor="__RefHeading___Toc4026055_3224264995">
            <w:r>
              <w:rPr>
                <w:webHidden/>
                <w:rStyle w:val="IndexLink"/>
                <w:rtl w:val="true"/>
              </w:rPr>
              <w:t>الأمر السادس فی عدم ابتناء النزاع علی إحراز المناط فی المجمع</w:t>
            </w:r>
            <w:r>
              <w:rPr>
                <w:rStyle w:val="IndexLink"/>
                <w:rtl w:val="true"/>
              </w:rPr>
              <w:tab/>
            </w:r>
            <w:r>
              <w:rPr>
                <w:rStyle w:val="IndexLink"/>
              </w:rPr>
              <w:t>52</w:t>
            </w:r>
          </w:hyperlink>
        </w:p>
        <w:p>
          <w:pPr>
            <w:pStyle w:val="Contents6"/>
            <w:tabs>
              <w:tab w:val="clear" w:pos="7609"/>
              <w:tab w:val="right" w:pos="9026" w:leader="dot"/>
            </w:tabs>
            <w:rPr/>
          </w:pPr>
          <w:hyperlink w:anchor="__RefHeading___Toc4026057_3224264995">
            <w:r>
              <w:rPr>
                <w:webHidden/>
                <w:rStyle w:val="IndexLink"/>
                <w:rtl w:val="true"/>
              </w:rPr>
              <w:t>اشارة</w:t>
            </w:r>
            <w:r>
              <w:rPr>
                <w:rStyle w:val="IndexLink"/>
                <w:rtl w:val="true"/>
              </w:rPr>
              <w:tab/>
            </w:r>
            <w:r>
              <w:rPr>
                <w:rStyle w:val="IndexLink"/>
              </w:rPr>
              <w:t>52</w:t>
            </w:r>
          </w:hyperlink>
        </w:p>
        <w:p>
          <w:pPr>
            <w:pStyle w:val="Contents6"/>
            <w:tabs>
              <w:tab w:val="clear" w:pos="7609"/>
              <w:tab w:val="right" w:pos="9026" w:leader="dot"/>
            </w:tabs>
            <w:rPr/>
          </w:pPr>
          <w:hyperlink w:anchor="__RefHeading___Toc4026059_3224264995">
            <w:r>
              <w:rPr>
                <w:webHidden/>
                <w:rStyle w:val="IndexLink"/>
                <w:rtl w:val="true"/>
              </w:rPr>
              <w:t>إشکال و دفع</w:t>
            </w:r>
            <w:r>
              <w:rPr>
                <w:rStyle w:val="IndexLink"/>
                <w:rtl w:val="true"/>
              </w:rPr>
              <w:tab/>
            </w:r>
            <w:r>
              <w:rPr>
                <w:rStyle w:val="IndexLink"/>
              </w:rPr>
              <w:t>54</w:t>
            </w:r>
          </w:hyperlink>
        </w:p>
        <w:p>
          <w:pPr>
            <w:pStyle w:val="Contents5"/>
            <w:tabs>
              <w:tab w:val="clear" w:pos="7892"/>
              <w:tab w:val="right" w:pos="9026" w:leader="dot"/>
            </w:tabs>
            <w:rPr/>
          </w:pPr>
          <w:hyperlink w:anchor="__RefHeading___Toc4026061_3224264995">
            <w:r>
              <w:rPr>
                <w:webHidden/>
                <w:rStyle w:val="IndexLink"/>
                <w:rtl w:val="true"/>
              </w:rPr>
              <w:t>الأمر السابع فی ثمرة بحث الاجتماع علی القول بالجواز</w:t>
            </w:r>
            <w:r>
              <w:rPr>
                <w:rStyle w:val="IndexLink"/>
                <w:rtl w:val="true"/>
              </w:rPr>
              <w:tab/>
            </w:r>
            <w:r>
              <w:rPr>
                <w:rStyle w:val="IndexLink"/>
              </w:rPr>
              <w:t>57</w:t>
            </w:r>
          </w:hyperlink>
        </w:p>
        <w:p>
          <w:pPr>
            <w:pStyle w:val="Contents6"/>
            <w:tabs>
              <w:tab w:val="clear" w:pos="7609"/>
              <w:tab w:val="right" w:pos="9026" w:leader="dot"/>
            </w:tabs>
            <w:rPr/>
          </w:pPr>
          <w:hyperlink w:anchor="__RefHeading___Toc4026063_3224264995">
            <w:r>
              <w:rPr>
                <w:webHidden/>
                <w:rStyle w:val="IndexLink"/>
                <w:rtl w:val="true"/>
              </w:rPr>
              <w:t>اشارة</w:t>
            </w:r>
            <w:r>
              <w:rPr>
                <w:rStyle w:val="IndexLink"/>
                <w:rtl w:val="true"/>
              </w:rPr>
              <w:tab/>
            </w:r>
            <w:r>
              <w:rPr>
                <w:rStyle w:val="IndexLink"/>
              </w:rPr>
              <w:t>57</w:t>
            </w:r>
          </w:hyperlink>
        </w:p>
        <w:p>
          <w:pPr>
            <w:pStyle w:val="Contents6"/>
            <w:tabs>
              <w:tab w:val="clear" w:pos="7609"/>
              <w:tab w:val="right" w:pos="9026" w:leader="dot"/>
            </w:tabs>
            <w:rPr/>
          </w:pPr>
          <w:hyperlink w:anchor="__RefHeading___Toc4026065_3224264995">
            <w:r>
              <w:rPr>
                <w:webHidden/>
                <w:rStyle w:val="IndexLink"/>
                <w:rtl w:val="true"/>
              </w:rPr>
              <w:t>ذهاب المحقّق النائینی إلی أنّ الصلاة فی الدار المغصوبة مرکّب انضمامی</w:t>
            </w:r>
            <w:r>
              <w:rPr>
                <w:rStyle w:val="IndexLink"/>
                <w:rtl w:val="true"/>
              </w:rPr>
              <w:tab/>
            </w:r>
            <w:r>
              <w:rPr>
                <w:rStyle w:val="IndexLink"/>
              </w:rPr>
              <w:t>58</w:t>
            </w:r>
          </w:hyperlink>
        </w:p>
        <w:p>
          <w:pPr>
            <w:pStyle w:val="Contents5"/>
            <w:tabs>
              <w:tab w:val="clear" w:pos="7892"/>
              <w:tab w:val="right" w:pos="9026" w:leader="dot"/>
            </w:tabs>
            <w:rPr/>
          </w:pPr>
          <w:hyperlink w:anchor="__RefHeading___Toc4026067_3224264995">
            <w:r>
              <w:rPr>
                <w:webHidden/>
                <w:rStyle w:val="IndexLink"/>
                <w:rtl w:val="true"/>
              </w:rPr>
              <w:t>الأمر الثامن فی ثمرة بحث الاجتماع علی القول بالامتناع</w:t>
            </w:r>
            <w:r>
              <w:rPr>
                <w:rStyle w:val="IndexLink"/>
                <w:rtl w:val="true"/>
              </w:rPr>
              <w:tab/>
            </w:r>
            <w:r>
              <w:rPr>
                <w:rStyle w:val="IndexLink"/>
              </w:rPr>
              <w:t>64</w:t>
            </w:r>
          </w:hyperlink>
        </w:p>
        <w:p>
          <w:pPr>
            <w:pStyle w:val="Contents6"/>
            <w:tabs>
              <w:tab w:val="clear" w:pos="7609"/>
              <w:tab w:val="right" w:pos="9026" w:leader="dot"/>
            </w:tabs>
            <w:rPr/>
          </w:pPr>
          <w:hyperlink w:anchor="__RefHeading___Toc4026069_3224264995">
            <w:r>
              <w:rPr>
                <w:webHidden/>
                <w:rStyle w:val="IndexLink"/>
                <w:rtl w:val="true"/>
              </w:rPr>
              <w:t>اشارة</w:t>
            </w:r>
            <w:r>
              <w:rPr>
                <w:rStyle w:val="IndexLink"/>
                <w:rtl w:val="true"/>
              </w:rPr>
              <w:tab/>
            </w:r>
            <w:r>
              <w:rPr>
                <w:rStyle w:val="IndexLink"/>
              </w:rPr>
              <w:t>64</w:t>
            </w:r>
          </w:hyperlink>
        </w:p>
        <w:p>
          <w:pPr>
            <w:pStyle w:val="Contents6"/>
            <w:tabs>
              <w:tab w:val="clear" w:pos="7609"/>
              <w:tab w:val="right" w:pos="9026" w:leader="dot"/>
            </w:tabs>
            <w:rPr/>
          </w:pPr>
          <w:hyperlink w:anchor="__RefHeading___Toc4026071_3224264995">
            <w:r>
              <w:rPr>
                <w:webHidden/>
                <w:rStyle w:val="IndexLink"/>
                <w:rtl w:val="true"/>
              </w:rPr>
              <w:t>کلام المحقّقین الخراسانی و النائینی و نقده</w:t>
            </w:r>
            <w:r>
              <w:rPr>
                <w:rStyle w:val="IndexLink"/>
                <w:rtl w:val="true"/>
              </w:rPr>
              <w:tab/>
            </w:r>
            <w:r>
              <w:rPr>
                <w:rStyle w:val="IndexLink"/>
              </w:rPr>
              <w:t>66</w:t>
            </w:r>
          </w:hyperlink>
        </w:p>
        <w:p>
          <w:pPr>
            <w:pStyle w:val="Contents5"/>
            <w:tabs>
              <w:tab w:val="clear" w:pos="7892"/>
              <w:tab w:val="right" w:pos="9026" w:leader="dot"/>
            </w:tabs>
            <w:rPr/>
          </w:pPr>
          <w:hyperlink w:anchor="__RefHeading___Toc4026073_3224264995">
            <w:r>
              <w:rPr>
                <w:webHidden/>
                <w:rStyle w:val="IndexLink"/>
                <w:rtl w:val="true"/>
              </w:rPr>
              <w:t>الأمر التاسع فی تحدید العناوین التی یجری النزاع فیها و شروطها</w:t>
            </w:r>
            <w:r>
              <w:rPr>
                <w:rStyle w:val="IndexLink"/>
                <w:rtl w:val="true"/>
              </w:rPr>
              <w:tab/>
            </w:r>
            <w:r>
              <w:rPr>
                <w:rStyle w:val="IndexLink"/>
              </w:rPr>
              <w:t>69</w:t>
            </w:r>
          </w:hyperlink>
        </w:p>
        <w:p>
          <w:pPr>
            <w:pStyle w:val="Contents6"/>
            <w:tabs>
              <w:tab w:val="clear" w:pos="7609"/>
              <w:tab w:val="right" w:pos="9026" w:leader="dot"/>
            </w:tabs>
            <w:rPr/>
          </w:pPr>
          <w:hyperlink w:anchor="__RefHeading___Toc4026075_3224264995">
            <w:r>
              <w:rPr>
                <w:webHidden/>
                <w:rStyle w:val="IndexLink"/>
                <w:rtl w:val="true"/>
              </w:rPr>
              <w:t>اشارة</w:t>
            </w:r>
            <w:r>
              <w:rPr>
                <w:rStyle w:val="IndexLink"/>
                <w:rtl w:val="true"/>
              </w:rPr>
              <w:tab/>
            </w:r>
            <w:r>
              <w:rPr>
                <w:rStyle w:val="IndexLink"/>
              </w:rPr>
              <w:t>69</w:t>
            </w:r>
          </w:hyperlink>
        </w:p>
        <w:p>
          <w:pPr>
            <w:pStyle w:val="Contents6"/>
            <w:tabs>
              <w:tab w:val="clear" w:pos="7609"/>
              <w:tab w:val="right" w:pos="9026" w:leader="dot"/>
            </w:tabs>
            <w:rPr/>
          </w:pPr>
          <w:hyperlink w:anchor="__RefHeading___Toc4026077_3224264995">
            <w:r>
              <w:rPr>
                <w:webHidden/>
                <w:rStyle w:val="IndexLink"/>
                <w:rtl w:val="true"/>
              </w:rPr>
              <w:t>و أمّا إذا کان بین العنوانین عموم مطلق</w:t>
            </w:r>
            <w:r>
              <w:rPr>
                <w:rStyle w:val="IndexLink"/>
                <w:rtl w:val="true"/>
              </w:rPr>
              <w:tab/>
            </w:r>
            <w:r>
              <w:rPr>
                <w:rStyle w:val="IndexLink"/>
              </w:rPr>
              <w:t>69</w:t>
            </w:r>
          </w:hyperlink>
        </w:p>
        <w:p>
          <w:pPr>
            <w:pStyle w:val="Contents4"/>
            <w:tabs>
              <w:tab w:val="clear" w:pos="8176"/>
              <w:tab w:val="right" w:pos="9026" w:leader="dot"/>
            </w:tabs>
            <w:rPr/>
          </w:pPr>
          <w:hyperlink w:anchor="__RefHeading___Toc4026079_3224264995">
            <w:r>
              <w:rPr>
                <w:webHidden/>
                <w:rStyle w:val="IndexLink"/>
                <w:rtl w:val="true"/>
              </w:rPr>
              <w:t>التحقیق جواز اجتماع الأمر و النهی</w:t>
            </w:r>
            <w:r>
              <w:rPr>
                <w:rStyle w:val="IndexLink"/>
                <w:rtl w:val="true"/>
              </w:rPr>
              <w:tab/>
            </w:r>
            <w:r>
              <w:rPr>
                <w:rStyle w:val="IndexLink"/>
              </w:rPr>
              <w:t>76</w:t>
            </w:r>
          </w:hyperlink>
        </w:p>
        <w:p>
          <w:pPr>
            <w:pStyle w:val="Contents5"/>
            <w:tabs>
              <w:tab w:val="clear" w:pos="7892"/>
              <w:tab w:val="right" w:pos="9026" w:leader="dot"/>
            </w:tabs>
            <w:rPr/>
          </w:pPr>
          <w:hyperlink w:anchor="__RefHeading___Toc4026081_3224264995">
            <w:r>
              <w:rPr>
                <w:webHidden/>
                <w:rStyle w:val="IndexLink"/>
                <w:rtl w:val="true"/>
              </w:rPr>
              <w:t>اشارة</w:t>
            </w:r>
            <w:r>
              <w:rPr>
                <w:rStyle w:val="IndexLink"/>
                <w:rtl w:val="true"/>
              </w:rPr>
              <w:tab/>
            </w:r>
            <w:r>
              <w:rPr>
                <w:rStyle w:val="IndexLink"/>
              </w:rPr>
              <w:t>76</w:t>
            </w:r>
          </w:hyperlink>
        </w:p>
        <w:p>
          <w:pPr>
            <w:pStyle w:val="Contents5"/>
            <w:tabs>
              <w:tab w:val="clear" w:pos="7892"/>
              <w:tab w:val="right" w:pos="9026" w:leader="dot"/>
            </w:tabs>
            <w:rPr/>
          </w:pPr>
          <w:hyperlink w:anchor="__RefHeading___Toc4026083_3224264995">
            <w:r>
              <w:rPr>
                <w:webHidden/>
                <w:rStyle w:val="IndexLink"/>
                <w:rtl w:val="true"/>
              </w:rPr>
              <w:t>و لتقریب ذلک نقدّم اموراً</w:t>
            </w:r>
            <w:r>
              <w:rPr>
                <w:rStyle w:val="IndexLink"/>
                <w:rtl w:val="true"/>
              </w:rPr>
              <w:t>:</w:t>
              <w:tab/>
            </w:r>
            <w:r>
              <w:rPr>
                <w:rStyle w:val="IndexLink"/>
              </w:rPr>
              <w:t>76</w:t>
            </w:r>
          </w:hyperlink>
        </w:p>
        <w:p>
          <w:pPr>
            <w:pStyle w:val="Contents6"/>
            <w:tabs>
              <w:tab w:val="clear" w:pos="7609"/>
              <w:tab w:val="right" w:pos="9026" w:leader="dot"/>
            </w:tabs>
            <w:rPr/>
          </w:pPr>
          <w:hyperlink w:anchor="__RefHeading___Toc4026085_3224264995">
            <w:r>
              <w:rPr>
                <w:webHidden/>
                <w:rStyle w:val="IndexLink"/>
                <w:rtl w:val="true"/>
              </w:rPr>
              <w:t>الأمر الأوّل</w:t>
            </w:r>
            <w:r>
              <w:rPr>
                <w:rStyle w:val="IndexLink"/>
                <w:rtl w:val="true"/>
              </w:rPr>
              <w:t xml:space="preserve">: </w:t>
            </w:r>
            <w:r>
              <w:rPr>
                <w:rStyle w:val="IndexLink"/>
                <w:rtl w:val="true"/>
              </w:rPr>
              <w:t>فی صور متعلّق الأمر و النهی</w:t>
            </w:r>
            <w:r>
              <w:rPr>
                <w:rStyle w:val="IndexLink"/>
                <w:rtl w:val="true"/>
              </w:rPr>
              <w:tab/>
            </w:r>
            <w:r>
              <w:rPr>
                <w:rStyle w:val="IndexLink"/>
              </w:rPr>
              <w:t>76</w:t>
            </w:r>
          </w:hyperlink>
        </w:p>
        <w:p>
          <w:pPr>
            <w:pStyle w:val="Contents6"/>
            <w:tabs>
              <w:tab w:val="clear" w:pos="7609"/>
              <w:tab w:val="right" w:pos="9026" w:leader="dot"/>
            </w:tabs>
            <w:rPr/>
          </w:pPr>
          <w:hyperlink w:anchor="__RefHeading___Toc4026087_3224264995">
            <w:r>
              <w:rPr>
                <w:webHidden/>
                <w:rStyle w:val="IndexLink"/>
                <w:rtl w:val="true"/>
              </w:rPr>
              <w:t>الأمر الثانی</w:t>
            </w:r>
            <w:r>
              <w:rPr>
                <w:rStyle w:val="IndexLink"/>
                <w:rtl w:val="true"/>
              </w:rPr>
              <w:t xml:space="preserve">: </w:t>
            </w:r>
            <w:r>
              <w:rPr>
                <w:rStyle w:val="IndexLink"/>
                <w:rtl w:val="true"/>
              </w:rPr>
              <w:t>فی معنی الإطلاق المقابل للتقیید</w:t>
            </w:r>
            <w:r>
              <w:rPr>
                <w:rStyle w:val="IndexLink"/>
                <w:rtl w:val="true"/>
              </w:rPr>
              <w:tab/>
            </w:r>
            <w:r>
              <w:rPr>
                <w:rStyle w:val="IndexLink"/>
              </w:rPr>
              <w:t>78</w:t>
            </w:r>
          </w:hyperlink>
        </w:p>
        <w:p>
          <w:pPr>
            <w:pStyle w:val="Contents6"/>
            <w:tabs>
              <w:tab w:val="clear" w:pos="7609"/>
              <w:tab w:val="right" w:pos="9026" w:leader="dot"/>
            </w:tabs>
            <w:rPr/>
          </w:pPr>
          <w:hyperlink w:anchor="__RefHeading___Toc4026089_3224264995">
            <w:r>
              <w:rPr>
                <w:webHidden/>
                <w:rStyle w:val="IndexLink"/>
                <w:rtl w:val="true"/>
              </w:rPr>
              <w:t>اشارة</w:t>
            </w:r>
            <w:r>
              <w:rPr>
                <w:rStyle w:val="IndexLink"/>
                <w:rtl w:val="true"/>
              </w:rPr>
              <w:tab/>
            </w:r>
            <w:r>
              <w:rPr>
                <w:rStyle w:val="IndexLink"/>
              </w:rPr>
              <w:t>78</w:t>
            </w:r>
          </w:hyperlink>
        </w:p>
        <w:p>
          <w:pPr>
            <w:pStyle w:val="Contents6"/>
            <w:tabs>
              <w:tab w:val="clear" w:pos="7609"/>
              <w:tab w:val="right" w:pos="9026" w:leader="dot"/>
            </w:tabs>
            <w:rPr/>
          </w:pPr>
          <w:hyperlink w:anchor="__RefHeading___Toc4026091_3224264995">
            <w:r>
              <w:rPr>
                <w:webHidden/>
                <w:rStyle w:val="IndexLink"/>
                <w:rtl w:val="true"/>
              </w:rPr>
              <w:t>«</w:t>
            </w:r>
            <w:r>
              <w:rPr>
                <w:rStyle w:val="IndexLink"/>
                <w:rtl w:val="true"/>
              </w:rPr>
              <w:t>لا یجوز التصرّف فی مال الغیر بلا إذنه</w:t>
            </w:r>
            <w:r>
              <w:rPr>
                <w:rStyle w:val="IndexLink"/>
                <w:rtl w:val="true"/>
              </w:rPr>
              <w:t>»</w:t>
              <w:tab/>
            </w:r>
            <w:r>
              <w:rPr>
                <w:rStyle w:val="IndexLink"/>
              </w:rPr>
              <w:t>79</w:t>
            </w:r>
          </w:hyperlink>
        </w:p>
        <w:p>
          <w:pPr>
            <w:pStyle w:val="Contents6"/>
            <w:tabs>
              <w:tab w:val="clear" w:pos="7609"/>
              <w:tab w:val="right" w:pos="9026" w:leader="dot"/>
            </w:tabs>
            <w:rPr/>
          </w:pPr>
          <w:hyperlink w:anchor="__RefHeading___Toc4026093_3224264995">
            <w:r>
              <w:rPr>
                <w:webHidden/>
                <w:rStyle w:val="IndexLink"/>
                <w:rtl w:val="true"/>
              </w:rPr>
              <w:t>الأمر الثالث</w:t>
            </w:r>
            <w:r>
              <w:rPr>
                <w:rStyle w:val="IndexLink"/>
                <w:rtl w:val="true"/>
              </w:rPr>
              <w:t xml:space="preserve">: </w:t>
            </w:r>
            <w:r>
              <w:rPr>
                <w:rStyle w:val="IndexLink"/>
                <w:rtl w:val="true"/>
              </w:rPr>
              <w:t>فی عدم حکایة الماهیة اللابشرط عمّا یتحد معها خارجاً</w:t>
            </w:r>
            <w:r>
              <w:rPr>
                <w:rStyle w:val="IndexLink"/>
                <w:rtl w:val="true"/>
              </w:rPr>
              <w:tab/>
            </w:r>
            <w:r>
              <w:rPr>
                <w:rStyle w:val="IndexLink"/>
              </w:rPr>
              <w:t>80</w:t>
            </w:r>
          </w:hyperlink>
        </w:p>
        <w:p>
          <w:pPr>
            <w:pStyle w:val="Contents6"/>
            <w:tabs>
              <w:tab w:val="clear" w:pos="7609"/>
              <w:tab w:val="right" w:pos="9026" w:leader="dot"/>
            </w:tabs>
            <w:rPr/>
          </w:pPr>
          <w:hyperlink w:anchor="__RefHeading___Toc4026095_3224264995">
            <w:r>
              <w:rPr>
                <w:webHidden/>
                <w:rStyle w:val="IndexLink"/>
                <w:rtl w:val="true"/>
              </w:rPr>
              <w:t>الأمر الرابع</w:t>
            </w:r>
            <w:r>
              <w:rPr>
                <w:rStyle w:val="IndexLink"/>
                <w:rtl w:val="true"/>
              </w:rPr>
              <w:t xml:space="preserve">: </w:t>
            </w:r>
            <w:r>
              <w:rPr>
                <w:rStyle w:val="IndexLink"/>
                <w:rtl w:val="true"/>
              </w:rPr>
              <w:t>فی المراد بمتعلّقات الأحکام</w:t>
            </w:r>
            <w:r>
              <w:rPr>
                <w:rStyle w:val="IndexLink"/>
                <w:rtl w:val="true"/>
              </w:rPr>
              <w:tab/>
            </w:r>
            <w:r>
              <w:rPr>
                <w:rStyle w:val="IndexLink"/>
              </w:rPr>
              <w:t>81</w:t>
            </w:r>
          </w:hyperlink>
        </w:p>
        <w:p>
          <w:pPr>
            <w:pStyle w:val="Contents5"/>
            <w:tabs>
              <w:tab w:val="clear" w:pos="7892"/>
              <w:tab w:val="right" w:pos="9026" w:leader="dot"/>
            </w:tabs>
            <w:rPr/>
          </w:pPr>
          <w:hyperlink w:anchor="__RefHeading___Toc4026097_3224264995">
            <w:r>
              <w:rPr>
                <w:webHidden/>
                <w:rStyle w:val="IndexLink"/>
                <w:rtl w:val="true"/>
              </w:rPr>
              <w:t>تبیین قول المختار</w:t>
            </w:r>
            <w:r>
              <w:rPr>
                <w:rStyle w:val="IndexLink"/>
                <w:rtl w:val="true"/>
              </w:rPr>
              <w:tab/>
            </w:r>
            <w:r>
              <w:rPr>
                <w:rStyle w:val="IndexLink"/>
              </w:rPr>
              <w:t>86</w:t>
            </w:r>
          </w:hyperlink>
        </w:p>
        <w:p>
          <w:pPr>
            <w:pStyle w:val="Contents5"/>
            <w:tabs>
              <w:tab w:val="clear" w:pos="7892"/>
              <w:tab w:val="right" w:pos="9026" w:leader="dot"/>
            </w:tabs>
            <w:rPr/>
          </w:pPr>
          <w:hyperlink w:anchor="__RefHeading___Toc4026099_3224264995">
            <w:r>
              <w:rPr>
                <w:webHidden/>
                <w:rStyle w:val="IndexLink"/>
                <w:rtl w:val="true"/>
              </w:rPr>
              <w:t>عدم ابتناء الجواز علی الترکیب الانضمامی</w:t>
            </w:r>
            <w:r>
              <w:rPr>
                <w:rStyle w:val="IndexLink"/>
                <w:rtl w:val="true"/>
              </w:rPr>
              <w:tab/>
            </w:r>
            <w:r>
              <w:rPr>
                <w:rStyle w:val="IndexLink"/>
              </w:rPr>
              <w:t>87</w:t>
            </w:r>
          </w:hyperlink>
        </w:p>
        <w:p>
          <w:pPr>
            <w:pStyle w:val="Contents5"/>
            <w:tabs>
              <w:tab w:val="clear" w:pos="7892"/>
              <w:tab w:val="right" w:pos="9026" w:leader="dot"/>
            </w:tabs>
            <w:rPr/>
          </w:pPr>
          <w:hyperlink w:anchor="__RefHeading___Toc4026101_3224264995">
            <w:r>
              <w:rPr>
                <w:webHidden/>
                <w:rStyle w:val="IndexLink"/>
                <w:rtl w:val="true"/>
              </w:rPr>
              <w:t>اختیار جواز الاجتماع و لو لم نقل بالخطابات القانونیة</w:t>
            </w:r>
            <w:r>
              <w:rPr>
                <w:rStyle w:val="IndexLink"/>
                <w:rtl w:val="true"/>
              </w:rPr>
              <w:tab/>
            </w:r>
            <w:r>
              <w:rPr>
                <w:rStyle w:val="IndexLink"/>
              </w:rPr>
              <w:t>88</w:t>
            </w:r>
          </w:hyperlink>
        </w:p>
        <w:p>
          <w:pPr>
            <w:pStyle w:val="Contents5"/>
            <w:tabs>
              <w:tab w:val="clear" w:pos="7892"/>
              <w:tab w:val="right" w:pos="9026" w:leader="dot"/>
            </w:tabs>
            <w:rPr/>
          </w:pPr>
          <w:hyperlink w:anchor="__RefHeading___Toc4026103_3224264995">
            <w:r>
              <w:rPr>
                <w:webHidden/>
                <w:rStyle w:val="IndexLink"/>
                <w:rtl w:val="true"/>
              </w:rPr>
              <w:t>دفع الإشکالات الواردة علی القول بجواز الاجتماع</w:t>
            </w:r>
            <w:r>
              <w:rPr>
                <w:rStyle w:val="IndexLink"/>
                <w:rtl w:val="true"/>
              </w:rPr>
              <w:tab/>
            </w:r>
            <w:r>
              <w:rPr>
                <w:rStyle w:val="IndexLink"/>
              </w:rPr>
              <w:t>88</w:t>
            </w:r>
          </w:hyperlink>
        </w:p>
        <w:p>
          <w:pPr>
            <w:pStyle w:val="Contents6"/>
            <w:tabs>
              <w:tab w:val="clear" w:pos="7609"/>
              <w:tab w:val="right" w:pos="9026" w:leader="dot"/>
            </w:tabs>
            <w:rPr/>
          </w:pPr>
          <w:hyperlink w:anchor="__RefHeading___Toc4026105_3224264995">
            <w:r>
              <w:rPr>
                <w:webHidden/>
                <w:rStyle w:val="IndexLink"/>
                <w:rtl w:val="true"/>
              </w:rPr>
              <w:t>اشارة</w:t>
            </w:r>
            <w:r>
              <w:rPr>
                <w:rStyle w:val="IndexLink"/>
                <w:rtl w:val="true"/>
              </w:rPr>
              <w:tab/>
            </w:r>
            <w:r>
              <w:rPr>
                <w:rStyle w:val="IndexLink"/>
              </w:rPr>
              <w:t>88</w:t>
            </w:r>
          </w:hyperlink>
        </w:p>
        <w:p>
          <w:pPr>
            <w:pStyle w:val="Contents6"/>
            <w:tabs>
              <w:tab w:val="clear" w:pos="7609"/>
              <w:tab w:val="right" w:pos="9026" w:leader="dot"/>
            </w:tabs>
            <w:rPr/>
          </w:pPr>
          <w:hyperlink w:anchor="__RefHeading___Toc4026107_3224264995">
            <w:r>
              <w:rPr>
                <w:webHidden/>
                <w:rStyle w:val="IndexLink"/>
                <w:rtl w:val="true"/>
              </w:rPr>
              <w:t>إشکال اجتماع الإرادة و الکراهة و الحبّ و البغض</w:t>
            </w:r>
            <w:r>
              <w:rPr>
                <w:rStyle w:val="IndexLink"/>
                <w:rtl w:val="true"/>
              </w:rPr>
              <w:tab/>
            </w:r>
            <w:r>
              <w:rPr>
                <w:rStyle w:val="IndexLink"/>
              </w:rPr>
              <w:t>90</w:t>
            </w:r>
          </w:hyperlink>
        </w:p>
        <w:p>
          <w:pPr>
            <w:pStyle w:val="Contents6"/>
            <w:tabs>
              <w:tab w:val="clear" w:pos="7609"/>
              <w:tab w:val="right" w:pos="9026" w:leader="dot"/>
            </w:tabs>
            <w:rPr/>
          </w:pPr>
          <w:hyperlink w:anchor="__RefHeading___Toc4026109_3224264995">
            <w:r>
              <w:rPr>
                <w:webHidden/>
                <w:rStyle w:val="IndexLink"/>
                <w:rtl w:val="true"/>
              </w:rPr>
              <w:t>حول تفریق المحقّق النائینی قدس سره بین ذاته تعالی و بین سائر البسائط</w:t>
            </w:r>
            <w:r>
              <w:rPr>
                <w:rStyle w:val="IndexLink"/>
                <w:rtl w:val="true"/>
              </w:rPr>
              <w:tab/>
            </w:r>
            <w:r>
              <w:rPr>
                <w:rStyle w:val="IndexLink"/>
              </w:rPr>
              <w:t>94</w:t>
            </w:r>
          </w:hyperlink>
        </w:p>
        <w:p>
          <w:pPr>
            <w:pStyle w:val="Contents6"/>
            <w:tabs>
              <w:tab w:val="clear" w:pos="7609"/>
              <w:tab w:val="right" w:pos="9026" w:leader="dot"/>
            </w:tabs>
            <w:rPr/>
          </w:pPr>
          <w:hyperlink w:anchor="__RefHeading___Toc4026111_3224264995">
            <w:r>
              <w:rPr>
                <w:webHidden/>
                <w:rStyle w:val="IndexLink"/>
                <w:rtl w:val="true"/>
              </w:rPr>
              <w:t>إشکال اجتماع المصلحة و المفسدة</w:t>
            </w:r>
            <w:r>
              <w:rPr>
                <w:rStyle w:val="IndexLink"/>
                <w:rtl w:val="true"/>
              </w:rPr>
              <w:tab/>
            </w:r>
            <w:r>
              <w:rPr>
                <w:rStyle w:val="IndexLink"/>
              </w:rPr>
              <w:t>95</w:t>
            </w:r>
          </w:hyperlink>
        </w:p>
        <w:p>
          <w:pPr>
            <w:pStyle w:val="Contents6"/>
            <w:tabs>
              <w:tab w:val="clear" w:pos="7609"/>
              <w:tab w:val="right" w:pos="9026" w:leader="dot"/>
            </w:tabs>
            <w:rPr/>
          </w:pPr>
          <w:hyperlink w:anchor="__RefHeading___Toc4026113_3224264995">
            <w:r>
              <w:rPr>
                <w:webHidden/>
                <w:rStyle w:val="IndexLink"/>
                <w:rtl w:val="true"/>
              </w:rPr>
              <w:t>إشکال اتحاد المقرّب و المبعّد</w:t>
            </w:r>
            <w:r>
              <w:rPr>
                <w:rStyle w:val="IndexLink"/>
                <w:rtl w:val="true"/>
              </w:rPr>
              <w:tab/>
            </w:r>
            <w:r>
              <w:rPr>
                <w:rStyle w:val="IndexLink"/>
              </w:rPr>
              <w:t>97</w:t>
            </w:r>
          </w:hyperlink>
        </w:p>
        <w:p>
          <w:pPr>
            <w:pStyle w:val="Contents6"/>
            <w:tabs>
              <w:tab w:val="clear" w:pos="7609"/>
              <w:tab w:val="right" w:pos="9026" w:leader="dot"/>
            </w:tabs>
            <w:rPr/>
          </w:pPr>
          <w:hyperlink w:anchor="__RefHeading___Toc4026115_3224264995">
            <w:r>
              <w:rPr>
                <w:webHidden/>
                <w:rStyle w:val="IndexLink"/>
                <w:rtl w:val="true"/>
              </w:rPr>
              <w:t>تأیید المختار بالأمثلة العرفیة</w:t>
            </w:r>
            <w:r>
              <w:rPr>
                <w:rStyle w:val="IndexLink"/>
                <w:rtl w:val="true"/>
              </w:rPr>
              <w:tab/>
            </w:r>
            <w:r>
              <w:rPr>
                <w:rStyle w:val="IndexLink"/>
              </w:rPr>
              <w:t>98</w:t>
            </w:r>
          </w:hyperlink>
        </w:p>
        <w:p>
          <w:pPr>
            <w:pStyle w:val="Contents5"/>
            <w:tabs>
              <w:tab w:val="clear" w:pos="7892"/>
              <w:tab w:val="right" w:pos="9026" w:leader="dot"/>
            </w:tabs>
            <w:rPr/>
          </w:pPr>
          <w:hyperlink w:anchor="__RefHeading___Toc4026117_3224264995">
            <w:r>
              <w:rPr>
                <w:webHidden/>
                <w:rStyle w:val="IndexLink"/>
                <w:rtl w:val="true"/>
              </w:rPr>
              <w:t>عدم الفرق فی القول بالجواز بین کون الأحکام متضادّة أو متخالفة</w:t>
            </w:r>
            <w:r>
              <w:rPr>
                <w:rStyle w:val="IndexLink"/>
                <w:rtl w:val="true"/>
              </w:rPr>
              <w:tab/>
            </w:r>
            <w:r>
              <w:rPr>
                <w:rStyle w:val="IndexLink"/>
              </w:rPr>
              <w:t>99</w:t>
            </w:r>
          </w:hyperlink>
        </w:p>
        <w:p>
          <w:pPr>
            <w:pStyle w:val="Contents5"/>
            <w:tabs>
              <w:tab w:val="clear" w:pos="7892"/>
              <w:tab w:val="right" w:pos="9026" w:leader="dot"/>
            </w:tabs>
            <w:rPr/>
          </w:pPr>
          <w:hyperlink w:anchor="__RefHeading___Toc4026119_3224264995">
            <w:r>
              <w:rPr>
                <w:webHidden/>
                <w:rStyle w:val="IndexLink"/>
                <w:rtl w:val="true"/>
              </w:rPr>
              <w:t>عدم تضادّ الأحکام الخمسة</w:t>
            </w:r>
            <w:r>
              <w:rPr>
                <w:rStyle w:val="IndexLink"/>
                <w:rtl w:val="true"/>
              </w:rPr>
              <w:tab/>
            </w:r>
            <w:r>
              <w:rPr>
                <w:rStyle w:val="IndexLink"/>
              </w:rPr>
              <w:t>100</w:t>
            </w:r>
          </w:hyperlink>
        </w:p>
        <w:p>
          <w:pPr>
            <w:pStyle w:val="Contents5"/>
            <w:tabs>
              <w:tab w:val="clear" w:pos="7892"/>
              <w:tab w:val="right" w:pos="9026" w:leader="dot"/>
            </w:tabs>
            <w:rPr/>
          </w:pPr>
          <w:hyperlink w:anchor="__RefHeading___Toc4026121_3224264995">
            <w:r>
              <w:rPr>
                <w:webHidden/>
                <w:rStyle w:val="IndexLink"/>
                <w:rtl w:val="true"/>
              </w:rPr>
              <w:t>تزییف بعض أدلّة المجوّزین</w:t>
            </w:r>
            <w:r>
              <w:rPr>
                <w:rStyle w:val="IndexLink"/>
                <w:rtl w:val="true"/>
              </w:rPr>
              <w:tab/>
            </w:r>
            <w:r>
              <w:rPr>
                <w:rStyle w:val="IndexLink"/>
              </w:rPr>
              <w:t>104</w:t>
            </w:r>
          </w:hyperlink>
        </w:p>
        <w:p>
          <w:pPr>
            <w:pStyle w:val="Contents5"/>
            <w:tabs>
              <w:tab w:val="clear" w:pos="7892"/>
              <w:tab w:val="right" w:pos="9026" w:leader="dot"/>
            </w:tabs>
            <w:rPr/>
          </w:pPr>
          <w:hyperlink w:anchor="__RefHeading___Toc4026123_3224264995">
            <w:r>
              <w:rPr>
                <w:webHidden/>
                <w:rStyle w:val="IndexLink"/>
                <w:rtl w:val="true"/>
              </w:rPr>
              <w:t>تذییل فی حکم العبادات المکروهة</w:t>
            </w:r>
            <w:r>
              <w:rPr>
                <w:rStyle w:val="IndexLink"/>
                <w:rtl w:val="true"/>
              </w:rPr>
              <w:tab/>
            </w:r>
            <w:r>
              <w:rPr>
                <w:rStyle w:val="IndexLink"/>
              </w:rPr>
              <w:t>106</w:t>
            </w:r>
          </w:hyperlink>
        </w:p>
        <w:p>
          <w:pPr>
            <w:pStyle w:val="Contents6"/>
            <w:tabs>
              <w:tab w:val="clear" w:pos="7609"/>
              <w:tab w:val="right" w:pos="9026" w:leader="dot"/>
            </w:tabs>
            <w:rPr/>
          </w:pPr>
          <w:hyperlink w:anchor="__RefHeading___Toc4026125_3224264995">
            <w:r>
              <w:rPr>
                <w:webHidden/>
                <w:rStyle w:val="IndexLink"/>
                <w:rtl w:val="true"/>
              </w:rPr>
              <w:t>توجیه المحقّق النائینی فی المقام</w:t>
            </w:r>
            <w:r>
              <w:rPr>
                <w:rStyle w:val="IndexLink"/>
                <w:rtl w:val="true"/>
              </w:rPr>
              <w:tab/>
            </w:r>
            <w:r>
              <w:rPr>
                <w:rStyle w:val="IndexLink"/>
              </w:rPr>
              <w:t>106</w:t>
            </w:r>
          </w:hyperlink>
        </w:p>
        <w:p>
          <w:pPr>
            <w:pStyle w:val="Contents6"/>
            <w:tabs>
              <w:tab w:val="clear" w:pos="7609"/>
              <w:tab w:val="right" w:pos="9026" w:leader="dot"/>
            </w:tabs>
            <w:rPr/>
          </w:pPr>
          <w:hyperlink w:anchor="__RefHeading___Toc4026127_3224264995">
            <w:r>
              <w:rPr>
                <w:webHidden/>
                <w:rStyle w:val="IndexLink"/>
                <w:rtl w:val="true"/>
              </w:rPr>
              <w:t>توجیه الشیخین الأنصاری و الخراسانی لتعلّق النهی بعین ما تعلّق به الأمر</w:t>
            </w:r>
            <w:r>
              <w:rPr>
                <w:rStyle w:val="IndexLink"/>
                <w:rtl w:val="true"/>
              </w:rPr>
              <w:tab/>
            </w:r>
            <w:r>
              <w:rPr>
                <w:rStyle w:val="IndexLink"/>
              </w:rPr>
              <w:t>116</w:t>
            </w:r>
          </w:hyperlink>
        </w:p>
        <w:p>
          <w:pPr>
            <w:pStyle w:val="Contents6"/>
            <w:tabs>
              <w:tab w:val="clear" w:pos="7609"/>
              <w:tab w:val="right" w:pos="9026" w:leader="dot"/>
            </w:tabs>
            <w:rPr/>
          </w:pPr>
          <w:hyperlink w:anchor="__RefHeading___Toc4026129_3224264995">
            <w:r>
              <w:rPr>
                <w:webHidden/>
                <w:rStyle w:val="IndexLink"/>
                <w:rtl w:val="true"/>
              </w:rPr>
              <w:t>مختارنا فی مقام التوجیه</w:t>
            </w:r>
            <w:r>
              <w:rPr>
                <w:rStyle w:val="IndexLink"/>
                <w:rtl w:val="true"/>
              </w:rPr>
              <w:tab/>
            </w:r>
            <w:r>
              <w:rPr>
                <w:rStyle w:val="IndexLink"/>
              </w:rPr>
              <w:t>118</w:t>
            </w:r>
          </w:hyperlink>
        </w:p>
        <w:p>
          <w:pPr>
            <w:pStyle w:val="Contents4"/>
            <w:tabs>
              <w:tab w:val="clear" w:pos="8176"/>
              <w:tab w:val="right" w:pos="9026" w:leader="dot"/>
            </w:tabs>
            <w:rPr/>
          </w:pPr>
          <w:hyperlink w:anchor="__RefHeading___Toc4026131_3224264995">
            <w:r>
              <w:rPr>
                <w:webHidden/>
                <w:rStyle w:val="IndexLink"/>
                <w:rtl w:val="true"/>
              </w:rPr>
              <w:t>خاتمة فی حکم التوسّط فی الأرض الغصبیة و الصلاة فی الدار المغصوبة</w:t>
            </w:r>
            <w:r>
              <w:rPr>
                <w:rStyle w:val="IndexLink"/>
                <w:rtl w:val="true"/>
              </w:rPr>
              <w:tab/>
            </w:r>
            <w:r>
              <w:rPr>
                <w:rStyle w:val="IndexLink"/>
              </w:rPr>
              <w:t>119</w:t>
            </w:r>
          </w:hyperlink>
        </w:p>
        <w:p>
          <w:pPr>
            <w:pStyle w:val="Contents5"/>
            <w:tabs>
              <w:tab w:val="clear" w:pos="7892"/>
              <w:tab w:val="right" w:pos="9026" w:leader="dot"/>
            </w:tabs>
            <w:rPr/>
          </w:pPr>
          <w:hyperlink w:anchor="__RefHeading___Toc4026133_3224264995">
            <w:r>
              <w:rPr>
                <w:webHidden/>
                <w:rStyle w:val="IndexLink"/>
                <w:rtl w:val="true"/>
              </w:rPr>
              <w:t>اشارة</w:t>
            </w:r>
            <w:r>
              <w:rPr>
                <w:rStyle w:val="IndexLink"/>
                <w:rtl w:val="true"/>
              </w:rPr>
              <w:tab/>
            </w:r>
            <w:r>
              <w:rPr>
                <w:rStyle w:val="IndexLink"/>
              </w:rPr>
              <w:t>119</w:t>
            </w:r>
          </w:hyperlink>
        </w:p>
        <w:p>
          <w:pPr>
            <w:pStyle w:val="Contents5"/>
            <w:tabs>
              <w:tab w:val="clear" w:pos="7892"/>
              <w:tab w:val="right" w:pos="9026" w:leader="dot"/>
            </w:tabs>
            <w:rPr/>
          </w:pPr>
          <w:hyperlink w:anchor="__RefHeading___Toc4026135_3224264995">
            <w:r>
              <w:rPr>
                <w:webHidden/>
                <w:rStyle w:val="IndexLink"/>
                <w:rtl w:val="true"/>
              </w:rPr>
              <w:t>المورد الأوّل</w:t>
            </w:r>
            <w:r>
              <w:rPr>
                <w:rStyle w:val="IndexLink"/>
                <w:rtl w:val="true"/>
              </w:rPr>
              <w:t xml:space="preserve">: </w:t>
            </w:r>
            <w:r>
              <w:rPr>
                <w:rStyle w:val="IndexLink"/>
                <w:rtl w:val="true"/>
              </w:rPr>
              <w:t>فی التوسّط فی الأرض الغصبیة</w:t>
            </w:r>
            <w:r>
              <w:rPr>
                <w:rStyle w:val="IndexLink"/>
                <w:rtl w:val="true"/>
              </w:rPr>
              <w:tab/>
            </w:r>
            <w:r>
              <w:rPr>
                <w:rStyle w:val="IndexLink"/>
              </w:rPr>
              <w:t>119</w:t>
            </w:r>
          </w:hyperlink>
        </w:p>
        <w:p>
          <w:pPr>
            <w:pStyle w:val="Contents6"/>
            <w:tabs>
              <w:tab w:val="clear" w:pos="7609"/>
              <w:tab w:val="right" w:pos="9026" w:leader="dot"/>
            </w:tabs>
            <w:rPr/>
          </w:pPr>
          <w:hyperlink w:anchor="__RefHeading___Toc4026137_3224264995">
            <w:r>
              <w:rPr>
                <w:webHidden/>
                <w:rStyle w:val="IndexLink"/>
                <w:rtl w:val="true"/>
              </w:rPr>
              <w:t>اشارة</w:t>
            </w:r>
            <w:r>
              <w:rPr>
                <w:rStyle w:val="IndexLink"/>
                <w:rtl w:val="true"/>
              </w:rPr>
              <w:tab/>
            </w:r>
            <w:r>
              <w:rPr>
                <w:rStyle w:val="IndexLink"/>
              </w:rPr>
              <w:t>119</w:t>
            </w:r>
          </w:hyperlink>
        </w:p>
        <w:p>
          <w:pPr>
            <w:pStyle w:val="Contents6"/>
            <w:tabs>
              <w:tab w:val="clear" w:pos="7609"/>
              <w:tab w:val="right" w:pos="9026" w:leader="dot"/>
            </w:tabs>
            <w:rPr/>
          </w:pPr>
          <w:hyperlink w:anchor="__RefHeading___Toc4026139_3224264995">
            <w:r>
              <w:rPr>
                <w:webHidden/>
                <w:rStyle w:val="IndexLink"/>
                <w:rtl w:val="true"/>
              </w:rPr>
              <w:t>المختار کون الخروج منهیاً عنه فعلًا و غیر مأمور به</w:t>
            </w:r>
            <w:r>
              <w:rPr>
                <w:rStyle w:val="IndexLink"/>
                <w:rtl w:val="true"/>
              </w:rPr>
              <w:tab/>
            </w:r>
            <w:r>
              <w:rPr>
                <w:rStyle w:val="IndexLink"/>
              </w:rPr>
              <w:t>120</w:t>
            </w:r>
          </w:hyperlink>
        </w:p>
        <w:p>
          <w:pPr>
            <w:pStyle w:val="Contents6"/>
            <w:tabs>
              <w:tab w:val="clear" w:pos="7609"/>
              <w:tab w:val="right" w:pos="9026" w:leader="dot"/>
            </w:tabs>
            <w:rPr/>
          </w:pPr>
          <w:hyperlink w:anchor="__RefHeading___Toc4026141_3224264995">
            <w:r>
              <w:rPr>
                <w:webHidden/>
                <w:rStyle w:val="IndexLink"/>
                <w:rtl w:val="true"/>
              </w:rPr>
              <w:t>عدم کون الخروج من الأرض المغصوبة واجباً</w:t>
            </w:r>
            <w:r>
              <w:rPr>
                <w:rStyle w:val="IndexLink"/>
                <w:rtl w:val="true"/>
              </w:rPr>
              <w:tab/>
            </w:r>
            <w:r>
              <w:rPr>
                <w:rStyle w:val="IndexLink"/>
              </w:rPr>
              <w:t>120</w:t>
            </w:r>
          </w:hyperlink>
        </w:p>
        <w:p>
          <w:pPr>
            <w:pStyle w:val="Contents6"/>
            <w:tabs>
              <w:tab w:val="clear" w:pos="7609"/>
              <w:tab w:val="right" w:pos="9026" w:leader="dot"/>
            </w:tabs>
            <w:rPr/>
          </w:pPr>
          <w:hyperlink w:anchor="__RefHeading___Toc4026143_3224264995">
            <w:r>
              <w:rPr>
                <w:webHidden/>
                <w:rStyle w:val="IndexLink"/>
                <w:rtl w:val="true"/>
              </w:rPr>
              <w:t>ذکر المحقّق النائینی قدس سره هنا فی خلال مقاله مطلبین</w:t>
            </w:r>
            <w:r>
              <w:rPr>
                <w:rStyle w:val="IndexLink"/>
                <w:rtl w:val="true"/>
              </w:rPr>
              <w:tab/>
            </w:r>
            <w:r>
              <w:rPr>
                <w:rStyle w:val="IndexLink"/>
              </w:rPr>
              <w:t>126</w:t>
            </w:r>
          </w:hyperlink>
        </w:p>
        <w:p>
          <w:pPr>
            <w:pStyle w:val="Contents6"/>
            <w:tabs>
              <w:tab w:val="clear" w:pos="7609"/>
              <w:tab w:val="right" w:pos="9026" w:leader="dot"/>
            </w:tabs>
            <w:rPr/>
          </w:pPr>
          <w:hyperlink w:anchor="__RefHeading___Toc4026145_3224264995">
            <w:r>
              <w:rPr>
                <w:webHidden/>
                <w:rStyle w:val="IndexLink"/>
                <w:rtl w:val="true"/>
              </w:rPr>
              <w:t>اشارة</w:t>
            </w:r>
            <w:r>
              <w:rPr>
                <w:rStyle w:val="IndexLink"/>
                <w:rtl w:val="true"/>
              </w:rPr>
              <w:tab/>
            </w:r>
            <w:r>
              <w:rPr>
                <w:rStyle w:val="IndexLink"/>
              </w:rPr>
              <w:t>126</w:t>
            </w:r>
          </w:hyperlink>
        </w:p>
        <w:p>
          <w:pPr>
            <w:pStyle w:val="Contents6"/>
            <w:tabs>
              <w:tab w:val="clear" w:pos="7609"/>
              <w:tab w:val="right" w:pos="9026" w:leader="dot"/>
            </w:tabs>
            <w:rPr/>
          </w:pPr>
          <w:hyperlink w:anchor="__RefHeading___Toc4026147_3224264995">
            <w:r>
              <w:rPr>
                <w:webHidden/>
                <w:rStyle w:val="IndexLink"/>
                <w:rtl w:val="true"/>
              </w:rPr>
              <w:t>المطلب الأوّل</w:t>
            </w:r>
            <w:r>
              <w:rPr>
                <w:rStyle w:val="IndexLink"/>
                <w:rtl w:val="true"/>
              </w:rPr>
              <w:t xml:space="preserve">: </w:t>
            </w:r>
            <w:r>
              <w:rPr>
                <w:rStyle w:val="IndexLink"/>
                <w:rtl w:val="true"/>
              </w:rPr>
              <w:t>فی شمول الخطاب للممتنع و الکفّار و العصاة</w:t>
            </w:r>
            <w:r>
              <w:rPr>
                <w:rStyle w:val="IndexLink"/>
                <w:rtl w:val="true"/>
              </w:rPr>
              <w:tab/>
            </w:r>
            <w:r>
              <w:rPr>
                <w:rStyle w:val="IndexLink"/>
              </w:rPr>
              <w:t>126</w:t>
            </w:r>
          </w:hyperlink>
        </w:p>
        <w:p>
          <w:pPr>
            <w:pStyle w:val="Contents6"/>
            <w:tabs>
              <w:tab w:val="clear" w:pos="7609"/>
              <w:tab w:val="right" w:pos="9026" w:leader="dot"/>
            </w:tabs>
            <w:rPr/>
          </w:pPr>
          <w:hyperlink w:anchor="__RefHeading___Toc4026149_3224264995">
            <w:r>
              <w:rPr>
                <w:webHidden/>
                <w:rStyle w:val="IndexLink"/>
                <w:rtl w:val="true"/>
              </w:rPr>
              <w:t>المطلب الثانی</w:t>
            </w:r>
            <w:r>
              <w:rPr>
                <w:rStyle w:val="IndexLink"/>
                <w:rtl w:val="true"/>
              </w:rPr>
              <w:t xml:space="preserve">: </w:t>
            </w:r>
            <w:r>
              <w:rPr>
                <w:rStyle w:val="IndexLink"/>
                <w:rtl w:val="true"/>
              </w:rPr>
              <w:t>فی عدم کون الخروج من الدار المغصوبة محبوباً و مطلوباً</w:t>
            </w:r>
            <w:r>
              <w:rPr>
                <w:rStyle w:val="IndexLink"/>
                <w:rtl w:val="true"/>
              </w:rPr>
              <w:tab/>
            </w:r>
            <w:r>
              <w:rPr>
                <w:rStyle w:val="IndexLink"/>
              </w:rPr>
              <w:t>129</w:t>
            </w:r>
          </w:hyperlink>
        </w:p>
        <w:p>
          <w:pPr>
            <w:pStyle w:val="Contents6"/>
            <w:tabs>
              <w:tab w:val="clear" w:pos="7609"/>
              <w:tab w:val="right" w:pos="9026" w:leader="dot"/>
            </w:tabs>
            <w:rPr/>
          </w:pPr>
          <w:hyperlink w:anchor="__RefHeading___Toc4026151_3224264995">
            <w:r>
              <w:rPr>
                <w:webHidden/>
                <w:rStyle w:val="IndexLink"/>
                <w:rtl w:val="true"/>
              </w:rPr>
              <w:t>مقال الشیخ فی کون الخروج من الدار المغصوبة واجباً و المناقشة فیه</w:t>
            </w:r>
            <w:r>
              <w:rPr>
                <w:rStyle w:val="IndexLink"/>
                <w:rtl w:val="true"/>
              </w:rPr>
              <w:tab/>
            </w:r>
            <w:r>
              <w:rPr>
                <w:rStyle w:val="IndexLink"/>
              </w:rPr>
              <w:t>132</w:t>
            </w:r>
          </w:hyperlink>
        </w:p>
        <w:p>
          <w:pPr>
            <w:pStyle w:val="Contents6"/>
            <w:tabs>
              <w:tab w:val="clear" w:pos="7609"/>
              <w:tab w:val="right" w:pos="9026" w:leader="dot"/>
            </w:tabs>
            <w:rPr/>
          </w:pPr>
          <w:hyperlink w:anchor="__RefHeading___Toc4026153_3224264995">
            <w:r>
              <w:rPr>
                <w:webHidden/>
                <w:rStyle w:val="IndexLink"/>
                <w:rtl w:val="true"/>
              </w:rPr>
              <w:t>حول مقال أبی هاشم و صاحب الفصول</w:t>
            </w:r>
            <w:r>
              <w:rPr>
                <w:rStyle w:val="IndexLink"/>
                <w:rtl w:val="true"/>
              </w:rPr>
              <w:tab/>
            </w:r>
            <w:r>
              <w:rPr>
                <w:rStyle w:val="IndexLink"/>
              </w:rPr>
              <w:t>134</w:t>
            </w:r>
          </w:hyperlink>
        </w:p>
        <w:p>
          <w:pPr>
            <w:pStyle w:val="Contents6"/>
            <w:tabs>
              <w:tab w:val="clear" w:pos="7609"/>
              <w:tab w:val="right" w:pos="9026" w:leader="dot"/>
            </w:tabs>
            <w:rPr/>
          </w:pPr>
          <w:hyperlink w:anchor="__RefHeading___Toc4026155_3224264995">
            <w:r>
              <w:rPr>
                <w:webHidden/>
                <w:rStyle w:val="IndexLink"/>
                <w:rtl w:val="true"/>
              </w:rPr>
              <w:t>حول مقال المحقّق النائینی</w:t>
            </w:r>
            <w:r>
              <w:rPr>
                <w:rStyle w:val="IndexLink"/>
                <w:rtl w:val="true"/>
              </w:rPr>
              <w:tab/>
            </w:r>
            <w:r>
              <w:rPr>
                <w:rStyle w:val="IndexLink"/>
              </w:rPr>
              <w:t>136</w:t>
            </w:r>
          </w:hyperlink>
        </w:p>
        <w:p>
          <w:pPr>
            <w:pStyle w:val="Contents5"/>
            <w:tabs>
              <w:tab w:val="clear" w:pos="7892"/>
              <w:tab w:val="right" w:pos="9026" w:leader="dot"/>
            </w:tabs>
            <w:rPr/>
          </w:pPr>
          <w:hyperlink w:anchor="__RefHeading___Toc4026157_3224264995">
            <w:r>
              <w:rPr>
                <w:webHidden/>
                <w:rStyle w:val="IndexLink"/>
                <w:rtl w:val="true"/>
              </w:rPr>
              <w:t>المورد الثانی</w:t>
            </w:r>
            <w:r>
              <w:rPr>
                <w:rStyle w:val="IndexLink"/>
                <w:rtl w:val="true"/>
              </w:rPr>
              <w:t xml:space="preserve">: </w:t>
            </w:r>
            <w:r>
              <w:rPr>
                <w:rStyle w:val="IndexLink"/>
                <w:rtl w:val="true"/>
              </w:rPr>
              <w:t>فی حکم الصلاة فی الدار المغصوبة</w:t>
            </w:r>
            <w:r>
              <w:rPr>
                <w:rStyle w:val="IndexLink"/>
                <w:rtl w:val="true"/>
              </w:rPr>
              <w:tab/>
            </w:r>
            <w:r>
              <w:rPr>
                <w:rStyle w:val="IndexLink"/>
              </w:rPr>
              <w:t>141</w:t>
            </w:r>
          </w:hyperlink>
        </w:p>
        <w:p>
          <w:pPr>
            <w:pStyle w:val="Contents5"/>
            <w:tabs>
              <w:tab w:val="clear" w:pos="7892"/>
              <w:tab w:val="right" w:pos="9026" w:leader="dot"/>
            </w:tabs>
            <w:rPr/>
          </w:pPr>
          <w:hyperlink w:anchor="__RefHeading___Toc4026159_3224264995">
            <w:r>
              <w:rPr>
                <w:webHidden/>
                <w:rStyle w:val="IndexLink"/>
                <w:rtl w:val="true"/>
              </w:rPr>
              <w:t>المطلب الأوّل</w:t>
            </w:r>
            <w:r>
              <w:rPr>
                <w:rStyle w:val="IndexLink"/>
                <w:rtl w:val="true"/>
              </w:rPr>
              <w:t xml:space="preserve">: </w:t>
            </w:r>
            <w:r>
              <w:rPr>
                <w:rStyle w:val="IndexLink"/>
                <w:rtl w:val="true"/>
              </w:rPr>
              <w:t>فی عنوان البحث</w:t>
            </w:r>
            <w:r>
              <w:rPr>
                <w:rStyle w:val="IndexLink"/>
                <w:rtl w:val="true"/>
              </w:rPr>
              <w:tab/>
            </w:r>
            <w:r>
              <w:rPr>
                <w:rStyle w:val="IndexLink"/>
              </w:rPr>
              <w:t>144</w:t>
            </w:r>
          </w:hyperlink>
        </w:p>
        <w:p>
          <w:pPr>
            <w:pStyle w:val="Contents5"/>
            <w:tabs>
              <w:tab w:val="clear" w:pos="7892"/>
              <w:tab w:val="right" w:pos="9026" w:leader="dot"/>
            </w:tabs>
            <w:rPr/>
          </w:pPr>
          <w:hyperlink w:anchor="__RefHeading___Toc4026161_3224264995">
            <w:r>
              <w:rPr>
                <w:webHidden/>
                <w:rStyle w:val="IndexLink"/>
                <w:rtl w:val="true"/>
              </w:rPr>
              <w:t>المطلب الثانی</w:t>
            </w:r>
            <w:r>
              <w:rPr>
                <w:rStyle w:val="IndexLink"/>
                <w:rtl w:val="true"/>
              </w:rPr>
              <w:t xml:space="preserve">: </w:t>
            </w:r>
            <w:r>
              <w:rPr>
                <w:rStyle w:val="IndexLink"/>
                <w:rtl w:val="true"/>
              </w:rPr>
              <w:t>فی أنّ المسألة لیست عقلیة محضة و لا لفظیة کذلک</w:t>
            </w:r>
            <w:r>
              <w:rPr>
                <w:rStyle w:val="IndexLink"/>
                <w:rtl w:val="true"/>
              </w:rPr>
              <w:tab/>
            </w:r>
            <w:r>
              <w:rPr>
                <w:rStyle w:val="IndexLink"/>
              </w:rPr>
              <w:t>145</w:t>
            </w:r>
          </w:hyperlink>
        </w:p>
        <w:p>
          <w:pPr>
            <w:pStyle w:val="Contents5"/>
            <w:tabs>
              <w:tab w:val="clear" w:pos="7892"/>
              <w:tab w:val="right" w:pos="9026" w:leader="dot"/>
            </w:tabs>
            <w:rPr/>
          </w:pPr>
          <w:hyperlink w:anchor="__RefHeading___Toc4026163_3224264995">
            <w:r>
              <w:rPr>
                <w:webHidden/>
                <w:rStyle w:val="IndexLink"/>
                <w:rtl w:val="true"/>
              </w:rPr>
              <w:t>المطلب الثالث</w:t>
            </w:r>
            <w:r>
              <w:rPr>
                <w:rStyle w:val="IndexLink"/>
                <w:rtl w:val="true"/>
              </w:rPr>
              <w:t xml:space="preserve">: </w:t>
            </w:r>
            <w:r>
              <w:rPr>
                <w:rStyle w:val="IndexLink"/>
                <w:rtl w:val="true"/>
              </w:rPr>
              <w:t>فی الفرق بین هذه المسألة و مسألة الاجتماع</w:t>
            </w:r>
            <w:r>
              <w:rPr>
                <w:rStyle w:val="IndexLink"/>
                <w:rtl w:val="true"/>
              </w:rPr>
              <w:tab/>
            </w:r>
            <w:r>
              <w:rPr>
                <w:rStyle w:val="IndexLink"/>
              </w:rPr>
              <w:t>146</w:t>
            </w:r>
          </w:hyperlink>
        </w:p>
        <w:p>
          <w:pPr>
            <w:pStyle w:val="Contents5"/>
            <w:tabs>
              <w:tab w:val="clear" w:pos="7892"/>
              <w:tab w:val="right" w:pos="9026" w:leader="dot"/>
            </w:tabs>
            <w:rPr/>
          </w:pPr>
          <w:hyperlink w:anchor="__RefHeading___Toc4026165_3224264995">
            <w:r>
              <w:rPr>
                <w:webHidden/>
                <w:rStyle w:val="IndexLink"/>
                <w:rtl w:val="true"/>
              </w:rPr>
              <w:t>المطلب الرابع</w:t>
            </w:r>
            <w:r>
              <w:rPr>
                <w:rStyle w:val="IndexLink"/>
                <w:rtl w:val="true"/>
              </w:rPr>
              <w:t xml:space="preserve">: </w:t>
            </w:r>
            <w:r>
              <w:rPr>
                <w:rStyle w:val="IndexLink"/>
                <w:rtl w:val="true"/>
              </w:rPr>
              <w:t>فی عدم اختصاص الفساد بالفساد الناشئ عن قصور المقتضی</w:t>
            </w:r>
            <w:r>
              <w:rPr>
                <w:rStyle w:val="IndexLink"/>
                <w:rtl w:val="true"/>
              </w:rPr>
              <w:tab/>
            </w:r>
            <w:r>
              <w:rPr>
                <w:rStyle w:val="IndexLink"/>
              </w:rPr>
              <w:t>146</w:t>
            </w:r>
          </w:hyperlink>
        </w:p>
        <w:p>
          <w:pPr>
            <w:pStyle w:val="Contents5"/>
            <w:tabs>
              <w:tab w:val="clear" w:pos="7892"/>
              <w:tab w:val="right" w:pos="9026" w:leader="dot"/>
            </w:tabs>
            <w:rPr/>
          </w:pPr>
          <w:hyperlink w:anchor="__RefHeading___Toc4026167_3224264995">
            <w:r>
              <w:rPr>
                <w:webHidden/>
                <w:rStyle w:val="IndexLink"/>
                <w:rtl w:val="true"/>
              </w:rPr>
              <w:t>المطلب الخامس</w:t>
            </w:r>
            <w:r>
              <w:rPr>
                <w:rStyle w:val="IndexLink"/>
                <w:rtl w:val="true"/>
              </w:rPr>
              <w:t xml:space="preserve">: </w:t>
            </w:r>
            <w:r>
              <w:rPr>
                <w:rStyle w:val="IndexLink"/>
                <w:rtl w:val="true"/>
              </w:rPr>
              <w:t>فی کون المسألة مسألة اصولیة</w:t>
            </w:r>
            <w:r>
              <w:rPr>
                <w:rStyle w:val="IndexLink"/>
                <w:rtl w:val="true"/>
              </w:rPr>
              <w:tab/>
            </w:r>
            <w:r>
              <w:rPr>
                <w:rStyle w:val="IndexLink"/>
              </w:rPr>
              <w:t>148</w:t>
            </w:r>
          </w:hyperlink>
        </w:p>
        <w:p>
          <w:pPr>
            <w:pStyle w:val="Contents5"/>
            <w:tabs>
              <w:tab w:val="clear" w:pos="7892"/>
              <w:tab w:val="right" w:pos="9026" w:leader="dot"/>
            </w:tabs>
            <w:rPr/>
          </w:pPr>
          <w:hyperlink w:anchor="__RefHeading___Toc4026169_3224264995">
            <w:r>
              <w:rPr>
                <w:webHidden/>
                <w:rStyle w:val="IndexLink"/>
                <w:rtl w:val="true"/>
              </w:rPr>
              <w:t>المطلب السادس</w:t>
            </w:r>
            <w:r>
              <w:rPr>
                <w:rStyle w:val="IndexLink"/>
                <w:rtl w:val="true"/>
              </w:rPr>
              <w:t xml:space="preserve">: </w:t>
            </w:r>
            <w:r>
              <w:rPr>
                <w:rStyle w:val="IndexLink"/>
                <w:rtl w:val="true"/>
              </w:rPr>
              <w:t>فی أنّ محطّ البحث جمیع النواهی</w:t>
            </w:r>
            <w:r>
              <w:rPr>
                <w:rStyle w:val="IndexLink"/>
                <w:rtl w:val="true"/>
              </w:rPr>
              <w:tab/>
            </w:r>
            <w:r>
              <w:rPr>
                <w:rStyle w:val="IndexLink"/>
              </w:rPr>
              <w:t>148</w:t>
            </w:r>
          </w:hyperlink>
        </w:p>
        <w:p>
          <w:pPr>
            <w:pStyle w:val="Contents5"/>
            <w:tabs>
              <w:tab w:val="clear" w:pos="7892"/>
              <w:tab w:val="right" w:pos="9026" w:leader="dot"/>
            </w:tabs>
            <w:rPr/>
          </w:pPr>
          <w:hyperlink w:anchor="__RefHeading___Toc4026171_3224264995">
            <w:r>
              <w:rPr>
                <w:webHidden/>
                <w:rStyle w:val="IndexLink"/>
                <w:rtl w:val="true"/>
              </w:rPr>
              <w:t>المطلب السابع</w:t>
            </w:r>
            <w:r>
              <w:rPr>
                <w:rStyle w:val="IndexLink"/>
                <w:rtl w:val="true"/>
              </w:rPr>
              <w:t xml:space="preserve">: </w:t>
            </w:r>
            <w:r>
              <w:rPr>
                <w:rStyle w:val="IndexLink"/>
                <w:rtl w:val="true"/>
              </w:rPr>
              <w:t>فی المراد بالعبادة أو المعاملة فی المقام</w:t>
            </w:r>
            <w:r>
              <w:rPr>
                <w:rStyle w:val="IndexLink"/>
                <w:rtl w:val="true"/>
              </w:rPr>
              <w:tab/>
            </w:r>
            <w:r>
              <w:rPr>
                <w:rStyle w:val="IndexLink"/>
              </w:rPr>
              <w:t>149</w:t>
            </w:r>
          </w:hyperlink>
        </w:p>
        <w:p>
          <w:pPr>
            <w:pStyle w:val="Contents5"/>
            <w:tabs>
              <w:tab w:val="clear" w:pos="7892"/>
              <w:tab w:val="right" w:pos="9026" w:leader="dot"/>
            </w:tabs>
            <w:rPr/>
          </w:pPr>
          <w:hyperlink w:anchor="__RefHeading___Toc4026173_3224264995">
            <w:r>
              <w:rPr>
                <w:webHidden/>
                <w:rStyle w:val="IndexLink"/>
                <w:rtl w:val="true"/>
              </w:rPr>
              <w:t>المطلب الثامن</w:t>
            </w:r>
            <w:r>
              <w:rPr>
                <w:rStyle w:val="IndexLink"/>
                <w:rtl w:val="true"/>
              </w:rPr>
              <w:t xml:space="preserve">: </w:t>
            </w:r>
            <w:r>
              <w:rPr>
                <w:rStyle w:val="IndexLink"/>
                <w:rtl w:val="true"/>
              </w:rPr>
              <w:t>فی حکم مساوقة الصحّة و الفساد للتمام و النقص</w:t>
            </w:r>
            <w:r>
              <w:rPr>
                <w:rStyle w:val="IndexLink"/>
                <w:rtl w:val="true"/>
              </w:rPr>
              <w:tab/>
            </w:r>
            <w:r>
              <w:rPr>
                <w:rStyle w:val="IndexLink"/>
              </w:rPr>
              <w:t>150</w:t>
            </w:r>
          </w:hyperlink>
        </w:p>
        <w:p>
          <w:pPr>
            <w:pStyle w:val="Contents6"/>
            <w:tabs>
              <w:tab w:val="clear" w:pos="7609"/>
              <w:tab w:val="right" w:pos="9026" w:leader="dot"/>
            </w:tabs>
            <w:rPr/>
          </w:pPr>
          <w:hyperlink w:anchor="__RefHeading___Toc4026175_3224264995">
            <w:r>
              <w:rPr>
                <w:webHidden/>
                <w:rStyle w:val="IndexLink"/>
                <w:rtl w:val="true"/>
              </w:rPr>
              <w:t>اشارة</w:t>
            </w:r>
            <w:r>
              <w:rPr>
                <w:rStyle w:val="IndexLink"/>
                <w:rtl w:val="true"/>
              </w:rPr>
              <w:tab/>
            </w:r>
            <w:r>
              <w:rPr>
                <w:rStyle w:val="IndexLink"/>
              </w:rPr>
              <w:t>150</w:t>
            </w:r>
          </w:hyperlink>
        </w:p>
        <w:p>
          <w:pPr>
            <w:pStyle w:val="Contents6"/>
            <w:tabs>
              <w:tab w:val="clear" w:pos="7609"/>
              <w:tab w:val="right" w:pos="9026" w:leader="dot"/>
            </w:tabs>
            <w:rPr/>
          </w:pPr>
          <w:hyperlink w:anchor="__RefHeading___Toc4026177_3224264995">
            <w:r>
              <w:rPr>
                <w:webHidden/>
                <w:rStyle w:val="IndexLink"/>
                <w:rtl w:val="true"/>
              </w:rPr>
              <w:t>و أمّا قولهم</w:t>
            </w:r>
            <w:r>
              <w:rPr>
                <w:rStyle w:val="IndexLink"/>
                <w:rtl w:val="true"/>
              </w:rPr>
              <w:t>: «</w:t>
            </w:r>
            <w:r>
              <w:rPr>
                <w:rStyle w:val="IndexLink"/>
                <w:rtl w:val="true"/>
              </w:rPr>
              <w:t>إنّ الصحّة و الفساد أمران إضافیان</w:t>
            </w:r>
            <w:r>
              <w:rPr>
                <w:rStyle w:val="IndexLink"/>
                <w:rtl w:val="true"/>
              </w:rPr>
              <w:t>»</w:t>
              <w:tab/>
            </w:r>
            <w:r>
              <w:rPr>
                <w:rStyle w:val="IndexLink"/>
              </w:rPr>
              <w:t>154</w:t>
            </w:r>
          </w:hyperlink>
        </w:p>
        <w:p>
          <w:pPr>
            <w:pStyle w:val="Contents5"/>
            <w:tabs>
              <w:tab w:val="clear" w:pos="7892"/>
              <w:tab w:val="right" w:pos="9026" w:leader="dot"/>
            </w:tabs>
            <w:rPr/>
          </w:pPr>
          <w:hyperlink w:anchor="__RefHeading___Toc4026179_3224264995">
            <w:r>
              <w:rPr>
                <w:webHidden/>
                <w:rStyle w:val="IndexLink"/>
                <w:rtl w:val="true"/>
              </w:rPr>
              <w:t>المطلب التاسع</w:t>
            </w:r>
            <w:r>
              <w:rPr>
                <w:rStyle w:val="IndexLink"/>
                <w:rtl w:val="true"/>
              </w:rPr>
              <w:t xml:space="preserve">: </w:t>
            </w:r>
            <w:r>
              <w:rPr>
                <w:rStyle w:val="IndexLink"/>
                <w:rtl w:val="true"/>
              </w:rPr>
              <w:t>فی عدم مجعولیة الصحّة و الفساد</w:t>
            </w:r>
            <w:r>
              <w:rPr>
                <w:rStyle w:val="IndexLink"/>
                <w:rtl w:val="true"/>
              </w:rPr>
              <w:tab/>
            </w:r>
            <w:r>
              <w:rPr>
                <w:rStyle w:val="IndexLink"/>
              </w:rPr>
              <w:t>155</w:t>
            </w:r>
          </w:hyperlink>
        </w:p>
        <w:p>
          <w:pPr>
            <w:pStyle w:val="Contents6"/>
            <w:tabs>
              <w:tab w:val="clear" w:pos="7609"/>
              <w:tab w:val="right" w:pos="9026" w:leader="dot"/>
            </w:tabs>
            <w:rPr/>
          </w:pPr>
          <w:hyperlink w:anchor="__RefHeading___Toc4026181_3224264995">
            <w:r>
              <w:rPr>
                <w:webHidden/>
                <w:rStyle w:val="IndexLink"/>
                <w:rtl w:val="true"/>
              </w:rPr>
              <w:t>اشارة</w:t>
            </w:r>
            <w:r>
              <w:rPr>
                <w:rStyle w:val="IndexLink"/>
                <w:rtl w:val="true"/>
              </w:rPr>
              <w:tab/>
            </w:r>
            <w:r>
              <w:rPr>
                <w:rStyle w:val="IndexLink"/>
              </w:rPr>
              <w:t>155</w:t>
            </w:r>
          </w:hyperlink>
        </w:p>
        <w:p>
          <w:pPr>
            <w:pStyle w:val="Contents6"/>
            <w:tabs>
              <w:tab w:val="clear" w:pos="7609"/>
              <w:tab w:val="right" w:pos="9026" w:leader="dot"/>
            </w:tabs>
            <w:rPr/>
          </w:pPr>
          <w:hyperlink w:anchor="__RefHeading___Toc4026183_3224264995">
            <w:r>
              <w:rPr>
                <w:webHidden/>
                <w:rStyle w:val="IndexLink"/>
                <w:rtl w:val="true"/>
              </w:rPr>
              <w:t>حول کلام المحقّق الخراسانی قدس سره فی المقام</w:t>
            </w:r>
            <w:r>
              <w:rPr>
                <w:rStyle w:val="IndexLink"/>
                <w:rtl w:val="true"/>
              </w:rPr>
              <w:tab/>
            </w:r>
            <w:r>
              <w:rPr>
                <w:rStyle w:val="IndexLink"/>
              </w:rPr>
              <w:t>157</w:t>
            </w:r>
          </w:hyperlink>
        </w:p>
        <w:p>
          <w:pPr>
            <w:pStyle w:val="Contents6"/>
            <w:tabs>
              <w:tab w:val="clear" w:pos="7609"/>
              <w:tab w:val="right" w:pos="9026" w:leader="dot"/>
            </w:tabs>
            <w:rPr/>
          </w:pPr>
          <w:hyperlink w:anchor="__RefHeading___Toc4026185_3224264995">
            <w:r>
              <w:rPr>
                <w:webHidden/>
                <w:rStyle w:val="IndexLink"/>
                <w:rtl w:val="true"/>
              </w:rPr>
              <w:t>توهّم تطرّق الجعل إلی الصحّة و الفساد الظاهریین و دفعه</w:t>
            </w:r>
            <w:r>
              <w:rPr>
                <w:rStyle w:val="IndexLink"/>
                <w:rtl w:val="true"/>
              </w:rPr>
              <w:tab/>
            </w:r>
            <w:r>
              <w:rPr>
                <w:rStyle w:val="IndexLink"/>
              </w:rPr>
              <w:t>158</w:t>
            </w:r>
          </w:hyperlink>
        </w:p>
        <w:p>
          <w:pPr>
            <w:pStyle w:val="Contents5"/>
            <w:tabs>
              <w:tab w:val="clear" w:pos="7892"/>
              <w:tab w:val="right" w:pos="9026" w:leader="dot"/>
            </w:tabs>
            <w:rPr/>
          </w:pPr>
          <w:hyperlink w:anchor="__RefHeading___Toc4026187_3224264995">
            <w:r>
              <w:rPr>
                <w:webHidden/>
                <w:rStyle w:val="IndexLink"/>
                <w:rtl w:val="true"/>
              </w:rPr>
              <w:t>المطلب العاشر</w:t>
            </w:r>
            <w:r>
              <w:rPr>
                <w:rStyle w:val="IndexLink"/>
                <w:rtl w:val="true"/>
              </w:rPr>
              <w:t xml:space="preserve">: </w:t>
            </w:r>
            <w:r>
              <w:rPr>
                <w:rStyle w:val="IndexLink"/>
                <w:rtl w:val="true"/>
              </w:rPr>
              <w:t>فی مقتضی الأصل فی المسألة</w:t>
            </w:r>
            <w:r>
              <w:rPr>
                <w:rStyle w:val="IndexLink"/>
                <w:rtl w:val="true"/>
              </w:rPr>
              <w:tab/>
            </w:r>
            <w:r>
              <w:rPr>
                <w:rStyle w:val="IndexLink"/>
              </w:rPr>
              <w:t>160</w:t>
            </w:r>
          </w:hyperlink>
        </w:p>
        <w:p>
          <w:pPr>
            <w:pStyle w:val="Contents6"/>
            <w:tabs>
              <w:tab w:val="clear" w:pos="7609"/>
              <w:tab w:val="right" w:pos="9026" w:leader="dot"/>
            </w:tabs>
            <w:rPr/>
          </w:pPr>
          <w:hyperlink w:anchor="__RefHeading___Toc4026189_3224264995">
            <w:r>
              <w:rPr>
                <w:webHidden/>
                <w:rStyle w:val="IndexLink"/>
                <w:rtl w:val="true"/>
              </w:rPr>
              <w:t>اشارة</w:t>
            </w:r>
            <w:r>
              <w:rPr>
                <w:rStyle w:val="IndexLink"/>
                <w:rtl w:val="true"/>
              </w:rPr>
              <w:tab/>
            </w:r>
            <w:r>
              <w:rPr>
                <w:rStyle w:val="IndexLink"/>
              </w:rPr>
              <w:t>160</w:t>
            </w:r>
          </w:hyperlink>
        </w:p>
        <w:p>
          <w:pPr>
            <w:pStyle w:val="Contents6"/>
            <w:tabs>
              <w:tab w:val="clear" w:pos="7609"/>
              <w:tab w:val="right" w:pos="9026" w:leader="dot"/>
            </w:tabs>
            <w:rPr/>
          </w:pPr>
          <w:hyperlink w:anchor="__RefHeading___Toc4026191_3224264995">
            <w:r>
              <w:rPr>
                <w:webHidden/>
                <w:rStyle w:val="IndexLink"/>
                <w:rtl w:val="true"/>
              </w:rPr>
              <w:t>المورد الأوّل</w:t>
            </w:r>
            <w:r>
              <w:rPr>
                <w:rStyle w:val="IndexLink"/>
                <w:rtl w:val="true"/>
              </w:rPr>
              <w:t xml:space="preserve">: </w:t>
            </w:r>
            <w:r>
              <w:rPr>
                <w:rStyle w:val="IndexLink"/>
                <w:rtl w:val="true"/>
              </w:rPr>
              <w:t>فی مقتضی الأصل فی المسألة الاصولیة</w:t>
            </w:r>
            <w:r>
              <w:rPr>
                <w:rStyle w:val="IndexLink"/>
                <w:rtl w:val="true"/>
              </w:rPr>
              <w:tab/>
            </w:r>
            <w:r>
              <w:rPr>
                <w:rStyle w:val="IndexLink"/>
              </w:rPr>
              <w:t>160</w:t>
            </w:r>
          </w:hyperlink>
        </w:p>
        <w:p>
          <w:pPr>
            <w:pStyle w:val="Contents6"/>
            <w:tabs>
              <w:tab w:val="clear" w:pos="7609"/>
              <w:tab w:val="right" w:pos="9026" w:leader="dot"/>
            </w:tabs>
            <w:rPr/>
          </w:pPr>
          <w:hyperlink w:anchor="__RefHeading___Toc4026193_3224264995">
            <w:r>
              <w:rPr>
                <w:webHidden/>
                <w:rStyle w:val="IndexLink"/>
                <w:rtl w:val="true"/>
              </w:rPr>
              <w:t>المورد الثانی</w:t>
            </w:r>
            <w:r>
              <w:rPr>
                <w:rStyle w:val="IndexLink"/>
                <w:rtl w:val="true"/>
              </w:rPr>
              <w:t xml:space="preserve">: </w:t>
            </w:r>
            <w:r>
              <w:rPr>
                <w:rStyle w:val="IndexLink"/>
                <w:rtl w:val="true"/>
              </w:rPr>
              <w:t>فی مقتضی الأصل فی المسألة الفرعیة</w:t>
            </w:r>
            <w:r>
              <w:rPr>
                <w:rStyle w:val="IndexLink"/>
                <w:rtl w:val="true"/>
              </w:rPr>
              <w:tab/>
            </w:r>
            <w:r>
              <w:rPr>
                <w:rStyle w:val="IndexLink"/>
              </w:rPr>
              <w:t>162</w:t>
            </w:r>
          </w:hyperlink>
        </w:p>
        <w:p>
          <w:pPr>
            <w:pStyle w:val="Contents3"/>
            <w:tabs>
              <w:tab w:val="clear" w:pos="8459"/>
              <w:tab w:val="right" w:pos="9026" w:leader="dot"/>
            </w:tabs>
            <w:rPr/>
          </w:pPr>
          <w:hyperlink w:anchor="__RefHeading___Toc4026195_3224264995">
            <w:r>
              <w:rPr>
                <w:webHidden/>
                <w:rStyle w:val="IndexLink"/>
                <w:rtl w:val="true"/>
              </w:rPr>
              <w:t>المبحث الرابع فی أنّ النهی عن الشی‌ء هل یکشف عن فساده، أم لا</w:t>
            </w:r>
            <w:r>
              <w:rPr>
                <w:rStyle w:val="IndexLink"/>
                <w:rtl w:val="true"/>
              </w:rPr>
              <w:tab/>
            </w:r>
            <w:r>
              <w:rPr>
                <w:rStyle w:val="IndexLink"/>
              </w:rPr>
              <w:t>163</w:t>
            </w:r>
          </w:hyperlink>
        </w:p>
        <w:p>
          <w:pPr>
            <w:pStyle w:val="Contents4"/>
            <w:tabs>
              <w:tab w:val="clear" w:pos="8176"/>
              <w:tab w:val="right" w:pos="9026" w:leader="dot"/>
            </w:tabs>
            <w:rPr/>
          </w:pPr>
          <w:hyperlink w:anchor="__RefHeading___Toc4026197_3224264995">
            <w:r>
              <w:rPr>
                <w:webHidden/>
                <w:rStyle w:val="IndexLink"/>
                <w:rtl w:val="true"/>
              </w:rPr>
              <w:t>اشارة</w:t>
            </w:r>
            <w:r>
              <w:rPr>
                <w:rStyle w:val="IndexLink"/>
                <w:rtl w:val="true"/>
              </w:rPr>
              <w:tab/>
            </w:r>
            <w:r>
              <w:rPr>
                <w:rStyle w:val="IndexLink"/>
              </w:rPr>
              <w:t>163</w:t>
            </w:r>
          </w:hyperlink>
        </w:p>
        <w:p>
          <w:pPr>
            <w:pStyle w:val="Contents4"/>
            <w:tabs>
              <w:tab w:val="clear" w:pos="8176"/>
              <w:tab w:val="right" w:pos="9026" w:leader="dot"/>
            </w:tabs>
            <w:rPr/>
          </w:pPr>
          <w:hyperlink w:anchor="__RefHeading___Toc4026199_3224264995">
            <w:r>
              <w:rPr>
                <w:webHidden/>
                <w:rStyle w:val="IndexLink"/>
                <w:rtl w:val="true"/>
              </w:rPr>
              <w:t>و قبل الشروع فی المقصود نقدّم مطالب لها دخالة تامّة فی تنقیحه</w:t>
            </w:r>
            <w:r>
              <w:rPr>
                <w:rStyle w:val="IndexLink"/>
                <w:rtl w:val="true"/>
              </w:rPr>
              <w:t>:</w:t>
              <w:tab/>
            </w:r>
            <w:r>
              <w:rPr>
                <w:rStyle w:val="IndexLink"/>
              </w:rPr>
              <w:t>163</w:t>
            </w:r>
          </w:hyperlink>
        </w:p>
        <w:p>
          <w:pPr>
            <w:pStyle w:val="Contents4"/>
            <w:tabs>
              <w:tab w:val="clear" w:pos="8176"/>
              <w:tab w:val="right" w:pos="9026" w:leader="dot"/>
            </w:tabs>
            <w:rPr/>
          </w:pPr>
          <w:hyperlink w:anchor="__RefHeading___Toc4026201_3224264995">
            <w:r>
              <w:rPr>
                <w:webHidden/>
                <w:rStyle w:val="IndexLink"/>
                <w:rtl w:val="true"/>
              </w:rPr>
              <w:t>التحقیق فی هذه المسألة</w:t>
            </w:r>
            <w:r>
              <w:rPr>
                <w:rStyle w:val="IndexLink"/>
                <w:rtl w:val="true"/>
              </w:rPr>
              <w:tab/>
            </w:r>
            <w:r>
              <w:rPr>
                <w:rStyle w:val="IndexLink"/>
              </w:rPr>
              <w:t>163</w:t>
            </w:r>
          </w:hyperlink>
        </w:p>
        <w:p>
          <w:pPr>
            <w:pStyle w:val="Contents5"/>
            <w:tabs>
              <w:tab w:val="clear" w:pos="7892"/>
              <w:tab w:val="right" w:pos="9026" w:leader="dot"/>
            </w:tabs>
            <w:rPr/>
          </w:pPr>
          <w:hyperlink w:anchor="__RefHeading___Toc4026203_3224264995">
            <w:r>
              <w:rPr>
                <w:webHidden/>
                <w:rStyle w:val="IndexLink"/>
                <w:rtl w:val="true"/>
              </w:rPr>
              <w:t>اشارة</w:t>
            </w:r>
            <w:r>
              <w:rPr>
                <w:rStyle w:val="IndexLink"/>
                <w:rtl w:val="true"/>
              </w:rPr>
              <w:tab/>
            </w:r>
            <w:r>
              <w:rPr>
                <w:rStyle w:val="IndexLink"/>
              </w:rPr>
              <w:t>163</w:t>
            </w:r>
          </w:hyperlink>
        </w:p>
        <w:p>
          <w:pPr>
            <w:pStyle w:val="Contents5"/>
            <w:tabs>
              <w:tab w:val="clear" w:pos="7892"/>
              <w:tab w:val="right" w:pos="9026" w:leader="dot"/>
            </w:tabs>
            <w:rPr/>
          </w:pPr>
          <w:hyperlink w:anchor="__RefHeading___Toc4026205_3224264995">
            <w:r>
              <w:rPr>
                <w:webHidden/>
                <w:rStyle w:val="IndexLink"/>
                <w:rtl w:val="true"/>
              </w:rPr>
              <w:t>المقام الأوّل فی اقتضاء النهی فساد متعلّقه و عدمه</w:t>
            </w:r>
            <w:r>
              <w:rPr>
                <w:rStyle w:val="IndexLink"/>
                <w:rtl w:val="true"/>
              </w:rPr>
              <w:tab/>
            </w:r>
            <w:r>
              <w:rPr>
                <w:rStyle w:val="IndexLink"/>
              </w:rPr>
              <w:t>164</w:t>
            </w:r>
          </w:hyperlink>
        </w:p>
        <w:p>
          <w:pPr>
            <w:pStyle w:val="Contents6"/>
            <w:tabs>
              <w:tab w:val="clear" w:pos="7609"/>
              <w:tab w:val="right" w:pos="9026" w:leader="dot"/>
            </w:tabs>
            <w:rPr/>
          </w:pPr>
          <w:hyperlink w:anchor="__RefHeading___Toc4026207_3224264995">
            <w:r>
              <w:rPr>
                <w:webHidden/>
                <w:rStyle w:val="IndexLink"/>
                <w:rtl w:val="true"/>
              </w:rPr>
              <w:t>اشارة</w:t>
            </w:r>
            <w:r>
              <w:rPr>
                <w:rStyle w:val="IndexLink"/>
                <w:rtl w:val="true"/>
              </w:rPr>
              <w:tab/>
            </w:r>
            <w:r>
              <w:rPr>
                <w:rStyle w:val="IndexLink"/>
              </w:rPr>
              <w:t>164</w:t>
            </w:r>
          </w:hyperlink>
        </w:p>
        <w:p>
          <w:pPr>
            <w:pStyle w:val="Contents6"/>
            <w:tabs>
              <w:tab w:val="clear" w:pos="7609"/>
              <w:tab w:val="right" w:pos="9026" w:leader="dot"/>
            </w:tabs>
            <w:rPr/>
          </w:pPr>
          <w:hyperlink w:anchor="__RefHeading___Toc4026209_3224264995">
            <w:r>
              <w:rPr>
                <w:webHidden/>
                <w:rStyle w:val="IndexLink"/>
                <w:rtl w:val="true"/>
              </w:rPr>
              <w:t>المبحث الأوّل</w:t>
            </w:r>
            <w:r>
              <w:rPr>
                <w:rStyle w:val="IndexLink"/>
                <w:rtl w:val="true"/>
              </w:rPr>
              <w:t xml:space="preserve">: </w:t>
            </w:r>
            <w:r>
              <w:rPr>
                <w:rStyle w:val="IndexLink"/>
                <w:rtl w:val="true"/>
              </w:rPr>
              <w:t>فیما إذا لم یحرز حال النهی فی المقام</w:t>
            </w:r>
            <w:r>
              <w:rPr>
                <w:rStyle w:val="IndexLink"/>
                <w:rtl w:val="true"/>
              </w:rPr>
              <w:tab/>
            </w:r>
            <w:r>
              <w:rPr>
                <w:rStyle w:val="IndexLink"/>
              </w:rPr>
              <w:t>164</w:t>
            </w:r>
          </w:hyperlink>
        </w:p>
        <w:p>
          <w:pPr>
            <w:pStyle w:val="Contents6"/>
            <w:tabs>
              <w:tab w:val="clear" w:pos="7609"/>
              <w:tab w:val="right" w:pos="9026" w:leader="dot"/>
            </w:tabs>
            <w:rPr/>
          </w:pPr>
          <w:hyperlink w:anchor="__RefHeading___Toc4026211_3224264995">
            <w:r>
              <w:rPr>
                <w:webHidden/>
                <w:rStyle w:val="IndexLink"/>
                <w:rtl w:val="true"/>
              </w:rPr>
              <w:t>اشارة</w:t>
            </w:r>
            <w:r>
              <w:rPr>
                <w:rStyle w:val="IndexLink"/>
                <w:rtl w:val="true"/>
              </w:rPr>
              <w:tab/>
            </w:r>
            <w:r>
              <w:rPr>
                <w:rStyle w:val="IndexLink"/>
              </w:rPr>
              <w:t>164</w:t>
            </w:r>
          </w:hyperlink>
        </w:p>
        <w:p>
          <w:pPr>
            <w:pStyle w:val="Contents6"/>
            <w:tabs>
              <w:tab w:val="clear" w:pos="7609"/>
              <w:tab w:val="right" w:pos="9026" w:leader="dot"/>
            </w:tabs>
            <w:rPr/>
          </w:pPr>
          <w:hyperlink w:anchor="__RefHeading___Toc4026213_3224264995">
            <w:r>
              <w:rPr>
                <w:webHidden/>
                <w:rStyle w:val="IndexLink"/>
                <w:rtl w:val="true"/>
              </w:rPr>
              <w:t>الجهة الاولی</w:t>
            </w:r>
            <w:r>
              <w:rPr>
                <w:rStyle w:val="IndexLink"/>
                <w:rtl w:val="true"/>
              </w:rPr>
              <w:t xml:space="preserve">: </w:t>
            </w:r>
            <w:r>
              <w:rPr>
                <w:rStyle w:val="IndexLink"/>
                <w:rtl w:val="true"/>
              </w:rPr>
              <w:t>فی حکم المعاملة و العبادة</w:t>
            </w:r>
            <w:r>
              <w:rPr>
                <w:rStyle w:val="IndexLink"/>
                <w:rtl w:val="true"/>
              </w:rPr>
              <w:tab/>
            </w:r>
            <w:r>
              <w:rPr>
                <w:rStyle w:val="IndexLink"/>
              </w:rPr>
              <w:t>164</w:t>
            </w:r>
          </w:hyperlink>
        </w:p>
        <w:p>
          <w:pPr>
            <w:pStyle w:val="Contents6"/>
            <w:tabs>
              <w:tab w:val="clear" w:pos="7609"/>
              <w:tab w:val="right" w:pos="9026" w:leader="dot"/>
            </w:tabs>
            <w:rPr/>
          </w:pPr>
          <w:hyperlink w:anchor="__RefHeading___Toc4026215_3224264995">
            <w:r>
              <w:rPr>
                <w:webHidden/>
                <w:rStyle w:val="IndexLink"/>
                <w:rtl w:val="true"/>
              </w:rPr>
              <w:t>الجهة الثانیة</w:t>
            </w:r>
            <w:r>
              <w:rPr>
                <w:rStyle w:val="IndexLink"/>
                <w:rtl w:val="true"/>
              </w:rPr>
              <w:t xml:space="preserve">: </w:t>
            </w:r>
            <w:r>
              <w:rPr>
                <w:rStyle w:val="IndexLink"/>
                <w:rtl w:val="true"/>
              </w:rPr>
              <w:t>فی حکم المتعلّق مع عدم کشف فساده من النهی</w:t>
            </w:r>
            <w:r>
              <w:rPr>
                <w:rStyle w:val="IndexLink"/>
                <w:rtl w:val="true"/>
              </w:rPr>
              <w:tab/>
            </w:r>
            <w:r>
              <w:rPr>
                <w:rStyle w:val="IndexLink"/>
              </w:rPr>
              <w:t>167</w:t>
            </w:r>
          </w:hyperlink>
        </w:p>
        <w:p>
          <w:pPr>
            <w:pStyle w:val="Contents6"/>
            <w:tabs>
              <w:tab w:val="clear" w:pos="7609"/>
              <w:tab w:val="right" w:pos="9026" w:leader="dot"/>
            </w:tabs>
            <w:rPr/>
          </w:pPr>
          <w:hyperlink w:anchor="__RefHeading___Toc4026217_3224264995">
            <w:r>
              <w:rPr>
                <w:webHidden/>
                <w:rStyle w:val="IndexLink"/>
                <w:rtl w:val="true"/>
              </w:rPr>
              <w:t>المبحث الثانی</w:t>
            </w:r>
            <w:r>
              <w:rPr>
                <w:rStyle w:val="IndexLink"/>
                <w:rtl w:val="true"/>
              </w:rPr>
              <w:t xml:space="preserve">: </w:t>
            </w:r>
            <w:r>
              <w:rPr>
                <w:rStyle w:val="IndexLink"/>
                <w:rtl w:val="true"/>
              </w:rPr>
              <w:t>فیما إذا احرز حال النهی فی المقام</w:t>
            </w:r>
            <w:r>
              <w:rPr>
                <w:rStyle w:val="IndexLink"/>
                <w:rtl w:val="true"/>
              </w:rPr>
              <w:tab/>
            </w:r>
            <w:r>
              <w:rPr>
                <w:rStyle w:val="IndexLink"/>
              </w:rPr>
              <w:t>168</w:t>
            </w:r>
          </w:hyperlink>
        </w:p>
        <w:p>
          <w:pPr>
            <w:pStyle w:val="Contents6"/>
            <w:tabs>
              <w:tab w:val="clear" w:pos="7609"/>
              <w:tab w:val="right" w:pos="9026" w:leader="dot"/>
            </w:tabs>
            <w:rPr/>
          </w:pPr>
          <w:hyperlink w:anchor="__RefHeading___Toc4026219_3224264995">
            <w:r>
              <w:rPr>
                <w:webHidden/>
                <w:rStyle w:val="IndexLink"/>
                <w:rtl w:val="true"/>
              </w:rPr>
              <w:t>اشارة</w:t>
            </w:r>
            <w:r>
              <w:rPr>
                <w:rStyle w:val="IndexLink"/>
                <w:rtl w:val="true"/>
              </w:rPr>
              <w:tab/>
            </w:r>
            <w:r>
              <w:rPr>
                <w:rStyle w:val="IndexLink"/>
              </w:rPr>
              <w:t>168</w:t>
            </w:r>
          </w:hyperlink>
        </w:p>
        <w:p>
          <w:pPr>
            <w:pStyle w:val="Contents6"/>
            <w:tabs>
              <w:tab w:val="clear" w:pos="7609"/>
              <w:tab w:val="right" w:pos="9026" w:leader="dot"/>
            </w:tabs>
            <w:rPr/>
          </w:pPr>
          <w:hyperlink w:anchor="__RefHeading___Toc4026221_3224264995">
            <w:r>
              <w:rPr>
                <w:webHidden/>
                <w:rStyle w:val="IndexLink"/>
                <w:rtl w:val="true"/>
              </w:rPr>
              <w:t>الجهة الاولی</w:t>
            </w:r>
            <w:r>
              <w:rPr>
                <w:rStyle w:val="IndexLink"/>
                <w:rtl w:val="true"/>
              </w:rPr>
              <w:t xml:space="preserve">: </w:t>
            </w:r>
            <w:r>
              <w:rPr>
                <w:rStyle w:val="IndexLink"/>
                <w:rtl w:val="true"/>
              </w:rPr>
              <w:t>فی حکم النهی المتعلّق بالعبادة</w:t>
            </w:r>
            <w:r>
              <w:rPr>
                <w:rStyle w:val="IndexLink"/>
                <w:rtl w:val="true"/>
              </w:rPr>
              <w:tab/>
            </w:r>
            <w:r>
              <w:rPr>
                <w:rStyle w:val="IndexLink"/>
              </w:rPr>
              <w:t>168</w:t>
            </w:r>
          </w:hyperlink>
        </w:p>
        <w:p>
          <w:pPr>
            <w:pStyle w:val="Contents6"/>
            <w:tabs>
              <w:tab w:val="clear" w:pos="7609"/>
              <w:tab w:val="right" w:pos="9026" w:leader="dot"/>
            </w:tabs>
            <w:rPr/>
          </w:pPr>
          <w:hyperlink w:anchor="__RefHeading___Toc4026223_3224264995">
            <w:r>
              <w:rPr>
                <w:webHidden/>
                <w:rStyle w:val="IndexLink"/>
                <w:rtl w:val="true"/>
              </w:rPr>
              <w:t>الجهة الثانیة</w:t>
            </w:r>
            <w:r>
              <w:rPr>
                <w:rStyle w:val="IndexLink"/>
                <w:rtl w:val="true"/>
              </w:rPr>
              <w:t xml:space="preserve">: </w:t>
            </w:r>
            <w:r>
              <w:rPr>
                <w:rStyle w:val="IndexLink"/>
                <w:rtl w:val="true"/>
              </w:rPr>
              <w:t>فی حکم النهی المتعلّق بالمعاملة</w:t>
            </w:r>
            <w:r>
              <w:rPr>
                <w:rStyle w:val="IndexLink"/>
                <w:rtl w:val="true"/>
              </w:rPr>
              <w:tab/>
            </w:r>
            <w:r>
              <w:rPr>
                <w:rStyle w:val="IndexLink"/>
              </w:rPr>
              <w:t>172</w:t>
            </w:r>
          </w:hyperlink>
        </w:p>
        <w:p>
          <w:pPr>
            <w:pStyle w:val="Contents6"/>
            <w:tabs>
              <w:tab w:val="clear" w:pos="7609"/>
              <w:tab w:val="right" w:pos="9026" w:leader="dot"/>
            </w:tabs>
            <w:rPr/>
          </w:pPr>
          <w:hyperlink w:anchor="__RefHeading___Toc4026225_3224264995">
            <w:r>
              <w:rPr>
                <w:webHidden/>
                <w:rStyle w:val="IndexLink"/>
                <w:rtl w:val="true"/>
              </w:rPr>
              <w:t>اشارة</w:t>
            </w:r>
            <w:r>
              <w:rPr>
                <w:rStyle w:val="IndexLink"/>
                <w:rtl w:val="true"/>
              </w:rPr>
              <w:tab/>
            </w:r>
            <w:r>
              <w:rPr>
                <w:rStyle w:val="IndexLink"/>
              </w:rPr>
              <w:t>172</w:t>
            </w:r>
          </w:hyperlink>
        </w:p>
        <w:p>
          <w:pPr>
            <w:pStyle w:val="Contents6"/>
            <w:tabs>
              <w:tab w:val="clear" w:pos="7609"/>
              <w:tab w:val="right" w:pos="9026" w:leader="dot"/>
            </w:tabs>
            <w:rPr/>
          </w:pPr>
          <w:hyperlink w:anchor="__RefHeading___Toc4026227_3224264995">
            <w:r>
              <w:rPr>
                <w:webHidden/>
                <w:rStyle w:val="IndexLink"/>
                <w:rtl w:val="true"/>
              </w:rPr>
              <w:t>المورد الأوّل</w:t>
            </w:r>
            <w:r>
              <w:rPr>
                <w:rStyle w:val="IndexLink"/>
                <w:rtl w:val="true"/>
              </w:rPr>
              <w:t xml:space="preserve">: </w:t>
            </w:r>
            <w:r>
              <w:rPr>
                <w:rStyle w:val="IndexLink"/>
                <w:rtl w:val="true"/>
              </w:rPr>
              <w:t>ما إذا احرز متعلّق النهی</w:t>
            </w:r>
            <w:r>
              <w:rPr>
                <w:rStyle w:val="IndexLink"/>
                <w:rtl w:val="true"/>
              </w:rPr>
              <w:tab/>
            </w:r>
            <w:r>
              <w:rPr>
                <w:rStyle w:val="IndexLink"/>
              </w:rPr>
              <w:t>176</w:t>
            </w:r>
          </w:hyperlink>
        </w:p>
        <w:p>
          <w:pPr>
            <w:pStyle w:val="Contents6"/>
            <w:tabs>
              <w:tab w:val="clear" w:pos="7609"/>
              <w:tab w:val="right" w:pos="9026" w:leader="dot"/>
            </w:tabs>
            <w:rPr/>
          </w:pPr>
          <w:hyperlink w:anchor="__RefHeading___Toc4026229_3224264995">
            <w:r>
              <w:rPr>
                <w:webHidden/>
                <w:rStyle w:val="IndexLink"/>
                <w:rtl w:val="true"/>
              </w:rPr>
              <w:t>المورد الثانی</w:t>
            </w:r>
            <w:r>
              <w:rPr>
                <w:rStyle w:val="IndexLink"/>
                <w:rtl w:val="true"/>
              </w:rPr>
              <w:t xml:space="preserve">: </w:t>
            </w:r>
            <w:r>
              <w:rPr>
                <w:rStyle w:val="IndexLink"/>
                <w:rtl w:val="true"/>
              </w:rPr>
              <w:t>فیما إذا لم یحرز متعلّق النهی</w:t>
            </w:r>
            <w:r>
              <w:rPr>
                <w:rStyle w:val="IndexLink"/>
                <w:rtl w:val="true"/>
              </w:rPr>
              <w:tab/>
            </w:r>
            <w:r>
              <w:rPr>
                <w:rStyle w:val="IndexLink"/>
              </w:rPr>
              <w:t>179</w:t>
            </w:r>
          </w:hyperlink>
        </w:p>
        <w:p>
          <w:pPr>
            <w:pStyle w:val="Contents6"/>
            <w:tabs>
              <w:tab w:val="clear" w:pos="7609"/>
              <w:tab w:val="right" w:pos="9026" w:leader="dot"/>
            </w:tabs>
            <w:rPr/>
          </w:pPr>
          <w:hyperlink w:anchor="__RefHeading___Toc4026231_3224264995">
            <w:r>
              <w:rPr>
                <w:webHidden/>
                <w:rStyle w:val="IndexLink"/>
                <w:rtl w:val="true"/>
              </w:rPr>
              <w:t>الروایات التی یستدلّ بها علی فساد المعاملة المنهی عنها</w:t>
            </w:r>
            <w:r>
              <w:rPr>
                <w:rStyle w:val="IndexLink"/>
                <w:rtl w:val="true"/>
              </w:rPr>
              <w:tab/>
            </w:r>
            <w:r>
              <w:rPr>
                <w:rStyle w:val="IndexLink"/>
              </w:rPr>
              <w:t>180</w:t>
            </w:r>
          </w:hyperlink>
        </w:p>
        <w:p>
          <w:pPr>
            <w:pStyle w:val="Contents6"/>
            <w:tabs>
              <w:tab w:val="clear" w:pos="7609"/>
              <w:tab w:val="right" w:pos="9026" w:leader="dot"/>
            </w:tabs>
            <w:rPr/>
          </w:pPr>
          <w:hyperlink w:anchor="__RefHeading___Toc4026233_3224264995">
            <w:r>
              <w:rPr>
                <w:webHidden/>
                <w:rStyle w:val="IndexLink"/>
                <w:rtl w:val="true"/>
              </w:rPr>
              <w:t>اشارة</w:t>
            </w:r>
            <w:r>
              <w:rPr>
                <w:rStyle w:val="IndexLink"/>
                <w:rtl w:val="true"/>
              </w:rPr>
              <w:tab/>
            </w:r>
            <w:r>
              <w:rPr>
                <w:rStyle w:val="IndexLink"/>
              </w:rPr>
              <w:t>180</w:t>
            </w:r>
          </w:hyperlink>
        </w:p>
        <w:p>
          <w:pPr>
            <w:pStyle w:val="Contents6"/>
            <w:tabs>
              <w:tab w:val="clear" w:pos="7609"/>
              <w:tab w:val="right" w:pos="9026" w:leader="dot"/>
            </w:tabs>
            <w:rPr/>
          </w:pPr>
          <w:hyperlink w:anchor="__RefHeading___Toc4026235_3224264995">
            <w:r>
              <w:rPr>
                <w:webHidden/>
                <w:rStyle w:val="IndexLink"/>
                <w:rtl w:val="true"/>
              </w:rPr>
              <w:t>حول دعوی أبی حنیفة و الشیبانی دلالة النهی علی الصحّة</w:t>
            </w:r>
            <w:r>
              <w:rPr>
                <w:rStyle w:val="IndexLink"/>
                <w:rtl w:val="true"/>
              </w:rPr>
              <w:tab/>
            </w:r>
            <w:r>
              <w:rPr>
                <w:rStyle w:val="IndexLink"/>
              </w:rPr>
              <w:t>188</w:t>
            </w:r>
          </w:hyperlink>
        </w:p>
        <w:p>
          <w:pPr>
            <w:pStyle w:val="Contents5"/>
            <w:tabs>
              <w:tab w:val="clear" w:pos="7892"/>
              <w:tab w:val="right" w:pos="9026" w:leader="dot"/>
            </w:tabs>
            <w:rPr/>
          </w:pPr>
          <w:hyperlink w:anchor="__RefHeading___Toc4026237_3224264995">
            <w:r>
              <w:rPr>
                <w:webHidden/>
                <w:rStyle w:val="IndexLink"/>
                <w:rtl w:val="true"/>
              </w:rPr>
              <w:t>المقام الثانی فی حکم نفس العبادة إذا تعلّق النهی بجزئها أو شرطها أو وصفها</w:t>
            </w:r>
            <w:r>
              <w:rPr>
                <w:rStyle w:val="IndexLink"/>
                <w:rtl w:val="true"/>
              </w:rPr>
              <w:tab/>
            </w:r>
            <w:r>
              <w:rPr>
                <w:rStyle w:val="IndexLink"/>
              </w:rPr>
              <w:t>195</w:t>
            </w:r>
          </w:hyperlink>
        </w:p>
        <w:p>
          <w:pPr>
            <w:pStyle w:val="Contents6"/>
            <w:tabs>
              <w:tab w:val="clear" w:pos="7609"/>
              <w:tab w:val="right" w:pos="9026" w:leader="dot"/>
            </w:tabs>
            <w:rPr/>
          </w:pPr>
          <w:hyperlink w:anchor="__RefHeading___Toc4026239_3224264995">
            <w:r>
              <w:rPr>
                <w:webHidden/>
                <w:rStyle w:val="IndexLink"/>
                <w:rtl w:val="true"/>
              </w:rPr>
              <w:t>اشارة</w:t>
            </w:r>
            <w:r>
              <w:rPr>
                <w:rStyle w:val="IndexLink"/>
                <w:rtl w:val="true"/>
              </w:rPr>
              <w:tab/>
            </w:r>
            <w:r>
              <w:rPr>
                <w:rStyle w:val="IndexLink"/>
              </w:rPr>
              <w:t>195</w:t>
            </w:r>
          </w:hyperlink>
        </w:p>
        <w:p>
          <w:pPr>
            <w:pStyle w:val="Contents6"/>
            <w:tabs>
              <w:tab w:val="clear" w:pos="7609"/>
              <w:tab w:val="right" w:pos="9026" w:leader="dot"/>
            </w:tabs>
            <w:rPr/>
          </w:pPr>
          <w:hyperlink w:anchor="__RefHeading___Toc4026241_3224264995">
            <w:r>
              <w:rPr>
                <w:webHidden/>
                <w:rStyle w:val="IndexLink"/>
                <w:rtl w:val="true"/>
              </w:rPr>
              <w:t>حکم تعلّق النهی بالجزء</w:t>
            </w:r>
            <w:r>
              <w:rPr>
                <w:rStyle w:val="IndexLink"/>
                <w:rtl w:val="true"/>
              </w:rPr>
              <w:tab/>
            </w:r>
            <w:r>
              <w:rPr>
                <w:rStyle w:val="IndexLink"/>
              </w:rPr>
              <w:t>196</w:t>
            </w:r>
          </w:hyperlink>
        </w:p>
        <w:p>
          <w:pPr>
            <w:pStyle w:val="Contents6"/>
            <w:tabs>
              <w:tab w:val="clear" w:pos="7609"/>
              <w:tab w:val="right" w:pos="9026" w:leader="dot"/>
            </w:tabs>
            <w:rPr/>
          </w:pPr>
          <w:hyperlink w:anchor="__RefHeading___Toc4026243_3224264995">
            <w:r>
              <w:rPr>
                <w:webHidden/>
                <w:rStyle w:val="IndexLink"/>
                <w:rtl w:val="true"/>
              </w:rPr>
              <w:t>حکم تعلّق النهی بالوصف</w:t>
            </w:r>
            <w:r>
              <w:rPr>
                <w:rStyle w:val="IndexLink"/>
                <w:rtl w:val="true"/>
              </w:rPr>
              <w:tab/>
            </w:r>
            <w:r>
              <w:rPr>
                <w:rStyle w:val="IndexLink"/>
              </w:rPr>
              <w:t>197</w:t>
            </w:r>
          </w:hyperlink>
        </w:p>
        <w:p>
          <w:pPr>
            <w:pStyle w:val="Contents6"/>
            <w:tabs>
              <w:tab w:val="clear" w:pos="7609"/>
              <w:tab w:val="right" w:pos="9026" w:leader="dot"/>
            </w:tabs>
            <w:rPr/>
          </w:pPr>
          <w:hyperlink w:anchor="__RefHeading___Toc4026245_3224264995">
            <w:r>
              <w:rPr>
                <w:webHidden/>
                <w:rStyle w:val="IndexLink"/>
                <w:rtl w:val="true"/>
              </w:rPr>
              <w:t>حکم تعلّق النهی بالشرط</w:t>
            </w:r>
            <w:r>
              <w:rPr>
                <w:rStyle w:val="IndexLink"/>
                <w:rtl w:val="true"/>
              </w:rPr>
              <w:tab/>
            </w:r>
            <w:r>
              <w:rPr>
                <w:rStyle w:val="IndexLink"/>
              </w:rPr>
              <w:t>200</w:t>
            </w:r>
          </w:hyperlink>
        </w:p>
        <w:p>
          <w:pPr>
            <w:pStyle w:val="Contents2"/>
            <w:tabs>
              <w:tab w:val="clear" w:pos="8743"/>
              <w:tab w:val="right" w:pos="9026" w:leader="dot"/>
            </w:tabs>
            <w:rPr/>
          </w:pPr>
          <w:hyperlink w:anchor="__RefHeading___Toc4026247_3224264995">
            <w:r>
              <w:rPr>
                <w:webHidden/>
                <w:rStyle w:val="IndexLink"/>
                <w:rtl w:val="true"/>
              </w:rPr>
              <w:t>المقصد الثالث فی المفهوم</w:t>
            </w:r>
            <w:r>
              <w:rPr>
                <w:rStyle w:val="IndexLink"/>
                <w:rtl w:val="true"/>
              </w:rPr>
              <w:tab/>
            </w:r>
            <w:r>
              <w:rPr>
                <w:rStyle w:val="IndexLink"/>
              </w:rPr>
              <w:t>202</w:t>
            </w:r>
          </w:hyperlink>
        </w:p>
        <w:p>
          <w:pPr>
            <w:pStyle w:val="Contents3"/>
            <w:tabs>
              <w:tab w:val="clear" w:pos="8459"/>
              <w:tab w:val="right" w:pos="9026" w:leader="dot"/>
            </w:tabs>
            <w:rPr/>
          </w:pPr>
          <w:hyperlink w:anchor="__RefHeading___Toc4026249_3224264995">
            <w:r>
              <w:rPr>
                <w:webHidden/>
                <w:rStyle w:val="IndexLink"/>
                <w:rtl w:val="true"/>
              </w:rPr>
              <w:t>اشارة</w:t>
            </w:r>
            <w:r>
              <w:rPr>
                <w:rStyle w:val="IndexLink"/>
                <w:rtl w:val="true"/>
              </w:rPr>
              <w:tab/>
            </w:r>
            <w:r>
              <w:rPr>
                <w:rStyle w:val="IndexLink"/>
              </w:rPr>
              <w:t>202</w:t>
            </w:r>
          </w:hyperlink>
        </w:p>
        <w:p>
          <w:pPr>
            <w:pStyle w:val="Contents3"/>
            <w:tabs>
              <w:tab w:val="clear" w:pos="8459"/>
              <w:tab w:val="right" w:pos="9026" w:leader="dot"/>
            </w:tabs>
            <w:rPr/>
          </w:pPr>
          <w:hyperlink w:anchor="__RefHeading___Toc4026251_3224264995">
            <w:r>
              <w:rPr>
                <w:webHidden/>
                <w:rStyle w:val="IndexLink"/>
                <w:rtl w:val="true"/>
              </w:rPr>
              <w:t>المقدّمة</w:t>
            </w:r>
            <w:r>
              <w:rPr>
                <w:rStyle w:val="IndexLink"/>
                <w:rtl w:val="true"/>
              </w:rPr>
              <w:tab/>
            </w:r>
            <w:r>
              <w:rPr>
                <w:rStyle w:val="IndexLink"/>
              </w:rPr>
              <w:t>203</w:t>
            </w:r>
          </w:hyperlink>
        </w:p>
        <w:p>
          <w:pPr>
            <w:pStyle w:val="Contents4"/>
            <w:tabs>
              <w:tab w:val="clear" w:pos="8176"/>
              <w:tab w:val="right" w:pos="9026" w:leader="dot"/>
            </w:tabs>
            <w:rPr/>
          </w:pPr>
          <w:hyperlink w:anchor="__RefHeading___Toc4026253_3224264995">
            <w:r>
              <w:rPr>
                <w:webHidden/>
                <w:rStyle w:val="IndexLink"/>
                <w:rtl w:val="true"/>
              </w:rPr>
              <w:t>اشارة</w:t>
            </w:r>
            <w:r>
              <w:rPr>
                <w:rStyle w:val="IndexLink"/>
                <w:rtl w:val="true"/>
              </w:rPr>
              <w:tab/>
            </w:r>
            <w:r>
              <w:rPr>
                <w:rStyle w:val="IndexLink"/>
              </w:rPr>
              <w:t>203</w:t>
            </w:r>
          </w:hyperlink>
        </w:p>
        <w:p>
          <w:pPr>
            <w:pStyle w:val="Contents4"/>
            <w:tabs>
              <w:tab w:val="clear" w:pos="8176"/>
              <w:tab w:val="right" w:pos="9026" w:leader="dot"/>
            </w:tabs>
            <w:rPr/>
          </w:pPr>
          <w:hyperlink w:anchor="__RefHeading___Toc4026255_3224264995">
            <w:r>
              <w:rPr>
                <w:webHidden/>
                <w:rStyle w:val="IndexLink"/>
                <w:rtl w:val="true"/>
              </w:rPr>
              <w:t>الأمر الأوّل</w:t>
            </w:r>
            <w:r>
              <w:rPr>
                <w:rStyle w:val="IndexLink"/>
                <w:rtl w:val="true"/>
              </w:rPr>
              <w:t xml:space="preserve">: </w:t>
            </w:r>
            <w:r>
              <w:rPr>
                <w:rStyle w:val="IndexLink"/>
                <w:rtl w:val="true"/>
              </w:rPr>
              <w:t>فی تعریف المفهوم</w:t>
            </w:r>
            <w:r>
              <w:rPr>
                <w:rStyle w:val="IndexLink"/>
                <w:rtl w:val="true"/>
              </w:rPr>
              <w:tab/>
            </w:r>
            <w:r>
              <w:rPr>
                <w:rStyle w:val="IndexLink"/>
              </w:rPr>
              <w:t>203</w:t>
            </w:r>
          </w:hyperlink>
        </w:p>
        <w:p>
          <w:pPr>
            <w:pStyle w:val="Contents5"/>
            <w:tabs>
              <w:tab w:val="clear" w:pos="7892"/>
              <w:tab w:val="right" w:pos="9026" w:leader="dot"/>
            </w:tabs>
            <w:rPr/>
          </w:pPr>
          <w:hyperlink w:anchor="__RefHeading___Toc4026257_3224264995">
            <w:r>
              <w:rPr>
                <w:webHidden/>
                <w:rStyle w:val="IndexLink"/>
                <w:rtl w:val="true"/>
              </w:rPr>
              <w:t>اشارة</w:t>
            </w:r>
            <w:r>
              <w:rPr>
                <w:rStyle w:val="IndexLink"/>
                <w:rtl w:val="true"/>
              </w:rPr>
              <w:tab/>
            </w:r>
            <w:r>
              <w:rPr>
                <w:rStyle w:val="IndexLink"/>
              </w:rPr>
              <w:t>203</w:t>
            </w:r>
          </w:hyperlink>
        </w:p>
        <w:p>
          <w:pPr>
            <w:pStyle w:val="Contents5"/>
            <w:tabs>
              <w:tab w:val="clear" w:pos="7892"/>
              <w:tab w:val="right" w:pos="9026" w:leader="dot"/>
            </w:tabs>
            <w:rPr/>
          </w:pPr>
          <w:hyperlink w:anchor="__RefHeading___Toc4026259_3224264995">
            <w:r>
              <w:rPr>
                <w:webHidden/>
                <w:rStyle w:val="IndexLink"/>
                <w:rtl w:val="true"/>
              </w:rPr>
              <w:t>کلام المحقّق النائینی قدس سره فی المقام و نقده</w:t>
            </w:r>
            <w:r>
              <w:rPr>
                <w:rStyle w:val="IndexLink"/>
                <w:rtl w:val="true"/>
              </w:rPr>
              <w:tab/>
            </w:r>
            <w:r>
              <w:rPr>
                <w:rStyle w:val="IndexLink"/>
              </w:rPr>
              <w:t>204</w:t>
            </w:r>
          </w:hyperlink>
        </w:p>
        <w:p>
          <w:pPr>
            <w:pStyle w:val="Contents5"/>
            <w:tabs>
              <w:tab w:val="clear" w:pos="7892"/>
              <w:tab w:val="right" w:pos="9026" w:leader="dot"/>
            </w:tabs>
            <w:rPr/>
          </w:pPr>
          <w:hyperlink w:anchor="__RefHeading___Toc4026261_3224264995">
            <w:r>
              <w:rPr>
                <w:webHidden/>
                <w:rStyle w:val="IndexLink"/>
                <w:rtl w:val="true"/>
              </w:rPr>
              <w:t>حول ما نسبه بعض الأعاظم إلی قدماء الأصحاب فی المقام</w:t>
            </w:r>
            <w:r>
              <w:rPr>
                <w:rStyle w:val="IndexLink"/>
                <w:rtl w:val="true"/>
              </w:rPr>
              <w:tab/>
            </w:r>
            <w:r>
              <w:rPr>
                <w:rStyle w:val="IndexLink"/>
              </w:rPr>
              <w:t>206</w:t>
            </w:r>
          </w:hyperlink>
        </w:p>
        <w:p>
          <w:pPr>
            <w:pStyle w:val="Contents4"/>
            <w:tabs>
              <w:tab w:val="clear" w:pos="8176"/>
              <w:tab w:val="right" w:pos="9026" w:leader="dot"/>
            </w:tabs>
            <w:rPr/>
          </w:pPr>
          <w:hyperlink w:anchor="__RefHeading___Toc4026263_3224264995">
            <w:r>
              <w:rPr>
                <w:webHidden/>
                <w:rStyle w:val="IndexLink"/>
                <w:rtl w:val="true"/>
              </w:rPr>
              <w:t>الأمر الثانی</w:t>
            </w:r>
            <w:r>
              <w:rPr>
                <w:rStyle w:val="IndexLink"/>
                <w:rtl w:val="true"/>
              </w:rPr>
              <w:t xml:space="preserve">: </w:t>
            </w:r>
            <w:r>
              <w:rPr>
                <w:rStyle w:val="IndexLink"/>
                <w:rtl w:val="true"/>
              </w:rPr>
              <w:t>فی أنّ المفهوم هل هو من صفات الدلالة أو المدلول؟</w:t>
            </w:r>
            <w:r>
              <w:rPr>
                <w:rStyle w:val="IndexLink"/>
                <w:rtl w:val="true"/>
              </w:rPr>
              <w:tab/>
            </w:r>
            <w:r>
              <w:rPr>
                <w:rStyle w:val="IndexLink"/>
              </w:rPr>
              <w:t>209</w:t>
            </w:r>
          </w:hyperlink>
        </w:p>
        <w:p>
          <w:pPr>
            <w:pStyle w:val="Contents4"/>
            <w:tabs>
              <w:tab w:val="clear" w:pos="8176"/>
              <w:tab w:val="right" w:pos="9026" w:leader="dot"/>
            </w:tabs>
            <w:rPr/>
          </w:pPr>
          <w:hyperlink w:anchor="__RefHeading___Toc4026265_3224264995">
            <w:r>
              <w:rPr>
                <w:webHidden/>
                <w:rStyle w:val="IndexLink"/>
                <w:rtl w:val="true"/>
              </w:rPr>
              <w:t>الأمر الثالث</w:t>
            </w:r>
            <w:r>
              <w:rPr>
                <w:rStyle w:val="IndexLink"/>
                <w:rtl w:val="true"/>
              </w:rPr>
              <w:t xml:space="preserve">: </w:t>
            </w:r>
            <w:r>
              <w:rPr>
                <w:rStyle w:val="IndexLink"/>
                <w:rtl w:val="true"/>
              </w:rPr>
              <w:t>فی أنّ النزاع فی المفهوم صغروی أو کبروی</w:t>
            </w:r>
            <w:r>
              <w:rPr>
                <w:rStyle w:val="IndexLink"/>
                <w:rtl w:val="true"/>
              </w:rPr>
              <w:tab/>
            </w:r>
            <w:r>
              <w:rPr>
                <w:rStyle w:val="IndexLink"/>
              </w:rPr>
              <w:t>210</w:t>
            </w:r>
          </w:hyperlink>
        </w:p>
        <w:p>
          <w:pPr>
            <w:pStyle w:val="Contents4"/>
            <w:tabs>
              <w:tab w:val="clear" w:pos="8176"/>
              <w:tab w:val="right" w:pos="9026" w:leader="dot"/>
            </w:tabs>
            <w:rPr/>
          </w:pPr>
          <w:hyperlink w:anchor="__RefHeading___Toc4026267_3224264995">
            <w:r>
              <w:rPr>
                <w:webHidden/>
                <w:rStyle w:val="IndexLink"/>
                <w:rtl w:val="true"/>
              </w:rPr>
              <w:t>الأمر الرابع</w:t>
            </w:r>
            <w:r>
              <w:rPr>
                <w:rStyle w:val="IndexLink"/>
                <w:rtl w:val="true"/>
              </w:rPr>
              <w:t xml:space="preserve">: </w:t>
            </w:r>
            <w:r>
              <w:rPr>
                <w:rStyle w:val="IndexLink"/>
                <w:rtl w:val="true"/>
              </w:rPr>
              <w:t>فی المراد من المفهوم</w:t>
            </w:r>
            <w:r>
              <w:rPr>
                <w:rStyle w:val="IndexLink"/>
                <w:rtl w:val="true"/>
              </w:rPr>
              <w:tab/>
            </w:r>
            <w:r>
              <w:rPr>
                <w:rStyle w:val="IndexLink"/>
              </w:rPr>
              <w:t>212</w:t>
            </w:r>
          </w:hyperlink>
        </w:p>
        <w:p>
          <w:pPr>
            <w:pStyle w:val="Contents3"/>
            <w:tabs>
              <w:tab w:val="clear" w:pos="8459"/>
              <w:tab w:val="right" w:pos="9026" w:leader="dot"/>
            </w:tabs>
            <w:rPr/>
          </w:pPr>
          <w:hyperlink w:anchor="__RefHeading___Toc4026269_3224264995">
            <w:r>
              <w:rPr>
                <w:webHidden/>
                <w:rStyle w:val="IndexLink"/>
                <w:rtl w:val="true"/>
              </w:rPr>
              <w:t>المبحث الأوّل فی مفهوم الشرط</w:t>
            </w:r>
            <w:r>
              <w:rPr>
                <w:rStyle w:val="IndexLink"/>
                <w:rtl w:val="true"/>
              </w:rPr>
              <w:tab/>
            </w:r>
            <w:r>
              <w:rPr>
                <w:rStyle w:val="IndexLink"/>
              </w:rPr>
              <w:t>213</w:t>
            </w:r>
          </w:hyperlink>
        </w:p>
        <w:p>
          <w:pPr>
            <w:pStyle w:val="Contents4"/>
            <w:tabs>
              <w:tab w:val="clear" w:pos="8176"/>
              <w:tab w:val="right" w:pos="9026" w:leader="dot"/>
            </w:tabs>
            <w:rPr/>
          </w:pPr>
          <w:hyperlink w:anchor="__RefHeading___Toc4026271_3224264995">
            <w:r>
              <w:rPr>
                <w:webHidden/>
                <w:rStyle w:val="IndexLink"/>
                <w:rtl w:val="true"/>
              </w:rPr>
              <w:t>اشارة</w:t>
            </w:r>
            <w:r>
              <w:rPr>
                <w:rStyle w:val="IndexLink"/>
                <w:rtl w:val="true"/>
              </w:rPr>
              <w:tab/>
            </w:r>
            <w:r>
              <w:rPr>
                <w:rStyle w:val="IndexLink"/>
              </w:rPr>
              <w:t>213</w:t>
            </w:r>
          </w:hyperlink>
        </w:p>
        <w:p>
          <w:pPr>
            <w:pStyle w:val="Contents4"/>
            <w:tabs>
              <w:tab w:val="clear" w:pos="8176"/>
              <w:tab w:val="right" w:pos="9026" w:leader="dot"/>
            </w:tabs>
            <w:rPr/>
          </w:pPr>
          <w:hyperlink w:anchor="__RefHeading___Toc4026273_3224264995">
            <w:r>
              <w:rPr>
                <w:webHidden/>
                <w:rStyle w:val="IndexLink"/>
                <w:rtl w:val="true"/>
              </w:rPr>
              <w:t>الوجوه التی یستدلّ بها لإثبات العلّیة المنحصرة من القضیة الشرطیة</w:t>
            </w:r>
            <w:r>
              <w:rPr>
                <w:rStyle w:val="IndexLink"/>
                <w:rtl w:val="true"/>
              </w:rPr>
              <w:tab/>
            </w:r>
            <w:r>
              <w:rPr>
                <w:rStyle w:val="IndexLink"/>
              </w:rPr>
              <w:t>216</w:t>
            </w:r>
          </w:hyperlink>
        </w:p>
        <w:p>
          <w:pPr>
            <w:pStyle w:val="Contents4"/>
            <w:tabs>
              <w:tab w:val="clear" w:pos="8176"/>
              <w:tab w:val="right" w:pos="9026" w:leader="dot"/>
            </w:tabs>
            <w:rPr/>
          </w:pPr>
          <w:hyperlink w:anchor="__RefHeading___Toc4026275_3224264995">
            <w:r>
              <w:rPr>
                <w:webHidden/>
                <w:rStyle w:val="IndexLink"/>
                <w:rtl w:val="true"/>
              </w:rPr>
              <w:t>توجیهان عقلیان لاستفادة المفهوم و دفعهما</w:t>
            </w:r>
            <w:r>
              <w:rPr>
                <w:rStyle w:val="IndexLink"/>
                <w:rtl w:val="true"/>
              </w:rPr>
              <w:tab/>
            </w:r>
            <w:r>
              <w:rPr>
                <w:rStyle w:val="IndexLink"/>
              </w:rPr>
              <w:t>224</w:t>
            </w:r>
          </w:hyperlink>
        </w:p>
        <w:p>
          <w:pPr>
            <w:pStyle w:val="Contents4"/>
            <w:tabs>
              <w:tab w:val="clear" w:pos="8176"/>
              <w:tab w:val="right" w:pos="9026" w:leader="dot"/>
            </w:tabs>
            <w:rPr/>
          </w:pPr>
          <w:hyperlink w:anchor="__RefHeading___Toc4026277_3224264995">
            <w:r>
              <w:rPr>
                <w:webHidden/>
                <w:rStyle w:val="IndexLink"/>
                <w:rtl w:val="true"/>
              </w:rPr>
              <w:t>بقیت امور ینبغی التنبیه علیها</w:t>
            </w:r>
            <w:r>
              <w:rPr>
                <w:rStyle w:val="IndexLink"/>
                <w:rtl w:val="true"/>
              </w:rPr>
              <w:t>:</w:t>
              <w:tab/>
            </w:r>
            <w:r>
              <w:rPr>
                <w:rStyle w:val="IndexLink"/>
              </w:rPr>
              <w:t>229</w:t>
            </w:r>
          </w:hyperlink>
        </w:p>
        <w:p>
          <w:pPr>
            <w:pStyle w:val="Contents5"/>
            <w:tabs>
              <w:tab w:val="clear" w:pos="7892"/>
              <w:tab w:val="right" w:pos="9026" w:leader="dot"/>
            </w:tabs>
            <w:rPr/>
          </w:pPr>
          <w:hyperlink w:anchor="__RefHeading___Toc4026279_3224264995">
            <w:r>
              <w:rPr>
                <w:webHidden/>
                <w:rStyle w:val="IndexLink"/>
                <w:rtl w:val="true"/>
              </w:rPr>
              <w:t>اشارة</w:t>
            </w:r>
            <w:r>
              <w:rPr>
                <w:rStyle w:val="IndexLink"/>
                <w:rtl w:val="true"/>
              </w:rPr>
              <w:tab/>
            </w:r>
            <w:r>
              <w:rPr>
                <w:rStyle w:val="IndexLink"/>
              </w:rPr>
              <w:t>229</w:t>
            </w:r>
          </w:hyperlink>
        </w:p>
        <w:p>
          <w:pPr>
            <w:pStyle w:val="Contents5"/>
            <w:tabs>
              <w:tab w:val="clear" w:pos="7892"/>
              <w:tab w:val="right" w:pos="9026" w:leader="dot"/>
            </w:tabs>
            <w:rPr/>
          </w:pPr>
          <w:hyperlink w:anchor="__RefHeading___Toc4026281_3224264995">
            <w:r>
              <w:rPr>
                <w:webHidden/>
                <w:rStyle w:val="IndexLink"/>
                <w:rtl w:val="true"/>
              </w:rPr>
              <w:t>الأمر الأوّل فی شمول محلّ النزاع لما إذا کان الجزاء معنی حرفیاً</w:t>
            </w:r>
            <w:r>
              <w:rPr>
                <w:rStyle w:val="IndexLink"/>
                <w:rtl w:val="true"/>
              </w:rPr>
              <w:tab/>
            </w:r>
            <w:r>
              <w:rPr>
                <w:rStyle w:val="IndexLink"/>
              </w:rPr>
              <w:t>230</w:t>
            </w:r>
          </w:hyperlink>
        </w:p>
        <w:p>
          <w:pPr>
            <w:pStyle w:val="Contents6"/>
            <w:tabs>
              <w:tab w:val="clear" w:pos="7609"/>
              <w:tab w:val="right" w:pos="9026" w:leader="dot"/>
            </w:tabs>
            <w:rPr/>
          </w:pPr>
          <w:hyperlink w:anchor="__RefHeading___Toc4026283_3224264995">
            <w:r>
              <w:rPr>
                <w:webHidden/>
                <w:rStyle w:val="IndexLink"/>
                <w:rtl w:val="true"/>
              </w:rPr>
              <w:t>اشارة</w:t>
            </w:r>
            <w:r>
              <w:rPr>
                <w:rStyle w:val="IndexLink"/>
                <w:rtl w:val="true"/>
              </w:rPr>
              <w:tab/>
            </w:r>
            <w:r>
              <w:rPr>
                <w:rStyle w:val="IndexLink"/>
              </w:rPr>
              <w:t>230</w:t>
            </w:r>
          </w:hyperlink>
        </w:p>
        <w:p>
          <w:pPr>
            <w:pStyle w:val="Contents6"/>
            <w:tabs>
              <w:tab w:val="clear" w:pos="7609"/>
              <w:tab w:val="right" w:pos="9026" w:leader="dot"/>
            </w:tabs>
            <w:rPr/>
          </w:pPr>
          <w:hyperlink w:anchor="__RefHeading___Toc4026285_3224264995">
            <w:r>
              <w:rPr>
                <w:webHidden/>
                <w:rStyle w:val="IndexLink"/>
                <w:rtl w:val="true"/>
              </w:rPr>
              <w:t>الوجه الأوّل</w:t>
            </w:r>
            <w:r>
              <w:rPr>
                <w:rStyle w:val="IndexLink"/>
                <w:rtl w:val="true"/>
              </w:rPr>
              <w:t>:</w:t>
              <w:tab/>
            </w:r>
            <w:r>
              <w:rPr>
                <w:rStyle w:val="IndexLink"/>
              </w:rPr>
              <w:t>231</w:t>
            </w:r>
          </w:hyperlink>
        </w:p>
        <w:p>
          <w:pPr>
            <w:pStyle w:val="Contents6"/>
            <w:tabs>
              <w:tab w:val="clear" w:pos="7609"/>
              <w:tab w:val="right" w:pos="9026" w:leader="dot"/>
            </w:tabs>
            <w:rPr/>
          </w:pPr>
          <w:hyperlink w:anchor="__RefHeading___Toc4026287_3224264995">
            <w:r>
              <w:rPr>
                <w:webHidden/>
                <w:rStyle w:val="IndexLink"/>
                <w:rtl w:val="true"/>
              </w:rPr>
              <w:t>الوجه الثانی</w:t>
            </w:r>
            <w:r>
              <w:rPr>
                <w:rStyle w:val="IndexLink"/>
                <w:rtl w:val="true"/>
              </w:rPr>
              <w:t>:</w:t>
              <w:tab/>
            </w:r>
            <w:r>
              <w:rPr>
                <w:rStyle w:val="IndexLink"/>
              </w:rPr>
              <w:t>232</w:t>
            </w:r>
          </w:hyperlink>
        </w:p>
        <w:p>
          <w:pPr>
            <w:pStyle w:val="Contents6"/>
            <w:tabs>
              <w:tab w:val="clear" w:pos="7609"/>
              <w:tab w:val="right" w:pos="9026" w:leader="dot"/>
            </w:tabs>
            <w:rPr/>
          </w:pPr>
          <w:hyperlink w:anchor="__RefHeading___Toc4026289_3224264995">
            <w:r>
              <w:rPr>
                <w:webHidden/>
                <w:rStyle w:val="IndexLink"/>
                <w:rtl w:val="true"/>
              </w:rPr>
              <w:t>الوجه الثالث</w:t>
            </w:r>
            <w:r>
              <w:rPr>
                <w:rStyle w:val="IndexLink"/>
                <w:rtl w:val="true"/>
              </w:rPr>
              <w:t>:</w:t>
              <w:tab/>
            </w:r>
            <w:r>
              <w:rPr>
                <w:rStyle w:val="IndexLink"/>
              </w:rPr>
              <w:t>234</w:t>
            </w:r>
          </w:hyperlink>
        </w:p>
        <w:p>
          <w:pPr>
            <w:pStyle w:val="Contents5"/>
            <w:tabs>
              <w:tab w:val="clear" w:pos="7892"/>
              <w:tab w:val="right" w:pos="9026" w:leader="dot"/>
            </w:tabs>
            <w:rPr/>
          </w:pPr>
          <w:hyperlink w:anchor="__RefHeading___Toc4026291_3224264995">
            <w:r>
              <w:rPr>
                <w:webHidden/>
                <w:rStyle w:val="IndexLink"/>
                <w:rtl w:val="true"/>
              </w:rPr>
              <w:t>الأمر الثانی فی تعدّد الشرط و اتحاد الجزاء</w:t>
            </w:r>
            <w:r>
              <w:rPr>
                <w:rStyle w:val="IndexLink"/>
                <w:rtl w:val="true"/>
              </w:rPr>
              <w:tab/>
            </w:r>
            <w:r>
              <w:rPr>
                <w:rStyle w:val="IndexLink"/>
              </w:rPr>
              <w:t>237</w:t>
            </w:r>
          </w:hyperlink>
        </w:p>
        <w:p>
          <w:pPr>
            <w:pStyle w:val="Contents6"/>
            <w:tabs>
              <w:tab w:val="clear" w:pos="7609"/>
              <w:tab w:val="right" w:pos="9026" w:leader="dot"/>
            </w:tabs>
            <w:rPr/>
          </w:pPr>
          <w:hyperlink w:anchor="__RefHeading___Toc4026293_3224264995">
            <w:r>
              <w:rPr>
                <w:webHidden/>
                <w:rStyle w:val="IndexLink"/>
                <w:rtl w:val="true"/>
              </w:rPr>
              <w:t>اشارة</w:t>
            </w:r>
            <w:r>
              <w:rPr>
                <w:rStyle w:val="IndexLink"/>
                <w:rtl w:val="true"/>
              </w:rPr>
              <w:tab/>
            </w:r>
            <w:r>
              <w:rPr>
                <w:rStyle w:val="IndexLink"/>
              </w:rPr>
              <w:t>237</w:t>
            </w:r>
          </w:hyperlink>
        </w:p>
        <w:p>
          <w:pPr>
            <w:pStyle w:val="Contents6"/>
            <w:tabs>
              <w:tab w:val="clear" w:pos="7609"/>
              <w:tab w:val="right" w:pos="9026" w:leader="dot"/>
            </w:tabs>
            <w:rPr/>
          </w:pPr>
          <w:hyperlink w:anchor="__RefHeading___Toc4026295_3224264995">
            <w:r>
              <w:rPr>
                <w:webHidden/>
                <w:rStyle w:val="IndexLink"/>
                <w:rtl w:val="true"/>
              </w:rPr>
              <w:t>المقام الأوّل</w:t>
            </w:r>
            <w:r>
              <w:rPr>
                <w:rStyle w:val="IndexLink"/>
                <w:rtl w:val="true"/>
              </w:rPr>
              <w:t xml:space="preserve">: </w:t>
            </w:r>
            <w:r>
              <w:rPr>
                <w:rStyle w:val="IndexLink"/>
                <w:rtl w:val="true"/>
              </w:rPr>
              <w:t>فی أنّ التعارض أوّلًا و بالذات بین المنطوقین</w:t>
            </w:r>
            <w:r>
              <w:rPr>
                <w:rStyle w:val="IndexLink"/>
                <w:rtl w:val="true"/>
              </w:rPr>
              <w:tab/>
            </w:r>
            <w:r>
              <w:rPr>
                <w:rStyle w:val="IndexLink"/>
              </w:rPr>
              <w:t>237</w:t>
            </w:r>
          </w:hyperlink>
        </w:p>
        <w:p>
          <w:pPr>
            <w:pStyle w:val="Contents6"/>
            <w:tabs>
              <w:tab w:val="clear" w:pos="7609"/>
              <w:tab w:val="right" w:pos="9026" w:leader="dot"/>
            </w:tabs>
            <w:rPr/>
          </w:pPr>
          <w:hyperlink w:anchor="__RefHeading___Toc4026297_3224264995">
            <w:r>
              <w:rPr>
                <w:webHidden/>
                <w:rStyle w:val="IndexLink"/>
                <w:rtl w:val="true"/>
              </w:rPr>
              <w:t>المقام الثانی</w:t>
            </w:r>
            <w:r>
              <w:rPr>
                <w:rStyle w:val="IndexLink"/>
                <w:rtl w:val="true"/>
              </w:rPr>
              <w:t xml:space="preserve">: </w:t>
            </w:r>
            <w:r>
              <w:rPr>
                <w:rStyle w:val="IndexLink"/>
                <w:rtl w:val="true"/>
              </w:rPr>
              <w:t>فی علاج التعارض بین الجملتین</w:t>
            </w:r>
            <w:r>
              <w:rPr>
                <w:rStyle w:val="IndexLink"/>
                <w:rtl w:val="true"/>
              </w:rPr>
              <w:tab/>
            </w:r>
            <w:r>
              <w:rPr>
                <w:rStyle w:val="IndexLink"/>
              </w:rPr>
              <w:t>239</w:t>
            </w:r>
          </w:hyperlink>
        </w:p>
        <w:p>
          <w:pPr>
            <w:pStyle w:val="Contents6"/>
            <w:tabs>
              <w:tab w:val="clear" w:pos="7609"/>
              <w:tab w:val="right" w:pos="9026" w:leader="dot"/>
            </w:tabs>
            <w:rPr/>
          </w:pPr>
          <w:hyperlink w:anchor="__RefHeading___Toc4026299_3224264995">
            <w:r>
              <w:rPr>
                <w:webHidden/>
                <w:rStyle w:val="IndexLink"/>
                <w:rtl w:val="true"/>
              </w:rPr>
              <w:t>اشارة</w:t>
            </w:r>
            <w:r>
              <w:rPr>
                <w:rStyle w:val="IndexLink"/>
                <w:rtl w:val="true"/>
              </w:rPr>
              <w:tab/>
            </w:r>
            <w:r>
              <w:rPr>
                <w:rStyle w:val="IndexLink"/>
              </w:rPr>
              <w:t>239</w:t>
            </w:r>
          </w:hyperlink>
        </w:p>
        <w:p>
          <w:pPr>
            <w:pStyle w:val="Contents6"/>
            <w:tabs>
              <w:tab w:val="clear" w:pos="7609"/>
              <w:tab w:val="right" w:pos="9026" w:leader="dot"/>
            </w:tabs>
            <w:rPr/>
          </w:pPr>
          <w:hyperlink w:anchor="__RefHeading___Toc4026301_3224264995">
            <w:r>
              <w:rPr>
                <w:webHidden/>
                <w:rStyle w:val="IndexLink"/>
                <w:rtl w:val="true"/>
              </w:rPr>
              <w:t>تذنیب</w:t>
            </w:r>
            <w:r>
              <w:rPr>
                <w:rStyle w:val="IndexLink"/>
                <w:rtl w:val="true"/>
              </w:rPr>
              <w:t xml:space="preserve">: </w:t>
            </w:r>
            <w:r>
              <w:rPr>
                <w:rStyle w:val="IndexLink"/>
                <w:rtl w:val="true"/>
              </w:rPr>
              <w:t>حول نفی الدلیلین للثالث</w:t>
            </w:r>
            <w:r>
              <w:rPr>
                <w:rStyle w:val="IndexLink"/>
                <w:rtl w:val="true"/>
              </w:rPr>
              <w:tab/>
            </w:r>
            <w:r>
              <w:rPr>
                <w:rStyle w:val="IndexLink"/>
              </w:rPr>
              <w:t>244</w:t>
            </w:r>
          </w:hyperlink>
        </w:p>
        <w:p>
          <w:pPr>
            <w:pStyle w:val="Contents5"/>
            <w:tabs>
              <w:tab w:val="clear" w:pos="7892"/>
              <w:tab w:val="right" w:pos="9026" w:leader="dot"/>
            </w:tabs>
            <w:rPr/>
          </w:pPr>
          <w:hyperlink w:anchor="__RefHeading___Toc4026303_3224264995">
            <w:r>
              <w:rPr>
                <w:webHidden/>
                <w:rStyle w:val="IndexLink"/>
                <w:rtl w:val="true"/>
              </w:rPr>
              <w:t>الأمر الثالث فی تداخل الأسباب و المسبّبات</w:t>
            </w:r>
            <w:r>
              <w:rPr>
                <w:rStyle w:val="IndexLink"/>
                <w:rtl w:val="true"/>
              </w:rPr>
              <w:tab/>
            </w:r>
            <w:r>
              <w:rPr>
                <w:rStyle w:val="IndexLink"/>
              </w:rPr>
              <w:t>246</w:t>
            </w:r>
          </w:hyperlink>
        </w:p>
        <w:p>
          <w:pPr>
            <w:pStyle w:val="Contents6"/>
            <w:tabs>
              <w:tab w:val="clear" w:pos="7609"/>
              <w:tab w:val="right" w:pos="9026" w:leader="dot"/>
            </w:tabs>
            <w:rPr/>
          </w:pPr>
          <w:hyperlink w:anchor="__RefHeading___Toc4026305_3224264995">
            <w:r>
              <w:rPr>
                <w:webHidden/>
                <w:rStyle w:val="IndexLink"/>
                <w:rtl w:val="true"/>
              </w:rPr>
              <w:t>اشارة</w:t>
            </w:r>
            <w:r>
              <w:rPr>
                <w:rStyle w:val="IndexLink"/>
                <w:rtl w:val="true"/>
              </w:rPr>
              <w:tab/>
            </w:r>
            <w:r>
              <w:rPr>
                <w:rStyle w:val="IndexLink"/>
              </w:rPr>
              <w:t>246</w:t>
            </w:r>
          </w:hyperlink>
        </w:p>
        <w:p>
          <w:pPr>
            <w:pStyle w:val="Contents6"/>
            <w:tabs>
              <w:tab w:val="clear" w:pos="7609"/>
              <w:tab w:val="right" w:pos="9026" w:leader="dot"/>
            </w:tabs>
            <w:rPr/>
          </w:pPr>
          <w:hyperlink w:anchor="__RefHeading___Toc4026307_3224264995">
            <w:r>
              <w:rPr>
                <w:webHidden/>
                <w:rStyle w:val="IndexLink"/>
                <w:rtl w:val="true"/>
              </w:rPr>
              <w:t>و قبل ذکر الأقوال فی المسألة و ما هو الحقّ عندنا، نقدّم مقدّمات</w:t>
            </w:r>
            <w:r>
              <w:rPr>
                <w:rStyle w:val="IndexLink"/>
                <w:rtl w:val="true"/>
              </w:rPr>
              <w:t>:</w:t>
              <w:tab/>
            </w:r>
            <w:r>
              <w:rPr>
                <w:rStyle w:val="IndexLink"/>
              </w:rPr>
              <w:t>246</w:t>
            </w:r>
          </w:hyperlink>
        </w:p>
        <w:p>
          <w:pPr>
            <w:pStyle w:val="Contents6"/>
            <w:tabs>
              <w:tab w:val="clear" w:pos="7609"/>
              <w:tab w:val="right" w:pos="9026" w:leader="dot"/>
            </w:tabs>
            <w:rPr/>
          </w:pPr>
          <w:hyperlink w:anchor="__RefHeading___Toc4026309_3224264995">
            <w:r>
              <w:rPr>
                <w:webHidden/>
                <w:rStyle w:val="IndexLink"/>
                <w:rtl w:val="true"/>
              </w:rPr>
              <w:t>المقدّمة الاولی</w:t>
            </w:r>
            <w:r>
              <w:rPr>
                <w:rStyle w:val="IndexLink"/>
                <w:rtl w:val="true"/>
              </w:rPr>
              <w:t xml:space="preserve">: </w:t>
            </w:r>
            <w:r>
              <w:rPr>
                <w:rStyle w:val="IndexLink"/>
                <w:rtl w:val="true"/>
              </w:rPr>
              <w:t>فی تحریر محطّ النزاع</w:t>
            </w:r>
            <w:r>
              <w:rPr>
                <w:rStyle w:val="IndexLink"/>
                <w:rtl w:val="true"/>
              </w:rPr>
              <w:tab/>
            </w:r>
            <w:r>
              <w:rPr>
                <w:rStyle w:val="IndexLink"/>
              </w:rPr>
              <w:t>246</w:t>
            </w:r>
          </w:hyperlink>
        </w:p>
        <w:p>
          <w:pPr>
            <w:pStyle w:val="Contents6"/>
            <w:tabs>
              <w:tab w:val="clear" w:pos="7609"/>
              <w:tab w:val="right" w:pos="9026" w:leader="dot"/>
            </w:tabs>
            <w:rPr/>
          </w:pPr>
          <w:hyperlink w:anchor="__RefHeading___Toc4026311_3224264995">
            <w:r>
              <w:rPr>
                <w:webHidden/>
                <w:rStyle w:val="IndexLink"/>
                <w:rtl w:val="true"/>
              </w:rPr>
              <w:t>المقدّمة الثانیة</w:t>
            </w:r>
            <w:r>
              <w:rPr>
                <w:rStyle w:val="IndexLink"/>
                <w:rtl w:val="true"/>
              </w:rPr>
              <w:t xml:space="preserve">: </w:t>
            </w:r>
            <w:r>
              <w:rPr>
                <w:rStyle w:val="IndexLink"/>
                <w:rtl w:val="true"/>
              </w:rPr>
              <w:t>فی المراد من تداخل الأسباب و المسبّبات</w:t>
            </w:r>
            <w:r>
              <w:rPr>
                <w:rStyle w:val="IndexLink"/>
                <w:rtl w:val="true"/>
              </w:rPr>
              <w:tab/>
            </w:r>
            <w:r>
              <w:rPr>
                <w:rStyle w:val="IndexLink"/>
              </w:rPr>
              <w:t>247</w:t>
            </w:r>
          </w:hyperlink>
        </w:p>
        <w:p>
          <w:pPr>
            <w:pStyle w:val="Contents6"/>
            <w:tabs>
              <w:tab w:val="clear" w:pos="7609"/>
              <w:tab w:val="right" w:pos="9026" w:leader="dot"/>
            </w:tabs>
            <w:rPr/>
          </w:pPr>
          <w:hyperlink w:anchor="__RefHeading___Toc4026313_3224264995">
            <w:r>
              <w:rPr>
                <w:webHidden/>
                <w:rStyle w:val="IndexLink"/>
                <w:rtl w:val="true"/>
              </w:rPr>
              <w:t>اشارة</w:t>
            </w:r>
            <w:r>
              <w:rPr>
                <w:rStyle w:val="IndexLink"/>
                <w:rtl w:val="true"/>
              </w:rPr>
              <w:tab/>
            </w:r>
            <w:r>
              <w:rPr>
                <w:rStyle w:val="IndexLink"/>
              </w:rPr>
              <w:t>247</w:t>
            </w:r>
          </w:hyperlink>
        </w:p>
        <w:p>
          <w:pPr>
            <w:pStyle w:val="Contents6"/>
            <w:tabs>
              <w:tab w:val="clear" w:pos="7609"/>
              <w:tab w:val="right" w:pos="9026" w:leader="dot"/>
            </w:tabs>
            <w:rPr/>
          </w:pPr>
          <w:hyperlink w:anchor="__RefHeading___Toc4026315_3224264995">
            <w:r>
              <w:rPr>
                <w:webHidden/>
                <w:rStyle w:val="IndexLink"/>
                <w:rtl w:val="true"/>
              </w:rPr>
              <w:t>ذکر و تعقیب أفاد المحقّق النائینی قدس سره</w:t>
            </w:r>
            <w:r>
              <w:rPr>
                <w:rStyle w:val="IndexLink"/>
                <w:rtl w:val="true"/>
              </w:rPr>
              <w:tab/>
            </w:r>
            <w:r>
              <w:rPr>
                <w:rStyle w:val="IndexLink"/>
              </w:rPr>
              <w:t>247</w:t>
            </w:r>
          </w:hyperlink>
        </w:p>
        <w:p>
          <w:pPr>
            <w:pStyle w:val="Contents6"/>
            <w:tabs>
              <w:tab w:val="clear" w:pos="7609"/>
              <w:tab w:val="right" w:pos="9026" w:leader="dot"/>
            </w:tabs>
            <w:rPr/>
          </w:pPr>
          <w:hyperlink w:anchor="__RefHeading___Toc4026317_3224264995">
            <w:r>
              <w:rPr>
                <w:webHidden/>
                <w:rStyle w:val="IndexLink"/>
                <w:rtl w:val="true"/>
              </w:rPr>
              <w:t>المقدّمة الثالثة</w:t>
            </w:r>
            <w:r>
              <w:rPr>
                <w:rStyle w:val="IndexLink"/>
                <w:rtl w:val="true"/>
              </w:rPr>
              <w:t xml:space="preserve">: </w:t>
            </w:r>
            <w:r>
              <w:rPr>
                <w:rStyle w:val="IndexLink"/>
                <w:rtl w:val="true"/>
              </w:rPr>
              <w:t>فی اختصاص النزاع بالماهیة القابلة للتکثّر</w:t>
            </w:r>
            <w:r>
              <w:rPr>
                <w:rStyle w:val="IndexLink"/>
                <w:rtl w:val="true"/>
              </w:rPr>
              <w:tab/>
            </w:r>
            <w:r>
              <w:rPr>
                <w:rStyle w:val="IndexLink"/>
              </w:rPr>
              <w:t>249</w:t>
            </w:r>
          </w:hyperlink>
        </w:p>
        <w:p>
          <w:pPr>
            <w:pStyle w:val="Contents6"/>
            <w:tabs>
              <w:tab w:val="clear" w:pos="7609"/>
              <w:tab w:val="right" w:pos="9026" w:leader="dot"/>
            </w:tabs>
            <w:rPr/>
          </w:pPr>
          <w:hyperlink w:anchor="__RefHeading___Toc4026319_3224264995">
            <w:r>
              <w:rPr>
                <w:webHidden/>
                <w:rStyle w:val="IndexLink"/>
                <w:rtl w:val="true"/>
              </w:rPr>
              <w:t>المقدّمة الرابعة</w:t>
            </w:r>
            <w:r>
              <w:rPr>
                <w:rStyle w:val="IndexLink"/>
                <w:rtl w:val="true"/>
              </w:rPr>
              <w:t xml:space="preserve">: </w:t>
            </w:r>
            <w:r>
              <w:rPr>
                <w:rStyle w:val="IndexLink"/>
                <w:rtl w:val="true"/>
              </w:rPr>
              <w:t>فی إمکان تداخل الأسباب</w:t>
            </w:r>
            <w:r>
              <w:rPr>
                <w:rStyle w:val="IndexLink"/>
                <w:rtl w:val="true"/>
              </w:rPr>
              <w:tab/>
            </w:r>
            <w:r>
              <w:rPr>
                <w:rStyle w:val="IndexLink"/>
              </w:rPr>
              <w:t>251</w:t>
            </w:r>
          </w:hyperlink>
        </w:p>
        <w:p>
          <w:pPr>
            <w:pStyle w:val="Contents6"/>
            <w:tabs>
              <w:tab w:val="clear" w:pos="7609"/>
              <w:tab w:val="right" w:pos="9026" w:leader="dot"/>
            </w:tabs>
            <w:rPr/>
          </w:pPr>
          <w:hyperlink w:anchor="__RefHeading___Toc4026321_3224264995">
            <w:r>
              <w:rPr>
                <w:webHidden/>
                <w:rStyle w:val="IndexLink"/>
                <w:rtl w:val="true"/>
              </w:rPr>
              <w:t>المقدّمة الخامسة</w:t>
            </w:r>
            <w:r>
              <w:rPr>
                <w:rStyle w:val="IndexLink"/>
                <w:rtl w:val="true"/>
              </w:rPr>
              <w:t xml:space="preserve">: </w:t>
            </w:r>
            <w:r>
              <w:rPr>
                <w:rStyle w:val="IndexLink"/>
                <w:rtl w:val="true"/>
              </w:rPr>
              <w:t>فی أنحاء تعدّد الشرط</w:t>
            </w:r>
            <w:r>
              <w:rPr>
                <w:rStyle w:val="IndexLink"/>
                <w:rtl w:val="true"/>
              </w:rPr>
              <w:tab/>
            </w:r>
            <w:r>
              <w:rPr>
                <w:rStyle w:val="IndexLink"/>
              </w:rPr>
              <w:t>256</w:t>
            </w:r>
          </w:hyperlink>
        </w:p>
        <w:p>
          <w:pPr>
            <w:pStyle w:val="Contents6"/>
            <w:tabs>
              <w:tab w:val="clear" w:pos="7609"/>
              <w:tab w:val="right" w:pos="9026" w:leader="dot"/>
            </w:tabs>
            <w:rPr/>
          </w:pPr>
          <w:hyperlink w:anchor="__RefHeading___Toc4026323_3224264995">
            <w:r>
              <w:rPr>
                <w:webHidden/>
                <w:rStyle w:val="IndexLink"/>
                <w:rtl w:val="true"/>
              </w:rPr>
              <w:t>المقام الأوّل فی حکم ما إذا تعدّدت الأسباب نوعاً</w:t>
            </w:r>
            <w:r>
              <w:rPr>
                <w:rStyle w:val="IndexLink"/>
                <w:rtl w:val="true"/>
              </w:rPr>
              <w:tab/>
            </w:r>
            <w:r>
              <w:rPr>
                <w:rStyle w:val="IndexLink"/>
              </w:rPr>
              <w:t>257</w:t>
            </w:r>
          </w:hyperlink>
        </w:p>
        <w:p>
          <w:pPr>
            <w:pStyle w:val="Contents6"/>
            <w:tabs>
              <w:tab w:val="clear" w:pos="7609"/>
              <w:tab w:val="right" w:pos="9026" w:leader="dot"/>
            </w:tabs>
            <w:rPr/>
          </w:pPr>
          <w:hyperlink w:anchor="__RefHeading___Toc4026325_3224264995">
            <w:r>
              <w:rPr>
                <w:webHidden/>
                <w:rStyle w:val="IndexLink"/>
                <w:rtl w:val="true"/>
              </w:rPr>
              <w:t>اشارة</w:t>
            </w:r>
            <w:r>
              <w:rPr>
                <w:rStyle w:val="IndexLink"/>
                <w:rtl w:val="true"/>
              </w:rPr>
              <w:tab/>
            </w:r>
            <w:r>
              <w:rPr>
                <w:rStyle w:val="IndexLink"/>
              </w:rPr>
              <w:t>257</w:t>
            </w:r>
          </w:hyperlink>
        </w:p>
        <w:p>
          <w:pPr>
            <w:pStyle w:val="Contents6"/>
            <w:tabs>
              <w:tab w:val="clear" w:pos="7609"/>
              <w:tab w:val="right" w:pos="9026" w:leader="dot"/>
            </w:tabs>
            <w:rPr/>
          </w:pPr>
          <w:hyperlink w:anchor="__RefHeading___Toc4026327_3224264995">
            <w:r>
              <w:rPr>
                <w:webHidden/>
                <w:rStyle w:val="IndexLink"/>
                <w:rtl w:val="true"/>
              </w:rPr>
              <w:t>بیان المقدمات الثلاثة من الشیخ الأعظم لتوجیه عدم التداخل</w:t>
            </w:r>
            <w:r>
              <w:rPr>
                <w:rStyle w:val="IndexLink"/>
                <w:rtl w:val="true"/>
              </w:rPr>
              <w:tab/>
            </w:r>
            <w:r>
              <w:rPr>
                <w:rStyle w:val="IndexLink"/>
              </w:rPr>
              <w:t>258</w:t>
            </w:r>
          </w:hyperlink>
        </w:p>
        <w:p>
          <w:pPr>
            <w:pStyle w:val="Contents6"/>
            <w:tabs>
              <w:tab w:val="clear" w:pos="7609"/>
              <w:tab w:val="right" w:pos="9026" w:leader="dot"/>
            </w:tabs>
            <w:rPr/>
          </w:pPr>
          <w:hyperlink w:anchor="__RefHeading___Toc4026329_3224264995">
            <w:r>
              <w:rPr>
                <w:webHidden/>
                <w:rStyle w:val="IndexLink"/>
                <w:rtl w:val="true"/>
              </w:rPr>
              <w:t>اشارة</w:t>
            </w:r>
            <w:r>
              <w:rPr>
                <w:rStyle w:val="IndexLink"/>
                <w:rtl w:val="true"/>
              </w:rPr>
              <w:tab/>
            </w:r>
            <w:r>
              <w:rPr>
                <w:rStyle w:val="IndexLink"/>
              </w:rPr>
              <w:t>258</w:t>
            </w:r>
          </w:hyperlink>
        </w:p>
        <w:p>
          <w:pPr>
            <w:pStyle w:val="Contents6"/>
            <w:tabs>
              <w:tab w:val="clear" w:pos="7609"/>
              <w:tab w:val="right" w:pos="9026" w:leader="dot"/>
            </w:tabs>
            <w:rPr/>
          </w:pPr>
          <w:hyperlink w:anchor="__RefHeading___Toc4026331_3224264995">
            <w:r>
              <w:rPr>
                <w:webHidden/>
                <w:rStyle w:val="IndexLink"/>
                <w:rtl w:val="true"/>
              </w:rPr>
              <w:t>حول المقدّمة الاولی التی ذکرها الشیخ الأعظم</w:t>
            </w:r>
            <w:r>
              <w:rPr>
                <w:rStyle w:val="IndexLink"/>
                <w:rtl w:val="true"/>
              </w:rPr>
              <w:tab/>
            </w:r>
            <w:r>
              <w:rPr>
                <w:rStyle w:val="IndexLink"/>
              </w:rPr>
              <w:t>258</w:t>
            </w:r>
          </w:hyperlink>
        </w:p>
        <w:p>
          <w:pPr>
            <w:pStyle w:val="Contents6"/>
            <w:tabs>
              <w:tab w:val="clear" w:pos="7609"/>
              <w:tab w:val="right" w:pos="9026" w:leader="dot"/>
            </w:tabs>
            <w:rPr/>
          </w:pPr>
          <w:hyperlink w:anchor="__RefHeading___Toc4026333_3224264995">
            <w:r>
              <w:rPr>
                <w:webHidden/>
                <w:rStyle w:val="IndexLink"/>
                <w:rtl w:val="true"/>
              </w:rPr>
              <w:t>اشارة</w:t>
            </w:r>
            <w:r>
              <w:rPr>
                <w:rStyle w:val="IndexLink"/>
                <w:rtl w:val="true"/>
              </w:rPr>
              <w:tab/>
            </w:r>
            <w:r>
              <w:rPr>
                <w:rStyle w:val="IndexLink"/>
              </w:rPr>
              <w:t>258</w:t>
            </w:r>
          </w:hyperlink>
        </w:p>
        <w:p>
          <w:pPr>
            <w:pStyle w:val="Contents6"/>
            <w:tabs>
              <w:tab w:val="clear" w:pos="7609"/>
              <w:tab w:val="right" w:pos="9026" w:leader="dot"/>
            </w:tabs>
            <w:rPr/>
          </w:pPr>
          <w:hyperlink w:anchor="__RefHeading___Toc4026335_3224264995">
            <w:r>
              <w:rPr>
                <w:webHidden/>
                <w:rStyle w:val="IndexLink"/>
                <w:rtl w:val="true"/>
              </w:rPr>
              <w:t>تزییف الوجوه التی ذکرت لعدم التداخل</w:t>
            </w:r>
            <w:r>
              <w:rPr>
                <w:rStyle w:val="IndexLink"/>
                <w:rtl w:val="true"/>
              </w:rPr>
              <w:tab/>
            </w:r>
            <w:r>
              <w:rPr>
                <w:rStyle w:val="IndexLink"/>
              </w:rPr>
              <w:t>263</w:t>
            </w:r>
          </w:hyperlink>
        </w:p>
        <w:p>
          <w:pPr>
            <w:pStyle w:val="Contents6"/>
            <w:tabs>
              <w:tab w:val="clear" w:pos="7609"/>
              <w:tab w:val="right" w:pos="9026" w:leader="dot"/>
            </w:tabs>
            <w:rPr/>
          </w:pPr>
          <w:hyperlink w:anchor="__RefHeading___Toc4026337_3224264995">
            <w:r>
              <w:rPr>
                <w:webHidden/>
                <w:rStyle w:val="IndexLink"/>
                <w:rtl w:val="true"/>
              </w:rPr>
              <w:t>التوجیه المقبول لعدم التداخل</w:t>
            </w:r>
            <w:r>
              <w:rPr>
                <w:rStyle w:val="IndexLink"/>
                <w:rtl w:val="true"/>
              </w:rPr>
              <w:tab/>
            </w:r>
            <w:r>
              <w:rPr>
                <w:rStyle w:val="IndexLink"/>
              </w:rPr>
              <w:t>271</w:t>
            </w:r>
          </w:hyperlink>
        </w:p>
        <w:p>
          <w:pPr>
            <w:pStyle w:val="Contents6"/>
            <w:tabs>
              <w:tab w:val="clear" w:pos="7609"/>
              <w:tab w:val="right" w:pos="9026" w:leader="dot"/>
            </w:tabs>
            <w:rPr/>
          </w:pPr>
          <w:hyperlink w:anchor="__RefHeading___Toc4026339_3224264995">
            <w:r>
              <w:rPr>
                <w:webHidden/>
                <w:rStyle w:val="IndexLink"/>
                <w:rtl w:val="true"/>
              </w:rPr>
              <w:t>حول المقدّمة الثانیة التی ذکرها الشیخ الأعظم</w:t>
            </w:r>
            <w:r>
              <w:rPr>
                <w:rStyle w:val="IndexLink"/>
                <w:rtl w:val="true"/>
              </w:rPr>
              <w:tab/>
            </w:r>
            <w:r>
              <w:rPr>
                <w:rStyle w:val="IndexLink"/>
              </w:rPr>
              <w:t>273</w:t>
            </w:r>
          </w:hyperlink>
        </w:p>
        <w:p>
          <w:pPr>
            <w:pStyle w:val="Contents6"/>
            <w:tabs>
              <w:tab w:val="clear" w:pos="7609"/>
              <w:tab w:val="right" w:pos="9026" w:leader="dot"/>
            </w:tabs>
            <w:rPr/>
          </w:pPr>
          <w:hyperlink w:anchor="__RefHeading___Toc4026341_3224264995">
            <w:r>
              <w:rPr>
                <w:webHidden/>
                <w:rStyle w:val="IndexLink"/>
                <w:rtl w:val="true"/>
              </w:rPr>
              <w:t>اشارة</w:t>
            </w:r>
            <w:r>
              <w:rPr>
                <w:rStyle w:val="IndexLink"/>
                <w:rtl w:val="true"/>
              </w:rPr>
              <w:tab/>
            </w:r>
            <w:r>
              <w:rPr>
                <w:rStyle w:val="IndexLink"/>
              </w:rPr>
              <w:t>273</w:t>
            </w:r>
          </w:hyperlink>
        </w:p>
        <w:p>
          <w:pPr>
            <w:pStyle w:val="Contents6"/>
            <w:tabs>
              <w:tab w:val="clear" w:pos="7609"/>
              <w:tab w:val="right" w:pos="9026" w:leader="dot"/>
            </w:tabs>
            <w:rPr/>
          </w:pPr>
          <w:hyperlink w:anchor="__RefHeading___Toc4026343_3224264995">
            <w:r>
              <w:rPr>
                <w:webHidden/>
                <w:rStyle w:val="IndexLink"/>
                <w:rtl w:val="true"/>
              </w:rPr>
              <w:t>ذکر و تعقیب</w:t>
            </w:r>
            <w:r>
              <w:rPr>
                <w:rStyle w:val="IndexLink"/>
                <w:rtl w:val="true"/>
              </w:rPr>
              <w:tab/>
            </w:r>
            <w:r>
              <w:rPr>
                <w:rStyle w:val="IndexLink"/>
              </w:rPr>
              <w:t>275</w:t>
            </w:r>
          </w:hyperlink>
        </w:p>
        <w:p>
          <w:pPr>
            <w:pStyle w:val="Contents6"/>
            <w:tabs>
              <w:tab w:val="clear" w:pos="7609"/>
              <w:tab w:val="right" w:pos="9026" w:leader="dot"/>
            </w:tabs>
            <w:rPr/>
          </w:pPr>
          <w:hyperlink w:anchor="__RefHeading___Toc4026345_3224264995">
            <w:r>
              <w:rPr>
                <w:webHidden/>
                <w:rStyle w:val="IndexLink"/>
                <w:rtl w:val="true"/>
              </w:rPr>
              <w:t>إیقاظ</w:t>
            </w:r>
            <w:r>
              <w:rPr>
                <w:rStyle w:val="IndexLink"/>
                <w:rtl w:val="true"/>
              </w:rPr>
              <w:t xml:space="preserve">: </w:t>
            </w:r>
            <w:r>
              <w:rPr>
                <w:rStyle w:val="IndexLink"/>
                <w:rtl w:val="true"/>
              </w:rPr>
              <w:t>فی الفرق بین التأکید فی المقام و سائر الموارد</w:t>
            </w:r>
            <w:r>
              <w:rPr>
                <w:rStyle w:val="IndexLink"/>
                <w:rtl w:val="true"/>
              </w:rPr>
              <w:tab/>
            </w:r>
            <w:r>
              <w:rPr>
                <w:rStyle w:val="IndexLink"/>
              </w:rPr>
              <w:t>275</w:t>
            </w:r>
          </w:hyperlink>
        </w:p>
        <w:p>
          <w:pPr>
            <w:pStyle w:val="Contents6"/>
            <w:tabs>
              <w:tab w:val="clear" w:pos="7609"/>
              <w:tab w:val="right" w:pos="9026" w:leader="dot"/>
            </w:tabs>
            <w:rPr/>
          </w:pPr>
          <w:hyperlink w:anchor="__RefHeading___Toc4026347_3224264995">
            <w:r>
              <w:rPr>
                <w:webHidden/>
                <w:rStyle w:val="IndexLink"/>
                <w:rtl w:val="true"/>
              </w:rPr>
              <w:t>حول الوجهین اللذین ذکرهما الشیخ الأعظم لتحکیم المقدّمة الثانیة</w:t>
            </w:r>
            <w:r>
              <w:rPr>
                <w:rStyle w:val="IndexLink"/>
                <w:rtl w:val="true"/>
              </w:rPr>
              <w:tab/>
            </w:r>
            <w:r>
              <w:rPr>
                <w:rStyle w:val="IndexLink"/>
              </w:rPr>
              <w:t>276</w:t>
            </w:r>
          </w:hyperlink>
        </w:p>
        <w:p>
          <w:pPr>
            <w:pStyle w:val="Contents6"/>
            <w:tabs>
              <w:tab w:val="clear" w:pos="7609"/>
              <w:tab w:val="right" w:pos="9026" w:leader="dot"/>
            </w:tabs>
            <w:rPr/>
          </w:pPr>
          <w:hyperlink w:anchor="__RefHeading___Toc4026349_3224264995">
            <w:r>
              <w:rPr>
                <w:webHidden/>
                <w:rStyle w:val="IndexLink"/>
                <w:rtl w:val="true"/>
              </w:rPr>
              <w:t>حول المقدّمة الثالثة التی ذکرها الشیخ الأعظم</w:t>
            </w:r>
            <w:r>
              <w:rPr>
                <w:rStyle w:val="IndexLink"/>
                <w:rtl w:val="true"/>
              </w:rPr>
              <w:tab/>
            </w:r>
            <w:r>
              <w:rPr>
                <w:rStyle w:val="IndexLink"/>
              </w:rPr>
              <w:t>279</w:t>
            </w:r>
          </w:hyperlink>
        </w:p>
        <w:p>
          <w:pPr>
            <w:pStyle w:val="Contents6"/>
            <w:tabs>
              <w:tab w:val="clear" w:pos="7609"/>
              <w:tab w:val="right" w:pos="9026" w:leader="dot"/>
            </w:tabs>
            <w:rPr/>
          </w:pPr>
          <w:hyperlink w:anchor="__RefHeading___Toc4026351_3224264995">
            <w:r>
              <w:rPr>
                <w:webHidden/>
                <w:rStyle w:val="IndexLink"/>
                <w:rtl w:val="true"/>
              </w:rPr>
              <w:t>اشارة</w:t>
            </w:r>
            <w:r>
              <w:rPr>
                <w:rStyle w:val="IndexLink"/>
                <w:rtl w:val="true"/>
              </w:rPr>
              <w:tab/>
            </w:r>
            <w:r>
              <w:rPr>
                <w:rStyle w:val="IndexLink"/>
              </w:rPr>
              <w:t>279</w:t>
            </w:r>
          </w:hyperlink>
        </w:p>
        <w:p>
          <w:pPr>
            <w:pStyle w:val="Contents6"/>
            <w:tabs>
              <w:tab w:val="clear" w:pos="7609"/>
              <w:tab w:val="right" w:pos="9026" w:leader="dot"/>
            </w:tabs>
            <w:rPr/>
          </w:pPr>
          <w:hyperlink w:anchor="__RefHeading___Toc4026353_3224264995">
            <w:r>
              <w:rPr>
                <w:webHidden/>
                <w:rStyle w:val="IndexLink"/>
                <w:rtl w:val="true"/>
              </w:rPr>
              <w:t>الجهة الاولی</w:t>
            </w:r>
            <w:r>
              <w:rPr>
                <w:rStyle w:val="IndexLink"/>
                <w:rtl w:val="true"/>
              </w:rPr>
              <w:t xml:space="preserve">: </w:t>
            </w:r>
            <w:r>
              <w:rPr>
                <w:rStyle w:val="IndexLink"/>
                <w:rtl w:val="true"/>
              </w:rPr>
              <w:t>فی إمکان تداخل المسبّبات ثبوتاً</w:t>
            </w:r>
            <w:r>
              <w:rPr>
                <w:rStyle w:val="IndexLink"/>
                <w:rtl w:val="true"/>
              </w:rPr>
              <w:tab/>
            </w:r>
            <w:r>
              <w:rPr>
                <w:rStyle w:val="IndexLink"/>
              </w:rPr>
              <w:t>280</w:t>
            </w:r>
          </w:hyperlink>
        </w:p>
        <w:p>
          <w:pPr>
            <w:pStyle w:val="Contents6"/>
            <w:tabs>
              <w:tab w:val="clear" w:pos="7609"/>
              <w:tab w:val="right" w:pos="9026" w:leader="dot"/>
            </w:tabs>
            <w:rPr/>
          </w:pPr>
          <w:hyperlink w:anchor="__RefHeading___Toc4026355_3224264995">
            <w:r>
              <w:rPr>
                <w:webHidden/>
                <w:rStyle w:val="IndexLink"/>
                <w:rtl w:val="true"/>
              </w:rPr>
              <w:t>الجهة الثانیة</w:t>
            </w:r>
            <w:r>
              <w:rPr>
                <w:rStyle w:val="IndexLink"/>
                <w:rtl w:val="true"/>
              </w:rPr>
              <w:t xml:space="preserve">: </w:t>
            </w:r>
            <w:r>
              <w:rPr>
                <w:rStyle w:val="IndexLink"/>
                <w:rtl w:val="true"/>
              </w:rPr>
              <w:t>فیما هو مقتضی القاعدة فی مقام الإثبات</w:t>
            </w:r>
            <w:r>
              <w:rPr>
                <w:rStyle w:val="IndexLink"/>
                <w:rtl w:val="true"/>
              </w:rPr>
              <w:tab/>
            </w:r>
            <w:r>
              <w:rPr>
                <w:rStyle w:val="IndexLink"/>
              </w:rPr>
              <w:t>282</w:t>
            </w:r>
          </w:hyperlink>
        </w:p>
        <w:p>
          <w:pPr>
            <w:pStyle w:val="Contents6"/>
            <w:tabs>
              <w:tab w:val="clear" w:pos="7609"/>
              <w:tab w:val="right" w:pos="9026" w:leader="dot"/>
            </w:tabs>
            <w:rPr/>
          </w:pPr>
          <w:hyperlink w:anchor="__RefHeading___Toc4026357_3224264995">
            <w:r>
              <w:rPr>
                <w:webHidden/>
                <w:rStyle w:val="IndexLink"/>
                <w:rtl w:val="true"/>
              </w:rPr>
              <w:t>المقام الثانی</w:t>
            </w:r>
            <w:r>
              <w:rPr>
                <w:rStyle w:val="IndexLink"/>
                <w:rtl w:val="true"/>
              </w:rPr>
              <w:t xml:space="preserve">: </w:t>
            </w:r>
            <w:r>
              <w:rPr>
                <w:rStyle w:val="IndexLink"/>
                <w:rtl w:val="true"/>
              </w:rPr>
              <w:t>فی حکم ما إذا تعدّدت الأسباب شخصاً لا نوعاً</w:t>
            </w:r>
            <w:r>
              <w:rPr>
                <w:rStyle w:val="IndexLink"/>
                <w:rtl w:val="true"/>
              </w:rPr>
              <w:tab/>
            </w:r>
            <w:r>
              <w:rPr>
                <w:rStyle w:val="IndexLink"/>
              </w:rPr>
              <w:t>283</w:t>
            </w:r>
          </w:hyperlink>
        </w:p>
        <w:p>
          <w:pPr>
            <w:pStyle w:val="Contents5"/>
            <w:tabs>
              <w:tab w:val="clear" w:pos="7892"/>
              <w:tab w:val="right" w:pos="9026" w:leader="dot"/>
            </w:tabs>
            <w:rPr/>
          </w:pPr>
          <w:hyperlink w:anchor="__RefHeading___Toc4026359_3224264995">
            <w:r>
              <w:rPr>
                <w:webHidden/>
                <w:rStyle w:val="IndexLink"/>
                <w:rtl w:val="true"/>
              </w:rPr>
              <w:t>الأمر الرابع اختلاف العلمین فی استفادة المفهوم من العامّ الاستغراقی</w:t>
            </w:r>
            <w:r>
              <w:rPr>
                <w:rStyle w:val="IndexLink"/>
                <w:rtl w:val="true"/>
              </w:rPr>
              <w:tab/>
            </w:r>
            <w:r>
              <w:rPr>
                <w:rStyle w:val="IndexLink"/>
              </w:rPr>
              <w:t>285</w:t>
            </w:r>
          </w:hyperlink>
        </w:p>
        <w:p>
          <w:pPr>
            <w:pStyle w:val="Contents3"/>
            <w:tabs>
              <w:tab w:val="clear" w:pos="8459"/>
              <w:tab w:val="right" w:pos="9026" w:leader="dot"/>
            </w:tabs>
            <w:rPr/>
          </w:pPr>
          <w:hyperlink w:anchor="__RefHeading___Toc4026361_3224264995">
            <w:r>
              <w:rPr>
                <w:webHidden/>
                <w:rStyle w:val="IndexLink"/>
                <w:rtl w:val="true"/>
              </w:rPr>
              <w:t>المبحث الثانی فی مفهوم الوصف</w:t>
            </w:r>
            <w:r>
              <w:rPr>
                <w:rStyle w:val="IndexLink"/>
                <w:rtl w:val="true"/>
              </w:rPr>
              <w:tab/>
            </w:r>
            <w:r>
              <w:rPr>
                <w:rStyle w:val="IndexLink"/>
              </w:rPr>
              <w:t>289</w:t>
            </w:r>
          </w:hyperlink>
        </w:p>
        <w:p>
          <w:pPr>
            <w:pStyle w:val="Contents4"/>
            <w:tabs>
              <w:tab w:val="clear" w:pos="8176"/>
              <w:tab w:val="right" w:pos="9026" w:leader="dot"/>
            </w:tabs>
            <w:rPr/>
          </w:pPr>
          <w:hyperlink w:anchor="__RefHeading___Toc4026363_3224264995">
            <w:r>
              <w:rPr>
                <w:webHidden/>
                <w:rStyle w:val="IndexLink"/>
                <w:rtl w:val="true"/>
              </w:rPr>
              <w:t>اشارة</w:t>
            </w:r>
            <w:r>
              <w:rPr>
                <w:rStyle w:val="IndexLink"/>
                <w:rtl w:val="true"/>
              </w:rPr>
              <w:tab/>
            </w:r>
            <w:r>
              <w:rPr>
                <w:rStyle w:val="IndexLink"/>
              </w:rPr>
              <w:t>289</w:t>
            </w:r>
          </w:hyperlink>
        </w:p>
        <w:p>
          <w:pPr>
            <w:pStyle w:val="Contents4"/>
            <w:tabs>
              <w:tab w:val="clear" w:pos="8176"/>
              <w:tab w:val="right" w:pos="9026" w:leader="dot"/>
            </w:tabs>
            <w:rPr/>
          </w:pPr>
          <w:hyperlink w:anchor="__RefHeading___Toc4026365_3224264995">
            <w:r>
              <w:rPr>
                <w:webHidden/>
                <w:rStyle w:val="IndexLink"/>
                <w:rtl w:val="true"/>
              </w:rPr>
              <w:t>و قبل ذکر أدلّة الطرفین ینبغی تقدیم أمرین لتحریر محطّ البحث</w:t>
            </w:r>
            <w:r>
              <w:rPr>
                <w:rStyle w:val="IndexLink"/>
                <w:rtl w:val="true"/>
              </w:rPr>
              <w:t>.</w:t>
              <w:tab/>
            </w:r>
            <w:r>
              <w:rPr>
                <w:rStyle w:val="IndexLink"/>
              </w:rPr>
              <w:t>289</w:t>
            </w:r>
          </w:hyperlink>
        </w:p>
        <w:p>
          <w:pPr>
            <w:pStyle w:val="Contents5"/>
            <w:tabs>
              <w:tab w:val="clear" w:pos="7892"/>
              <w:tab w:val="right" w:pos="9026" w:leader="dot"/>
            </w:tabs>
            <w:rPr/>
          </w:pPr>
          <w:hyperlink w:anchor="__RefHeading___Toc4026367_3224264995">
            <w:r>
              <w:rPr>
                <w:webHidden/>
                <w:rStyle w:val="IndexLink"/>
                <w:rtl w:val="true"/>
              </w:rPr>
              <w:t>الأمر الأوّل</w:t>
            </w:r>
            <w:r>
              <w:rPr>
                <w:rStyle w:val="IndexLink"/>
                <w:rtl w:val="true"/>
              </w:rPr>
              <w:t xml:space="preserve">: </w:t>
            </w:r>
            <w:r>
              <w:rPr>
                <w:rStyle w:val="IndexLink"/>
                <w:rtl w:val="true"/>
              </w:rPr>
              <w:t>فی بیان شمول النزاع للوصف غیر المعتمد</w:t>
            </w:r>
            <w:r>
              <w:rPr>
                <w:rStyle w:val="IndexLink"/>
                <w:rtl w:val="true"/>
              </w:rPr>
              <w:tab/>
            </w:r>
            <w:r>
              <w:rPr>
                <w:rStyle w:val="IndexLink"/>
              </w:rPr>
              <w:t>289</w:t>
            </w:r>
          </w:hyperlink>
        </w:p>
        <w:p>
          <w:pPr>
            <w:pStyle w:val="Contents5"/>
            <w:tabs>
              <w:tab w:val="clear" w:pos="7892"/>
              <w:tab w:val="right" w:pos="9026" w:leader="dot"/>
            </w:tabs>
            <w:rPr/>
          </w:pPr>
          <w:hyperlink w:anchor="__RefHeading___Toc4026369_3224264995">
            <w:r>
              <w:rPr>
                <w:webHidden/>
                <w:rStyle w:val="IndexLink"/>
                <w:rtl w:val="true"/>
              </w:rPr>
              <w:t>الأمر الثانی</w:t>
            </w:r>
            <w:r>
              <w:rPr>
                <w:rStyle w:val="IndexLink"/>
                <w:rtl w:val="true"/>
              </w:rPr>
              <w:t xml:space="preserve">: </w:t>
            </w:r>
            <w:r>
              <w:rPr>
                <w:rStyle w:val="IndexLink"/>
                <w:rtl w:val="true"/>
              </w:rPr>
              <w:t>فی شمول النزاع للوصف الأخصّ المطلق و الأعمّ من وجه</w:t>
            </w:r>
            <w:r>
              <w:rPr>
                <w:rStyle w:val="IndexLink"/>
                <w:rtl w:val="true"/>
              </w:rPr>
              <w:tab/>
            </w:r>
            <w:r>
              <w:rPr>
                <w:rStyle w:val="IndexLink"/>
              </w:rPr>
              <w:t>292</w:t>
            </w:r>
          </w:hyperlink>
        </w:p>
        <w:p>
          <w:pPr>
            <w:pStyle w:val="Contents4"/>
            <w:tabs>
              <w:tab w:val="clear" w:pos="8176"/>
              <w:tab w:val="right" w:pos="9026" w:leader="dot"/>
            </w:tabs>
            <w:rPr/>
          </w:pPr>
          <w:hyperlink w:anchor="__RefHeading___Toc4026371_3224264995">
            <w:r>
              <w:rPr>
                <w:webHidden/>
                <w:rStyle w:val="IndexLink"/>
                <w:rtl w:val="true"/>
              </w:rPr>
              <w:t>التحقیق عدم ثبوت مفهوم الوصف</w:t>
            </w:r>
            <w:r>
              <w:rPr>
                <w:rStyle w:val="IndexLink"/>
                <w:rtl w:val="true"/>
              </w:rPr>
              <w:tab/>
            </w:r>
            <w:r>
              <w:rPr>
                <w:rStyle w:val="IndexLink"/>
              </w:rPr>
              <w:t>294</w:t>
            </w:r>
          </w:hyperlink>
        </w:p>
        <w:p>
          <w:pPr>
            <w:pStyle w:val="Contents3"/>
            <w:tabs>
              <w:tab w:val="clear" w:pos="8459"/>
              <w:tab w:val="right" w:pos="9026" w:leader="dot"/>
            </w:tabs>
            <w:rPr/>
          </w:pPr>
          <w:hyperlink w:anchor="__RefHeading___Toc4026373_3224264995">
            <w:r>
              <w:rPr>
                <w:webHidden/>
                <w:rStyle w:val="IndexLink"/>
                <w:rtl w:val="true"/>
              </w:rPr>
              <w:t>المبحث الثالث فی مفهوم الغایة</w:t>
            </w:r>
            <w:r>
              <w:rPr>
                <w:rStyle w:val="IndexLink"/>
                <w:rtl w:val="true"/>
              </w:rPr>
              <w:tab/>
            </w:r>
            <w:r>
              <w:rPr>
                <w:rStyle w:val="IndexLink"/>
              </w:rPr>
              <w:t>299</w:t>
            </w:r>
          </w:hyperlink>
        </w:p>
        <w:p>
          <w:pPr>
            <w:pStyle w:val="Contents4"/>
            <w:tabs>
              <w:tab w:val="clear" w:pos="8176"/>
              <w:tab w:val="right" w:pos="9026" w:leader="dot"/>
            </w:tabs>
            <w:rPr/>
          </w:pPr>
          <w:hyperlink w:anchor="__RefHeading___Toc4026375_3224264995">
            <w:r>
              <w:rPr>
                <w:webHidden/>
                <w:rStyle w:val="IndexLink"/>
                <w:rtl w:val="true"/>
              </w:rPr>
              <w:t>اشارة</w:t>
            </w:r>
            <w:r>
              <w:rPr>
                <w:rStyle w:val="IndexLink"/>
                <w:rtl w:val="true"/>
              </w:rPr>
              <w:tab/>
            </w:r>
            <w:r>
              <w:rPr>
                <w:rStyle w:val="IndexLink"/>
              </w:rPr>
              <w:t>299</w:t>
            </w:r>
          </w:hyperlink>
        </w:p>
        <w:p>
          <w:pPr>
            <w:pStyle w:val="Contents4"/>
            <w:tabs>
              <w:tab w:val="clear" w:pos="8176"/>
              <w:tab w:val="right" w:pos="9026" w:leader="dot"/>
            </w:tabs>
            <w:rPr/>
          </w:pPr>
          <w:hyperlink w:anchor="__RefHeading___Toc4026377_3224264995">
            <w:r>
              <w:rPr>
                <w:webHidden/>
                <w:rStyle w:val="IndexLink"/>
                <w:rtl w:val="true"/>
              </w:rPr>
              <w:t>المقام الأوّل حول ارتفاع الحکم المغیّا عمّا بعد الغایة</w:t>
            </w:r>
            <w:r>
              <w:rPr>
                <w:rStyle w:val="IndexLink"/>
                <w:rtl w:val="true"/>
              </w:rPr>
              <w:tab/>
            </w:r>
            <w:r>
              <w:rPr>
                <w:rStyle w:val="IndexLink"/>
              </w:rPr>
              <w:t>299</w:t>
            </w:r>
          </w:hyperlink>
        </w:p>
        <w:p>
          <w:pPr>
            <w:pStyle w:val="Contents5"/>
            <w:tabs>
              <w:tab w:val="clear" w:pos="7892"/>
              <w:tab w:val="right" w:pos="9026" w:leader="dot"/>
            </w:tabs>
            <w:rPr/>
          </w:pPr>
          <w:hyperlink w:anchor="__RefHeading___Toc4026379_3224264995">
            <w:r>
              <w:rPr>
                <w:webHidden/>
                <w:rStyle w:val="IndexLink"/>
                <w:rtl w:val="true"/>
              </w:rPr>
              <w:t>اشارة</w:t>
            </w:r>
            <w:r>
              <w:rPr>
                <w:rStyle w:val="IndexLink"/>
                <w:rtl w:val="true"/>
              </w:rPr>
              <w:tab/>
            </w:r>
            <w:r>
              <w:rPr>
                <w:rStyle w:val="IndexLink"/>
              </w:rPr>
              <w:t>299</w:t>
            </w:r>
          </w:hyperlink>
        </w:p>
        <w:p>
          <w:pPr>
            <w:pStyle w:val="Contents5"/>
            <w:tabs>
              <w:tab w:val="clear" w:pos="7892"/>
              <w:tab w:val="right" w:pos="9026" w:leader="dot"/>
            </w:tabs>
            <w:rPr/>
          </w:pPr>
          <w:hyperlink w:anchor="__RefHeading___Toc4026381_3224264995">
            <w:r>
              <w:rPr>
                <w:webHidden/>
                <w:rStyle w:val="IndexLink"/>
                <w:rtl w:val="true"/>
              </w:rPr>
              <w:t>إشکال و دفع</w:t>
            </w:r>
            <w:r>
              <w:rPr>
                <w:rStyle w:val="IndexLink"/>
                <w:rtl w:val="true"/>
              </w:rPr>
              <w:tab/>
            </w:r>
            <w:r>
              <w:rPr>
                <w:rStyle w:val="IndexLink"/>
              </w:rPr>
              <w:t>304</w:t>
            </w:r>
          </w:hyperlink>
        </w:p>
        <w:p>
          <w:pPr>
            <w:pStyle w:val="Contents5"/>
            <w:tabs>
              <w:tab w:val="clear" w:pos="7892"/>
              <w:tab w:val="right" w:pos="9026" w:leader="dot"/>
            </w:tabs>
            <w:rPr/>
          </w:pPr>
          <w:hyperlink w:anchor="__RefHeading___Toc4026383_3224264995">
            <w:r>
              <w:rPr>
                <w:webHidden/>
                <w:rStyle w:val="IndexLink"/>
                <w:rtl w:val="true"/>
              </w:rPr>
              <w:t>ذکر و تعقیب</w:t>
            </w:r>
            <w:r>
              <w:rPr>
                <w:rStyle w:val="IndexLink"/>
                <w:rtl w:val="true"/>
              </w:rPr>
              <w:tab/>
            </w:r>
            <w:r>
              <w:rPr>
                <w:rStyle w:val="IndexLink"/>
              </w:rPr>
              <w:t>305</w:t>
            </w:r>
          </w:hyperlink>
        </w:p>
        <w:p>
          <w:pPr>
            <w:pStyle w:val="Contents4"/>
            <w:tabs>
              <w:tab w:val="clear" w:pos="8176"/>
              <w:tab w:val="right" w:pos="9026" w:leader="dot"/>
            </w:tabs>
            <w:rPr/>
          </w:pPr>
          <w:hyperlink w:anchor="__RefHeading___Toc4026385_3224264995">
            <w:r>
              <w:rPr>
                <w:webHidden/>
                <w:rStyle w:val="IndexLink"/>
                <w:rtl w:val="true"/>
              </w:rPr>
              <w:t>المقام الثانی فی أنّ الغایة داخلة فی المغیّا أم لا</w:t>
            </w:r>
            <w:r>
              <w:rPr>
                <w:rStyle w:val="IndexLink"/>
                <w:rtl w:val="true"/>
              </w:rPr>
              <w:tab/>
            </w:r>
            <w:r>
              <w:rPr>
                <w:rStyle w:val="IndexLink"/>
              </w:rPr>
              <w:t>307</w:t>
            </w:r>
          </w:hyperlink>
        </w:p>
        <w:p>
          <w:pPr>
            <w:pStyle w:val="Contents5"/>
            <w:tabs>
              <w:tab w:val="clear" w:pos="7892"/>
              <w:tab w:val="right" w:pos="9026" w:leader="dot"/>
            </w:tabs>
            <w:rPr/>
          </w:pPr>
          <w:hyperlink w:anchor="__RefHeading___Toc4026387_3224264995">
            <w:r>
              <w:rPr>
                <w:webHidden/>
                <w:rStyle w:val="IndexLink"/>
                <w:rtl w:val="true"/>
              </w:rPr>
              <w:t>اشارة</w:t>
            </w:r>
            <w:r>
              <w:rPr>
                <w:rStyle w:val="IndexLink"/>
                <w:rtl w:val="true"/>
              </w:rPr>
              <w:tab/>
            </w:r>
            <w:r>
              <w:rPr>
                <w:rStyle w:val="IndexLink"/>
              </w:rPr>
              <w:t>307</w:t>
            </w:r>
          </w:hyperlink>
        </w:p>
        <w:p>
          <w:pPr>
            <w:pStyle w:val="Contents5"/>
            <w:tabs>
              <w:tab w:val="clear" w:pos="7892"/>
              <w:tab w:val="right" w:pos="9026" w:leader="dot"/>
            </w:tabs>
            <w:rPr/>
          </w:pPr>
          <w:hyperlink w:anchor="__RefHeading___Toc4026389_3224264995">
            <w:r>
              <w:rPr>
                <w:webHidden/>
                <w:rStyle w:val="IndexLink"/>
                <w:rtl w:val="true"/>
              </w:rPr>
              <w:t>عدم معقولیة دخول غایة الحکم فی المغیّا</w:t>
            </w:r>
            <w:r>
              <w:rPr>
                <w:rStyle w:val="IndexLink"/>
                <w:rtl w:val="true"/>
              </w:rPr>
              <w:tab/>
            </w:r>
            <w:r>
              <w:rPr>
                <w:rStyle w:val="IndexLink"/>
              </w:rPr>
              <w:t>309</w:t>
            </w:r>
          </w:hyperlink>
        </w:p>
        <w:p>
          <w:pPr>
            <w:pStyle w:val="Contents5"/>
            <w:tabs>
              <w:tab w:val="clear" w:pos="7892"/>
              <w:tab w:val="right" w:pos="9026" w:leader="dot"/>
            </w:tabs>
            <w:rPr/>
          </w:pPr>
          <w:hyperlink w:anchor="__RefHeading___Toc4026391_3224264995">
            <w:r>
              <w:rPr>
                <w:webHidden/>
                <w:rStyle w:val="IndexLink"/>
                <w:rtl w:val="true"/>
              </w:rPr>
              <w:t>تنبیه</w:t>
            </w:r>
            <w:r>
              <w:rPr>
                <w:rStyle w:val="IndexLink"/>
                <w:rtl w:val="true"/>
              </w:rPr>
              <w:t>:</w:t>
              <w:tab/>
            </w:r>
            <w:r>
              <w:rPr>
                <w:rStyle w:val="IndexLink"/>
              </w:rPr>
              <w:t>310</w:t>
            </w:r>
          </w:hyperlink>
        </w:p>
        <w:p>
          <w:pPr>
            <w:pStyle w:val="Contents5"/>
            <w:tabs>
              <w:tab w:val="clear" w:pos="7892"/>
              <w:tab w:val="right" w:pos="9026" w:leader="dot"/>
            </w:tabs>
            <w:rPr/>
          </w:pPr>
          <w:hyperlink w:anchor="__RefHeading___Toc4026393_3224264995">
            <w:r>
              <w:rPr>
                <w:webHidden/>
                <w:rStyle w:val="IndexLink"/>
                <w:rtl w:val="true"/>
              </w:rPr>
              <w:t>المختار عدم دخول الغایة فی المغیّا مطلقاً</w:t>
            </w:r>
            <w:r>
              <w:rPr>
                <w:rStyle w:val="IndexLink"/>
                <w:rtl w:val="true"/>
              </w:rPr>
              <w:tab/>
            </w:r>
            <w:r>
              <w:rPr>
                <w:rStyle w:val="IndexLink"/>
              </w:rPr>
              <w:t>311</w:t>
            </w:r>
          </w:hyperlink>
        </w:p>
        <w:p>
          <w:pPr>
            <w:pStyle w:val="Contents3"/>
            <w:tabs>
              <w:tab w:val="clear" w:pos="8459"/>
              <w:tab w:val="right" w:pos="9026" w:leader="dot"/>
            </w:tabs>
            <w:rPr/>
          </w:pPr>
          <w:hyperlink w:anchor="__RefHeading___Toc4026395_3224264995">
            <w:r>
              <w:rPr>
                <w:webHidden/>
                <w:rStyle w:val="IndexLink"/>
                <w:rtl w:val="true"/>
              </w:rPr>
              <w:t>المبحث الرابع فی مفهوم الاستثناء</w:t>
            </w:r>
            <w:r>
              <w:rPr>
                <w:rStyle w:val="IndexLink"/>
                <w:rtl w:val="true"/>
              </w:rPr>
              <w:tab/>
            </w:r>
            <w:r>
              <w:rPr>
                <w:rStyle w:val="IndexLink"/>
              </w:rPr>
              <w:t>313</w:t>
            </w:r>
          </w:hyperlink>
        </w:p>
        <w:p>
          <w:pPr>
            <w:pStyle w:val="Contents4"/>
            <w:tabs>
              <w:tab w:val="clear" w:pos="8176"/>
              <w:tab w:val="right" w:pos="9026" w:leader="dot"/>
            </w:tabs>
            <w:rPr/>
          </w:pPr>
          <w:hyperlink w:anchor="__RefHeading___Toc4026397_3224264995">
            <w:r>
              <w:rPr>
                <w:webHidden/>
                <w:rStyle w:val="IndexLink"/>
                <w:rtl w:val="true"/>
              </w:rPr>
              <w:t>اشارة</w:t>
            </w:r>
            <w:r>
              <w:rPr>
                <w:rStyle w:val="IndexLink"/>
                <w:rtl w:val="true"/>
              </w:rPr>
              <w:tab/>
            </w:r>
            <w:r>
              <w:rPr>
                <w:rStyle w:val="IndexLink"/>
              </w:rPr>
              <w:t>313</w:t>
            </w:r>
          </w:hyperlink>
        </w:p>
        <w:p>
          <w:pPr>
            <w:pStyle w:val="Contents4"/>
            <w:tabs>
              <w:tab w:val="clear" w:pos="8176"/>
              <w:tab w:val="right" w:pos="9026" w:leader="dot"/>
            </w:tabs>
            <w:rPr/>
          </w:pPr>
          <w:hyperlink w:anchor="__RefHeading___Toc4026399_3224264995">
            <w:r>
              <w:rPr>
                <w:webHidden/>
                <w:rStyle w:val="IndexLink"/>
                <w:rtl w:val="true"/>
              </w:rPr>
              <w:t>حول الاستدلال بکلمة التوحید علی مفهوم الحصر</w:t>
            </w:r>
            <w:r>
              <w:rPr>
                <w:rStyle w:val="IndexLink"/>
                <w:rtl w:val="true"/>
              </w:rPr>
              <w:tab/>
            </w:r>
            <w:r>
              <w:rPr>
                <w:rStyle w:val="IndexLink"/>
              </w:rPr>
              <w:t>315</w:t>
            </w:r>
          </w:hyperlink>
        </w:p>
        <w:p>
          <w:pPr>
            <w:pStyle w:val="Contents4"/>
            <w:tabs>
              <w:tab w:val="clear" w:pos="8176"/>
              <w:tab w:val="right" w:pos="9026" w:leader="dot"/>
            </w:tabs>
            <w:rPr/>
          </w:pPr>
          <w:hyperlink w:anchor="__RefHeading___Toc4026401_3224264995">
            <w:r>
              <w:rPr>
                <w:webHidden/>
                <w:rStyle w:val="IndexLink"/>
                <w:rtl w:val="true"/>
              </w:rPr>
              <w:t>إشکال کلمة التوحید و دفعه</w:t>
            </w:r>
            <w:r>
              <w:rPr>
                <w:rStyle w:val="IndexLink"/>
                <w:rtl w:val="true"/>
              </w:rPr>
              <w:tab/>
            </w:r>
            <w:r>
              <w:rPr>
                <w:rStyle w:val="IndexLink"/>
              </w:rPr>
              <w:t>316</w:t>
            </w:r>
          </w:hyperlink>
        </w:p>
        <w:p>
          <w:pPr>
            <w:pStyle w:val="Contents2"/>
            <w:tabs>
              <w:tab w:val="clear" w:pos="8743"/>
              <w:tab w:val="right" w:pos="9026" w:leader="dot"/>
            </w:tabs>
            <w:rPr/>
          </w:pPr>
          <w:hyperlink w:anchor="__RefHeading___Toc4026403_3224264995">
            <w:r>
              <w:rPr>
                <w:webHidden/>
                <w:rStyle w:val="IndexLink"/>
                <w:rtl w:val="true"/>
              </w:rPr>
              <w:t>المقصد الرابع فی العامّ و الخاصّ</w:t>
            </w:r>
            <w:r>
              <w:rPr>
                <w:rStyle w:val="IndexLink"/>
                <w:rtl w:val="true"/>
              </w:rPr>
              <w:tab/>
            </w:r>
            <w:r>
              <w:rPr>
                <w:rStyle w:val="IndexLink"/>
              </w:rPr>
              <w:t>320</w:t>
            </w:r>
          </w:hyperlink>
        </w:p>
        <w:p>
          <w:pPr>
            <w:pStyle w:val="Contents3"/>
            <w:tabs>
              <w:tab w:val="clear" w:pos="8459"/>
              <w:tab w:val="right" w:pos="9026" w:leader="dot"/>
            </w:tabs>
            <w:rPr/>
          </w:pPr>
          <w:hyperlink w:anchor="__RefHeading___Toc4026405_3224264995">
            <w:r>
              <w:rPr>
                <w:webHidden/>
                <w:rStyle w:val="IndexLink"/>
                <w:rtl w:val="true"/>
              </w:rPr>
              <w:t>اشارة</w:t>
            </w:r>
            <w:r>
              <w:rPr>
                <w:rStyle w:val="IndexLink"/>
                <w:rtl w:val="true"/>
              </w:rPr>
              <w:tab/>
            </w:r>
            <w:r>
              <w:rPr>
                <w:rStyle w:val="IndexLink"/>
              </w:rPr>
              <w:t>320</w:t>
            </w:r>
          </w:hyperlink>
        </w:p>
        <w:p>
          <w:pPr>
            <w:pStyle w:val="Contents3"/>
            <w:tabs>
              <w:tab w:val="clear" w:pos="8459"/>
              <w:tab w:val="right" w:pos="9026" w:leader="dot"/>
            </w:tabs>
            <w:rPr/>
          </w:pPr>
          <w:hyperlink w:anchor="__RefHeading___Toc4026407_3224264995">
            <w:r>
              <w:rPr>
                <w:webHidden/>
                <w:rStyle w:val="IndexLink"/>
                <w:rtl w:val="true"/>
              </w:rPr>
              <w:t>مقدّمة مبحث العامّ و الخاصّ</w:t>
            </w:r>
            <w:r>
              <w:rPr>
                <w:rStyle w:val="IndexLink"/>
                <w:rtl w:val="true"/>
              </w:rPr>
              <w:tab/>
            </w:r>
            <w:r>
              <w:rPr>
                <w:rStyle w:val="IndexLink"/>
              </w:rPr>
              <w:t>321</w:t>
            </w:r>
          </w:hyperlink>
        </w:p>
        <w:p>
          <w:pPr>
            <w:pStyle w:val="Contents4"/>
            <w:tabs>
              <w:tab w:val="clear" w:pos="8176"/>
              <w:tab w:val="right" w:pos="9026" w:leader="dot"/>
            </w:tabs>
            <w:rPr/>
          </w:pPr>
          <w:hyperlink w:anchor="__RefHeading___Toc4026409_3224264995">
            <w:r>
              <w:rPr>
                <w:webHidden/>
                <w:rStyle w:val="IndexLink"/>
                <w:rtl w:val="true"/>
              </w:rPr>
              <w:t>اشارة</w:t>
            </w:r>
            <w:r>
              <w:rPr>
                <w:rStyle w:val="IndexLink"/>
                <w:rtl w:val="true"/>
              </w:rPr>
              <w:tab/>
            </w:r>
            <w:r>
              <w:rPr>
                <w:rStyle w:val="IndexLink"/>
              </w:rPr>
              <w:t>321</w:t>
            </w:r>
          </w:hyperlink>
        </w:p>
        <w:p>
          <w:pPr>
            <w:pStyle w:val="Contents4"/>
            <w:tabs>
              <w:tab w:val="clear" w:pos="8176"/>
              <w:tab w:val="right" w:pos="9026" w:leader="dot"/>
            </w:tabs>
            <w:rPr/>
          </w:pPr>
          <w:hyperlink w:anchor="__RefHeading___Toc4026411_3224264995">
            <w:r>
              <w:rPr>
                <w:webHidden/>
                <w:rStyle w:val="IndexLink"/>
                <w:rtl w:val="true"/>
              </w:rPr>
              <w:t>الأمر الأوّل</w:t>
            </w:r>
            <w:r>
              <w:rPr>
                <w:rStyle w:val="IndexLink"/>
                <w:rtl w:val="true"/>
              </w:rPr>
              <w:t xml:space="preserve">: </w:t>
            </w:r>
            <w:r>
              <w:rPr>
                <w:rStyle w:val="IndexLink"/>
                <w:rtl w:val="true"/>
              </w:rPr>
              <w:t>فی تعریف العامّ</w:t>
            </w:r>
            <w:r>
              <w:rPr>
                <w:rStyle w:val="IndexLink"/>
                <w:rtl w:val="true"/>
              </w:rPr>
              <w:tab/>
            </w:r>
            <w:r>
              <w:rPr>
                <w:rStyle w:val="IndexLink"/>
              </w:rPr>
              <w:t>321</w:t>
            </w:r>
          </w:hyperlink>
        </w:p>
        <w:p>
          <w:pPr>
            <w:pStyle w:val="Contents5"/>
            <w:tabs>
              <w:tab w:val="clear" w:pos="7892"/>
              <w:tab w:val="right" w:pos="9026" w:leader="dot"/>
            </w:tabs>
            <w:rPr/>
          </w:pPr>
          <w:hyperlink w:anchor="__RefHeading___Toc4026413_3224264995">
            <w:r>
              <w:rPr>
                <w:webHidden/>
                <w:rStyle w:val="IndexLink"/>
                <w:rtl w:val="true"/>
              </w:rPr>
              <w:t>اشارة</w:t>
            </w:r>
            <w:r>
              <w:rPr>
                <w:rStyle w:val="IndexLink"/>
                <w:rtl w:val="true"/>
              </w:rPr>
              <w:tab/>
            </w:r>
            <w:r>
              <w:rPr>
                <w:rStyle w:val="IndexLink"/>
              </w:rPr>
              <w:t>321</w:t>
            </w:r>
          </w:hyperlink>
        </w:p>
        <w:p>
          <w:pPr>
            <w:pStyle w:val="Contents5"/>
            <w:tabs>
              <w:tab w:val="clear" w:pos="7892"/>
              <w:tab w:val="right" w:pos="9026" w:leader="dot"/>
            </w:tabs>
            <w:rPr/>
          </w:pPr>
          <w:hyperlink w:anchor="__RefHeading___Toc4026415_3224264995">
            <w:r>
              <w:rPr>
                <w:webHidden/>
                <w:rStyle w:val="IndexLink"/>
                <w:rtl w:val="true"/>
              </w:rPr>
              <w:t>حول مختار المحقّق النائینی قدس سره فی المقام</w:t>
            </w:r>
            <w:r>
              <w:rPr>
                <w:rStyle w:val="IndexLink"/>
                <w:rtl w:val="true"/>
              </w:rPr>
              <w:tab/>
            </w:r>
            <w:r>
              <w:rPr>
                <w:rStyle w:val="IndexLink"/>
              </w:rPr>
              <w:t>325</w:t>
            </w:r>
          </w:hyperlink>
        </w:p>
        <w:p>
          <w:pPr>
            <w:pStyle w:val="Contents4"/>
            <w:tabs>
              <w:tab w:val="clear" w:pos="8176"/>
              <w:tab w:val="right" w:pos="9026" w:leader="dot"/>
            </w:tabs>
            <w:rPr/>
          </w:pPr>
          <w:hyperlink w:anchor="__RefHeading___Toc4026417_3224264995">
            <w:r>
              <w:rPr>
                <w:webHidden/>
                <w:rStyle w:val="IndexLink"/>
                <w:rtl w:val="true"/>
              </w:rPr>
              <w:t>الأمر الثانی فی الفرق بین العامّ و المطلق</w:t>
            </w:r>
            <w:r>
              <w:rPr>
                <w:rStyle w:val="IndexLink"/>
                <w:rtl w:val="true"/>
              </w:rPr>
              <w:tab/>
            </w:r>
            <w:r>
              <w:rPr>
                <w:rStyle w:val="IndexLink"/>
              </w:rPr>
              <w:t>331</w:t>
            </w:r>
          </w:hyperlink>
        </w:p>
        <w:p>
          <w:pPr>
            <w:pStyle w:val="Contents4"/>
            <w:tabs>
              <w:tab w:val="clear" w:pos="8176"/>
              <w:tab w:val="right" w:pos="9026" w:leader="dot"/>
            </w:tabs>
            <w:rPr/>
          </w:pPr>
          <w:hyperlink w:anchor="__RefHeading___Toc4026419_3224264995">
            <w:r>
              <w:rPr>
                <w:webHidden/>
                <w:rStyle w:val="IndexLink"/>
                <w:rtl w:val="true"/>
              </w:rPr>
              <w:t>الأمر الثالث فی احتیاج المقیّد</w:t>
            </w:r>
            <w:r>
              <w:rPr>
                <w:rStyle w:val="IndexLink"/>
                <w:rtl w:val="true"/>
              </w:rPr>
              <w:t xml:space="preserve">- </w:t>
            </w:r>
            <w:r>
              <w:rPr>
                <w:rStyle w:val="IndexLink"/>
                <w:rtl w:val="true"/>
              </w:rPr>
              <w:t>کالمطلق</w:t>
            </w:r>
            <w:r>
              <w:rPr>
                <w:rStyle w:val="IndexLink"/>
                <w:rtl w:val="true"/>
              </w:rPr>
              <w:t xml:space="preserve">- </w:t>
            </w:r>
            <w:r>
              <w:rPr>
                <w:rStyle w:val="IndexLink"/>
                <w:rtl w:val="true"/>
              </w:rPr>
              <w:t>إلی مقدّمات الحکمة</w:t>
            </w:r>
            <w:r>
              <w:rPr>
                <w:rStyle w:val="IndexLink"/>
                <w:rtl w:val="true"/>
              </w:rPr>
              <w:tab/>
            </w:r>
            <w:r>
              <w:rPr>
                <w:rStyle w:val="IndexLink"/>
              </w:rPr>
              <w:t>333</w:t>
            </w:r>
          </w:hyperlink>
        </w:p>
        <w:p>
          <w:pPr>
            <w:pStyle w:val="Contents4"/>
            <w:tabs>
              <w:tab w:val="clear" w:pos="8176"/>
              <w:tab w:val="right" w:pos="9026" w:leader="dot"/>
            </w:tabs>
            <w:rPr/>
          </w:pPr>
          <w:hyperlink w:anchor="__RefHeading___Toc4026421_3224264995">
            <w:r>
              <w:rPr>
                <w:webHidden/>
                <w:rStyle w:val="IndexLink"/>
                <w:rtl w:val="true"/>
              </w:rPr>
              <w:t>الأمر الرابع فی استغناء العامّ فی الدلالة علی العموم عن مقدّمات الحکمة</w:t>
            </w:r>
            <w:r>
              <w:rPr>
                <w:rStyle w:val="IndexLink"/>
                <w:rtl w:val="true"/>
              </w:rPr>
              <w:tab/>
            </w:r>
            <w:r>
              <w:rPr>
                <w:rStyle w:val="IndexLink"/>
              </w:rPr>
              <w:t>334</w:t>
            </w:r>
          </w:hyperlink>
        </w:p>
        <w:p>
          <w:pPr>
            <w:pStyle w:val="Contents4"/>
            <w:tabs>
              <w:tab w:val="clear" w:pos="8176"/>
              <w:tab w:val="right" w:pos="9026" w:leader="dot"/>
            </w:tabs>
            <w:rPr/>
          </w:pPr>
          <w:hyperlink w:anchor="__RefHeading___Toc4026423_3224264995">
            <w:r>
              <w:rPr>
                <w:webHidden/>
                <w:rStyle w:val="IndexLink"/>
                <w:rtl w:val="true"/>
              </w:rPr>
              <w:t>الأمر الخامس فی تقسیمات العامّ و المطلق</w:t>
            </w:r>
            <w:r>
              <w:rPr>
                <w:rStyle w:val="IndexLink"/>
                <w:rtl w:val="true"/>
              </w:rPr>
              <w:tab/>
            </w:r>
            <w:r>
              <w:rPr>
                <w:rStyle w:val="IndexLink"/>
              </w:rPr>
              <w:t>340</w:t>
            </w:r>
          </w:hyperlink>
        </w:p>
        <w:p>
          <w:pPr>
            <w:pStyle w:val="Contents5"/>
            <w:tabs>
              <w:tab w:val="clear" w:pos="7892"/>
              <w:tab w:val="right" w:pos="9026" w:leader="dot"/>
            </w:tabs>
            <w:rPr/>
          </w:pPr>
          <w:hyperlink w:anchor="__RefHeading___Toc4026425_3224264995">
            <w:r>
              <w:rPr>
                <w:webHidden/>
                <w:rStyle w:val="IndexLink"/>
                <w:rtl w:val="true"/>
              </w:rPr>
              <w:t>أقسام العامّ</w:t>
            </w:r>
            <w:r>
              <w:rPr>
                <w:rStyle w:val="IndexLink"/>
                <w:rtl w:val="true"/>
              </w:rPr>
              <w:tab/>
            </w:r>
            <w:r>
              <w:rPr>
                <w:rStyle w:val="IndexLink"/>
              </w:rPr>
              <w:t>340</w:t>
            </w:r>
          </w:hyperlink>
        </w:p>
        <w:p>
          <w:pPr>
            <w:pStyle w:val="Contents5"/>
            <w:tabs>
              <w:tab w:val="clear" w:pos="7892"/>
              <w:tab w:val="right" w:pos="9026" w:leader="dot"/>
            </w:tabs>
            <w:rPr/>
          </w:pPr>
          <w:hyperlink w:anchor="__RefHeading___Toc4026427_3224264995">
            <w:r>
              <w:rPr>
                <w:webHidden/>
                <w:rStyle w:val="IndexLink"/>
                <w:rtl w:val="true"/>
              </w:rPr>
              <w:t>تنبیه و توضیح مقال</w:t>
            </w:r>
            <w:r>
              <w:rPr>
                <w:rStyle w:val="IndexLink"/>
                <w:rtl w:val="true"/>
              </w:rPr>
              <w:tab/>
            </w:r>
            <w:r>
              <w:rPr>
                <w:rStyle w:val="IndexLink"/>
              </w:rPr>
              <w:t>345</w:t>
            </w:r>
          </w:hyperlink>
        </w:p>
        <w:p>
          <w:pPr>
            <w:pStyle w:val="Contents4"/>
            <w:tabs>
              <w:tab w:val="clear" w:pos="8176"/>
              <w:tab w:val="right" w:pos="9026" w:leader="dot"/>
            </w:tabs>
            <w:rPr/>
          </w:pPr>
          <w:hyperlink w:anchor="__RefHeading___Toc4026429_3224264995">
            <w:r>
              <w:rPr>
                <w:webHidden/>
                <w:rStyle w:val="IndexLink"/>
                <w:rtl w:val="true"/>
              </w:rPr>
              <w:t>الأمر السادس فیما عدّ من الألفاظ الدالّة علی العموم</w:t>
            </w:r>
            <w:r>
              <w:rPr>
                <w:rStyle w:val="IndexLink"/>
                <w:rtl w:val="true"/>
              </w:rPr>
              <w:tab/>
            </w:r>
            <w:r>
              <w:rPr>
                <w:rStyle w:val="IndexLink"/>
              </w:rPr>
              <w:t>347</w:t>
            </w:r>
          </w:hyperlink>
        </w:p>
        <w:p>
          <w:pPr>
            <w:pStyle w:val="Contents5"/>
            <w:tabs>
              <w:tab w:val="clear" w:pos="7892"/>
              <w:tab w:val="right" w:pos="9026" w:leader="dot"/>
            </w:tabs>
            <w:rPr/>
          </w:pPr>
          <w:hyperlink w:anchor="__RefHeading___Toc4026431_3224264995">
            <w:r>
              <w:rPr>
                <w:webHidden/>
                <w:rStyle w:val="IndexLink"/>
                <w:rtl w:val="true"/>
              </w:rPr>
              <w:t>اشارة</w:t>
            </w:r>
            <w:r>
              <w:rPr>
                <w:rStyle w:val="IndexLink"/>
                <w:rtl w:val="true"/>
              </w:rPr>
              <w:tab/>
            </w:r>
            <w:r>
              <w:rPr>
                <w:rStyle w:val="IndexLink"/>
              </w:rPr>
              <w:t>347</w:t>
            </w:r>
          </w:hyperlink>
        </w:p>
        <w:p>
          <w:pPr>
            <w:pStyle w:val="Contents5"/>
            <w:tabs>
              <w:tab w:val="clear" w:pos="7892"/>
              <w:tab w:val="right" w:pos="9026" w:leader="dot"/>
            </w:tabs>
            <w:rPr/>
          </w:pPr>
          <w:hyperlink w:anchor="__RefHeading___Toc4026433_3224264995">
            <w:r>
              <w:rPr>
                <w:webHidden/>
                <w:rStyle w:val="IndexLink"/>
                <w:rtl w:val="true"/>
              </w:rPr>
              <w:t>حکم دوران الأمر بین العموم الاستغراقی و المجموعی</w:t>
            </w:r>
            <w:r>
              <w:rPr>
                <w:rStyle w:val="IndexLink"/>
                <w:rtl w:val="true"/>
              </w:rPr>
              <w:tab/>
            </w:r>
            <w:r>
              <w:rPr>
                <w:rStyle w:val="IndexLink"/>
              </w:rPr>
              <w:t>350</w:t>
            </w:r>
          </w:hyperlink>
        </w:p>
        <w:p>
          <w:pPr>
            <w:pStyle w:val="Contents3"/>
            <w:tabs>
              <w:tab w:val="clear" w:pos="8459"/>
              <w:tab w:val="right" w:pos="9026" w:leader="dot"/>
            </w:tabs>
            <w:rPr/>
          </w:pPr>
          <w:hyperlink w:anchor="__RefHeading___Toc4026435_3224264995">
            <w:r>
              <w:rPr>
                <w:webHidden/>
                <w:rStyle w:val="IndexLink"/>
                <w:rtl w:val="true"/>
              </w:rPr>
              <w:t>المبحث الأوّل فی حجّیة العامّ المخصّص فی الباقی</w:t>
            </w:r>
            <w:r>
              <w:rPr>
                <w:rStyle w:val="IndexLink"/>
                <w:rtl w:val="true"/>
              </w:rPr>
              <w:tab/>
            </w:r>
            <w:r>
              <w:rPr>
                <w:rStyle w:val="IndexLink"/>
              </w:rPr>
              <w:t>353</w:t>
            </w:r>
          </w:hyperlink>
        </w:p>
        <w:p>
          <w:pPr>
            <w:pStyle w:val="Contents4"/>
            <w:tabs>
              <w:tab w:val="clear" w:pos="8176"/>
              <w:tab w:val="right" w:pos="9026" w:leader="dot"/>
            </w:tabs>
            <w:rPr/>
          </w:pPr>
          <w:hyperlink w:anchor="__RefHeading___Toc4026437_3224264995">
            <w:r>
              <w:rPr>
                <w:webHidden/>
                <w:rStyle w:val="IndexLink"/>
                <w:rtl w:val="true"/>
              </w:rPr>
              <w:t>اشارة</w:t>
            </w:r>
            <w:r>
              <w:rPr>
                <w:rStyle w:val="IndexLink"/>
                <w:rtl w:val="true"/>
              </w:rPr>
              <w:tab/>
            </w:r>
            <w:r>
              <w:rPr>
                <w:rStyle w:val="IndexLink"/>
              </w:rPr>
              <w:t>353</w:t>
            </w:r>
          </w:hyperlink>
        </w:p>
        <w:p>
          <w:pPr>
            <w:pStyle w:val="Contents4"/>
            <w:tabs>
              <w:tab w:val="clear" w:pos="8176"/>
              <w:tab w:val="right" w:pos="9026" w:leader="dot"/>
            </w:tabs>
            <w:rPr/>
          </w:pPr>
          <w:hyperlink w:anchor="__RefHeading___Toc4026439_3224264995">
            <w:r>
              <w:rPr>
                <w:webHidden/>
                <w:rStyle w:val="IndexLink"/>
                <w:rtl w:val="true"/>
              </w:rPr>
              <w:t>مختارنا فی عدم مجازیة العامّ المخصّص</w:t>
            </w:r>
            <w:r>
              <w:rPr>
                <w:rStyle w:val="IndexLink"/>
                <w:rtl w:val="true"/>
              </w:rPr>
              <w:tab/>
            </w:r>
            <w:r>
              <w:rPr>
                <w:rStyle w:val="IndexLink"/>
              </w:rPr>
              <w:t>355</w:t>
            </w:r>
          </w:hyperlink>
        </w:p>
        <w:p>
          <w:pPr>
            <w:pStyle w:val="Contents4"/>
            <w:tabs>
              <w:tab w:val="clear" w:pos="8176"/>
              <w:tab w:val="right" w:pos="9026" w:leader="dot"/>
            </w:tabs>
            <w:rPr/>
          </w:pPr>
          <w:hyperlink w:anchor="__RefHeading___Toc4026441_3224264995">
            <w:r>
              <w:rPr>
                <w:webHidden/>
                <w:rStyle w:val="IndexLink"/>
                <w:rtl w:val="true"/>
              </w:rPr>
              <w:t>توجیه آخر لعدم مجازیة العامّ المخصّص و تزییفه</w:t>
            </w:r>
            <w:r>
              <w:rPr>
                <w:rStyle w:val="IndexLink"/>
                <w:rtl w:val="true"/>
              </w:rPr>
              <w:tab/>
            </w:r>
            <w:r>
              <w:rPr>
                <w:rStyle w:val="IndexLink"/>
              </w:rPr>
              <w:t>358</w:t>
            </w:r>
          </w:hyperlink>
        </w:p>
        <w:p>
          <w:pPr>
            <w:pStyle w:val="Contents4"/>
            <w:tabs>
              <w:tab w:val="clear" w:pos="8176"/>
              <w:tab w:val="right" w:pos="9026" w:leader="dot"/>
            </w:tabs>
            <w:rPr/>
          </w:pPr>
          <w:hyperlink w:anchor="__RefHeading___Toc4026443_3224264995">
            <w:r>
              <w:rPr>
                <w:webHidden/>
                <w:rStyle w:val="IndexLink"/>
                <w:rtl w:val="true"/>
              </w:rPr>
              <w:t>ذکر و تعقیب</w:t>
            </w:r>
            <w:r>
              <w:rPr>
                <w:rStyle w:val="IndexLink"/>
                <w:rtl w:val="true"/>
              </w:rPr>
              <w:tab/>
            </w:r>
            <w:r>
              <w:rPr>
                <w:rStyle w:val="IndexLink"/>
              </w:rPr>
              <w:t>364</w:t>
            </w:r>
          </w:hyperlink>
        </w:p>
        <w:p>
          <w:pPr>
            <w:pStyle w:val="Contents3"/>
            <w:tabs>
              <w:tab w:val="clear" w:pos="8459"/>
              <w:tab w:val="right" w:pos="9026" w:leader="dot"/>
            </w:tabs>
            <w:rPr/>
          </w:pPr>
          <w:hyperlink w:anchor="__RefHeading___Toc4026445_3224264995">
            <w:r>
              <w:rPr>
                <w:webHidden/>
                <w:rStyle w:val="IndexLink"/>
                <w:rtl w:val="true"/>
              </w:rPr>
              <w:t>المبحث الثانی فی تخصیص العامّ بالمخصّص المجمل</w:t>
            </w:r>
            <w:r>
              <w:rPr>
                <w:rStyle w:val="IndexLink"/>
                <w:rtl w:val="true"/>
              </w:rPr>
              <w:tab/>
            </w:r>
            <w:r>
              <w:rPr>
                <w:rStyle w:val="IndexLink"/>
              </w:rPr>
              <w:t>367</w:t>
            </w:r>
          </w:hyperlink>
        </w:p>
        <w:p>
          <w:pPr>
            <w:pStyle w:val="Contents4"/>
            <w:tabs>
              <w:tab w:val="clear" w:pos="8176"/>
              <w:tab w:val="right" w:pos="9026" w:leader="dot"/>
            </w:tabs>
            <w:rPr/>
          </w:pPr>
          <w:hyperlink w:anchor="__RefHeading___Toc4026447_3224264995">
            <w:r>
              <w:rPr>
                <w:webHidden/>
                <w:rStyle w:val="IndexLink"/>
                <w:rtl w:val="true"/>
              </w:rPr>
              <w:t>اشارة</w:t>
            </w:r>
            <w:r>
              <w:rPr>
                <w:rStyle w:val="IndexLink"/>
                <w:rtl w:val="true"/>
              </w:rPr>
              <w:tab/>
            </w:r>
            <w:r>
              <w:rPr>
                <w:rStyle w:val="IndexLink"/>
              </w:rPr>
              <w:t>367</w:t>
            </w:r>
          </w:hyperlink>
        </w:p>
        <w:p>
          <w:pPr>
            <w:pStyle w:val="Contents4"/>
            <w:tabs>
              <w:tab w:val="clear" w:pos="8176"/>
              <w:tab w:val="right" w:pos="9026" w:leader="dot"/>
            </w:tabs>
            <w:rPr/>
          </w:pPr>
          <w:hyperlink w:anchor="__RefHeading___Toc4026449_3224264995">
            <w:r>
              <w:rPr>
                <w:webHidden/>
                <w:rStyle w:val="IndexLink"/>
                <w:rtl w:val="true"/>
              </w:rPr>
              <w:t>المورد الأوّل فی المخصّص اللفظی المتّصل المجمل من حیث المفهوم</w:t>
            </w:r>
            <w:r>
              <w:rPr>
                <w:rStyle w:val="IndexLink"/>
                <w:rtl w:val="true"/>
              </w:rPr>
              <w:tab/>
            </w:r>
            <w:r>
              <w:rPr>
                <w:rStyle w:val="IndexLink"/>
              </w:rPr>
              <w:t>367</w:t>
            </w:r>
          </w:hyperlink>
        </w:p>
        <w:p>
          <w:pPr>
            <w:pStyle w:val="Contents4"/>
            <w:tabs>
              <w:tab w:val="clear" w:pos="8176"/>
              <w:tab w:val="right" w:pos="9026" w:leader="dot"/>
            </w:tabs>
            <w:rPr/>
          </w:pPr>
          <w:hyperlink w:anchor="__RefHeading___Toc4026451_3224264995">
            <w:r>
              <w:rPr>
                <w:webHidden/>
                <w:rStyle w:val="IndexLink"/>
                <w:rtl w:val="true"/>
              </w:rPr>
              <w:t>المورد الثانی فی المخصّص اللفظی المنفصل المجمل من حیث المفهوم</w:t>
            </w:r>
            <w:r>
              <w:rPr>
                <w:rStyle w:val="IndexLink"/>
                <w:rtl w:val="true"/>
              </w:rPr>
              <w:tab/>
            </w:r>
            <w:r>
              <w:rPr>
                <w:rStyle w:val="IndexLink"/>
              </w:rPr>
              <w:t>369</w:t>
            </w:r>
          </w:hyperlink>
        </w:p>
        <w:p>
          <w:pPr>
            <w:pStyle w:val="Contents4"/>
            <w:tabs>
              <w:tab w:val="clear" w:pos="8176"/>
              <w:tab w:val="right" w:pos="9026" w:leader="dot"/>
            </w:tabs>
            <w:rPr/>
          </w:pPr>
          <w:hyperlink w:anchor="__RefHeading___Toc4026453_3224264995">
            <w:r>
              <w:rPr>
                <w:webHidden/>
                <w:rStyle w:val="IndexLink"/>
                <w:rtl w:val="true"/>
              </w:rPr>
              <w:t>المورد الثالث فی المخصّص اللفظی المتصل أو المنفصل المجمل بحسب المصداق</w:t>
            </w:r>
            <w:r>
              <w:rPr>
                <w:rStyle w:val="IndexLink"/>
                <w:rtl w:val="true"/>
              </w:rPr>
              <w:tab/>
            </w:r>
            <w:r>
              <w:rPr>
                <w:rStyle w:val="IndexLink"/>
              </w:rPr>
              <w:t>372</w:t>
            </w:r>
          </w:hyperlink>
        </w:p>
        <w:p>
          <w:pPr>
            <w:pStyle w:val="Contents5"/>
            <w:tabs>
              <w:tab w:val="clear" w:pos="7892"/>
              <w:tab w:val="right" w:pos="9026" w:leader="dot"/>
            </w:tabs>
            <w:rPr/>
          </w:pPr>
          <w:hyperlink w:anchor="__RefHeading___Toc4026455_3224264995">
            <w:r>
              <w:rPr>
                <w:webHidden/>
                <w:rStyle w:val="IndexLink"/>
                <w:rtl w:val="true"/>
              </w:rPr>
              <w:t>حکم الشبهة المصداقیة للمخصّص المتصل المبیّن</w:t>
            </w:r>
            <w:r>
              <w:rPr>
                <w:rStyle w:val="IndexLink"/>
                <w:rtl w:val="true"/>
              </w:rPr>
              <w:tab/>
            </w:r>
            <w:r>
              <w:rPr>
                <w:rStyle w:val="IndexLink"/>
              </w:rPr>
              <w:t>372</w:t>
            </w:r>
          </w:hyperlink>
        </w:p>
        <w:p>
          <w:pPr>
            <w:pStyle w:val="Contents5"/>
            <w:tabs>
              <w:tab w:val="clear" w:pos="7892"/>
              <w:tab w:val="right" w:pos="9026" w:leader="dot"/>
            </w:tabs>
            <w:rPr/>
          </w:pPr>
          <w:hyperlink w:anchor="__RefHeading___Toc4026457_3224264995">
            <w:r>
              <w:rPr>
                <w:webHidden/>
                <w:rStyle w:val="IndexLink"/>
                <w:rtl w:val="true"/>
              </w:rPr>
              <w:t>حکم الشبهة المصداقیة للمخصّص المنفصل المبیّن</w:t>
            </w:r>
            <w:r>
              <w:rPr>
                <w:rStyle w:val="IndexLink"/>
                <w:rtl w:val="true"/>
              </w:rPr>
              <w:tab/>
            </w:r>
            <w:r>
              <w:rPr>
                <w:rStyle w:val="IndexLink"/>
              </w:rPr>
              <w:t>373</w:t>
            </w:r>
          </w:hyperlink>
        </w:p>
        <w:p>
          <w:pPr>
            <w:pStyle w:val="Contents6"/>
            <w:tabs>
              <w:tab w:val="clear" w:pos="7609"/>
              <w:tab w:val="right" w:pos="9026" w:leader="dot"/>
            </w:tabs>
            <w:rPr/>
          </w:pPr>
          <w:hyperlink w:anchor="__RefHeading___Toc4026459_3224264995">
            <w:r>
              <w:rPr>
                <w:webHidden/>
                <w:rStyle w:val="IndexLink"/>
                <w:rtl w:val="true"/>
              </w:rPr>
              <w:t>اشارة</w:t>
            </w:r>
            <w:r>
              <w:rPr>
                <w:rStyle w:val="IndexLink"/>
                <w:rtl w:val="true"/>
              </w:rPr>
              <w:tab/>
            </w:r>
            <w:r>
              <w:rPr>
                <w:rStyle w:val="IndexLink"/>
              </w:rPr>
              <w:t>373</w:t>
            </w:r>
          </w:hyperlink>
        </w:p>
        <w:p>
          <w:pPr>
            <w:pStyle w:val="Contents6"/>
            <w:tabs>
              <w:tab w:val="clear" w:pos="7609"/>
              <w:tab w:val="right" w:pos="9026" w:leader="dot"/>
            </w:tabs>
            <w:rPr/>
          </w:pPr>
          <w:hyperlink w:anchor="__RefHeading___Toc4026461_3224264995">
            <w:r>
              <w:rPr>
                <w:webHidden/>
                <w:rStyle w:val="IndexLink"/>
                <w:rtl w:val="true"/>
              </w:rPr>
              <w:t>ذکر و تعقیب</w:t>
            </w:r>
            <w:r>
              <w:rPr>
                <w:rStyle w:val="IndexLink"/>
                <w:rtl w:val="true"/>
              </w:rPr>
              <w:tab/>
            </w:r>
            <w:r>
              <w:rPr>
                <w:rStyle w:val="IndexLink"/>
              </w:rPr>
              <w:t>375</w:t>
            </w:r>
          </w:hyperlink>
        </w:p>
        <w:p>
          <w:pPr>
            <w:pStyle w:val="Contents5"/>
            <w:tabs>
              <w:tab w:val="clear" w:pos="7892"/>
              <w:tab w:val="right" w:pos="9026" w:leader="dot"/>
            </w:tabs>
            <w:rPr/>
          </w:pPr>
          <w:hyperlink w:anchor="__RefHeading___Toc4026463_3224264995">
            <w:r>
              <w:rPr>
                <w:webHidden/>
                <w:rStyle w:val="IndexLink"/>
                <w:rtl w:val="true"/>
              </w:rPr>
              <w:t>سرّ التمسّک بالعامّ فی الشبهة المصداقیة للمخصّص المنفصل المردّد مفهوماً</w:t>
            </w:r>
            <w:r>
              <w:rPr>
                <w:rStyle w:val="IndexLink"/>
                <w:rtl w:val="true"/>
              </w:rPr>
              <w:tab/>
            </w:r>
            <w:r>
              <w:rPr>
                <w:rStyle w:val="IndexLink"/>
              </w:rPr>
              <w:t>378</w:t>
            </w:r>
          </w:hyperlink>
        </w:p>
        <w:p>
          <w:pPr>
            <w:pStyle w:val="Contents5"/>
            <w:tabs>
              <w:tab w:val="clear" w:pos="7892"/>
              <w:tab w:val="right" w:pos="9026" w:leader="dot"/>
            </w:tabs>
            <w:rPr/>
          </w:pPr>
          <w:hyperlink w:anchor="__RefHeading___Toc4026465_3224264995">
            <w:r>
              <w:rPr>
                <w:webHidden/>
                <w:rStyle w:val="IndexLink"/>
                <w:rtl w:val="true"/>
              </w:rPr>
              <w:t>تقریب لعدم جواز التمسّک بالعامّ فی الشبهة المصداقیة و ردّه</w:t>
            </w:r>
            <w:r>
              <w:rPr>
                <w:rStyle w:val="IndexLink"/>
                <w:rtl w:val="true"/>
              </w:rPr>
              <w:tab/>
            </w:r>
            <w:r>
              <w:rPr>
                <w:rStyle w:val="IndexLink"/>
              </w:rPr>
              <w:t>380</w:t>
            </w:r>
          </w:hyperlink>
        </w:p>
        <w:p>
          <w:pPr>
            <w:pStyle w:val="Contents5"/>
            <w:tabs>
              <w:tab w:val="clear" w:pos="7892"/>
              <w:tab w:val="right" w:pos="9026" w:leader="dot"/>
            </w:tabs>
            <w:rPr/>
          </w:pPr>
          <w:hyperlink w:anchor="__RefHeading___Toc4026467_3224264995">
            <w:r>
              <w:rPr>
                <w:webHidden/>
                <w:rStyle w:val="IndexLink"/>
                <w:rtl w:val="true"/>
              </w:rPr>
              <w:t>تقریب آخر لجواز التمسّک فی الشبهة المصداقیة للمخصّص و دفعه</w:t>
            </w:r>
            <w:r>
              <w:rPr>
                <w:rStyle w:val="IndexLink"/>
                <w:rtl w:val="true"/>
              </w:rPr>
              <w:tab/>
            </w:r>
            <w:r>
              <w:rPr>
                <w:rStyle w:val="IndexLink"/>
              </w:rPr>
              <w:t>383</w:t>
            </w:r>
          </w:hyperlink>
        </w:p>
        <w:p>
          <w:pPr>
            <w:pStyle w:val="Contents4"/>
            <w:tabs>
              <w:tab w:val="clear" w:pos="8176"/>
              <w:tab w:val="right" w:pos="9026" w:leader="dot"/>
            </w:tabs>
            <w:rPr/>
          </w:pPr>
          <w:hyperlink w:anchor="__RefHeading___Toc4026469_3224264995">
            <w:r>
              <w:rPr>
                <w:webHidden/>
                <w:rStyle w:val="IndexLink"/>
                <w:rtl w:val="true"/>
              </w:rPr>
              <w:t>المورد الرابع فی المخصّص اللبّی</w:t>
            </w:r>
            <w:r>
              <w:rPr>
                <w:rStyle w:val="IndexLink"/>
                <w:rtl w:val="true"/>
              </w:rPr>
              <w:tab/>
            </w:r>
            <w:r>
              <w:rPr>
                <w:rStyle w:val="IndexLink"/>
              </w:rPr>
              <w:t>388</w:t>
            </w:r>
          </w:hyperlink>
        </w:p>
        <w:p>
          <w:pPr>
            <w:pStyle w:val="Contents5"/>
            <w:tabs>
              <w:tab w:val="clear" w:pos="7892"/>
              <w:tab w:val="right" w:pos="9026" w:leader="dot"/>
            </w:tabs>
            <w:rPr/>
          </w:pPr>
          <w:hyperlink w:anchor="__RefHeading___Toc4026471_3224264995">
            <w:r>
              <w:rPr>
                <w:webHidden/>
                <w:rStyle w:val="IndexLink"/>
                <w:rtl w:val="true"/>
              </w:rPr>
              <w:t>اشارة</w:t>
            </w:r>
            <w:r>
              <w:rPr>
                <w:rStyle w:val="IndexLink"/>
                <w:rtl w:val="true"/>
              </w:rPr>
              <w:tab/>
            </w:r>
            <w:r>
              <w:rPr>
                <w:rStyle w:val="IndexLink"/>
              </w:rPr>
              <w:t>388</w:t>
            </w:r>
          </w:hyperlink>
        </w:p>
        <w:p>
          <w:pPr>
            <w:pStyle w:val="Contents5"/>
            <w:tabs>
              <w:tab w:val="clear" w:pos="7892"/>
              <w:tab w:val="right" w:pos="9026" w:leader="dot"/>
            </w:tabs>
            <w:rPr/>
          </w:pPr>
          <w:hyperlink w:anchor="__RefHeading___Toc4026473_3224264995">
            <w:r>
              <w:rPr>
                <w:webHidden/>
                <w:rStyle w:val="IndexLink"/>
                <w:rtl w:val="true"/>
              </w:rPr>
              <w:t>حول کلام الشیخ الأعظم قدس سره فی المقام</w:t>
            </w:r>
            <w:r>
              <w:rPr>
                <w:rStyle w:val="IndexLink"/>
                <w:rtl w:val="true"/>
              </w:rPr>
              <w:tab/>
            </w:r>
            <w:r>
              <w:rPr>
                <w:rStyle w:val="IndexLink"/>
              </w:rPr>
              <w:t>389</w:t>
            </w:r>
          </w:hyperlink>
        </w:p>
        <w:p>
          <w:pPr>
            <w:pStyle w:val="Contents5"/>
            <w:tabs>
              <w:tab w:val="clear" w:pos="7892"/>
              <w:tab w:val="right" w:pos="9026" w:leader="dot"/>
            </w:tabs>
            <w:rPr/>
          </w:pPr>
          <w:hyperlink w:anchor="__RefHeading___Toc4026475_3224264995">
            <w:r>
              <w:rPr>
                <w:webHidden/>
                <w:rStyle w:val="IndexLink"/>
                <w:rtl w:val="true"/>
              </w:rPr>
              <w:t>مختارنا فی المقام</w:t>
            </w:r>
            <w:r>
              <w:rPr>
                <w:rStyle w:val="IndexLink"/>
                <w:rtl w:val="true"/>
              </w:rPr>
              <w:tab/>
            </w:r>
            <w:r>
              <w:rPr>
                <w:rStyle w:val="IndexLink"/>
              </w:rPr>
              <w:t>391</w:t>
            </w:r>
          </w:hyperlink>
        </w:p>
        <w:p>
          <w:pPr>
            <w:pStyle w:val="Contents5"/>
            <w:tabs>
              <w:tab w:val="clear" w:pos="7892"/>
              <w:tab w:val="right" w:pos="9026" w:leader="dot"/>
            </w:tabs>
            <w:rPr/>
          </w:pPr>
          <w:hyperlink w:anchor="__RefHeading___Toc4026477_3224264995">
            <w:r>
              <w:rPr>
                <w:webHidden/>
                <w:rStyle w:val="IndexLink"/>
                <w:rtl w:val="true"/>
              </w:rPr>
              <w:t>الأقوال فی جواز التمسّک بالعامّ فی الشبهة المصداقیة للمخصّص اللبّی و تزییفها</w:t>
            </w:r>
            <w:r>
              <w:rPr>
                <w:rStyle w:val="IndexLink"/>
                <w:rtl w:val="true"/>
              </w:rPr>
              <w:tab/>
            </w:r>
            <w:r>
              <w:rPr>
                <w:rStyle w:val="IndexLink"/>
              </w:rPr>
              <w:t>392</w:t>
            </w:r>
          </w:hyperlink>
        </w:p>
        <w:p>
          <w:pPr>
            <w:pStyle w:val="Contents5"/>
            <w:tabs>
              <w:tab w:val="clear" w:pos="7892"/>
              <w:tab w:val="right" w:pos="9026" w:leader="dot"/>
            </w:tabs>
            <w:rPr/>
          </w:pPr>
          <w:hyperlink w:anchor="__RefHeading___Toc4026479_3224264995">
            <w:r>
              <w:rPr>
                <w:webHidden/>
                <w:rStyle w:val="IndexLink"/>
                <w:rtl w:val="true"/>
              </w:rPr>
              <w:t>حول کلام المحقّق الأصفهانی فی المقام</w:t>
            </w:r>
            <w:r>
              <w:rPr>
                <w:rStyle w:val="IndexLink"/>
                <w:rtl w:val="true"/>
              </w:rPr>
              <w:tab/>
            </w:r>
            <w:r>
              <w:rPr>
                <w:rStyle w:val="IndexLink"/>
              </w:rPr>
              <w:t>394</w:t>
            </w:r>
          </w:hyperlink>
        </w:p>
        <w:p>
          <w:pPr>
            <w:pStyle w:val="Contents4"/>
            <w:tabs>
              <w:tab w:val="clear" w:pos="8176"/>
              <w:tab w:val="right" w:pos="9026" w:leader="dot"/>
            </w:tabs>
            <w:rPr/>
          </w:pPr>
          <w:hyperlink w:anchor="__RefHeading___Toc4026481_3224264995">
            <w:r>
              <w:rPr>
                <w:webHidden/>
                <w:rStyle w:val="IndexLink"/>
                <w:rtl w:val="true"/>
              </w:rPr>
              <w:t>تنبیهات</w:t>
            </w:r>
            <w:r>
              <w:rPr>
                <w:rStyle w:val="IndexLink"/>
                <w:rtl w:val="true"/>
              </w:rPr>
              <w:tab/>
            </w:r>
            <w:r>
              <w:rPr>
                <w:rStyle w:val="IndexLink"/>
              </w:rPr>
              <w:t>397</w:t>
            </w:r>
          </w:hyperlink>
        </w:p>
        <w:p>
          <w:pPr>
            <w:pStyle w:val="Contents5"/>
            <w:tabs>
              <w:tab w:val="clear" w:pos="7892"/>
              <w:tab w:val="right" w:pos="9026" w:leader="dot"/>
            </w:tabs>
            <w:rPr/>
          </w:pPr>
          <w:hyperlink w:anchor="__RefHeading___Toc4026483_3224264995">
            <w:r>
              <w:rPr>
                <w:webHidden/>
                <w:rStyle w:val="IndexLink"/>
                <w:rtl w:val="true"/>
              </w:rPr>
              <w:t>اشارة</w:t>
            </w:r>
            <w:r>
              <w:rPr>
                <w:rStyle w:val="IndexLink"/>
                <w:rtl w:val="true"/>
              </w:rPr>
              <w:tab/>
            </w:r>
            <w:r>
              <w:rPr>
                <w:rStyle w:val="IndexLink"/>
              </w:rPr>
              <w:t>397</w:t>
            </w:r>
          </w:hyperlink>
        </w:p>
        <w:p>
          <w:pPr>
            <w:pStyle w:val="Contents5"/>
            <w:tabs>
              <w:tab w:val="clear" w:pos="7892"/>
              <w:tab w:val="right" w:pos="9026" w:leader="dot"/>
            </w:tabs>
            <w:rPr/>
          </w:pPr>
          <w:hyperlink w:anchor="__RefHeading___Toc4026485_3224264995">
            <w:r>
              <w:rPr>
                <w:webHidden/>
                <w:rStyle w:val="IndexLink"/>
                <w:rtl w:val="true"/>
              </w:rPr>
              <w:t>التنبیه الأوّل فی إحراز المصداق بالأصل فی الشبهة المصداقیة</w:t>
            </w:r>
            <w:r>
              <w:rPr>
                <w:rStyle w:val="IndexLink"/>
                <w:rtl w:val="true"/>
              </w:rPr>
              <w:tab/>
            </w:r>
            <w:r>
              <w:rPr>
                <w:rStyle w:val="IndexLink"/>
              </w:rPr>
              <w:t>397</w:t>
            </w:r>
          </w:hyperlink>
        </w:p>
        <w:p>
          <w:pPr>
            <w:pStyle w:val="Contents6"/>
            <w:tabs>
              <w:tab w:val="clear" w:pos="7609"/>
              <w:tab w:val="right" w:pos="9026" w:leader="dot"/>
            </w:tabs>
            <w:rPr/>
          </w:pPr>
          <w:hyperlink w:anchor="__RefHeading___Toc4026487_3224264995">
            <w:r>
              <w:rPr>
                <w:webHidden/>
                <w:rStyle w:val="IndexLink"/>
                <w:rtl w:val="true"/>
              </w:rPr>
              <w:t>اشارة</w:t>
            </w:r>
            <w:r>
              <w:rPr>
                <w:rStyle w:val="IndexLink"/>
                <w:rtl w:val="true"/>
              </w:rPr>
              <w:tab/>
            </w:r>
            <w:r>
              <w:rPr>
                <w:rStyle w:val="IndexLink"/>
              </w:rPr>
              <w:t>397</w:t>
            </w:r>
          </w:hyperlink>
        </w:p>
        <w:p>
          <w:pPr>
            <w:pStyle w:val="Contents6"/>
            <w:tabs>
              <w:tab w:val="clear" w:pos="7609"/>
              <w:tab w:val="right" w:pos="9026" w:leader="dot"/>
            </w:tabs>
            <w:rPr/>
          </w:pPr>
          <w:hyperlink w:anchor="__RefHeading___Toc4026489_3224264995">
            <w:r>
              <w:rPr>
                <w:webHidden/>
                <w:rStyle w:val="IndexLink"/>
                <w:rtl w:val="true"/>
              </w:rPr>
              <w:t>مستند عدم جواز التمسّک بالأصل لتنقیح موضوع العامّ و تزییفه</w:t>
            </w:r>
            <w:r>
              <w:rPr>
                <w:rStyle w:val="IndexLink"/>
                <w:rtl w:val="true"/>
              </w:rPr>
              <w:tab/>
            </w:r>
            <w:r>
              <w:rPr>
                <w:rStyle w:val="IndexLink"/>
              </w:rPr>
              <w:t>398</w:t>
            </w:r>
          </w:hyperlink>
        </w:p>
        <w:p>
          <w:pPr>
            <w:pStyle w:val="Contents6"/>
            <w:tabs>
              <w:tab w:val="clear" w:pos="7609"/>
              <w:tab w:val="right" w:pos="9026" w:leader="dot"/>
            </w:tabs>
            <w:rPr/>
          </w:pPr>
          <w:hyperlink w:anchor="__RefHeading___Toc4026491_3224264995">
            <w:r>
              <w:rPr>
                <w:webHidden/>
                <w:rStyle w:val="IndexLink"/>
                <w:rtl w:val="true"/>
              </w:rPr>
              <w:t>مستند جواز التمسّک بالأصل لتنقیح موضوع العامّ و تزییفه</w:t>
            </w:r>
            <w:r>
              <w:rPr>
                <w:rStyle w:val="IndexLink"/>
                <w:rtl w:val="true"/>
              </w:rPr>
              <w:tab/>
            </w:r>
            <w:r>
              <w:rPr>
                <w:rStyle w:val="IndexLink"/>
              </w:rPr>
              <w:t>402</w:t>
            </w:r>
          </w:hyperlink>
        </w:p>
        <w:p>
          <w:pPr>
            <w:pStyle w:val="Contents6"/>
            <w:tabs>
              <w:tab w:val="clear" w:pos="7609"/>
              <w:tab w:val="right" w:pos="9026" w:leader="dot"/>
            </w:tabs>
            <w:rPr/>
          </w:pPr>
          <w:hyperlink w:anchor="__RefHeading___Toc4026493_3224264995">
            <w:r>
              <w:rPr>
                <w:webHidden/>
                <w:rStyle w:val="IndexLink"/>
                <w:rtl w:val="true"/>
              </w:rPr>
              <w:t>التحقیق فی جریان الأصل المحرز لموضوع العامّ</w:t>
            </w:r>
            <w:r>
              <w:rPr>
                <w:rStyle w:val="IndexLink"/>
                <w:rtl w:val="true"/>
              </w:rPr>
              <w:tab/>
            </w:r>
            <w:r>
              <w:rPr>
                <w:rStyle w:val="IndexLink"/>
              </w:rPr>
              <w:t>404</w:t>
            </w:r>
          </w:hyperlink>
        </w:p>
        <w:p>
          <w:pPr>
            <w:pStyle w:val="Contents6"/>
            <w:tabs>
              <w:tab w:val="clear" w:pos="7609"/>
              <w:tab w:val="right" w:pos="9026" w:leader="dot"/>
            </w:tabs>
            <w:rPr/>
          </w:pPr>
          <w:hyperlink w:anchor="__RefHeading___Toc4026495_3224264995">
            <w:r>
              <w:rPr>
                <w:webHidden/>
                <w:rStyle w:val="IndexLink"/>
                <w:rtl w:val="true"/>
              </w:rPr>
              <w:t>اشارة</w:t>
            </w:r>
            <w:r>
              <w:rPr>
                <w:rStyle w:val="IndexLink"/>
                <w:rtl w:val="true"/>
              </w:rPr>
              <w:tab/>
            </w:r>
            <w:r>
              <w:rPr>
                <w:rStyle w:val="IndexLink"/>
              </w:rPr>
              <w:t>404</w:t>
            </w:r>
          </w:hyperlink>
        </w:p>
        <w:p>
          <w:pPr>
            <w:pStyle w:val="Contents6"/>
            <w:tabs>
              <w:tab w:val="clear" w:pos="7609"/>
              <w:tab w:val="right" w:pos="9026" w:leader="dot"/>
            </w:tabs>
            <w:rPr/>
          </w:pPr>
          <w:hyperlink w:anchor="__RefHeading___Toc4026497_3224264995">
            <w:r>
              <w:rPr>
                <w:webHidden/>
                <w:rStyle w:val="IndexLink"/>
                <w:rtl w:val="true"/>
              </w:rPr>
              <w:t>المقدّمة الاولی</w:t>
            </w:r>
            <w:r>
              <w:rPr>
                <w:rStyle w:val="IndexLink"/>
                <w:rtl w:val="true"/>
              </w:rPr>
              <w:t xml:space="preserve">: </w:t>
            </w:r>
            <w:r>
              <w:rPr>
                <w:rStyle w:val="IndexLink"/>
                <w:rtl w:val="true"/>
              </w:rPr>
              <w:t>فیما اشتهر من أنّ القضایا برمّتها مشتملة علی النسبة</w:t>
            </w:r>
            <w:r>
              <w:rPr>
                <w:rStyle w:val="IndexLink"/>
                <w:rtl w:val="true"/>
              </w:rPr>
              <w:tab/>
            </w:r>
            <w:r>
              <w:rPr>
                <w:rStyle w:val="IndexLink"/>
              </w:rPr>
              <w:t>405</w:t>
            </w:r>
          </w:hyperlink>
        </w:p>
        <w:p>
          <w:pPr>
            <w:pStyle w:val="Contents6"/>
            <w:tabs>
              <w:tab w:val="clear" w:pos="7609"/>
              <w:tab w:val="right" w:pos="9026" w:leader="dot"/>
            </w:tabs>
            <w:rPr/>
          </w:pPr>
          <w:hyperlink w:anchor="__RefHeading___Toc4026499_3224264995">
            <w:r>
              <w:rPr>
                <w:webHidden/>
                <w:rStyle w:val="IndexLink"/>
                <w:rtl w:val="true"/>
              </w:rPr>
              <w:t>المقدّمة الثانیة</w:t>
            </w:r>
            <w:r>
              <w:rPr>
                <w:rStyle w:val="IndexLink"/>
                <w:rtl w:val="true"/>
              </w:rPr>
              <w:t xml:space="preserve">: </w:t>
            </w:r>
            <w:r>
              <w:rPr>
                <w:rStyle w:val="IndexLink"/>
                <w:rtl w:val="true"/>
              </w:rPr>
              <w:t>مناط احتمال الصدق و الکذب فی القضیة و مناط صدقها و کذبها</w:t>
            </w:r>
            <w:r>
              <w:rPr>
                <w:rStyle w:val="IndexLink"/>
                <w:rtl w:val="true"/>
              </w:rPr>
              <w:tab/>
            </w:r>
            <w:r>
              <w:rPr>
                <w:rStyle w:val="IndexLink"/>
              </w:rPr>
              <w:t>407</w:t>
            </w:r>
          </w:hyperlink>
        </w:p>
        <w:p>
          <w:pPr>
            <w:pStyle w:val="Contents6"/>
            <w:tabs>
              <w:tab w:val="clear" w:pos="7609"/>
              <w:tab w:val="right" w:pos="9026" w:leader="dot"/>
            </w:tabs>
            <w:rPr/>
          </w:pPr>
          <w:hyperlink w:anchor="__RefHeading___Toc4026501_3224264995">
            <w:r>
              <w:rPr>
                <w:webHidden/>
                <w:rStyle w:val="IndexLink"/>
                <w:rtl w:val="true"/>
              </w:rPr>
              <w:t>المقدّمة الثالثة</w:t>
            </w:r>
            <w:r>
              <w:rPr>
                <w:rStyle w:val="IndexLink"/>
                <w:rtl w:val="true"/>
              </w:rPr>
              <w:t xml:space="preserve">: </w:t>
            </w:r>
            <w:r>
              <w:rPr>
                <w:rStyle w:val="IndexLink"/>
                <w:rtl w:val="true"/>
              </w:rPr>
              <w:t>فی القضایا المفتقرة إلی وجود الموضوع</w:t>
            </w:r>
            <w:r>
              <w:rPr>
                <w:rStyle w:val="IndexLink"/>
                <w:rtl w:val="true"/>
              </w:rPr>
              <w:tab/>
            </w:r>
            <w:r>
              <w:rPr>
                <w:rStyle w:val="IndexLink"/>
              </w:rPr>
              <w:t>409</w:t>
            </w:r>
          </w:hyperlink>
        </w:p>
        <w:p>
          <w:pPr>
            <w:pStyle w:val="Contents6"/>
            <w:tabs>
              <w:tab w:val="clear" w:pos="7609"/>
              <w:tab w:val="right" w:pos="9026" w:leader="dot"/>
            </w:tabs>
            <w:rPr/>
          </w:pPr>
          <w:hyperlink w:anchor="__RefHeading___Toc4026503_3224264995">
            <w:r>
              <w:rPr>
                <w:webHidden/>
                <w:rStyle w:val="IndexLink"/>
                <w:rtl w:val="true"/>
              </w:rPr>
              <w:t>المقدّمة الرابعة</w:t>
            </w:r>
            <w:r>
              <w:rPr>
                <w:rStyle w:val="IndexLink"/>
                <w:rtl w:val="true"/>
              </w:rPr>
              <w:t xml:space="preserve">: </w:t>
            </w:r>
            <w:r>
              <w:rPr>
                <w:rStyle w:val="IndexLink"/>
                <w:rtl w:val="true"/>
              </w:rPr>
              <w:t>فی لزوم کون موضوع الحکم مفرداً أو فی حکم المفرد</w:t>
            </w:r>
            <w:r>
              <w:rPr>
                <w:rStyle w:val="IndexLink"/>
                <w:rtl w:val="true"/>
              </w:rPr>
              <w:tab/>
            </w:r>
            <w:r>
              <w:rPr>
                <w:rStyle w:val="IndexLink"/>
              </w:rPr>
              <w:t>410</w:t>
            </w:r>
          </w:hyperlink>
        </w:p>
        <w:p>
          <w:pPr>
            <w:pStyle w:val="Contents6"/>
            <w:tabs>
              <w:tab w:val="clear" w:pos="7609"/>
              <w:tab w:val="right" w:pos="9026" w:leader="dot"/>
            </w:tabs>
            <w:rPr/>
          </w:pPr>
          <w:hyperlink w:anchor="__RefHeading___Toc4026505_3224264995">
            <w:r>
              <w:rPr>
                <w:webHidden/>
                <w:rStyle w:val="IndexLink"/>
                <w:rtl w:val="true"/>
              </w:rPr>
              <w:t>المقدّمة الخامسة</w:t>
            </w:r>
            <w:r>
              <w:rPr>
                <w:rStyle w:val="IndexLink"/>
                <w:rtl w:val="true"/>
              </w:rPr>
              <w:t xml:space="preserve">: </w:t>
            </w:r>
            <w:r>
              <w:rPr>
                <w:rStyle w:val="IndexLink"/>
                <w:rtl w:val="true"/>
              </w:rPr>
              <w:t>فی اعتبارات موضوع العامّ المخصّص</w:t>
            </w:r>
            <w:r>
              <w:rPr>
                <w:rStyle w:val="IndexLink"/>
                <w:rtl w:val="true"/>
              </w:rPr>
              <w:tab/>
            </w:r>
            <w:r>
              <w:rPr>
                <w:rStyle w:val="IndexLink"/>
              </w:rPr>
              <w:t>412</w:t>
            </w:r>
          </w:hyperlink>
        </w:p>
        <w:p>
          <w:pPr>
            <w:pStyle w:val="Contents6"/>
            <w:tabs>
              <w:tab w:val="clear" w:pos="7609"/>
              <w:tab w:val="right" w:pos="9026" w:leader="dot"/>
            </w:tabs>
            <w:rPr/>
          </w:pPr>
          <w:hyperlink w:anchor="__RefHeading___Toc4026507_3224264995">
            <w:r>
              <w:rPr>
                <w:webHidden/>
                <w:rStyle w:val="IndexLink"/>
                <w:rtl w:val="true"/>
              </w:rPr>
              <w:t>المقام الأوّل</w:t>
            </w:r>
            <w:r>
              <w:rPr>
                <w:rStyle w:val="IndexLink"/>
                <w:rtl w:val="true"/>
              </w:rPr>
              <w:t xml:space="preserve">: </w:t>
            </w:r>
            <w:r>
              <w:rPr>
                <w:rStyle w:val="IndexLink"/>
                <w:rtl w:val="true"/>
              </w:rPr>
              <w:t>فی الأوصاف و العناوین العرضیة</w:t>
            </w:r>
            <w:r>
              <w:rPr>
                <w:rStyle w:val="IndexLink"/>
                <w:rtl w:val="true"/>
              </w:rPr>
              <w:tab/>
            </w:r>
            <w:r>
              <w:rPr>
                <w:rStyle w:val="IndexLink"/>
              </w:rPr>
              <w:t>414</w:t>
            </w:r>
          </w:hyperlink>
        </w:p>
        <w:p>
          <w:pPr>
            <w:pStyle w:val="Contents6"/>
            <w:tabs>
              <w:tab w:val="clear" w:pos="7609"/>
              <w:tab w:val="right" w:pos="9026" w:leader="dot"/>
            </w:tabs>
            <w:rPr/>
          </w:pPr>
          <w:hyperlink w:anchor="__RefHeading___Toc4026509_3224264995">
            <w:r>
              <w:rPr>
                <w:webHidden/>
                <w:rStyle w:val="IndexLink"/>
                <w:rtl w:val="true"/>
              </w:rPr>
              <w:t>المقام الثانی</w:t>
            </w:r>
            <w:r>
              <w:rPr>
                <w:rStyle w:val="IndexLink"/>
                <w:rtl w:val="true"/>
              </w:rPr>
              <w:t xml:space="preserve">: </w:t>
            </w:r>
            <w:r>
              <w:rPr>
                <w:rStyle w:val="IndexLink"/>
                <w:rtl w:val="true"/>
              </w:rPr>
              <w:t>فی الأوصاف و العناوین اللازمة لموصوفها</w:t>
            </w:r>
            <w:r>
              <w:rPr>
                <w:rStyle w:val="IndexLink"/>
                <w:rtl w:val="true"/>
              </w:rPr>
              <w:tab/>
            </w:r>
            <w:r>
              <w:rPr>
                <w:rStyle w:val="IndexLink"/>
              </w:rPr>
              <w:t>416</w:t>
            </w:r>
          </w:hyperlink>
        </w:p>
        <w:p>
          <w:pPr>
            <w:pStyle w:val="Contents6"/>
            <w:tabs>
              <w:tab w:val="clear" w:pos="7609"/>
              <w:tab w:val="right" w:pos="9026" w:leader="dot"/>
            </w:tabs>
            <w:rPr/>
          </w:pPr>
          <w:hyperlink w:anchor="__RefHeading___Toc4026511_3224264995">
            <w:r>
              <w:rPr>
                <w:webHidden/>
                <w:rStyle w:val="IndexLink"/>
                <w:rtl w:val="true"/>
              </w:rPr>
              <w:t>ذکر و إرشاد</w:t>
            </w:r>
            <w:r>
              <w:rPr>
                <w:rStyle w:val="IndexLink"/>
                <w:rtl w:val="true"/>
              </w:rPr>
              <w:tab/>
            </w:r>
            <w:r>
              <w:rPr>
                <w:rStyle w:val="IndexLink"/>
              </w:rPr>
              <w:t>418</w:t>
            </w:r>
          </w:hyperlink>
        </w:p>
        <w:p>
          <w:pPr>
            <w:pStyle w:val="Contents6"/>
            <w:tabs>
              <w:tab w:val="clear" w:pos="7609"/>
              <w:tab w:val="right" w:pos="9026" w:leader="dot"/>
            </w:tabs>
            <w:rPr/>
          </w:pPr>
          <w:hyperlink w:anchor="__RefHeading___Toc4026513_3224264995">
            <w:r>
              <w:rPr>
                <w:webHidden/>
                <w:rStyle w:val="IndexLink"/>
                <w:rtl w:val="true"/>
              </w:rPr>
              <w:t>تفصیل المحقّق النائینی فی المقام و دفعه</w:t>
            </w:r>
            <w:r>
              <w:rPr>
                <w:rStyle w:val="IndexLink"/>
                <w:rtl w:val="true"/>
              </w:rPr>
              <w:tab/>
            </w:r>
            <w:r>
              <w:rPr>
                <w:rStyle w:val="IndexLink"/>
              </w:rPr>
              <w:t>419</w:t>
            </w:r>
          </w:hyperlink>
        </w:p>
        <w:p>
          <w:pPr>
            <w:pStyle w:val="Contents5"/>
            <w:tabs>
              <w:tab w:val="clear" w:pos="7892"/>
              <w:tab w:val="right" w:pos="9026" w:leader="dot"/>
            </w:tabs>
            <w:rPr/>
          </w:pPr>
          <w:hyperlink w:anchor="__RefHeading___Toc4026515_3224264995">
            <w:r>
              <w:rPr>
                <w:webHidden/>
                <w:rStyle w:val="IndexLink"/>
                <w:rtl w:val="true"/>
              </w:rPr>
              <w:t>التنبیه الثانی فی التمسّک بعمومات النذر و أمثاله لکشف حال الفرد</w:t>
            </w:r>
            <w:r>
              <w:rPr>
                <w:rStyle w:val="IndexLink"/>
                <w:rtl w:val="true"/>
              </w:rPr>
              <w:tab/>
            </w:r>
            <w:r>
              <w:rPr>
                <w:rStyle w:val="IndexLink"/>
              </w:rPr>
              <w:t>425</w:t>
            </w:r>
          </w:hyperlink>
        </w:p>
        <w:p>
          <w:pPr>
            <w:pStyle w:val="Contents5"/>
            <w:tabs>
              <w:tab w:val="clear" w:pos="7892"/>
              <w:tab w:val="right" w:pos="9026" w:leader="dot"/>
            </w:tabs>
            <w:rPr/>
          </w:pPr>
          <w:hyperlink w:anchor="__RefHeading___Toc4026517_3224264995">
            <w:r>
              <w:rPr>
                <w:webHidden/>
                <w:rStyle w:val="IndexLink"/>
                <w:rtl w:val="true"/>
              </w:rPr>
              <w:t>التنبیه الثالث فی التمسّک بالعامّ عند الشکّ بین التخصیص و التخصّص</w:t>
            </w:r>
            <w:r>
              <w:rPr>
                <w:rStyle w:val="IndexLink"/>
                <w:rtl w:val="true"/>
              </w:rPr>
              <w:tab/>
            </w:r>
            <w:r>
              <w:rPr>
                <w:rStyle w:val="IndexLink"/>
              </w:rPr>
              <w:t>427</w:t>
            </w:r>
          </w:hyperlink>
        </w:p>
        <w:p>
          <w:pPr>
            <w:pStyle w:val="Contents6"/>
            <w:tabs>
              <w:tab w:val="clear" w:pos="7609"/>
              <w:tab w:val="right" w:pos="9026" w:leader="dot"/>
            </w:tabs>
            <w:rPr/>
          </w:pPr>
          <w:hyperlink w:anchor="__RefHeading___Toc4026519_3224264995">
            <w:r>
              <w:rPr>
                <w:webHidden/>
                <w:rStyle w:val="IndexLink"/>
                <w:rtl w:val="true"/>
              </w:rPr>
              <w:t>اشارة</w:t>
            </w:r>
            <w:r>
              <w:rPr>
                <w:rStyle w:val="IndexLink"/>
                <w:rtl w:val="true"/>
              </w:rPr>
              <w:tab/>
            </w:r>
            <w:r>
              <w:rPr>
                <w:rStyle w:val="IndexLink"/>
              </w:rPr>
              <w:t>427</w:t>
            </w:r>
          </w:hyperlink>
        </w:p>
        <w:p>
          <w:pPr>
            <w:pStyle w:val="Contents6"/>
            <w:tabs>
              <w:tab w:val="clear" w:pos="7609"/>
              <w:tab w:val="right" w:pos="9026" w:leader="dot"/>
            </w:tabs>
            <w:rPr/>
          </w:pPr>
          <w:hyperlink w:anchor="__RefHeading___Toc4026521_3224264995">
            <w:r>
              <w:rPr>
                <w:webHidden/>
                <w:rStyle w:val="IndexLink"/>
                <w:rtl w:val="true"/>
              </w:rPr>
              <w:t>مختار المحقّق العراقی قدس سره و نقده</w:t>
            </w:r>
            <w:r>
              <w:rPr>
                <w:rStyle w:val="IndexLink"/>
                <w:rtl w:val="true"/>
              </w:rPr>
              <w:tab/>
            </w:r>
            <w:r>
              <w:rPr>
                <w:rStyle w:val="IndexLink"/>
              </w:rPr>
              <w:t>429</w:t>
            </w:r>
          </w:hyperlink>
        </w:p>
        <w:p>
          <w:pPr>
            <w:pStyle w:val="Contents5"/>
            <w:tabs>
              <w:tab w:val="clear" w:pos="7892"/>
              <w:tab w:val="right" w:pos="9026" w:leader="dot"/>
            </w:tabs>
            <w:rPr/>
          </w:pPr>
          <w:hyperlink w:anchor="__RefHeading___Toc4026523_3224264995">
            <w:r>
              <w:rPr>
                <w:webHidden/>
                <w:rStyle w:val="IndexLink"/>
                <w:rtl w:val="true"/>
              </w:rPr>
              <w:t>التنبیه الرابع فی التمسّک بالعامّ إذا کان المخصّص مجملًا</w:t>
            </w:r>
            <w:r>
              <w:rPr>
                <w:rStyle w:val="IndexLink"/>
                <w:rtl w:val="true"/>
              </w:rPr>
              <w:tab/>
            </w:r>
            <w:r>
              <w:rPr>
                <w:rStyle w:val="IndexLink"/>
              </w:rPr>
              <w:t>431</w:t>
            </w:r>
          </w:hyperlink>
        </w:p>
        <w:p>
          <w:pPr>
            <w:pStyle w:val="Contents3"/>
            <w:tabs>
              <w:tab w:val="clear" w:pos="8459"/>
              <w:tab w:val="right" w:pos="9026" w:leader="dot"/>
            </w:tabs>
            <w:rPr/>
          </w:pPr>
          <w:hyperlink w:anchor="__RefHeading___Toc4026525_3224264995">
            <w:r>
              <w:rPr>
                <w:webHidden/>
                <w:rStyle w:val="IndexLink"/>
                <w:rtl w:val="true"/>
              </w:rPr>
              <w:t>المبحث الثالث حول جواز التمسّک بالعامّ أو المطلق أو الظاهر أو</w:t>
            </w:r>
            <w:r>
              <w:rPr>
                <w:rStyle w:val="IndexLink"/>
                <w:rtl w:val="true"/>
              </w:rPr>
              <w:tab/>
            </w:r>
            <w:r>
              <w:rPr>
                <w:rStyle w:val="IndexLink"/>
              </w:rPr>
              <w:t>433</w:t>
            </w:r>
          </w:hyperlink>
        </w:p>
        <w:p>
          <w:pPr>
            <w:pStyle w:val="Contents4"/>
            <w:tabs>
              <w:tab w:val="clear" w:pos="8176"/>
              <w:tab w:val="right" w:pos="9026" w:leader="dot"/>
            </w:tabs>
            <w:rPr/>
          </w:pPr>
          <w:hyperlink w:anchor="__RefHeading___Toc4026527_3224264995">
            <w:r>
              <w:rPr>
                <w:webHidden/>
                <w:rStyle w:val="IndexLink"/>
                <w:rtl w:val="true"/>
              </w:rPr>
              <w:t>اشارة</w:t>
            </w:r>
            <w:r>
              <w:rPr>
                <w:rStyle w:val="IndexLink"/>
                <w:rtl w:val="true"/>
              </w:rPr>
              <w:tab/>
            </w:r>
            <w:r>
              <w:rPr>
                <w:rStyle w:val="IndexLink"/>
              </w:rPr>
              <w:t>433</w:t>
            </w:r>
          </w:hyperlink>
        </w:p>
        <w:p>
          <w:pPr>
            <w:pStyle w:val="Contents4"/>
            <w:tabs>
              <w:tab w:val="clear" w:pos="8176"/>
              <w:tab w:val="right" w:pos="9026" w:leader="dot"/>
            </w:tabs>
            <w:rPr/>
          </w:pPr>
          <w:hyperlink w:anchor="__RefHeading___Toc4026529_3224264995">
            <w:r>
              <w:rPr>
                <w:webHidden/>
                <w:rStyle w:val="IndexLink"/>
                <w:rtl w:val="true"/>
              </w:rPr>
              <w:t>الاستدلال علی لزوم الفحص بمعرضیة العامّ للتخصیص</w:t>
            </w:r>
            <w:r>
              <w:rPr>
                <w:rStyle w:val="IndexLink"/>
                <w:rtl w:val="true"/>
              </w:rPr>
              <w:tab/>
            </w:r>
            <w:r>
              <w:rPr>
                <w:rStyle w:val="IndexLink"/>
              </w:rPr>
              <w:t>435</w:t>
            </w:r>
          </w:hyperlink>
        </w:p>
        <w:p>
          <w:pPr>
            <w:pStyle w:val="Contents4"/>
            <w:tabs>
              <w:tab w:val="clear" w:pos="8176"/>
              <w:tab w:val="right" w:pos="9026" w:leader="dot"/>
            </w:tabs>
            <w:rPr/>
          </w:pPr>
          <w:hyperlink w:anchor="__RefHeading___Toc4026531_3224264995">
            <w:r>
              <w:rPr>
                <w:webHidden/>
                <w:rStyle w:val="IndexLink"/>
                <w:rtl w:val="true"/>
              </w:rPr>
              <w:t>حول کلام المحقّق النائینی قدس سره فی المقام</w:t>
            </w:r>
            <w:r>
              <w:rPr>
                <w:rStyle w:val="IndexLink"/>
                <w:rtl w:val="true"/>
              </w:rPr>
              <w:tab/>
            </w:r>
            <w:r>
              <w:rPr>
                <w:rStyle w:val="IndexLink"/>
              </w:rPr>
              <w:t>438</w:t>
            </w:r>
          </w:hyperlink>
        </w:p>
        <w:p>
          <w:pPr>
            <w:pStyle w:val="Contents4"/>
            <w:tabs>
              <w:tab w:val="clear" w:pos="8176"/>
              <w:tab w:val="right" w:pos="9026" w:leader="dot"/>
            </w:tabs>
            <w:rPr/>
          </w:pPr>
          <w:hyperlink w:anchor="__RefHeading___Toc4026533_3224264995">
            <w:r>
              <w:rPr>
                <w:webHidden/>
                <w:rStyle w:val="IndexLink"/>
                <w:rtl w:val="true"/>
              </w:rPr>
              <w:t>حول الاستدلال للزوم الفحص بالعلم الإجمالی</w:t>
            </w:r>
            <w:r>
              <w:rPr>
                <w:rStyle w:val="IndexLink"/>
                <w:rtl w:val="true"/>
              </w:rPr>
              <w:tab/>
            </w:r>
            <w:r>
              <w:rPr>
                <w:rStyle w:val="IndexLink"/>
              </w:rPr>
              <w:t>440</w:t>
            </w:r>
          </w:hyperlink>
        </w:p>
        <w:p>
          <w:pPr>
            <w:pStyle w:val="Contents4"/>
            <w:tabs>
              <w:tab w:val="clear" w:pos="8176"/>
              <w:tab w:val="right" w:pos="9026" w:leader="dot"/>
            </w:tabs>
            <w:rPr/>
          </w:pPr>
          <w:hyperlink w:anchor="__RefHeading___Toc4026535_3224264995">
            <w:r>
              <w:rPr>
                <w:webHidden/>
                <w:rStyle w:val="IndexLink"/>
                <w:rtl w:val="true"/>
              </w:rPr>
              <w:t>تذنیب</w:t>
            </w:r>
            <w:r>
              <w:rPr>
                <w:rStyle w:val="IndexLink"/>
                <w:rtl w:val="true"/>
              </w:rPr>
              <w:t xml:space="preserve">: </w:t>
            </w:r>
            <w:r>
              <w:rPr>
                <w:rStyle w:val="IndexLink"/>
                <w:rtl w:val="true"/>
              </w:rPr>
              <w:t>فی مقدار الفحص</w:t>
            </w:r>
            <w:r>
              <w:rPr>
                <w:rStyle w:val="IndexLink"/>
                <w:rtl w:val="true"/>
              </w:rPr>
              <w:tab/>
            </w:r>
            <w:r>
              <w:rPr>
                <w:rStyle w:val="IndexLink"/>
              </w:rPr>
              <w:t>445</w:t>
            </w:r>
          </w:hyperlink>
        </w:p>
        <w:p>
          <w:pPr>
            <w:pStyle w:val="Contents3"/>
            <w:tabs>
              <w:tab w:val="clear" w:pos="8459"/>
              <w:tab w:val="right" w:pos="9026" w:leader="dot"/>
            </w:tabs>
            <w:rPr/>
          </w:pPr>
          <w:hyperlink w:anchor="__RefHeading___Toc4026537_3224264995">
            <w:r>
              <w:rPr>
                <w:webHidden/>
                <w:rStyle w:val="IndexLink"/>
                <w:rtl w:val="true"/>
              </w:rPr>
              <w:t>المبحث الرابع فی عموم الخطابات الشفاهیة</w:t>
            </w:r>
            <w:r>
              <w:rPr>
                <w:rStyle w:val="IndexLink"/>
                <w:rtl w:val="true"/>
              </w:rPr>
              <w:tab/>
            </w:r>
            <w:r>
              <w:rPr>
                <w:rStyle w:val="IndexLink"/>
              </w:rPr>
              <w:t>447</w:t>
            </w:r>
          </w:hyperlink>
        </w:p>
        <w:p>
          <w:pPr>
            <w:pStyle w:val="Contents4"/>
            <w:tabs>
              <w:tab w:val="clear" w:pos="8176"/>
              <w:tab w:val="right" w:pos="9026" w:leader="dot"/>
            </w:tabs>
            <w:rPr/>
          </w:pPr>
          <w:hyperlink w:anchor="__RefHeading___Toc4026539_3224264995">
            <w:r>
              <w:rPr>
                <w:webHidden/>
                <w:rStyle w:val="IndexLink"/>
                <w:rtl w:val="true"/>
              </w:rPr>
              <w:t>اشارة</w:t>
            </w:r>
            <w:r>
              <w:rPr>
                <w:rStyle w:val="IndexLink"/>
                <w:rtl w:val="true"/>
              </w:rPr>
              <w:tab/>
            </w:r>
            <w:r>
              <w:rPr>
                <w:rStyle w:val="IndexLink"/>
              </w:rPr>
              <w:t>447</w:t>
            </w:r>
          </w:hyperlink>
        </w:p>
        <w:p>
          <w:pPr>
            <w:pStyle w:val="Contents4"/>
            <w:tabs>
              <w:tab w:val="clear" w:pos="8176"/>
              <w:tab w:val="right" w:pos="9026" w:leader="dot"/>
            </w:tabs>
            <w:rPr/>
          </w:pPr>
          <w:hyperlink w:anchor="__RefHeading___Toc4026541_3224264995">
            <w:r>
              <w:rPr>
                <w:webHidden/>
                <w:rStyle w:val="IndexLink"/>
                <w:rtl w:val="true"/>
              </w:rPr>
              <w:t>و الکلام فیه یقع فی موارد</w:t>
            </w:r>
            <w:r>
              <w:rPr>
                <w:rStyle w:val="IndexLink"/>
                <w:rtl w:val="true"/>
              </w:rPr>
              <w:t>:</w:t>
              <w:tab/>
            </w:r>
            <w:r>
              <w:rPr>
                <w:rStyle w:val="IndexLink"/>
              </w:rPr>
              <w:t>447</w:t>
            </w:r>
          </w:hyperlink>
        </w:p>
        <w:p>
          <w:pPr>
            <w:pStyle w:val="Contents5"/>
            <w:tabs>
              <w:tab w:val="clear" w:pos="7892"/>
              <w:tab w:val="right" w:pos="9026" w:leader="dot"/>
            </w:tabs>
            <w:rPr/>
          </w:pPr>
          <w:hyperlink w:anchor="__RefHeading___Toc4026543_3224264995">
            <w:r>
              <w:rPr>
                <w:webHidden/>
                <w:rStyle w:val="IndexLink"/>
                <w:rtl w:val="true"/>
              </w:rPr>
              <w:t>المورد الأوّل</w:t>
            </w:r>
            <w:r>
              <w:rPr>
                <w:rStyle w:val="IndexLink"/>
                <w:rtl w:val="true"/>
              </w:rPr>
              <w:t xml:space="preserve">: </w:t>
            </w:r>
            <w:r>
              <w:rPr>
                <w:rStyle w:val="IndexLink"/>
                <w:rtl w:val="true"/>
              </w:rPr>
              <w:t>فی تحدید مصبّ النزاع</w:t>
            </w:r>
            <w:r>
              <w:rPr>
                <w:rStyle w:val="IndexLink"/>
                <w:rtl w:val="true"/>
              </w:rPr>
              <w:tab/>
            </w:r>
            <w:r>
              <w:rPr>
                <w:rStyle w:val="IndexLink"/>
              </w:rPr>
              <w:t>447</w:t>
            </w:r>
          </w:hyperlink>
        </w:p>
        <w:p>
          <w:pPr>
            <w:pStyle w:val="Contents5"/>
            <w:tabs>
              <w:tab w:val="clear" w:pos="7892"/>
              <w:tab w:val="right" w:pos="9026" w:leader="dot"/>
            </w:tabs>
            <w:rPr/>
          </w:pPr>
          <w:hyperlink w:anchor="__RefHeading___Toc4026545_3224264995">
            <w:r>
              <w:rPr>
                <w:webHidden/>
                <w:rStyle w:val="IndexLink"/>
                <w:rtl w:val="true"/>
              </w:rPr>
              <w:t>المورد الثانی</w:t>
            </w:r>
            <w:r>
              <w:rPr>
                <w:rStyle w:val="IndexLink"/>
                <w:rtl w:val="true"/>
              </w:rPr>
              <w:t xml:space="preserve">: </w:t>
            </w:r>
            <w:r>
              <w:rPr>
                <w:rStyle w:val="IndexLink"/>
                <w:rtl w:val="true"/>
              </w:rPr>
              <w:t>عموم البحث للتکالیف غیر المصدّرة بأداة الخطاب و النداء</w:t>
            </w:r>
            <w:r>
              <w:rPr>
                <w:rStyle w:val="IndexLink"/>
                <w:rtl w:val="true"/>
              </w:rPr>
              <w:tab/>
            </w:r>
            <w:r>
              <w:rPr>
                <w:rStyle w:val="IndexLink"/>
              </w:rPr>
              <w:t>448</w:t>
            </w:r>
          </w:hyperlink>
        </w:p>
        <w:p>
          <w:pPr>
            <w:pStyle w:val="Contents5"/>
            <w:tabs>
              <w:tab w:val="clear" w:pos="7892"/>
              <w:tab w:val="right" w:pos="9026" w:leader="dot"/>
            </w:tabs>
            <w:rPr/>
          </w:pPr>
          <w:hyperlink w:anchor="__RefHeading___Toc4026547_3224264995">
            <w:r>
              <w:rPr>
                <w:webHidden/>
                <w:rStyle w:val="IndexLink"/>
                <w:rtl w:val="true"/>
              </w:rPr>
              <w:t>المورد الثالث</w:t>
            </w:r>
            <w:r>
              <w:rPr>
                <w:rStyle w:val="IndexLink"/>
                <w:rtl w:val="true"/>
              </w:rPr>
              <w:t xml:space="preserve">: </w:t>
            </w:r>
            <w:r>
              <w:rPr>
                <w:rStyle w:val="IndexLink"/>
                <w:rtl w:val="true"/>
              </w:rPr>
              <w:t>فی القضیة الحقیقیة و الخارجیة و الفرق بینهما</w:t>
            </w:r>
            <w:r>
              <w:rPr>
                <w:rStyle w:val="IndexLink"/>
                <w:rtl w:val="true"/>
              </w:rPr>
              <w:tab/>
            </w:r>
            <w:r>
              <w:rPr>
                <w:rStyle w:val="IndexLink"/>
              </w:rPr>
              <w:t>450</w:t>
            </w:r>
          </w:hyperlink>
        </w:p>
        <w:p>
          <w:pPr>
            <w:pStyle w:val="Contents4"/>
            <w:tabs>
              <w:tab w:val="clear" w:pos="8176"/>
              <w:tab w:val="right" w:pos="9026" w:leader="dot"/>
            </w:tabs>
            <w:rPr/>
          </w:pPr>
          <w:hyperlink w:anchor="__RefHeading___Toc4026549_3224264995">
            <w:r>
              <w:rPr>
                <w:webHidden/>
                <w:rStyle w:val="IndexLink"/>
                <w:rtl w:val="true"/>
              </w:rPr>
              <w:t>إشکالا عموم الخطابات الشفاهیة لغیر الحاضرین و جوابهما</w:t>
            </w:r>
            <w:r>
              <w:rPr>
                <w:rStyle w:val="IndexLink"/>
                <w:rtl w:val="true"/>
              </w:rPr>
              <w:tab/>
            </w:r>
            <w:r>
              <w:rPr>
                <w:rStyle w:val="IndexLink"/>
              </w:rPr>
              <w:t>453</w:t>
            </w:r>
          </w:hyperlink>
        </w:p>
        <w:p>
          <w:pPr>
            <w:pStyle w:val="Contents4"/>
            <w:tabs>
              <w:tab w:val="clear" w:pos="8176"/>
              <w:tab w:val="right" w:pos="9026" w:leader="dot"/>
            </w:tabs>
            <w:rPr/>
          </w:pPr>
          <w:hyperlink w:anchor="__RefHeading___Toc4026551_3224264995">
            <w:r>
              <w:rPr>
                <w:webHidden/>
                <w:rStyle w:val="IndexLink"/>
                <w:rtl w:val="true"/>
              </w:rPr>
              <w:t>التحقیق فی جواب الإشکال الأوّل</w:t>
            </w:r>
            <w:r>
              <w:rPr>
                <w:rStyle w:val="IndexLink"/>
                <w:rtl w:val="true"/>
              </w:rPr>
              <w:tab/>
            </w:r>
            <w:r>
              <w:rPr>
                <w:rStyle w:val="IndexLink"/>
              </w:rPr>
              <w:t>453</w:t>
            </w:r>
          </w:hyperlink>
        </w:p>
        <w:p>
          <w:pPr>
            <w:pStyle w:val="Contents4"/>
            <w:tabs>
              <w:tab w:val="clear" w:pos="8176"/>
              <w:tab w:val="right" w:pos="9026" w:leader="dot"/>
            </w:tabs>
            <w:rPr/>
          </w:pPr>
          <w:hyperlink w:anchor="__RefHeading___Toc4026553_3224264995">
            <w:r>
              <w:rPr>
                <w:webHidden/>
                <w:rStyle w:val="IndexLink"/>
                <w:rtl w:val="true"/>
              </w:rPr>
              <w:t>التحقیق فی جواب الإشکال الثانی</w:t>
            </w:r>
            <w:r>
              <w:rPr>
                <w:rStyle w:val="IndexLink"/>
                <w:rtl w:val="true"/>
              </w:rPr>
              <w:tab/>
            </w:r>
            <w:r>
              <w:rPr>
                <w:rStyle w:val="IndexLink"/>
              </w:rPr>
              <w:t>455</w:t>
            </w:r>
          </w:hyperlink>
        </w:p>
        <w:p>
          <w:pPr>
            <w:pStyle w:val="Contents4"/>
            <w:tabs>
              <w:tab w:val="clear" w:pos="8176"/>
              <w:tab w:val="right" w:pos="9026" w:leader="dot"/>
            </w:tabs>
            <w:rPr/>
          </w:pPr>
          <w:hyperlink w:anchor="__RefHeading___Toc4026555_3224264995">
            <w:r>
              <w:rPr>
                <w:webHidden/>
                <w:rStyle w:val="IndexLink"/>
                <w:rtl w:val="true"/>
              </w:rPr>
              <w:t>تتمّة</w:t>
            </w:r>
            <w:r>
              <w:rPr>
                <w:rStyle w:val="IndexLink"/>
                <w:rtl w:val="true"/>
              </w:rPr>
              <w:t xml:space="preserve">: </w:t>
            </w:r>
            <w:r>
              <w:rPr>
                <w:rStyle w:val="IndexLink"/>
                <w:rtl w:val="true"/>
              </w:rPr>
              <w:t>فی ثمرة النزاع</w:t>
            </w:r>
            <w:r>
              <w:rPr>
                <w:rStyle w:val="IndexLink"/>
                <w:rtl w:val="true"/>
              </w:rPr>
              <w:tab/>
            </w:r>
            <w:r>
              <w:rPr>
                <w:rStyle w:val="IndexLink"/>
              </w:rPr>
              <w:t>457</w:t>
            </w:r>
          </w:hyperlink>
        </w:p>
        <w:p>
          <w:pPr>
            <w:pStyle w:val="Contents3"/>
            <w:tabs>
              <w:tab w:val="clear" w:pos="8459"/>
              <w:tab w:val="right" w:pos="9026" w:leader="dot"/>
            </w:tabs>
            <w:rPr/>
          </w:pPr>
          <w:hyperlink w:anchor="__RefHeading___Toc4026557_3224264995">
            <w:r>
              <w:rPr>
                <w:webHidden/>
                <w:rStyle w:val="IndexLink"/>
                <w:rtl w:val="true"/>
              </w:rPr>
              <w:t>المبحث الخامس فی أنّ العامّ المتعقّب بضمیر علم إرادة بعض</w:t>
            </w:r>
            <w:r>
              <w:rPr>
                <w:rStyle w:val="IndexLink"/>
                <w:rtl w:val="true"/>
              </w:rPr>
              <w:tab/>
            </w:r>
            <w:r>
              <w:rPr>
                <w:rStyle w:val="IndexLink"/>
              </w:rPr>
              <w:t>463</w:t>
            </w:r>
          </w:hyperlink>
        </w:p>
        <w:p>
          <w:pPr>
            <w:pStyle w:val="Contents4"/>
            <w:tabs>
              <w:tab w:val="clear" w:pos="8176"/>
              <w:tab w:val="right" w:pos="9026" w:leader="dot"/>
            </w:tabs>
            <w:rPr/>
          </w:pPr>
          <w:hyperlink w:anchor="__RefHeading___Toc4026559_3224264995">
            <w:r>
              <w:rPr>
                <w:webHidden/>
                <w:rStyle w:val="IndexLink"/>
                <w:rtl w:val="true"/>
              </w:rPr>
              <w:t>اشارة</w:t>
            </w:r>
            <w:r>
              <w:rPr>
                <w:rStyle w:val="IndexLink"/>
                <w:rtl w:val="true"/>
              </w:rPr>
              <w:tab/>
            </w:r>
            <w:r>
              <w:rPr>
                <w:rStyle w:val="IndexLink"/>
              </w:rPr>
              <w:t>463</w:t>
            </w:r>
          </w:hyperlink>
        </w:p>
        <w:p>
          <w:pPr>
            <w:pStyle w:val="Contents4"/>
            <w:tabs>
              <w:tab w:val="clear" w:pos="8176"/>
              <w:tab w:val="right" w:pos="9026" w:leader="dot"/>
            </w:tabs>
            <w:rPr/>
          </w:pPr>
          <w:hyperlink w:anchor="__RefHeading___Toc4026561_3224264995">
            <w:r>
              <w:rPr>
                <w:webHidden/>
                <w:rStyle w:val="IndexLink"/>
                <w:rtl w:val="true"/>
              </w:rPr>
              <w:t>تحدید محطّ البحث فی المقام</w:t>
            </w:r>
            <w:r>
              <w:rPr>
                <w:rStyle w:val="IndexLink"/>
                <w:rtl w:val="true"/>
              </w:rPr>
              <w:tab/>
            </w:r>
            <w:r>
              <w:rPr>
                <w:rStyle w:val="IndexLink"/>
              </w:rPr>
              <w:t>463</w:t>
            </w:r>
          </w:hyperlink>
        </w:p>
        <w:p>
          <w:pPr>
            <w:pStyle w:val="Contents4"/>
            <w:tabs>
              <w:tab w:val="clear" w:pos="8176"/>
              <w:tab w:val="right" w:pos="9026" w:leader="dot"/>
            </w:tabs>
            <w:rPr/>
          </w:pPr>
          <w:hyperlink w:anchor="__RefHeading___Toc4026563_3224264995">
            <w:r>
              <w:rPr>
                <w:webHidden/>
                <w:rStyle w:val="IndexLink"/>
                <w:rtl w:val="true"/>
              </w:rPr>
              <w:t>بیان مختارنا و أنّه التفصیل</w:t>
            </w:r>
            <w:r>
              <w:rPr>
                <w:rStyle w:val="IndexLink"/>
                <w:rtl w:val="true"/>
              </w:rPr>
              <w:tab/>
            </w:r>
            <w:r>
              <w:rPr>
                <w:rStyle w:val="IndexLink"/>
              </w:rPr>
              <w:t>465</w:t>
            </w:r>
          </w:hyperlink>
        </w:p>
        <w:p>
          <w:pPr>
            <w:pStyle w:val="Contents3"/>
            <w:tabs>
              <w:tab w:val="clear" w:pos="8459"/>
              <w:tab w:val="right" w:pos="9026" w:leader="dot"/>
            </w:tabs>
            <w:rPr/>
          </w:pPr>
          <w:hyperlink w:anchor="__RefHeading___Toc4026565_3224264995">
            <w:r>
              <w:rPr>
                <w:webHidden/>
                <w:rStyle w:val="IndexLink"/>
                <w:rtl w:val="true"/>
              </w:rPr>
              <w:t>المبحث السادس فی تخصیص العامّ بالمفهوم</w:t>
            </w:r>
            <w:r>
              <w:rPr>
                <w:rStyle w:val="IndexLink"/>
                <w:rtl w:val="true"/>
              </w:rPr>
              <w:tab/>
            </w:r>
            <w:r>
              <w:rPr>
                <w:rStyle w:val="IndexLink"/>
              </w:rPr>
              <w:t>470</w:t>
            </w:r>
          </w:hyperlink>
        </w:p>
        <w:p>
          <w:pPr>
            <w:pStyle w:val="Contents4"/>
            <w:tabs>
              <w:tab w:val="clear" w:pos="8176"/>
              <w:tab w:val="right" w:pos="9026" w:leader="dot"/>
            </w:tabs>
            <w:rPr/>
          </w:pPr>
          <w:hyperlink w:anchor="__RefHeading___Toc4026567_3224264995">
            <w:r>
              <w:rPr>
                <w:webHidden/>
                <w:rStyle w:val="IndexLink"/>
                <w:rtl w:val="true"/>
              </w:rPr>
              <w:t>اشارة</w:t>
            </w:r>
            <w:r>
              <w:rPr>
                <w:rStyle w:val="IndexLink"/>
                <w:rtl w:val="true"/>
              </w:rPr>
              <w:tab/>
            </w:r>
            <w:r>
              <w:rPr>
                <w:rStyle w:val="IndexLink"/>
              </w:rPr>
              <w:t>470</w:t>
            </w:r>
          </w:hyperlink>
        </w:p>
        <w:p>
          <w:pPr>
            <w:pStyle w:val="Contents4"/>
            <w:tabs>
              <w:tab w:val="clear" w:pos="8176"/>
              <w:tab w:val="right" w:pos="9026" w:leader="dot"/>
            </w:tabs>
            <w:rPr/>
          </w:pPr>
          <w:hyperlink w:anchor="__RefHeading___Toc4026569_3224264995">
            <w:r>
              <w:rPr>
                <w:webHidden/>
                <w:rStyle w:val="IndexLink"/>
                <w:rtl w:val="true"/>
              </w:rPr>
              <w:t>یقع الکلام فی مقامین</w:t>
            </w:r>
            <w:r>
              <w:rPr>
                <w:rStyle w:val="IndexLink"/>
                <w:rtl w:val="true"/>
              </w:rPr>
              <w:t>:</w:t>
              <w:tab/>
            </w:r>
            <w:r>
              <w:rPr>
                <w:rStyle w:val="IndexLink"/>
              </w:rPr>
              <w:t>470</w:t>
            </w:r>
          </w:hyperlink>
        </w:p>
        <w:p>
          <w:pPr>
            <w:pStyle w:val="Contents5"/>
            <w:tabs>
              <w:tab w:val="clear" w:pos="7892"/>
              <w:tab w:val="right" w:pos="9026" w:leader="dot"/>
            </w:tabs>
            <w:rPr/>
          </w:pPr>
          <w:hyperlink w:anchor="__RefHeading___Toc4026571_3224264995">
            <w:r>
              <w:rPr>
                <w:webHidden/>
                <w:rStyle w:val="IndexLink"/>
                <w:rtl w:val="true"/>
              </w:rPr>
              <w:t>المقام الأوّل</w:t>
            </w:r>
            <w:r>
              <w:rPr>
                <w:rStyle w:val="IndexLink"/>
                <w:rtl w:val="true"/>
              </w:rPr>
              <w:t xml:space="preserve">: </w:t>
            </w:r>
            <w:r>
              <w:rPr>
                <w:rStyle w:val="IndexLink"/>
                <w:rtl w:val="true"/>
              </w:rPr>
              <w:t>فی تخصیص العامّ بالمفهوم الموافق</w:t>
            </w:r>
            <w:r>
              <w:rPr>
                <w:rStyle w:val="IndexLink"/>
                <w:rtl w:val="true"/>
              </w:rPr>
              <w:tab/>
            </w:r>
            <w:r>
              <w:rPr>
                <w:rStyle w:val="IndexLink"/>
              </w:rPr>
              <w:t>470</w:t>
            </w:r>
          </w:hyperlink>
        </w:p>
        <w:p>
          <w:pPr>
            <w:pStyle w:val="Contents6"/>
            <w:tabs>
              <w:tab w:val="clear" w:pos="7609"/>
              <w:tab w:val="right" w:pos="9026" w:leader="dot"/>
            </w:tabs>
            <w:rPr/>
          </w:pPr>
          <w:hyperlink w:anchor="__RefHeading___Toc4026573_3224264995">
            <w:r>
              <w:rPr>
                <w:webHidden/>
                <w:rStyle w:val="IndexLink"/>
                <w:rtl w:val="true"/>
              </w:rPr>
              <w:t>اشارة</w:t>
            </w:r>
            <w:r>
              <w:rPr>
                <w:rStyle w:val="IndexLink"/>
                <w:rtl w:val="true"/>
              </w:rPr>
              <w:tab/>
            </w:r>
            <w:r>
              <w:rPr>
                <w:rStyle w:val="IndexLink"/>
              </w:rPr>
              <w:t>470</w:t>
            </w:r>
          </w:hyperlink>
        </w:p>
        <w:p>
          <w:pPr>
            <w:pStyle w:val="Contents6"/>
            <w:tabs>
              <w:tab w:val="clear" w:pos="7609"/>
              <w:tab w:val="right" w:pos="9026" w:leader="dot"/>
            </w:tabs>
            <w:rPr/>
          </w:pPr>
          <w:hyperlink w:anchor="__RefHeading___Toc4026575_3224264995">
            <w:r>
              <w:rPr>
                <w:webHidden/>
                <w:rStyle w:val="IndexLink"/>
                <w:rtl w:val="true"/>
              </w:rPr>
              <w:t>المورد الأوّل</w:t>
            </w:r>
            <w:r>
              <w:rPr>
                <w:rStyle w:val="IndexLink"/>
                <w:rtl w:val="true"/>
              </w:rPr>
              <w:t xml:space="preserve">: </w:t>
            </w:r>
            <w:r>
              <w:rPr>
                <w:rStyle w:val="IndexLink"/>
                <w:rtl w:val="true"/>
              </w:rPr>
              <w:t>فی تفسیر المفهوم الموافق</w:t>
            </w:r>
            <w:r>
              <w:rPr>
                <w:rStyle w:val="IndexLink"/>
                <w:rtl w:val="true"/>
              </w:rPr>
              <w:tab/>
            </w:r>
            <w:r>
              <w:rPr>
                <w:rStyle w:val="IndexLink"/>
              </w:rPr>
              <w:t>471</w:t>
            </w:r>
          </w:hyperlink>
        </w:p>
        <w:p>
          <w:pPr>
            <w:pStyle w:val="Contents6"/>
            <w:tabs>
              <w:tab w:val="clear" w:pos="7609"/>
              <w:tab w:val="right" w:pos="9026" w:leader="dot"/>
            </w:tabs>
            <w:rPr/>
          </w:pPr>
          <w:hyperlink w:anchor="__RefHeading___Toc4026577_3224264995">
            <w:r>
              <w:rPr>
                <w:webHidden/>
                <w:rStyle w:val="IndexLink"/>
                <w:rtl w:val="true"/>
              </w:rPr>
              <w:t>المورد الثانی</w:t>
            </w:r>
            <w:r>
              <w:rPr>
                <w:rStyle w:val="IndexLink"/>
                <w:rtl w:val="true"/>
              </w:rPr>
              <w:t xml:space="preserve">: </w:t>
            </w:r>
            <w:r>
              <w:rPr>
                <w:rStyle w:val="IndexLink"/>
                <w:rtl w:val="true"/>
              </w:rPr>
              <w:t>فی حکم هذه الأقسام</w:t>
            </w:r>
            <w:r>
              <w:rPr>
                <w:rStyle w:val="IndexLink"/>
                <w:rtl w:val="true"/>
              </w:rPr>
              <w:tab/>
            </w:r>
            <w:r>
              <w:rPr>
                <w:rStyle w:val="IndexLink"/>
              </w:rPr>
              <w:t>473</w:t>
            </w:r>
          </w:hyperlink>
        </w:p>
        <w:p>
          <w:pPr>
            <w:pStyle w:val="Contents5"/>
            <w:tabs>
              <w:tab w:val="clear" w:pos="7892"/>
              <w:tab w:val="right" w:pos="9026" w:leader="dot"/>
            </w:tabs>
            <w:rPr/>
          </w:pPr>
          <w:hyperlink w:anchor="__RefHeading___Toc4026579_3224264995">
            <w:r>
              <w:rPr>
                <w:webHidden/>
                <w:rStyle w:val="IndexLink"/>
                <w:rtl w:val="true"/>
              </w:rPr>
              <w:t>المقام الثانی</w:t>
            </w:r>
            <w:r>
              <w:rPr>
                <w:rStyle w:val="IndexLink"/>
                <w:rtl w:val="true"/>
              </w:rPr>
              <w:t xml:space="preserve">: </w:t>
            </w:r>
            <w:r>
              <w:rPr>
                <w:rStyle w:val="IndexLink"/>
                <w:rtl w:val="true"/>
              </w:rPr>
              <w:t>فی مفهوم المخالفة</w:t>
            </w:r>
            <w:r>
              <w:rPr>
                <w:rStyle w:val="IndexLink"/>
                <w:rtl w:val="true"/>
              </w:rPr>
              <w:tab/>
            </w:r>
            <w:r>
              <w:rPr>
                <w:rStyle w:val="IndexLink"/>
              </w:rPr>
              <w:t>477</w:t>
            </w:r>
          </w:hyperlink>
        </w:p>
        <w:p>
          <w:pPr>
            <w:pStyle w:val="Contents6"/>
            <w:tabs>
              <w:tab w:val="clear" w:pos="7609"/>
              <w:tab w:val="right" w:pos="9026" w:leader="dot"/>
            </w:tabs>
            <w:rPr/>
          </w:pPr>
          <w:hyperlink w:anchor="__RefHeading___Toc4026581_3224264995">
            <w:r>
              <w:rPr>
                <w:webHidden/>
                <w:rStyle w:val="IndexLink"/>
                <w:rtl w:val="true"/>
              </w:rPr>
              <w:t>تحدید محلّ النزاع</w:t>
            </w:r>
            <w:r>
              <w:rPr>
                <w:rStyle w:val="IndexLink"/>
                <w:rtl w:val="true"/>
              </w:rPr>
              <w:tab/>
            </w:r>
            <w:r>
              <w:rPr>
                <w:rStyle w:val="IndexLink"/>
              </w:rPr>
              <w:t>477</w:t>
            </w:r>
          </w:hyperlink>
        </w:p>
        <w:p>
          <w:pPr>
            <w:pStyle w:val="Contents6"/>
            <w:tabs>
              <w:tab w:val="clear" w:pos="7609"/>
              <w:tab w:val="right" w:pos="9026" w:leader="dot"/>
            </w:tabs>
            <w:rPr/>
          </w:pPr>
          <w:hyperlink w:anchor="__RefHeading___Toc4026583_3224264995">
            <w:r>
              <w:rPr>
                <w:webHidden/>
                <w:rStyle w:val="IndexLink"/>
                <w:rtl w:val="true"/>
              </w:rPr>
              <w:t>مختارنا فی المقام</w:t>
            </w:r>
            <w:r>
              <w:rPr>
                <w:rStyle w:val="IndexLink"/>
                <w:rtl w:val="true"/>
              </w:rPr>
              <w:tab/>
            </w:r>
            <w:r>
              <w:rPr>
                <w:rStyle w:val="IndexLink"/>
              </w:rPr>
              <w:t>480</w:t>
            </w:r>
          </w:hyperlink>
        </w:p>
        <w:p>
          <w:pPr>
            <w:pStyle w:val="Contents4"/>
            <w:tabs>
              <w:tab w:val="clear" w:pos="8176"/>
              <w:tab w:val="right" w:pos="9026" w:leader="dot"/>
            </w:tabs>
            <w:rPr/>
          </w:pPr>
          <w:hyperlink w:anchor="__RefHeading___Toc4026585_3224264995">
            <w:r>
              <w:rPr>
                <w:webHidden/>
                <w:rStyle w:val="IndexLink"/>
                <w:rtl w:val="true"/>
              </w:rPr>
              <w:t>تفصیل المحقّق النائینی فی المقام و ما یرد علیه</w:t>
            </w:r>
            <w:r>
              <w:rPr>
                <w:rStyle w:val="IndexLink"/>
                <w:rtl w:val="true"/>
              </w:rPr>
              <w:tab/>
            </w:r>
            <w:r>
              <w:rPr>
                <w:rStyle w:val="IndexLink"/>
              </w:rPr>
              <w:t>481</w:t>
            </w:r>
          </w:hyperlink>
        </w:p>
        <w:p>
          <w:pPr>
            <w:pStyle w:val="Contents3"/>
            <w:tabs>
              <w:tab w:val="clear" w:pos="8459"/>
              <w:tab w:val="right" w:pos="9026" w:leader="dot"/>
            </w:tabs>
            <w:rPr/>
          </w:pPr>
          <w:hyperlink w:anchor="__RefHeading___Toc4026587_3224264995">
            <w:r>
              <w:rPr>
                <w:webHidden/>
                <w:rStyle w:val="IndexLink"/>
                <w:rtl w:val="true"/>
              </w:rPr>
              <w:t>المبحث السابع فی الاستثناء المتعقّب للجمل</w:t>
            </w:r>
            <w:r>
              <w:rPr>
                <w:rStyle w:val="IndexLink"/>
                <w:rtl w:val="true"/>
              </w:rPr>
              <w:tab/>
            </w:r>
            <w:r>
              <w:rPr>
                <w:rStyle w:val="IndexLink"/>
              </w:rPr>
              <w:t>484</w:t>
            </w:r>
          </w:hyperlink>
        </w:p>
        <w:p>
          <w:pPr>
            <w:pStyle w:val="Contents4"/>
            <w:tabs>
              <w:tab w:val="clear" w:pos="8176"/>
              <w:tab w:val="right" w:pos="9026" w:leader="dot"/>
            </w:tabs>
            <w:rPr/>
          </w:pPr>
          <w:hyperlink w:anchor="__RefHeading___Toc4026589_3224264995">
            <w:r>
              <w:rPr>
                <w:webHidden/>
                <w:rStyle w:val="IndexLink"/>
                <w:rtl w:val="true"/>
              </w:rPr>
              <w:t>اشارة</w:t>
            </w:r>
            <w:r>
              <w:rPr>
                <w:rStyle w:val="IndexLink"/>
                <w:rtl w:val="true"/>
              </w:rPr>
              <w:tab/>
            </w:r>
            <w:r>
              <w:rPr>
                <w:rStyle w:val="IndexLink"/>
              </w:rPr>
              <w:t>484</w:t>
            </w:r>
          </w:hyperlink>
        </w:p>
        <w:p>
          <w:pPr>
            <w:pStyle w:val="Contents4"/>
            <w:tabs>
              <w:tab w:val="clear" w:pos="8176"/>
              <w:tab w:val="right" w:pos="9026" w:leader="dot"/>
            </w:tabs>
            <w:rPr/>
          </w:pPr>
          <w:hyperlink w:anchor="__RefHeading___Toc4026591_3224264995">
            <w:r>
              <w:rPr>
                <w:webHidden/>
                <w:rStyle w:val="IndexLink"/>
                <w:rtl w:val="true"/>
              </w:rPr>
              <w:t>فی إمکان رجوع الاستثناء إلی الجمیع ثبوتاً</w:t>
            </w:r>
            <w:r>
              <w:rPr>
                <w:rStyle w:val="IndexLink"/>
                <w:rtl w:val="true"/>
              </w:rPr>
              <w:tab/>
            </w:r>
            <w:r>
              <w:rPr>
                <w:rStyle w:val="IndexLink"/>
              </w:rPr>
              <w:t>485</w:t>
            </w:r>
          </w:hyperlink>
        </w:p>
        <w:p>
          <w:pPr>
            <w:pStyle w:val="Contents4"/>
            <w:tabs>
              <w:tab w:val="clear" w:pos="8176"/>
              <w:tab w:val="right" w:pos="9026" w:leader="dot"/>
            </w:tabs>
            <w:rPr/>
          </w:pPr>
          <w:hyperlink w:anchor="__RefHeading___Toc4026593_3224264995">
            <w:r>
              <w:rPr>
                <w:webHidden/>
                <w:rStyle w:val="IndexLink"/>
                <w:rtl w:val="true"/>
              </w:rPr>
              <w:t>فی حال رجوع الاستثناء إثباتاً و استظهاراً</w:t>
            </w:r>
            <w:r>
              <w:rPr>
                <w:rStyle w:val="IndexLink"/>
                <w:rtl w:val="true"/>
              </w:rPr>
              <w:tab/>
            </w:r>
            <w:r>
              <w:rPr>
                <w:rStyle w:val="IndexLink"/>
              </w:rPr>
              <w:t>487</w:t>
            </w:r>
          </w:hyperlink>
        </w:p>
        <w:p>
          <w:pPr>
            <w:pStyle w:val="Contents4"/>
            <w:tabs>
              <w:tab w:val="clear" w:pos="8176"/>
              <w:tab w:val="right" w:pos="9026" w:leader="dot"/>
            </w:tabs>
            <w:rPr/>
          </w:pPr>
          <w:hyperlink w:anchor="__RefHeading___Toc4026595_3224264995">
            <w:r>
              <w:rPr>
                <w:webHidden/>
                <w:rStyle w:val="IndexLink"/>
                <w:rtl w:val="true"/>
              </w:rPr>
              <w:t>تذنیب</w:t>
            </w:r>
            <w:r>
              <w:rPr>
                <w:rStyle w:val="IndexLink"/>
                <w:rtl w:val="true"/>
              </w:rPr>
              <w:t xml:space="preserve">: </w:t>
            </w:r>
            <w:r>
              <w:rPr>
                <w:rStyle w:val="IndexLink"/>
                <w:rtl w:val="true"/>
              </w:rPr>
              <w:t>فی التمسّک بالأصل العملی فی المقام عند الشکّ و الإجمال</w:t>
            </w:r>
            <w:r>
              <w:rPr>
                <w:rStyle w:val="IndexLink"/>
                <w:rtl w:val="true"/>
              </w:rPr>
              <w:tab/>
            </w:r>
            <w:r>
              <w:rPr>
                <w:rStyle w:val="IndexLink"/>
              </w:rPr>
              <w:t>490</w:t>
            </w:r>
          </w:hyperlink>
        </w:p>
        <w:p>
          <w:pPr>
            <w:pStyle w:val="Contents3"/>
            <w:tabs>
              <w:tab w:val="clear" w:pos="8459"/>
              <w:tab w:val="right" w:pos="9026" w:leader="dot"/>
            </w:tabs>
            <w:rPr/>
          </w:pPr>
          <w:hyperlink w:anchor="__RefHeading___Toc4026597_3224264995">
            <w:r>
              <w:rPr>
                <w:webHidden/>
                <w:rStyle w:val="IndexLink"/>
                <w:rtl w:val="true"/>
              </w:rPr>
              <w:t>المبحث الثامن فی دوران الأمر بین النسخ و التخصیص</w:t>
            </w:r>
            <w:r>
              <w:rPr>
                <w:rStyle w:val="IndexLink"/>
                <w:rtl w:val="true"/>
              </w:rPr>
              <w:tab/>
            </w:r>
            <w:r>
              <w:rPr>
                <w:rStyle w:val="IndexLink"/>
              </w:rPr>
              <w:t>492</w:t>
            </w:r>
          </w:hyperlink>
        </w:p>
        <w:p>
          <w:pPr>
            <w:pStyle w:val="Contents4"/>
            <w:tabs>
              <w:tab w:val="clear" w:pos="8176"/>
              <w:tab w:val="right" w:pos="9026" w:leader="dot"/>
            </w:tabs>
            <w:rPr/>
          </w:pPr>
          <w:hyperlink w:anchor="__RefHeading___Toc4026599_3224264995">
            <w:r>
              <w:rPr>
                <w:webHidden/>
                <w:rStyle w:val="IndexLink"/>
                <w:rtl w:val="true"/>
              </w:rPr>
              <w:t>اشارة</w:t>
            </w:r>
            <w:r>
              <w:rPr>
                <w:rStyle w:val="IndexLink"/>
                <w:rtl w:val="true"/>
              </w:rPr>
              <w:tab/>
            </w:r>
            <w:r>
              <w:rPr>
                <w:rStyle w:val="IndexLink"/>
              </w:rPr>
              <w:t>492</w:t>
            </w:r>
          </w:hyperlink>
        </w:p>
        <w:p>
          <w:pPr>
            <w:pStyle w:val="Contents4"/>
            <w:tabs>
              <w:tab w:val="clear" w:pos="8176"/>
              <w:tab w:val="right" w:pos="9026" w:leader="dot"/>
            </w:tabs>
            <w:rPr/>
          </w:pPr>
          <w:hyperlink w:anchor="__RefHeading___Toc4026601_3224264995">
            <w:r>
              <w:rPr>
                <w:webHidden/>
                <w:rStyle w:val="IndexLink"/>
                <w:rtl w:val="true"/>
              </w:rPr>
              <w:t>المقام الأوّل</w:t>
            </w:r>
            <w:r>
              <w:rPr>
                <w:rStyle w:val="IndexLink"/>
                <w:rtl w:val="true"/>
              </w:rPr>
              <w:t xml:space="preserve">: </w:t>
            </w:r>
            <w:r>
              <w:rPr>
                <w:rStyle w:val="IndexLink"/>
                <w:rtl w:val="true"/>
              </w:rPr>
              <w:t>فی ماهیة النسخ و التخصیص ثبوتاً و بیان إمکانهما</w:t>
            </w:r>
            <w:r>
              <w:rPr>
                <w:rStyle w:val="IndexLink"/>
                <w:rtl w:val="true"/>
              </w:rPr>
              <w:tab/>
            </w:r>
            <w:r>
              <w:rPr>
                <w:rStyle w:val="IndexLink"/>
              </w:rPr>
              <w:t>492</w:t>
            </w:r>
          </w:hyperlink>
        </w:p>
        <w:p>
          <w:pPr>
            <w:pStyle w:val="Contents5"/>
            <w:tabs>
              <w:tab w:val="clear" w:pos="7892"/>
              <w:tab w:val="right" w:pos="9026" w:leader="dot"/>
            </w:tabs>
            <w:rPr/>
          </w:pPr>
          <w:hyperlink w:anchor="__RefHeading___Toc4026603_3224264995">
            <w:r>
              <w:rPr>
                <w:webHidden/>
                <w:rStyle w:val="IndexLink"/>
                <w:rtl w:val="true"/>
              </w:rPr>
              <w:t>اشارة</w:t>
            </w:r>
            <w:r>
              <w:rPr>
                <w:rStyle w:val="IndexLink"/>
                <w:rtl w:val="true"/>
              </w:rPr>
              <w:tab/>
            </w:r>
            <w:r>
              <w:rPr>
                <w:rStyle w:val="IndexLink"/>
              </w:rPr>
              <w:t>492</w:t>
            </w:r>
          </w:hyperlink>
        </w:p>
        <w:p>
          <w:pPr>
            <w:pStyle w:val="Contents5"/>
            <w:tabs>
              <w:tab w:val="clear" w:pos="7892"/>
              <w:tab w:val="right" w:pos="9026" w:leader="dot"/>
            </w:tabs>
            <w:rPr/>
          </w:pPr>
          <w:hyperlink w:anchor="__RefHeading___Toc4026605_3224264995">
            <w:r>
              <w:rPr>
                <w:webHidden/>
                <w:rStyle w:val="IndexLink"/>
                <w:rtl w:val="true"/>
              </w:rPr>
              <w:t>ما یعتبر فی صحّة النسخ</w:t>
            </w:r>
            <w:r>
              <w:rPr>
                <w:rStyle w:val="IndexLink"/>
                <w:rtl w:val="true"/>
              </w:rPr>
              <w:tab/>
            </w:r>
            <w:r>
              <w:rPr>
                <w:rStyle w:val="IndexLink"/>
              </w:rPr>
              <w:t>493</w:t>
            </w:r>
          </w:hyperlink>
        </w:p>
        <w:p>
          <w:pPr>
            <w:pStyle w:val="Contents4"/>
            <w:tabs>
              <w:tab w:val="clear" w:pos="8176"/>
              <w:tab w:val="right" w:pos="9026" w:leader="dot"/>
            </w:tabs>
            <w:rPr/>
          </w:pPr>
          <w:hyperlink w:anchor="__RefHeading___Toc4026607_3224264995">
            <w:r>
              <w:rPr>
                <w:webHidden/>
                <w:rStyle w:val="IndexLink"/>
                <w:rtl w:val="true"/>
              </w:rPr>
              <w:t>المقام الثانی</w:t>
            </w:r>
            <w:r>
              <w:rPr>
                <w:rStyle w:val="IndexLink"/>
                <w:rtl w:val="true"/>
              </w:rPr>
              <w:t xml:space="preserve">: </w:t>
            </w:r>
            <w:r>
              <w:rPr>
                <w:rStyle w:val="IndexLink"/>
                <w:rtl w:val="true"/>
              </w:rPr>
              <w:t>فی مقام الإثبات و الاستظهار</w:t>
            </w:r>
            <w:r>
              <w:rPr>
                <w:rStyle w:val="IndexLink"/>
                <w:rtl w:val="true"/>
              </w:rPr>
              <w:tab/>
            </w:r>
            <w:r>
              <w:rPr>
                <w:rStyle w:val="IndexLink"/>
              </w:rPr>
              <w:t>499</w:t>
            </w:r>
          </w:hyperlink>
        </w:p>
        <w:p>
          <w:pPr>
            <w:pStyle w:val="Contents5"/>
            <w:tabs>
              <w:tab w:val="clear" w:pos="7892"/>
              <w:tab w:val="right" w:pos="9026" w:leader="dot"/>
            </w:tabs>
            <w:rPr/>
          </w:pPr>
          <w:hyperlink w:anchor="__RefHeading___Toc4026609_3224264995">
            <w:r>
              <w:rPr>
                <w:webHidden/>
                <w:rStyle w:val="IndexLink"/>
                <w:rtl w:val="true"/>
              </w:rPr>
              <w:t>اشارة</w:t>
            </w:r>
            <w:r>
              <w:rPr>
                <w:rStyle w:val="IndexLink"/>
                <w:rtl w:val="true"/>
              </w:rPr>
              <w:tab/>
            </w:r>
            <w:r>
              <w:rPr>
                <w:rStyle w:val="IndexLink"/>
              </w:rPr>
              <w:t>499</w:t>
            </w:r>
          </w:hyperlink>
        </w:p>
        <w:p>
          <w:pPr>
            <w:pStyle w:val="Contents5"/>
            <w:tabs>
              <w:tab w:val="clear" w:pos="7892"/>
              <w:tab w:val="right" w:pos="9026" w:leader="dot"/>
            </w:tabs>
            <w:rPr/>
          </w:pPr>
          <w:hyperlink w:anchor="__RefHeading___Toc4026611_3224264995">
            <w:r>
              <w:rPr>
                <w:webHidden/>
                <w:rStyle w:val="IndexLink"/>
                <w:rtl w:val="true"/>
              </w:rPr>
              <w:t>إیقاظ فی موقف حال ما ورد عن أئمّة أهل البیت المخالف للکتاب و السنّة</w:t>
            </w:r>
            <w:r>
              <w:rPr>
                <w:rStyle w:val="IndexLink"/>
                <w:rtl w:val="true"/>
              </w:rPr>
              <w:tab/>
            </w:r>
            <w:r>
              <w:rPr>
                <w:rStyle w:val="IndexLink"/>
              </w:rPr>
              <w:t>501</w:t>
            </w:r>
          </w:hyperlink>
        </w:p>
        <w:p>
          <w:pPr>
            <w:pStyle w:val="Contents3"/>
            <w:tabs>
              <w:tab w:val="clear" w:pos="8459"/>
              <w:tab w:val="right" w:pos="9026" w:leader="dot"/>
            </w:tabs>
            <w:rPr/>
          </w:pPr>
          <w:hyperlink w:anchor="__RefHeading___Toc4026613_3224264995">
            <w:r>
              <w:rPr>
                <w:webHidden/>
                <w:rStyle w:val="IndexLink"/>
                <w:rtl w:val="true"/>
              </w:rPr>
              <w:t>المبحث التاسع فی تخصیص العامّ أو المطلق الکتابی بخبر الواحد</w:t>
            </w:r>
            <w:r>
              <w:rPr>
                <w:rStyle w:val="IndexLink"/>
                <w:rtl w:val="true"/>
              </w:rPr>
              <w:tab/>
            </w:r>
            <w:r>
              <w:rPr>
                <w:rStyle w:val="IndexLink"/>
              </w:rPr>
              <w:t>505</w:t>
            </w:r>
          </w:hyperlink>
        </w:p>
        <w:p>
          <w:pPr>
            <w:pStyle w:val="Contents4"/>
            <w:tabs>
              <w:tab w:val="clear" w:pos="8176"/>
              <w:tab w:val="right" w:pos="9026" w:leader="dot"/>
            </w:tabs>
            <w:rPr/>
          </w:pPr>
          <w:hyperlink w:anchor="__RefHeading___Toc4026615_3224264995">
            <w:r>
              <w:rPr>
                <w:webHidden/>
                <w:rStyle w:val="IndexLink"/>
                <w:rtl w:val="true"/>
              </w:rPr>
              <w:t>اشارة</w:t>
            </w:r>
            <w:r>
              <w:rPr>
                <w:rStyle w:val="IndexLink"/>
                <w:rtl w:val="true"/>
              </w:rPr>
              <w:tab/>
            </w:r>
            <w:r>
              <w:rPr>
                <w:rStyle w:val="IndexLink"/>
              </w:rPr>
              <w:t>505</w:t>
            </w:r>
          </w:hyperlink>
        </w:p>
        <w:p>
          <w:pPr>
            <w:pStyle w:val="Contents4"/>
            <w:tabs>
              <w:tab w:val="clear" w:pos="8176"/>
              <w:tab w:val="right" w:pos="9026" w:leader="dot"/>
            </w:tabs>
            <w:rPr/>
          </w:pPr>
          <w:hyperlink w:anchor="__RefHeading___Toc4026617_3224264995">
            <w:r>
              <w:rPr>
                <w:webHidden/>
                <w:rStyle w:val="IndexLink"/>
                <w:rtl w:val="true"/>
              </w:rPr>
              <w:t>حول ما یستدلّ به علی جواز التخصیص و التقیید</w:t>
            </w:r>
            <w:r>
              <w:rPr>
                <w:rStyle w:val="IndexLink"/>
                <w:rtl w:val="true"/>
              </w:rPr>
              <w:tab/>
            </w:r>
            <w:r>
              <w:rPr>
                <w:rStyle w:val="IndexLink"/>
              </w:rPr>
              <w:t>506</w:t>
            </w:r>
          </w:hyperlink>
        </w:p>
        <w:p>
          <w:pPr>
            <w:pStyle w:val="Contents4"/>
            <w:tabs>
              <w:tab w:val="clear" w:pos="8176"/>
              <w:tab w:val="right" w:pos="9026" w:leader="dot"/>
            </w:tabs>
            <w:rPr/>
          </w:pPr>
          <w:hyperlink w:anchor="__RefHeading___Toc4026619_3224264995">
            <w:r>
              <w:rPr>
                <w:webHidden/>
                <w:rStyle w:val="IndexLink"/>
                <w:rtl w:val="true"/>
              </w:rPr>
              <w:t>حول ما یستدلّ به علی عدم جواز التخصیص أو التقیید</w:t>
            </w:r>
            <w:r>
              <w:rPr>
                <w:rStyle w:val="IndexLink"/>
                <w:rtl w:val="true"/>
              </w:rPr>
              <w:tab/>
            </w:r>
            <w:r>
              <w:rPr>
                <w:rStyle w:val="IndexLink"/>
              </w:rPr>
              <w:t>510</w:t>
            </w:r>
          </w:hyperlink>
        </w:p>
        <w:p>
          <w:pPr>
            <w:pStyle w:val="Contents2"/>
            <w:tabs>
              <w:tab w:val="clear" w:pos="8743"/>
              <w:tab w:val="right" w:pos="9026" w:leader="dot"/>
            </w:tabs>
            <w:rPr/>
          </w:pPr>
          <w:hyperlink w:anchor="__RefHeading___Toc4026621_3224264995">
            <w:r>
              <w:rPr>
                <w:webHidden/>
                <w:rStyle w:val="IndexLink"/>
                <w:rtl w:val="true"/>
              </w:rPr>
              <w:t>المقصد الخامس فی المطلق و المقیّد</w:t>
            </w:r>
            <w:r>
              <w:rPr>
                <w:rStyle w:val="IndexLink"/>
                <w:rtl w:val="true"/>
              </w:rPr>
              <w:tab/>
            </w:r>
            <w:r>
              <w:rPr>
                <w:rStyle w:val="IndexLink"/>
              </w:rPr>
              <w:t>512</w:t>
            </w:r>
          </w:hyperlink>
        </w:p>
        <w:p>
          <w:pPr>
            <w:pStyle w:val="Contents3"/>
            <w:tabs>
              <w:tab w:val="clear" w:pos="8459"/>
              <w:tab w:val="right" w:pos="9026" w:leader="dot"/>
            </w:tabs>
            <w:rPr/>
          </w:pPr>
          <w:hyperlink w:anchor="__RefHeading___Toc4026623_3224264995">
            <w:r>
              <w:rPr>
                <w:webHidden/>
                <w:rStyle w:val="IndexLink"/>
                <w:rtl w:val="true"/>
              </w:rPr>
              <w:t>اشارة</w:t>
            </w:r>
            <w:r>
              <w:rPr>
                <w:rStyle w:val="IndexLink"/>
                <w:rtl w:val="true"/>
              </w:rPr>
              <w:tab/>
            </w:r>
            <w:r>
              <w:rPr>
                <w:rStyle w:val="IndexLink"/>
              </w:rPr>
              <w:t>512</w:t>
            </w:r>
          </w:hyperlink>
        </w:p>
        <w:p>
          <w:pPr>
            <w:pStyle w:val="Contents3"/>
            <w:tabs>
              <w:tab w:val="clear" w:pos="8459"/>
              <w:tab w:val="right" w:pos="9026" w:leader="dot"/>
            </w:tabs>
            <w:rPr/>
          </w:pPr>
          <w:hyperlink w:anchor="__RefHeading___Toc4026625_3224264995">
            <w:r>
              <w:rPr>
                <w:webHidden/>
                <w:rStyle w:val="IndexLink"/>
                <w:rtl w:val="true"/>
              </w:rPr>
              <w:t>المبحث الأوّل فی ماهیتهما</w:t>
            </w:r>
            <w:r>
              <w:rPr>
                <w:rStyle w:val="IndexLink"/>
                <w:rtl w:val="true"/>
              </w:rPr>
              <w:tab/>
            </w:r>
            <w:r>
              <w:rPr>
                <w:rStyle w:val="IndexLink"/>
              </w:rPr>
              <w:t>513</w:t>
            </w:r>
          </w:hyperlink>
        </w:p>
        <w:p>
          <w:pPr>
            <w:pStyle w:val="Contents4"/>
            <w:tabs>
              <w:tab w:val="clear" w:pos="8176"/>
              <w:tab w:val="right" w:pos="9026" w:leader="dot"/>
            </w:tabs>
            <w:rPr/>
          </w:pPr>
          <w:hyperlink w:anchor="__RefHeading___Toc4026627_3224264995">
            <w:r>
              <w:rPr>
                <w:webHidden/>
                <w:rStyle w:val="IndexLink"/>
                <w:rtl w:val="true"/>
              </w:rPr>
              <w:t>اشارة</w:t>
            </w:r>
            <w:r>
              <w:rPr>
                <w:rStyle w:val="IndexLink"/>
                <w:rtl w:val="true"/>
              </w:rPr>
              <w:tab/>
            </w:r>
            <w:r>
              <w:rPr>
                <w:rStyle w:val="IndexLink"/>
              </w:rPr>
              <w:t>513</w:t>
            </w:r>
          </w:hyperlink>
        </w:p>
        <w:p>
          <w:pPr>
            <w:pStyle w:val="Contents4"/>
            <w:tabs>
              <w:tab w:val="clear" w:pos="8176"/>
              <w:tab w:val="right" w:pos="9026" w:leader="dot"/>
            </w:tabs>
            <w:rPr/>
          </w:pPr>
          <w:hyperlink w:anchor="__RefHeading___Toc4026629_3224264995">
            <w:r>
              <w:rPr>
                <w:webHidden/>
                <w:rStyle w:val="IndexLink"/>
                <w:rtl w:val="true"/>
              </w:rPr>
              <w:t>حول المراد بقولهم</w:t>
            </w:r>
            <w:r>
              <w:rPr>
                <w:rStyle w:val="IndexLink"/>
                <w:rtl w:val="true"/>
              </w:rPr>
              <w:t>: «</w:t>
            </w:r>
            <w:r>
              <w:rPr>
                <w:rStyle w:val="IndexLink"/>
                <w:rtl w:val="true"/>
              </w:rPr>
              <w:t>شائع فی جنسه</w:t>
            </w:r>
            <w:r>
              <w:rPr>
                <w:rStyle w:val="IndexLink"/>
                <w:rtl w:val="true"/>
              </w:rPr>
              <w:t>»</w:t>
              <w:tab/>
            </w:r>
            <w:r>
              <w:rPr>
                <w:rStyle w:val="IndexLink"/>
              </w:rPr>
              <w:t>515</w:t>
            </w:r>
          </w:hyperlink>
        </w:p>
        <w:p>
          <w:pPr>
            <w:pStyle w:val="Contents4"/>
            <w:tabs>
              <w:tab w:val="clear" w:pos="8176"/>
              <w:tab w:val="right" w:pos="9026" w:leader="dot"/>
            </w:tabs>
            <w:rPr/>
          </w:pPr>
          <w:hyperlink w:anchor="__RefHeading___Toc4026631_3224264995">
            <w:r>
              <w:rPr>
                <w:webHidden/>
                <w:rStyle w:val="IndexLink"/>
                <w:rtl w:val="true"/>
              </w:rPr>
              <w:t>بیان النسبة بین الإطلاق و التقیید</w:t>
            </w:r>
            <w:r>
              <w:rPr>
                <w:rStyle w:val="IndexLink"/>
                <w:rtl w:val="true"/>
              </w:rPr>
              <w:tab/>
            </w:r>
            <w:r>
              <w:rPr>
                <w:rStyle w:val="IndexLink"/>
              </w:rPr>
              <w:t>517</w:t>
            </w:r>
          </w:hyperlink>
        </w:p>
        <w:p>
          <w:pPr>
            <w:pStyle w:val="Contents3"/>
            <w:tabs>
              <w:tab w:val="clear" w:pos="8459"/>
              <w:tab w:val="right" w:pos="9026" w:leader="dot"/>
            </w:tabs>
            <w:rPr/>
          </w:pPr>
          <w:hyperlink w:anchor="__RefHeading___Toc4026633_3224264995">
            <w:r>
              <w:rPr>
                <w:webHidden/>
                <w:rStyle w:val="IndexLink"/>
                <w:rtl w:val="true"/>
              </w:rPr>
              <w:t>المبحث الثانی حول بعض الألفاظ التی یطلق علیها المطلق</w:t>
            </w:r>
            <w:r>
              <w:rPr>
                <w:rStyle w:val="IndexLink"/>
                <w:rtl w:val="true"/>
              </w:rPr>
              <w:tab/>
            </w:r>
            <w:r>
              <w:rPr>
                <w:rStyle w:val="IndexLink"/>
              </w:rPr>
              <w:t>519</w:t>
            </w:r>
          </w:hyperlink>
        </w:p>
        <w:p>
          <w:pPr>
            <w:pStyle w:val="Contents4"/>
            <w:tabs>
              <w:tab w:val="clear" w:pos="8176"/>
              <w:tab w:val="right" w:pos="9026" w:leader="dot"/>
            </w:tabs>
            <w:rPr/>
          </w:pPr>
          <w:hyperlink w:anchor="__RefHeading___Toc4026635_3224264995">
            <w:r>
              <w:rPr>
                <w:webHidden/>
                <w:rStyle w:val="IndexLink"/>
                <w:rtl w:val="true"/>
              </w:rPr>
              <w:t>اشارة</w:t>
            </w:r>
            <w:r>
              <w:rPr>
                <w:rStyle w:val="IndexLink"/>
                <w:rtl w:val="true"/>
              </w:rPr>
              <w:tab/>
            </w:r>
            <w:r>
              <w:rPr>
                <w:rStyle w:val="IndexLink"/>
              </w:rPr>
              <w:t>519</w:t>
            </w:r>
          </w:hyperlink>
        </w:p>
        <w:p>
          <w:pPr>
            <w:pStyle w:val="Contents4"/>
            <w:tabs>
              <w:tab w:val="clear" w:pos="8176"/>
              <w:tab w:val="right" w:pos="9026" w:leader="dot"/>
            </w:tabs>
            <w:rPr/>
          </w:pPr>
          <w:hyperlink w:anchor="__RefHeading___Toc4026637_3224264995">
            <w:r>
              <w:rPr>
                <w:webHidden/>
                <w:rStyle w:val="IndexLink"/>
                <w:rtl w:val="true"/>
              </w:rPr>
              <w:t>منها</w:t>
            </w:r>
            <w:r>
              <w:rPr>
                <w:rStyle w:val="IndexLink"/>
                <w:rtl w:val="true"/>
              </w:rPr>
              <w:t xml:space="preserve">: </w:t>
            </w:r>
            <w:r>
              <w:rPr>
                <w:rStyle w:val="IndexLink"/>
                <w:rtl w:val="true"/>
              </w:rPr>
              <w:t>اسم الجنس</w:t>
            </w:r>
            <w:r>
              <w:rPr>
                <w:rStyle w:val="IndexLink"/>
                <w:rtl w:val="true"/>
              </w:rPr>
              <w:tab/>
            </w:r>
            <w:r>
              <w:rPr>
                <w:rStyle w:val="IndexLink"/>
              </w:rPr>
              <w:t>520</w:t>
            </w:r>
          </w:hyperlink>
        </w:p>
        <w:p>
          <w:pPr>
            <w:pStyle w:val="Contents5"/>
            <w:tabs>
              <w:tab w:val="clear" w:pos="7892"/>
              <w:tab w:val="right" w:pos="9026" w:leader="dot"/>
            </w:tabs>
            <w:rPr/>
          </w:pPr>
          <w:hyperlink w:anchor="__RefHeading___Toc4026639_3224264995">
            <w:r>
              <w:rPr>
                <w:webHidden/>
                <w:rStyle w:val="IndexLink"/>
                <w:rtl w:val="true"/>
              </w:rPr>
              <w:t>اشارة</w:t>
            </w:r>
            <w:r>
              <w:rPr>
                <w:rStyle w:val="IndexLink"/>
                <w:rtl w:val="true"/>
              </w:rPr>
              <w:tab/>
            </w:r>
            <w:r>
              <w:rPr>
                <w:rStyle w:val="IndexLink"/>
              </w:rPr>
              <w:t>520</w:t>
            </w:r>
          </w:hyperlink>
        </w:p>
        <w:p>
          <w:pPr>
            <w:pStyle w:val="Contents5"/>
            <w:tabs>
              <w:tab w:val="clear" w:pos="7892"/>
              <w:tab w:val="right" w:pos="9026" w:leader="dot"/>
            </w:tabs>
            <w:rPr/>
          </w:pPr>
          <w:hyperlink w:anchor="__RefHeading___Toc4026641_3224264995">
            <w:r>
              <w:rPr>
                <w:webHidden/>
                <w:rStyle w:val="IndexLink"/>
                <w:rtl w:val="true"/>
              </w:rPr>
              <w:t>ذکر و إعجاب</w:t>
            </w:r>
            <w:r>
              <w:rPr>
                <w:rStyle w:val="IndexLink"/>
                <w:rtl w:val="true"/>
              </w:rPr>
              <w:tab/>
            </w:r>
            <w:r>
              <w:rPr>
                <w:rStyle w:val="IndexLink"/>
              </w:rPr>
              <w:t>521</w:t>
            </w:r>
          </w:hyperlink>
        </w:p>
        <w:p>
          <w:pPr>
            <w:pStyle w:val="Contents5"/>
            <w:tabs>
              <w:tab w:val="clear" w:pos="7892"/>
              <w:tab w:val="right" w:pos="9026" w:leader="dot"/>
            </w:tabs>
            <w:rPr/>
          </w:pPr>
          <w:hyperlink w:anchor="__RefHeading___Toc4026643_3224264995">
            <w:r>
              <w:rPr>
                <w:webHidden/>
                <w:rStyle w:val="IndexLink"/>
                <w:rtl w:val="true"/>
              </w:rPr>
              <w:t>أقسام الماهیة</w:t>
            </w:r>
            <w:r>
              <w:rPr>
                <w:rStyle w:val="IndexLink"/>
                <w:rtl w:val="true"/>
              </w:rPr>
              <w:tab/>
            </w:r>
            <w:r>
              <w:rPr>
                <w:rStyle w:val="IndexLink"/>
              </w:rPr>
              <w:t>523</w:t>
            </w:r>
          </w:hyperlink>
        </w:p>
        <w:p>
          <w:pPr>
            <w:pStyle w:val="Contents4"/>
            <w:tabs>
              <w:tab w:val="clear" w:pos="8176"/>
              <w:tab w:val="right" w:pos="9026" w:leader="dot"/>
            </w:tabs>
            <w:rPr/>
          </w:pPr>
          <w:hyperlink w:anchor="__RefHeading___Toc4026645_3224264995">
            <w:r>
              <w:rPr>
                <w:webHidden/>
                <w:rStyle w:val="IndexLink"/>
                <w:rtl w:val="true"/>
              </w:rPr>
              <w:t>و منها</w:t>
            </w:r>
            <w:r>
              <w:rPr>
                <w:rStyle w:val="IndexLink"/>
                <w:rtl w:val="true"/>
              </w:rPr>
              <w:t xml:space="preserve">: </w:t>
            </w:r>
            <w:r>
              <w:rPr>
                <w:rStyle w:val="IndexLink"/>
                <w:rtl w:val="true"/>
              </w:rPr>
              <w:t>علم الجنس</w:t>
            </w:r>
            <w:r>
              <w:rPr>
                <w:rStyle w:val="IndexLink"/>
                <w:rtl w:val="true"/>
              </w:rPr>
              <w:tab/>
            </w:r>
            <w:r>
              <w:rPr>
                <w:rStyle w:val="IndexLink"/>
              </w:rPr>
              <w:t>530</w:t>
            </w:r>
          </w:hyperlink>
        </w:p>
        <w:p>
          <w:pPr>
            <w:pStyle w:val="Contents4"/>
            <w:tabs>
              <w:tab w:val="clear" w:pos="8176"/>
              <w:tab w:val="right" w:pos="9026" w:leader="dot"/>
            </w:tabs>
            <w:rPr/>
          </w:pPr>
          <w:hyperlink w:anchor="__RefHeading___Toc4026647_3224264995">
            <w:r>
              <w:rPr>
                <w:webHidden/>
                <w:rStyle w:val="IndexLink"/>
                <w:rtl w:val="true"/>
              </w:rPr>
              <w:t>و منها</w:t>
            </w:r>
            <w:r>
              <w:rPr>
                <w:rStyle w:val="IndexLink"/>
                <w:rtl w:val="true"/>
              </w:rPr>
              <w:t xml:space="preserve">: </w:t>
            </w:r>
            <w:r>
              <w:rPr>
                <w:rStyle w:val="IndexLink"/>
                <w:rtl w:val="true"/>
              </w:rPr>
              <w:t>المفرد المحلّی باللام</w:t>
            </w:r>
            <w:r>
              <w:rPr>
                <w:rStyle w:val="IndexLink"/>
                <w:rtl w:val="true"/>
              </w:rPr>
              <w:tab/>
            </w:r>
            <w:r>
              <w:rPr>
                <w:rStyle w:val="IndexLink"/>
              </w:rPr>
              <w:t>533</w:t>
            </w:r>
          </w:hyperlink>
        </w:p>
        <w:p>
          <w:pPr>
            <w:pStyle w:val="Contents4"/>
            <w:tabs>
              <w:tab w:val="clear" w:pos="8176"/>
              <w:tab w:val="right" w:pos="9026" w:leader="dot"/>
            </w:tabs>
            <w:rPr/>
          </w:pPr>
          <w:hyperlink w:anchor="__RefHeading___Toc4026649_3224264995">
            <w:r>
              <w:rPr>
                <w:webHidden/>
                <w:rStyle w:val="IndexLink"/>
                <w:rtl w:val="true"/>
              </w:rPr>
              <w:t>و منها</w:t>
            </w:r>
            <w:r>
              <w:rPr>
                <w:rStyle w:val="IndexLink"/>
                <w:rtl w:val="true"/>
              </w:rPr>
              <w:t xml:space="preserve">: </w:t>
            </w:r>
            <w:r>
              <w:rPr>
                <w:rStyle w:val="IndexLink"/>
                <w:rtl w:val="true"/>
              </w:rPr>
              <w:t>النکرة</w:t>
            </w:r>
            <w:r>
              <w:rPr>
                <w:rStyle w:val="IndexLink"/>
                <w:rtl w:val="true"/>
              </w:rPr>
              <w:tab/>
            </w:r>
            <w:r>
              <w:rPr>
                <w:rStyle w:val="IndexLink"/>
              </w:rPr>
              <w:t>534</w:t>
            </w:r>
          </w:hyperlink>
        </w:p>
        <w:p>
          <w:pPr>
            <w:pStyle w:val="Contents3"/>
            <w:tabs>
              <w:tab w:val="clear" w:pos="8459"/>
              <w:tab w:val="right" w:pos="9026" w:leader="dot"/>
            </w:tabs>
            <w:rPr/>
          </w:pPr>
          <w:hyperlink w:anchor="__RefHeading___Toc4026651_3224264995">
            <w:r>
              <w:rPr>
                <w:webHidden/>
                <w:rStyle w:val="IndexLink"/>
                <w:rtl w:val="true"/>
              </w:rPr>
              <w:t>المبحث الثالث فی مقدّمات الحکمة</w:t>
            </w:r>
            <w:r>
              <w:rPr>
                <w:rStyle w:val="IndexLink"/>
                <w:rtl w:val="true"/>
              </w:rPr>
              <w:tab/>
            </w:r>
            <w:r>
              <w:rPr>
                <w:rStyle w:val="IndexLink"/>
              </w:rPr>
              <w:t>536</w:t>
            </w:r>
          </w:hyperlink>
        </w:p>
        <w:p>
          <w:pPr>
            <w:pStyle w:val="Contents4"/>
            <w:tabs>
              <w:tab w:val="clear" w:pos="8176"/>
              <w:tab w:val="right" w:pos="9026" w:leader="dot"/>
            </w:tabs>
            <w:rPr/>
          </w:pPr>
          <w:hyperlink w:anchor="__RefHeading___Toc4026653_3224264995">
            <w:r>
              <w:rPr>
                <w:webHidden/>
                <w:rStyle w:val="IndexLink"/>
                <w:rtl w:val="true"/>
              </w:rPr>
              <w:t>اشارة</w:t>
            </w:r>
            <w:r>
              <w:rPr>
                <w:rStyle w:val="IndexLink"/>
                <w:rtl w:val="true"/>
              </w:rPr>
              <w:tab/>
            </w:r>
            <w:r>
              <w:rPr>
                <w:rStyle w:val="IndexLink"/>
              </w:rPr>
              <w:t>536</w:t>
            </w:r>
          </w:hyperlink>
        </w:p>
        <w:p>
          <w:pPr>
            <w:pStyle w:val="Contents4"/>
            <w:tabs>
              <w:tab w:val="clear" w:pos="8176"/>
              <w:tab w:val="right" w:pos="9026" w:leader="dot"/>
            </w:tabs>
            <w:rPr/>
          </w:pPr>
          <w:hyperlink w:anchor="__RefHeading___Toc4026655_3224264995">
            <w:r>
              <w:rPr>
                <w:webHidden/>
                <w:rStyle w:val="IndexLink"/>
                <w:rtl w:val="true"/>
              </w:rPr>
              <w:t>حول ما یتوقّف علیه التمسّک بالإطلاق</w:t>
            </w:r>
            <w:r>
              <w:rPr>
                <w:rStyle w:val="IndexLink"/>
                <w:rtl w:val="true"/>
              </w:rPr>
              <w:tab/>
            </w:r>
            <w:r>
              <w:rPr>
                <w:rStyle w:val="IndexLink"/>
              </w:rPr>
              <w:t>537</w:t>
            </w:r>
          </w:hyperlink>
        </w:p>
        <w:p>
          <w:pPr>
            <w:pStyle w:val="Contents4"/>
            <w:tabs>
              <w:tab w:val="clear" w:pos="8176"/>
              <w:tab w:val="right" w:pos="9026" w:leader="dot"/>
            </w:tabs>
            <w:rPr/>
          </w:pPr>
          <w:hyperlink w:anchor="__RefHeading___Toc4026657_3224264995">
            <w:r>
              <w:rPr>
                <w:webHidden/>
                <w:rStyle w:val="IndexLink"/>
                <w:rtl w:val="true"/>
              </w:rPr>
              <w:t>تذییلات</w:t>
            </w:r>
            <w:r>
              <w:rPr>
                <w:rStyle w:val="IndexLink"/>
                <w:rtl w:val="true"/>
              </w:rPr>
              <w:tab/>
            </w:r>
            <w:r>
              <w:rPr>
                <w:rStyle w:val="IndexLink"/>
              </w:rPr>
              <w:t>541</w:t>
            </w:r>
          </w:hyperlink>
        </w:p>
        <w:p>
          <w:pPr>
            <w:pStyle w:val="Contents5"/>
            <w:tabs>
              <w:tab w:val="clear" w:pos="7892"/>
              <w:tab w:val="right" w:pos="9026" w:leader="dot"/>
            </w:tabs>
            <w:rPr/>
          </w:pPr>
          <w:hyperlink w:anchor="__RefHeading___Toc4026659_3224264995">
            <w:r>
              <w:rPr>
                <w:webHidden/>
                <w:rStyle w:val="IndexLink"/>
                <w:rtl w:val="true"/>
              </w:rPr>
              <w:t>الأوّل</w:t>
            </w:r>
            <w:r>
              <w:rPr>
                <w:rStyle w:val="IndexLink"/>
                <w:rtl w:val="true"/>
              </w:rPr>
              <w:t xml:space="preserve">: </w:t>
            </w:r>
            <w:r>
              <w:rPr>
                <w:rStyle w:val="IndexLink"/>
                <w:rtl w:val="true"/>
              </w:rPr>
              <w:t>فی عدم انخرام الإطلاق بعد ورود التقیید</w:t>
            </w:r>
            <w:r>
              <w:rPr>
                <w:rStyle w:val="IndexLink"/>
                <w:rtl w:val="true"/>
              </w:rPr>
              <w:tab/>
            </w:r>
            <w:r>
              <w:rPr>
                <w:rStyle w:val="IndexLink"/>
              </w:rPr>
              <w:t>541</w:t>
            </w:r>
          </w:hyperlink>
        </w:p>
        <w:p>
          <w:pPr>
            <w:pStyle w:val="Contents5"/>
            <w:tabs>
              <w:tab w:val="clear" w:pos="7892"/>
              <w:tab w:val="right" w:pos="9026" w:leader="dot"/>
            </w:tabs>
            <w:rPr/>
          </w:pPr>
          <w:hyperlink w:anchor="__RefHeading___Toc4026661_3224264995">
            <w:r>
              <w:rPr>
                <w:webHidden/>
                <w:rStyle w:val="IndexLink"/>
                <w:rtl w:val="true"/>
              </w:rPr>
              <w:t>الثانی</w:t>
            </w:r>
            <w:r>
              <w:rPr>
                <w:rStyle w:val="IndexLink"/>
                <w:rtl w:val="true"/>
              </w:rPr>
              <w:t xml:space="preserve">: </w:t>
            </w:r>
            <w:r>
              <w:rPr>
                <w:rStyle w:val="IndexLink"/>
                <w:rtl w:val="true"/>
              </w:rPr>
              <w:t>فی التمسّک بالإطلاق لنفی القیود فی محیط التقنین</w:t>
            </w:r>
            <w:r>
              <w:rPr>
                <w:rStyle w:val="IndexLink"/>
                <w:rtl w:val="true"/>
              </w:rPr>
              <w:tab/>
            </w:r>
            <w:r>
              <w:rPr>
                <w:rStyle w:val="IndexLink"/>
              </w:rPr>
              <w:t>543</w:t>
            </w:r>
          </w:hyperlink>
        </w:p>
        <w:p>
          <w:pPr>
            <w:pStyle w:val="Contents5"/>
            <w:tabs>
              <w:tab w:val="clear" w:pos="7892"/>
              <w:tab w:val="right" w:pos="9026" w:leader="dot"/>
            </w:tabs>
            <w:rPr/>
          </w:pPr>
          <w:hyperlink w:anchor="__RefHeading___Toc4026663_3224264995">
            <w:r>
              <w:rPr>
                <w:webHidden/>
                <w:rStyle w:val="IndexLink"/>
                <w:rtl w:val="true"/>
              </w:rPr>
              <w:t>الثالث</w:t>
            </w:r>
            <w:r>
              <w:rPr>
                <w:rStyle w:val="IndexLink"/>
                <w:rtl w:val="true"/>
              </w:rPr>
              <w:t xml:space="preserve">: </w:t>
            </w:r>
            <w:r>
              <w:rPr>
                <w:rStyle w:val="IndexLink"/>
                <w:rtl w:val="true"/>
              </w:rPr>
              <w:t>فی بیان مقتضی الأصل العقلائی عند الشکّ فی مقام البیان</w:t>
            </w:r>
            <w:r>
              <w:rPr>
                <w:rStyle w:val="IndexLink"/>
                <w:rtl w:val="true"/>
              </w:rPr>
              <w:tab/>
            </w:r>
            <w:r>
              <w:rPr>
                <w:rStyle w:val="IndexLink"/>
              </w:rPr>
              <w:t>543</w:t>
            </w:r>
          </w:hyperlink>
        </w:p>
        <w:p>
          <w:pPr>
            <w:pStyle w:val="Contents3"/>
            <w:tabs>
              <w:tab w:val="clear" w:pos="8459"/>
              <w:tab w:val="right" w:pos="9026" w:leader="dot"/>
            </w:tabs>
            <w:rPr/>
          </w:pPr>
          <w:hyperlink w:anchor="__RefHeading___Toc4026665_3224264995">
            <w:r>
              <w:rPr>
                <w:webHidden/>
                <w:rStyle w:val="IndexLink"/>
                <w:rtl w:val="true"/>
              </w:rPr>
              <w:t>المبحث الرابع فی حمل المطلق علی المقیّد</w:t>
            </w:r>
            <w:r>
              <w:rPr>
                <w:rStyle w:val="IndexLink"/>
                <w:rtl w:val="true"/>
              </w:rPr>
              <w:tab/>
            </w:r>
            <w:r>
              <w:rPr>
                <w:rStyle w:val="IndexLink"/>
              </w:rPr>
              <w:t>546</w:t>
            </w:r>
          </w:hyperlink>
        </w:p>
        <w:p>
          <w:pPr>
            <w:pStyle w:val="Contents4"/>
            <w:tabs>
              <w:tab w:val="clear" w:pos="8176"/>
              <w:tab w:val="right" w:pos="9026" w:leader="dot"/>
            </w:tabs>
            <w:rPr/>
          </w:pPr>
          <w:hyperlink w:anchor="__RefHeading___Toc4026667_3224264995">
            <w:r>
              <w:rPr>
                <w:webHidden/>
                <w:rStyle w:val="IndexLink"/>
                <w:rtl w:val="true"/>
              </w:rPr>
              <w:t>اشارة</w:t>
            </w:r>
            <w:r>
              <w:rPr>
                <w:rStyle w:val="IndexLink"/>
                <w:rtl w:val="true"/>
              </w:rPr>
              <w:tab/>
            </w:r>
            <w:r>
              <w:rPr>
                <w:rStyle w:val="IndexLink"/>
              </w:rPr>
              <w:t>546</w:t>
            </w:r>
          </w:hyperlink>
        </w:p>
        <w:p>
          <w:pPr>
            <w:pStyle w:val="Contents4"/>
            <w:tabs>
              <w:tab w:val="clear" w:pos="8176"/>
              <w:tab w:val="right" w:pos="9026" w:leader="dot"/>
            </w:tabs>
            <w:rPr/>
          </w:pPr>
          <w:hyperlink w:anchor="__RefHeading___Toc4026669_3224264995">
            <w:r>
              <w:rPr>
                <w:webHidden/>
                <w:rStyle w:val="IndexLink"/>
                <w:rtl w:val="true"/>
              </w:rPr>
              <w:t>صور المطلق و المقیّد</w:t>
            </w:r>
            <w:r>
              <w:rPr>
                <w:rStyle w:val="IndexLink"/>
                <w:rtl w:val="true"/>
              </w:rPr>
              <w:tab/>
            </w:r>
            <w:r>
              <w:rPr>
                <w:rStyle w:val="IndexLink"/>
              </w:rPr>
              <w:t>546</w:t>
            </w:r>
          </w:hyperlink>
        </w:p>
        <w:p>
          <w:pPr>
            <w:pStyle w:val="Contents4"/>
            <w:tabs>
              <w:tab w:val="clear" w:pos="8176"/>
              <w:tab w:val="right" w:pos="9026" w:leader="dot"/>
            </w:tabs>
            <w:rPr/>
          </w:pPr>
          <w:hyperlink w:anchor="__RefHeading___Toc4026671_3224264995">
            <w:r>
              <w:rPr>
                <w:webHidden/>
                <w:rStyle w:val="IndexLink"/>
                <w:rtl w:val="true"/>
              </w:rPr>
              <w:t>ینبغی الإشارة إلی أمرین</w:t>
            </w:r>
            <w:r>
              <w:rPr>
                <w:rStyle w:val="IndexLink"/>
                <w:rtl w:val="true"/>
              </w:rPr>
              <w:t>:</w:t>
              <w:tab/>
            </w:r>
            <w:r>
              <w:rPr>
                <w:rStyle w:val="IndexLink"/>
              </w:rPr>
              <w:t>547</w:t>
            </w:r>
          </w:hyperlink>
        </w:p>
        <w:p>
          <w:pPr>
            <w:pStyle w:val="Contents5"/>
            <w:tabs>
              <w:tab w:val="clear" w:pos="7892"/>
              <w:tab w:val="right" w:pos="9026" w:leader="dot"/>
            </w:tabs>
            <w:rPr/>
          </w:pPr>
          <w:hyperlink w:anchor="__RefHeading___Toc4026673_3224264995">
            <w:r>
              <w:rPr>
                <w:webHidden/>
                <w:rStyle w:val="IndexLink"/>
                <w:rtl w:val="true"/>
              </w:rPr>
              <w:t>الأمر الأوّل</w:t>
            </w:r>
            <w:r>
              <w:rPr>
                <w:rStyle w:val="IndexLink"/>
                <w:rtl w:val="true"/>
              </w:rPr>
              <w:t xml:space="preserve">: </w:t>
            </w:r>
            <w:r>
              <w:rPr>
                <w:rStyle w:val="IndexLink"/>
                <w:rtl w:val="true"/>
              </w:rPr>
              <w:t>فی تحدید محطّ البحث فی المقام</w:t>
            </w:r>
            <w:r>
              <w:rPr>
                <w:rStyle w:val="IndexLink"/>
                <w:rtl w:val="true"/>
              </w:rPr>
              <w:tab/>
            </w:r>
            <w:r>
              <w:rPr>
                <w:rStyle w:val="IndexLink"/>
              </w:rPr>
              <w:t>547</w:t>
            </w:r>
          </w:hyperlink>
        </w:p>
        <w:p>
          <w:pPr>
            <w:pStyle w:val="Contents5"/>
            <w:tabs>
              <w:tab w:val="clear" w:pos="7892"/>
              <w:tab w:val="right" w:pos="9026" w:leader="dot"/>
            </w:tabs>
            <w:rPr/>
          </w:pPr>
          <w:hyperlink w:anchor="__RefHeading___Toc4026675_3224264995">
            <w:r>
              <w:rPr>
                <w:webHidden/>
                <w:rStyle w:val="IndexLink"/>
                <w:rtl w:val="true"/>
              </w:rPr>
              <w:t>الأمر الثانی</w:t>
            </w:r>
            <w:r>
              <w:rPr>
                <w:rStyle w:val="IndexLink"/>
                <w:rtl w:val="true"/>
              </w:rPr>
              <w:t xml:space="preserve">: </w:t>
            </w:r>
            <w:r>
              <w:rPr>
                <w:rStyle w:val="IndexLink"/>
                <w:rtl w:val="true"/>
              </w:rPr>
              <w:t>فی اختصاص حمل المطلق علی المقیّد بصورة التنافی</w:t>
            </w:r>
            <w:r>
              <w:rPr>
                <w:rStyle w:val="IndexLink"/>
                <w:rtl w:val="true"/>
              </w:rPr>
              <w:tab/>
            </w:r>
            <w:r>
              <w:rPr>
                <w:rStyle w:val="IndexLink"/>
              </w:rPr>
              <w:t>552</w:t>
            </w:r>
          </w:hyperlink>
        </w:p>
        <w:p>
          <w:pPr>
            <w:pStyle w:val="Contents4"/>
            <w:tabs>
              <w:tab w:val="clear" w:pos="8176"/>
              <w:tab w:val="right" w:pos="9026" w:leader="dot"/>
            </w:tabs>
            <w:rPr/>
          </w:pPr>
          <w:hyperlink w:anchor="__RefHeading___Toc4026677_3224264995">
            <w:r>
              <w:rPr>
                <w:webHidden/>
                <w:rStyle w:val="IndexLink"/>
                <w:rtl w:val="true"/>
              </w:rPr>
              <w:t>أحکام صور حمل المطلق علی المقیّد</w:t>
            </w:r>
            <w:r>
              <w:rPr>
                <w:rStyle w:val="IndexLink"/>
                <w:rtl w:val="true"/>
              </w:rPr>
              <w:tab/>
            </w:r>
            <w:r>
              <w:rPr>
                <w:rStyle w:val="IndexLink"/>
              </w:rPr>
              <w:t>553</w:t>
            </w:r>
          </w:hyperlink>
        </w:p>
        <w:p>
          <w:pPr>
            <w:pStyle w:val="Contents5"/>
            <w:tabs>
              <w:tab w:val="clear" w:pos="7892"/>
              <w:tab w:val="right" w:pos="9026" w:leader="dot"/>
            </w:tabs>
            <w:rPr/>
          </w:pPr>
          <w:hyperlink w:anchor="__RefHeading___Toc4026679_3224264995">
            <w:r>
              <w:rPr>
                <w:webHidden/>
                <w:rStyle w:val="IndexLink"/>
                <w:rtl w:val="true"/>
              </w:rPr>
              <w:t>اشارة</w:t>
            </w:r>
            <w:r>
              <w:rPr>
                <w:rStyle w:val="IndexLink"/>
                <w:rtl w:val="true"/>
              </w:rPr>
              <w:tab/>
            </w:r>
            <w:r>
              <w:rPr>
                <w:rStyle w:val="IndexLink"/>
              </w:rPr>
              <w:t>553</w:t>
            </w:r>
          </w:hyperlink>
        </w:p>
        <w:p>
          <w:pPr>
            <w:pStyle w:val="Contents5"/>
            <w:tabs>
              <w:tab w:val="clear" w:pos="7892"/>
              <w:tab w:val="right" w:pos="9026" w:leader="dot"/>
            </w:tabs>
            <w:rPr/>
          </w:pPr>
          <w:hyperlink w:anchor="__RefHeading___Toc4026681_3224264995">
            <w:r>
              <w:rPr>
                <w:webHidden/>
                <w:rStyle w:val="IndexLink"/>
                <w:rtl w:val="true"/>
              </w:rPr>
              <w:t>ذکر و تعقیب</w:t>
            </w:r>
            <w:r>
              <w:rPr>
                <w:rStyle w:val="IndexLink"/>
                <w:rtl w:val="true"/>
              </w:rPr>
              <w:t xml:space="preserve">: </w:t>
            </w:r>
            <w:r>
              <w:rPr>
                <w:rStyle w:val="IndexLink"/>
                <w:rtl w:val="true"/>
              </w:rPr>
              <w:t>حول کلام المحقّق النائینی قدس سره فی المقام</w:t>
            </w:r>
            <w:r>
              <w:rPr>
                <w:rStyle w:val="IndexLink"/>
                <w:rtl w:val="true"/>
              </w:rPr>
              <w:tab/>
            </w:r>
            <w:r>
              <w:rPr>
                <w:rStyle w:val="IndexLink"/>
              </w:rPr>
              <w:t>561</w:t>
            </w:r>
          </w:hyperlink>
        </w:p>
        <w:p>
          <w:pPr>
            <w:pStyle w:val="Contents4"/>
            <w:tabs>
              <w:tab w:val="clear" w:pos="8176"/>
              <w:tab w:val="right" w:pos="9026" w:leader="dot"/>
            </w:tabs>
            <w:rPr/>
          </w:pPr>
          <w:hyperlink w:anchor="__RefHeading___Toc4026683_3224264995">
            <w:r>
              <w:rPr>
                <w:webHidden/>
                <w:rStyle w:val="IndexLink"/>
                <w:rtl w:val="true"/>
              </w:rPr>
              <w:t>حکم الإطلاق و التقیید فی الأحکام الوضعیة</w:t>
            </w:r>
            <w:r>
              <w:rPr>
                <w:rStyle w:val="IndexLink"/>
                <w:rtl w:val="true"/>
              </w:rPr>
              <w:tab/>
            </w:r>
            <w:r>
              <w:rPr>
                <w:rStyle w:val="IndexLink"/>
              </w:rPr>
              <w:t>564</w:t>
            </w:r>
          </w:hyperlink>
        </w:p>
        <w:p>
          <w:pPr>
            <w:pStyle w:val="Contents4"/>
            <w:tabs>
              <w:tab w:val="clear" w:pos="8176"/>
              <w:tab w:val="right" w:pos="9026" w:leader="dot"/>
            </w:tabs>
            <w:rPr/>
          </w:pPr>
          <w:hyperlink w:anchor="__RefHeading___Toc4026685_3224264995">
            <w:r>
              <w:rPr>
                <w:webHidden/>
                <w:rStyle w:val="IndexLink"/>
                <w:rtl w:val="true"/>
              </w:rPr>
              <w:t>حکم الإطلاق و التقیید فی الأحکام غیر الإلزامیة</w:t>
            </w:r>
            <w:r>
              <w:rPr>
                <w:rStyle w:val="IndexLink"/>
                <w:rtl w:val="true"/>
              </w:rPr>
              <w:tab/>
            </w:r>
            <w:r>
              <w:rPr>
                <w:rStyle w:val="IndexLink"/>
              </w:rPr>
              <w:t>564</w:t>
            </w:r>
          </w:hyperlink>
        </w:p>
        <w:p>
          <w:pPr>
            <w:pStyle w:val="Contents4"/>
            <w:tabs>
              <w:tab w:val="clear" w:pos="8176"/>
              <w:tab w:val="right" w:pos="9026" w:leader="dot"/>
            </w:tabs>
            <w:rPr/>
          </w:pPr>
          <w:hyperlink w:anchor="__RefHeading___Toc4026687_3224264995">
            <w:r>
              <w:rPr>
                <w:webHidden/>
                <w:rStyle w:val="IndexLink"/>
                <w:rtl w:val="true"/>
              </w:rPr>
              <w:t>توضیح و تقدیر</w:t>
            </w:r>
            <w:r>
              <w:rPr>
                <w:rStyle w:val="IndexLink"/>
                <w:rtl w:val="true"/>
              </w:rPr>
              <w:tab/>
            </w:r>
            <w:r>
              <w:rPr>
                <w:rStyle w:val="IndexLink"/>
              </w:rPr>
              <w:t>567</w:t>
            </w:r>
          </w:hyperlink>
        </w:p>
        <w:p>
          <w:pPr>
            <w:pStyle w:val="Contents2"/>
            <w:tabs>
              <w:tab w:val="clear" w:pos="8743"/>
              <w:tab w:val="right" w:pos="9026" w:leader="dot"/>
            </w:tabs>
            <w:rPr/>
          </w:pPr>
          <w:hyperlink w:anchor="__RefHeading___Toc4026689_3224264995">
            <w:r>
              <w:rPr>
                <w:webHidden/>
                <w:rStyle w:val="IndexLink"/>
                <w:rtl w:val="true"/>
              </w:rPr>
              <w:t>فهرس المحتویات</w:t>
            </w:r>
            <w:r>
              <w:rPr>
                <w:rStyle w:val="IndexLink"/>
                <w:rtl w:val="true"/>
              </w:rPr>
              <w:tab/>
            </w:r>
            <w:r>
              <w:rPr>
                <w:rStyle w:val="IndexLink"/>
              </w:rPr>
              <w:t>569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934_164372"/>
      <w:bookmarkStart w:id="1" w:name="pg12934_164372"/>
      <w:bookmarkEnd w:id="1"/>
    </w:p>
    <w:p>
      <w:pPr>
        <w:pStyle w:val="Heading2"/>
        <w:numPr>
          <w:ilvl w:val="1"/>
          <w:numId w:val="1"/>
        </w:numPr>
        <w:rPr/>
      </w:pPr>
      <w:bookmarkStart w:id="2" w:name="pg12934_164372"/>
      <w:bookmarkStart w:id="3" w:name="__RefHeading___Toc4026011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پدیدآورنده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مرتضوی لنگرودی، محمدحسن،</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جواهر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ابحاث 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روح‌الله الموسوی الامام الخمینی قدس سره</w:t>
      </w:r>
    </w:p>
    <w:p>
      <w:pPr>
        <w:pStyle w:val="BookText"/>
        <w:rPr/>
      </w:pPr>
      <w:r>
        <w:rPr>
          <w:rFonts w:ascii="IRNazanin" w:hAnsi="IRNazanin" w:eastAsia="IRNazanin"/>
          <w:color w:val="111111"/>
          <w:sz w:val="28"/>
          <w:sz w:val="28"/>
          <w:szCs w:val="28"/>
          <w:rtl w:val="true"/>
          <w:lang w:bidi="fa-IR"/>
        </w:rPr>
        <w:t>تکرار نام پدیدآورتالیف محمدحسن المرتضوی اللنگرودی</w:t>
      </w:r>
    </w:p>
    <w:p>
      <w:pPr>
        <w:pStyle w:val="BookText"/>
        <w:rPr/>
      </w:pPr>
      <w:r>
        <w:rPr>
          <w:rFonts w:ascii="IRNazanin" w:hAnsi="IRNazanin" w:eastAsia="IRNazanin"/>
          <w:color w:val="111111"/>
          <w:sz w:val="28"/>
          <w:sz w:val="28"/>
          <w:szCs w:val="28"/>
          <w:rtl w:val="true"/>
          <w:lang w:bidi="fa-IR"/>
        </w:rPr>
        <w:t>مشخصات نشرتهران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تنظیم و نشر آثار الامام الخمینی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یادداشتکتابنامه</w:t>
      </w:r>
    </w:p>
    <w:p>
      <w:pPr>
        <w:pStyle w:val="BookText"/>
        <w:rPr/>
      </w:pPr>
      <w:r>
        <w:rPr>
          <w:rFonts w:ascii="IRNazanin" w:hAnsi="IRNazanin" w:eastAsia="IRNazanin"/>
          <w:color w:val="111111"/>
          <w:sz w:val="28"/>
          <w:sz w:val="28"/>
          <w:szCs w:val="28"/>
          <w:rtl w:val="true"/>
          <w:lang w:bidi="fa-IR"/>
        </w:rPr>
        <w:t>موضوعاصول فقه شیعه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 روح‌الله، رهبر انقلاب و بنیانگذار جمهوری اسلامی ایران،</w:t>
      </w:r>
      <w:r>
        <w:rPr>
          <w:rFonts w:ascii="IRNazanin" w:hAnsi="IRNazanin" w:eastAsia="IRNazanin"/>
          <w:color w:val="111111"/>
          <w:sz w:val="28"/>
          <w:sz w:val="28"/>
          <w:szCs w:val="28"/>
          <w:lang w:bidi="fa-IR"/>
        </w:rPr>
        <w:t>۱۲۷۹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۱۳۶۸</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کنگره</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۹</w:t>
      </w:r>
    </w:p>
    <w:p>
      <w:pPr>
        <w:pStyle w:val="BookText"/>
        <w:rPr/>
      </w:pPr>
      <w:r>
        <w:rPr>
          <w:rFonts w:ascii="IRNazanin" w:hAnsi="IRNazanin" w:eastAsia="IRNazanin"/>
          <w:color w:val="111111"/>
          <w:sz w:val="28"/>
          <w:sz w:val="28"/>
          <w:szCs w:val="28"/>
          <w:rtl w:val="true"/>
          <w:lang w:bidi="fa-IR"/>
        </w:rPr>
        <w:t>رده دیوئی</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شماره مدرکم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۱۰۸۱۸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026013_3224264995"/>
      <w:bookmarkStart w:id="6" w:name="_Toc2"/>
      <w:bookmarkEnd w:id="5"/>
      <w:r>
        <w:rPr>
          <w:rtl w:val="true"/>
        </w:rPr>
        <w:t>اشارة</w:t>
      </w:r>
      <w:bookmarkStart w:id="7" w:name="pg12934_164375"/>
      <w:bookmarkEnd w:id="6"/>
    </w:p>
    <w:p>
      <w:pPr>
        <w:pStyle w:val="Heading2"/>
        <w:numPr>
          <w:ilvl w:val="1"/>
          <w:numId w:val="1"/>
        </w:numPr>
        <w:rPr/>
      </w:pPr>
      <w:bookmarkStart w:id="8" w:name="__RefHeading___Toc4026015_3224264995"/>
      <w:bookmarkStart w:id="9" w:name="_Toc3"/>
      <w:bookmarkEnd w:id="7"/>
      <w:bookmarkEnd w:id="8"/>
      <w:r>
        <w:rPr>
          <w:rtl w:val="true"/>
        </w:rPr>
        <w:t>[</w:t>
      </w:r>
      <w:r>
        <w:rPr>
          <w:rtl w:val="true"/>
        </w:rPr>
        <w:t>هویة الکتاب</w:t>
      </w:r>
      <w:r>
        <w:rPr>
          <w:rtl w:val="true"/>
        </w:rPr>
        <w:t>]</w:t>
      </w:r>
      <w:bookmarkEnd w:id="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الکتاب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جواهر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محمّد حسن المرتضوی اللنگرودی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و نشر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مؤسسة تنظیم و نشر آثار الإمام الخمینی قدس سره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مطبعة مؤسسة العروج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الکمیة</w:t>
      </w:r>
      <w:r>
        <w:rPr>
          <w:rFonts w:eastAsia="IRNazanin" w:cs="IRNazanin"/>
          <w:color w:val="111111"/>
          <w:sz w:val="28"/>
          <w:szCs w:val="28"/>
          <w:rtl w:val="true"/>
          <w:lang w:bidi="fa-IR"/>
        </w:rPr>
        <w:t xml:space="preserve">: .....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السعر</w:t>
      </w:r>
      <w:r>
        <w:rPr>
          <w:rFonts w:eastAsia="IRNazanin" w:cs="IRNazanin"/>
          <w:color w:val="111111"/>
          <w:sz w:val="28"/>
          <w:szCs w:val="28"/>
          <w:rtl w:val="true"/>
          <w:lang w:bidi="fa-IR"/>
        </w:rPr>
        <w:t xml:space="preserve">: .....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 الحقوق محفوظة و مسجّلة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لمؤسسة تنظیم و نشر آثار الإمام الخمینی قدس سره</w:t>
      </w:r>
      <w:bookmarkStart w:id="10" w:name="pg12934_164376"/>
    </w:p>
    <w:p>
      <w:pPr>
        <w:pStyle w:val="Heading2"/>
        <w:numPr>
          <w:ilvl w:val="1"/>
          <w:numId w:val="1"/>
        </w:numPr>
        <w:rPr/>
      </w:pPr>
      <w:bookmarkStart w:id="11" w:name="__RefHeading___Toc4026017_3224264995"/>
      <w:bookmarkStart w:id="12" w:name="_Toc4"/>
      <w:bookmarkEnd w:id="10"/>
      <w:bookmarkEnd w:id="11"/>
      <w:r>
        <w:rPr>
          <w:rtl w:val="true"/>
        </w:rPr>
        <w:t>[</w:t>
      </w:r>
      <w:r>
        <w:rPr>
          <w:rtl w:val="true"/>
        </w:rPr>
        <w:t>خطبة الکتاب</w:t>
      </w:r>
      <w:r>
        <w:rPr>
          <w:rtl w:val="true"/>
        </w:rPr>
        <w:t>]</w:t>
      </w:r>
      <w:bookmarkEnd w:id="12"/>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لولیّه، و الصلاة و السلام علی أفضل أنبیائه محمّد صلی الله علیه و آله و سلم خاتم رسله، و علی الأصفیاء من عترته، و لا سیّما بقیّة اللَّه فی أرضه المدّخر لإحیاء شریعته الحجّة ابن الحسن المهدی، جعلنی اللَّه من کلّ مکروه فداه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عجّل فرجه، و سَهّل مخرجه، و اجعلنا ممّن یأخذ بحُجزته، و من أنصاره و أعوانه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فما بین یدیک هو الجزء الرابع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ما ألقاه سماحة الاستاذ الأکبر آیة اللَّه العظمی نائب الإمام علیه السلام الإمام الخمینی قدس سره فی النواهی إلی آخر مباحث الألفاظ فی الدورة الأخیرة</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التوفیق و التسدید، و الحمد للَّه ربّ العالمین</w:t>
      </w:r>
      <w:r>
        <w:rPr>
          <w:rFonts w:eastAsia="Amiri" w:cs="Amiri" w:ascii="Amiri" w:hAnsi="Amiri"/>
          <w:color w:val="111111"/>
          <w:sz w:val="28"/>
          <w:szCs w:val="28"/>
          <w:rtl w:val="true"/>
          <w:lang w:bidi="ar-SA"/>
        </w:rPr>
        <w:t>.</w:t>
      </w:r>
      <w:bookmarkStart w:id="13" w:name="pg12934_164378"/>
    </w:p>
    <w:p>
      <w:pPr>
        <w:pStyle w:val="Heading2"/>
        <w:numPr>
          <w:ilvl w:val="1"/>
          <w:numId w:val="1"/>
        </w:numPr>
        <w:rPr/>
      </w:pPr>
      <w:bookmarkStart w:id="14" w:name="__RefHeading___Toc4026019_3224264995"/>
      <w:bookmarkStart w:id="15" w:name="_Toc5"/>
      <w:bookmarkEnd w:id="13"/>
      <w:bookmarkEnd w:id="14"/>
      <w:r>
        <w:rPr>
          <w:rtl w:val="true"/>
        </w:rPr>
        <w:t>المقصد الثانی فی النواهی</w:t>
      </w:r>
      <w:bookmarkEnd w:id="15"/>
    </w:p>
    <w:p>
      <w:pPr>
        <w:pStyle w:val="Heading3"/>
        <w:numPr>
          <w:ilvl w:val="2"/>
          <w:numId w:val="1"/>
        </w:numPr>
        <w:rPr/>
      </w:pPr>
      <w:bookmarkStart w:id="16" w:name="__RefHeading___Toc4026021_3224264995"/>
      <w:bookmarkStart w:id="17" w:name="_Toc6"/>
      <w:bookmarkEnd w:id="16"/>
      <w:r>
        <w:rPr>
          <w:rtl w:val="true"/>
        </w:rPr>
        <w:t>اشارة</w:t>
      </w:r>
      <w:bookmarkEnd w:id="17"/>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مباحث</w:t>
      </w:r>
      <w:r>
        <w:rPr>
          <w:rFonts w:eastAsia="IRNazanin" w:cs="IRNazanin"/>
          <w:color w:val="111111"/>
          <w:sz w:val="28"/>
          <w:szCs w:val="28"/>
          <w:rtl w:val="true"/>
          <w:lang w:bidi="fa-IR"/>
        </w:rPr>
        <w:t>:</w:t>
      </w:r>
      <w:bookmarkStart w:id="18" w:name="pg12934_164380"/>
    </w:p>
    <w:p>
      <w:pPr>
        <w:pStyle w:val="BookText"/>
        <w:rPr/>
      </w:pPr>
      <w:bookmarkEnd w:id="18"/>
      <w:r>
        <w:rPr>
          <w:rFonts w:ascii="IRNazanin" w:hAnsi="IRNazanin" w:eastAsia="IRNazanin"/>
          <w:color w:val="111111"/>
          <w:sz w:val="28"/>
          <w:sz w:val="28"/>
          <w:szCs w:val="28"/>
          <w:rtl w:val="true"/>
          <w:lang w:bidi="fa-IR"/>
        </w:rPr>
        <w:t>حقیقة النهی</w:t>
      </w:r>
    </w:p>
    <w:p>
      <w:pPr>
        <w:pStyle w:val="Heading3"/>
        <w:numPr>
          <w:ilvl w:val="2"/>
          <w:numId w:val="1"/>
        </w:numPr>
        <w:rPr/>
      </w:pPr>
      <w:bookmarkStart w:id="19" w:name="__RefHeading___Toc4026023_3224264995"/>
      <w:bookmarkStart w:id="20" w:name="_Toc7"/>
      <w:bookmarkEnd w:id="19"/>
      <w:r>
        <w:rPr>
          <w:rtl w:val="true"/>
        </w:rPr>
        <w:t>المبحث الأوّل فی حقیقة النهی</w:t>
      </w:r>
      <w:bookmarkEnd w:id="20"/>
    </w:p>
    <w:p>
      <w:pPr>
        <w:pStyle w:val="BookText"/>
        <w:rPr/>
      </w:pPr>
      <w:r>
        <w:rPr>
          <w:rFonts w:ascii="IRNazanin" w:hAnsi="IRNazanin" w:eastAsia="IRNazanin"/>
          <w:color w:val="111111"/>
          <w:sz w:val="28"/>
          <w:sz w:val="28"/>
          <w:szCs w:val="28"/>
          <w:rtl w:val="true"/>
          <w:lang w:bidi="fa-IR"/>
        </w:rPr>
        <w:t>المبحث الأوّل فی حقیقة النهی</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یظهر من العلمین المحقّقین الخراسانی و النائینی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فرق بین الأوامر و النواهی فی أنّ متعلّقهما الطبائع الکلّیة، و الفرق بینهما إنّما هو فی متعلّق الطلب؛ حیث إنّه فی باب الأوامر وجود الطبیعة، و فی باب النواهی الترک و عدمها، فمعنی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أطلب منک عدم شرب الخمر</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ما فی کلامهما من النظر</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الوجدان أصدق شاهد و حاکم، علی أنّ لکلّ من الأمر أو النهی مبادئ، فکما یتصوّر المولی الطبیعة التی یرید الأمر بها، و یصدّق بفائدتها، فیشتاق إلیها أحیاناً، فیریدها، فیبعث نحوها لیحقّقها فی الخارج؛ لما یری من أنّ المصلحة تترتّب علی وجودها الخارجی، فکذلک یتصوّر الطبیعة التی یرید النهی عنها، و یصدّق بأنّ لوجودها فی الخارج مفسدةً، فربّما یکرهها فیزجر عنها؛ لئلّا</w:t>
      </w:r>
    </w:p>
    <w:p>
      <w:pPr>
        <w:pStyle w:val="BookText"/>
        <w:rPr/>
      </w:pPr>
      <w:r>
        <w:rPr>
          <w:rFonts w:ascii="IRNazanin" w:hAnsi="IRNazanin" w:eastAsia="IRNazanin"/>
          <w:color w:val="111111"/>
          <w:sz w:val="28"/>
          <w:sz w:val="28"/>
          <w:szCs w:val="28"/>
          <w:rtl w:val="true"/>
          <w:lang w:bidi="fa-IR"/>
        </w:rPr>
        <w:t>تتحقّق فی الخارج، مثلًا یتصوّر طبیعة شرب الخمر، فیری أنّ فی شربها مفسدةً أکیدة، فیزجر عنه، و یمنع عن تحقّقه فی الخارج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یؤکّده بالتوعید بأنواع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فالمتصوّر فی متعلّق الأوامر و النواهی و إن کان نفس الماهیة و الطبیعة، إلّا أنّه حیث یری فی متعلّق الأمر صلاحاً یبعث نحوه، و یرید تحقّقه فی الخارج، و أمّا فی النهی فحیث یری أنّ فی وجود متعلّقه فی الخارج مفسدةً، فیکره وجوده، فیزجر عنه، فالنهی هو الکراهة و الزجر عن الشی‌ء فی الخارج، کما أنّ الأمر حَثّ و بعث إلی تحقّقه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الوجدان أصدق حاکم علی أنّه إذا کانت طبیعة مشتملة علی المفسدة، فالمولی یزجر عنها، لا أنّه یطلب ترکها و یبعث إلی استمرار العدم الأزلی و بقائه؛ حتّی یقال بإمکان أخذه فی متعلّق النهی؛ لأنّ هذا أشبه شی‌ء بالأکل من القفا،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لما ذکرنا ما هو المعروف بین العدلیة؛ من أنّ الأوامر و النواهی تابعة للمصالح و المفاسد فی متعلّقاتهما</w:t>
      </w:r>
      <w:r>
        <w:rPr>
          <w:rStyle w:val="FootnoteAnchor"/>
          <w:rtl w:val="true"/>
        </w:rPr>
        <w:footnoteReference w:id="4"/>
      </w:r>
      <w:r>
        <w:rPr>
          <w:rFonts w:ascii="IRNazanin" w:hAnsi="IRNazanin" w:eastAsia="IRNazanin"/>
          <w:color w:val="111111"/>
          <w:sz w:val="28"/>
          <w:sz w:val="28"/>
          <w:szCs w:val="28"/>
          <w:rtl w:val="true"/>
          <w:lang w:bidi="fa-IR"/>
        </w:rPr>
        <w:t>، فلو کان مفاد النهی طلب الترک، فلا بدّ و أن یکون فی الطلب الکذائی مصلحة، فکان لهم أن یقولوا بأنّ جمیع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واجباتها و محرّماتها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تابعة للمصالح فقط کما لا یخفی، فتدبّر</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العدم باطل الذات و نفی محض، و لا یکاد یتصوّر إلّا بالحمل الأوّلی، و من المعلوم أنّ باطل الذات و العدم الصرف لا یتصف بالمحبوبیة و المبغوضیة؛ لأنّهما تابعتان للأغراض و المصالح المترتّبة علی الامور الوجودیة، فالعدم لا یکاد تکون له مصلحة و لا مفسدة، فلا یکون متعلّقاً للطلب و البعث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العدم المضاف و عدم الملکة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الذات و الهویّة، و ما اشتهر بین القوم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لأعدام المضافة حظّاً من الوجود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لا أصل له؛ إذ الوجود لملکاتها، لا لأعدامها، فلا یکاد یترتّب علی العدم أثر، فلا یکون مورداً للتصدیق بالفائدة، فلا تکون له مصلحة یشتاق إلیها أصلًا، فلا یکون متعلّقاً للإرادة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المحاورات العرفیة ربّما یسند الحبّ و الطلب إلی العدم، مثلًا یقال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 أن لا أری الشخص الفلانی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 أن لا ینزل علیّ ذلک الشخص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لکنّه فی الحقیقة تعبیر مسامحی، و إلّا ففی الحقیقة هو یبغض ملاقاة الشخص المذکور أو نزوله علیه،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ذکرنا هو الظاهر من النهی؛ و ذلک لأنّ لکلّ من الأمر و النهی هیئة و مادّة؛ و المادّة التی تکون تِلو الزجر هی التی تکون تِلو البعث، و هیئة النهی تدلّ علی الزجر عنها، کما أنّ هیئة الأمر تدلّ علی البعث نحوها، فأین الدالّ علی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لعلّه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ملاحظة مرادفات الأمر و النهی فی سائر اللغات، فإنّ مرادف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مرادف قولنا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المتبادر من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ذکرناه؛ و هو البعث إلی الضرب فی الأوّل، و الزجر عنه فی الثانی</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ممّا ذکرنا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وجه لنزاع القدماء فی أنّ متعلّق الطلب فی النهی هل هو الکَفّ أو نفس أن لا تفعل؟ لما عرفت من أنّ متعلّق النهی هو الماهیة، و أنّ النهی زجر لا طلب</w:t>
      </w:r>
      <w:r>
        <w:rPr>
          <w:rFonts w:eastAsia="IRNazanin" w:cs="IRNazanin"/>
          <w:color w:val="111111"/>
          <w:sz w:val="28"/>
          <w:szCs w:val="28"/>
          <w:rtl w:val="true"/>
          <w:lang w:bidi="fa-IR"/>
        </w:rPr>
        <w:t>.</w:t>
      </w:r>
      <w:bookmarkStart w:id="21" w:name="pg12934_164383"/>
    </w:p>
    <w:p>
      <w:pPr>
        <w:pStyle w:val="BookText"/>
        <w:rPr/>
      </w:pPr>
      <w:bookmarkEnd w:id="21"/>
      <w:r>
        <w:rPr>
          <w:rFonts w:ascii="IRNazanin" w:hAnsi="IRNazanin" w:eastAsia="IRNazanin"/>
          <w:color w:val="111111"/>
          <w:sz w:val="28"/>
          <w:sz w:val="28"/>
          <w:szCs w:val="28"/>
          <w:rtl w:val="true"/>
          <w:lang w:bidi="fa-IR"/>
        </w:rPr>
        <w:t>سرّ الفرق بین مقتضی الأمر و النهی</w:t>
      </w:r>
    </w:p>
    <w:p>
      <w:pPr>
        <w:pStyle w:val="Heading3"/>
        <w:numPr>
          <w:ilvl w:val="2"/>
          <w:numId w:val="1"/>
        </w:numPr>
        <w:rPr/>
      </w:pPr>
      <w:bookmarkStart w:id="22" w:name="__RefHeading___Toc4026025_3224264995"/>
      <w:bookmarkStart w:id="23" w:name="_Toc8"/>
      <w:bookmarkEnd w:id="22"/>
      <w:r>
        <w:rPr>
          <w:rtl w:val="true"/>
        </w:rPr>
        <w:t>المبحث الثانی فی سرّ الفرق بین مقتضی الأمر و النهی</w:t>
      </w:r>
      <w:bookmarkEnd w:id="23"/>
    </w:p>
    <w:p>
      <w:pPr>
        <w:pStyle w:val="Heading4"/>
        <w:numPr>
          <w:ilvl w:val="3"/>
          <w:numId w:val="1"/>
        </w:numPr>
        <w:rPr/>
      </w:pPr>
      <w:bookmarkStart w:id="24" w:name="__RefHeading___Toc4026027_3224264995"/>
      <w:bookmarkStart w:id="25" w:name="_Toc9"/>
      <w:bookmarkEnd w:id="24"/>
      <w:r>
        <w:rPr>
          <w:rtl w:val="true"/>
        </w:rPr>
        <w:t>اشارة</w:t>
      </w:r>
      <w:bookmarkEnd w:id="25"/>
    </w:p>
    <w:p>
      <w:pPr>
        <w:pStyle w:val="BookText"/>
        <w:rPr/>
      </w:pPr>
      <w:r>
        <w:rPr>
          <w:rFonts w:ascii="IRNazanin" w:hAnsi="IRNazanin" w:eastAsia="IRNazanin"/>
          <w:color w:val="111111"/>
          <w:sz w:val="28"/>
          <w:sz w:val="28"/>
          <w:szCs w:val="28"/>
          <w:rtl w:val="true"/>
          <w:lang w:bidi="fa-IR"/>
        </w:rPr>
        <w:t>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متعلّقی البعث و الزجر نفس الطبیعة، و لکن اختلف مقتضاهما لدی العرف و العقلاء؛ لأنّه لا إشکال و لا خلاف عندهم فی أنّه إذا تعلّق الأمر بطبیعة، یسقط بإیجاد مصداق منها فی الخارج؛ لحصول الغرض بذلک، و یکتفون به، و لا یرون إیجادها ثانیاً و ثالثاً إلّا إذا کانت هناک قرینة علی ذلک، و أمّا إذا نهی عنها فیرون ترک جمیع المصادیق فی الخارج</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یتمیّز الأمر عن النهی لدی العرف فی أنّ غایة ما یقتضیه البعث إلی طبیعة، إیجاد نفس الطبیعة، و هی تحصل بإیجادها مرّة من غیر أن یکون للأمر دلالة علی المرّة، بل لحصول الغرض بمجرّد ذلک، و أمّا مقتضی الزجر عن طبیعة فهو بخلاف ذلک فی ذینک الأمرین؛ فإنّه یستفاد من الزجر عن طبیعة، ترک جمیع الأفراد فی عَرْض واحد؛ و أنّه لو خالف و أتی بمصداق منها فی برهة من الزمان، یحرم علیه إتیانها ثانیاً و ثالثاً و هکذا، فهم یرون أنّ للنهی اقتضاءً لترک المتعلّق فی الأزمنة المتتالیة، بخلاف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ریب و لا إشکال فی وجود الفرق بین مقتضی الأمر و النهی مع أنّ متعلّقهما نفس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وقع الکلام فی سرّ ذلک و ما هو السبب فیه، فهل ذلک من ناحیة حکم العقل و لو لأجل مقدّمات الحکمة، أو من ناحیة اللغة، أو الفهم العرفی؟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المحقّق الخراسانی قدس سره إلی أنّ ذلک بحکم العقل؛ حیث إنّه یحکم بأنّ الطبیعی یوجد بوجود فرد منه، و ینعدم بعدم جمیع الأفراد</w:t>
      </w:r>
      <w:r>
        <w:rPr>
          <w:rStyle w:val="FootnoteAnchor"/>
          <w:rtl w:val="true"/>
        </w:rPr>
        <w:footnoteReference w:id="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ذلک أیضاً من المحقّق العراقی قدس سره لکنّه بعبارة اخری، 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مرجع الإطلاق الذی هو نتیجة مقدّمات الحکمة، لیس إلّا جعل الطبیعة المهملة المحفوظة فی ضمن جمیع صور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المقیّدة، و العاریة عن القید،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الموضوع للماهیّة مثلًا، و من المعلوم أنّ طبع تمامیته للموضوع تحقّق تمامه بأوّل وجوده، و لازمه سقوط الأمر المقصود منه الوجود بذلک؛ إذ لا قصور فی تمامیّته لموضوع أمره، و أمّا فی النهی حیث کان المقصود الأصلی إعدامه، فطبع إطلاق الماهیة المهملة یقتضی عدم صدق الإعدام علیها إلّا بإعدام جمیع أفرادها حتّی المتعاقبة منها؛ إذ بوجودها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بعد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یصدق أیضاً وجود الطبیعة المهملة، فلا مجال لإعدامها إلّا بترک ذلک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الجهة من الفرق بین الأمر و النهی إنّما جاءت من ناحیة اختلافهما فی 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ناحیة طبع إطلاق المادّة</w:t>
      </w:r>
      <w:r>
        <w:rPr>
          <w:rFonts w:eastAsia="IRNazanin" w:cs="IRNazanin"/>
          <w:color w:val="111111"/>
          <w:sz w:val="28"/>
          <w:szCs w:val="28"/>
          <w:rtl w:val="true"/>
          <w:lang w:bidi="fa-IR"/>
        </w:rPr>
        <w:t>»</w:t>
      </w:r>
      <w:r>
        <w:rPr>
          <w:rStyle w:val="FootnoteAnchor"/>
          <w:rtl w:val="true"/>
        </w:rPr>
        <w:footnoteReference w:id="7"/>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ما فی کلامهما من النظر؛ و ذلک لأنّه إذا کان متعلّق النهی عین متعلّق الأمر، و أنّ المتعلّق فیهما نفس الطبیعة القابلة للصدق علی الکثیرین، غایة الأمر</w:t>
      </w:r>
    </w:p>
    <w:p>
      <w:pPr>
        <w:pStyle w:val="BookText"/>
        <w:rPr/>
      </w:pPr>
      <w:r>
        <w:rPr>
          <w:rFonts w:ascii="IRNazanin" w:hAnsi="IRNazanin" w:eastAsia="IRNazanin"/>
          <w:color w:val="111111"/>
          <w:sz w:val="28"/>
          <w:sz w:val="28"/>
          <w:szCs w:val="28"/>
          <w:rtl w:val="true"/>
          <w:lang w:bidi="fa-IR"/>
        </w:rPr>
        <w:t xml:space="preserve">فی جانب الأمر بعث إلیها، و فی جانب النهی زجر عنها، فمن الواضح أنّه بوجود أوّل فرد من الطبیعة یتحقّق تمام الموضوع، کما یتحقّق بوجود الفرد الثانی و الثالث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قضاءً لحقّ الطبیعة اللابشرط، حیث إنّها تتکثّر بتکثّر الأفراد، فتکون لها وجودات کثیرة، و لکلّ وجود منها عدم یخصّه، فللطبیعة أعدام کثیرة بعدد الوجودات، فکما أنّ الطبیعة اللابشرط توجد بوجود فرد ما تَنْعدم بانعدام فرد أیضاً، فالتفرقة بینهما بحکم العقل لا محصّل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کان المتعلّق الطبیعة الساریة، فهی و إن کانت لا تنعدم بعدم فرد ما، إلّا أنّها لا توجد أیضاً إلّا بوجود جمیع مصادیقها، فلا یقضی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بجریان مقدّمات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الاشتباه خلط الماهیة اللابشرط بالطبیعة الساریة، فاخذت الماهیة اللابشرط فی جانب الأمر، و الطبیعة الساریة فی جانب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المراد بالطبیعة الماهیة المهملة و الماهیة اللابشرط، فهی کما توجد بفرد ما تنعدم بانعدام فرد ما أیضاً، و إن ارید بها الطبیعة الساریة فی مصادیقها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حسبما یراه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لا توجد إلّا بوجود جمیع الأفراد، کما تنعدم بانعدام جمیع الأفراد، فحکم العقل بالتفرقة بینهما فی جانبی الأمر و النهی، ممّا لا یرجع إلی محصّل،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بأنّ سِرّ الفرق بینهما من جهة دلالة النهی علی ما ذکر لغة و بالوضع</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بالوضع فلا بدّ و أن یکون إمّا من ناحیة مادّة النهی، أو من ناحیة هیئته، و لا ثالث لهما؛ لما تقدّم من أنّه لیس للمجموع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علی حدة، و من الواضح أنّ المادّة موضوعة للطبیعة المجرّدة، و الهیئة موضوعة للزجر عنها، فما الدالّ علی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هیئة النهی بعینه هو متعلّق الأمر بلا زیادة و نقیصة، و حیث إنّه نفس الطبیعة اللابشرط، فواضح أنّها توجد بوجود فرد ما و تنعدم بعدم فرد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النائینی قدس سره فی ذلک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مقابلة النهی للأمر و إن دلّ علی أنّ مفاد النهی السلب الکلّی علی نحو العامّ المجموعی؛ بحیث یتحقّق عصیانه بأوّل وجود الطبیعة، و یسقط النهی حینه رأساً؛ لأنّ المطلوب فی باب الأوامر هو صِرْف وجود الطبیعة و خروجها عن کتم العدم إلی عرصة الوجود، و ذلک یتحقّق بأوّل وجود للطبیعة، إلّا أن تقوم قرینة علی إرادة مطلق الوجود، و الإیجاب الجزئی إنّما یقابل السلب الکلّی؛ لأنّ نقیض الموجبة الجزئیة هو السالبة الکلّیة، إلّا أنّ الظاهر من النهی أن یکون النهی لأجل مبغوضیة متعلّقه بقیام مفسدة فیه، لا أنّ المطلوب خلوّ صفحة الوجود عنه، و حیث إنّ مبغوضیة الطبیعة تسری إلی جمیع أفرادها فینحلّ النهی حسب تعدّد الأفراد، و یکون لکلّ فرد معصیة تخصّه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التأمّل فی أنّ الظاهر فی باب النواهی، هو أن یکون المطلوب فیها هو ترک کلّ فرد فرد علی نحو العامّ الاستغراقی</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المبغوضیة و المحبوبیة من وادٍ واحد، فإن کانت المبغوضیة تسری إلی الأفراد بالبیان الذی أفاده، فینبغی أن تکون المحبوبیة أیضاً کذلک، مع أنّها لا تکون کذلک، فالمبغوضیة و المحبوبیة ترتضعان من ثَدْی واحد؛ فإن کانت المبغوضیة تسری إلی الأفراد فلتکن المحبوبیة کذلک، مع أنّها لیست کذلک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أنّه علی مسلک العدلیة، تکون الأحکام تابعة للمصالح و المفاسد فی المتعلّقات، و واضح أنّه لا طریق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لفهم المحبوبیة أو المبغوضیة إلّا</w:t>
      </w:r>
    </w:p>
    <w:p>
      <w:pPr>
        <w:pStyle w:val="BookText"/>
        <w:rPr/>
      </w:pPr>
      <w:r>
        <w:rPr>
          <w:rFonts w:ascii="IRNazanin" w:hAnsi="IRNazanin" w:eastAsia="IRNazanin"/>
          <w:color w:val="111111"/>
          <w:sz w:val="28"/>
          <w:sz w:val="28"/>
          <w:szCs w:val="28"/>
          <w:rtl w:val="true"/>
          <w:lang w:bidi="fa-IR"/>
        </w:rPr>
        <w:t>بالأمر أو النهی، فکلّ ما تعلّق به الأمر یستکشف منه المحبوبیة، کما أنّه إن تعلّق به النهی یستکشف منه المبغوضیة، و من الواضح أنّه کما یمکن أن یکون المبغوض فی جانب النهی صرف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الشأن فی جانب الأمر فکذلک یمکن أن یکون المبغوض الطبیعة الساریة فی أفرادها، فبمجرّد النهی عن طبیعة و مبغوضیتها، لا طریق لنا إلی استکشاف سرایة المبغوضیة إلی الأفراد</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غیر مختصّ بباب الأوامر و النواهی و الإنشاءات، بل یجری فی الإخبارات أیضاً؛ لأنّه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إنساناً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قد رأی فرداً منه یصحّ منه ذلک، و یکون قوله ذلک صادقاً، و لا یصدق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إنساناً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لم یَر أحداً من الناس، فلم یکن سرّ ذلک ما ذکره من مبغوضیة الطبیعة بأفرادها المستظهرة من تعلّق النهی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الفرق بین الأمر و النهی لم یکن بحکم العقل و لو بمقدّمات الحکمة، و لا من اللغة، و لا من ناحیة مبغوضیة النهی الساریة فی جمیع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یمکن أن یقال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ذلک بحکم فهم العرف و العقلاء من المادّة الواقعة تِلو السلب؛ سواء کانت إنشاءً، أو إخباراً، فإن کانت نهیاً فلا بدّ و أن لا یوجد فرد منه، و إن کانت إخباراً فإنّما یصدق إذا لم یتحقّق منه فرد فی الخارج، فالمسألة عقلائیة لا 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عدّت عقلیة فلا بدّ و أن تعدّ عقلیة مسامحیة لا دقّیة</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فی خاطرک فیما ذکرنا ریب و شبهة، فانتظر هُنَیئة إلی أن نشیر إلی ما فی مقال المحقّق الأصفهانی قدس سره و ما ذکره بعض الأعاظم دام ظلّه</w:t>
      </w:r>
      <w:r>
        <w:rPr>
          <w:rFonts w:eastAsia="IRNazanin" w:cs="IRNazanin"/>
          <w:color w:val="111111"/>
          <w:sz w:val="28"/>
          <w:szCs w:val="28"/>
          <w:rtl w:val="true"/>
          <w:lang w:bidi="fa-IR"/>
        </w:rPr>
        <w:t>.</w:t>
      </w:r>
      <w:bookmarkStart w:id="26" w:name="pg12934_164388"/>
    </w:p>
    <w:p>
      <w:pPr>
        <w:pStyle w:val="Heading4"/>
        <w:numPr>
          <w:ilvl w:val="3"/>
          <w:numId w:val="1"/>
        </w:numPr>
        <w:rPr/>
      </w:pPr>
      <w:bookmarkStart w:id="27" w:name="__RefHeading___Toc4026029_3224264995"/>
      <w:bookmarkStart w:id="28" w:name="_Toc10"/>
      <w:bookmarkEnd w:id="26"/>
      <w:bookmarkEnd w:id="27"/>
      <w:r>
        <w:rPr>
          <w:rtl w:val="true"/>
        </w:rPr>
        <w:t>حکم النهی بالنسبة إلی الأفراد الطولیة</w:t>
      </w:r>
      <w:bookmarkEnd w:id="28"/>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ذکرناه إنّما هو فی دلالة النهی علی ترک جمیع الأفراد العرضیة للطبیعة، و أمّا بالنسبة إلی الأفراد الطولیة و أنّه إذا عصی و أتی بمصداق من الطبیعة المنهیّ عنها؛ فهل یجوز أن یأتی به ثانیاً و ثالثاً و هکذا، أم لا؟</w:t>
      </w:r>
    </w:p>
    <w:p>
      <w:pPr>
        <w:pStyle w:val="BookText"/>
        <w:rPr/>
      </w:pPr>
      <w:r>
        <w:rPr>
          <w:rFonts w:ascii="IRNazanin" w:hAnsi="IRNazanin" w:eastAsia="IRNazanin"/>
          <w:color w:val="111111"/>
          <w:sz w:val="28"/>
          <w:sz w:val="28"/>
          <w:szCs w:val="28"/>
          <w:rtl w:val="true"/>
          <w:lang w:bidi="fa-IR"/>
        </w:rPr>
        <w:t>قال المحقّق الأصفهانی قدس سره فی حلّ ذلک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المنشأ حقیقة لیس شخص الطلب المتعلّق بعدم الطبیعة کذلک، بل سنخ الطلب الذی لازمه تعلّق کلّ فرد من الطلب بفرد من طبیعة العدم عقلًا، و تعلّق کلّ فرد من الطلب بفرد من العدم تارة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بلحاظ الحاکم، 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بحکم العقل لأجل جعل الملازمة بین سنخ الطلب و طبیعی العدم بحدّه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ینشئ طبیعی الطلب و یعلّقه بطبیعی العدم، فکأنّه أوقع الملازمة بین الطلب و العدم، فالعقل یحکم بأنّ کلّ مصداق من العدم له نهی یخصّه، فإن عصی و أتی بمصداق منه یکون الطلب باقیاً بحاله</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 دعوی بلا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أسوأ ما قیل فی المقام؛ لأنّ إیقاع البعث أو الزجر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إیقاع الإشارة فی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یکونان إیقاعین جزئیین، فکما أنّ الإشارة إیقاع جزئی، فکذلک البعث أو الزجر إیقاع جزئی، غایة الأمر أنّه فی إشارة الأخرس یکون تکوینیاً، دون ما هنا، فحدیث أنّ المنشأ سنخ الطلب لا شخصه، لا أساس له</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لو أراد أنّ الماهیة و إن وضعت لإیقاع البعث و الزجر الجزئیین، لکنّها فی النواهی لم تستعمل فی ذلک، بل استعملت فیها فی إیقاع نفس الطبیعة الکلّیة، و لازمه العقلی الانحلال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تمّ فغایته أن تکون أمراً مجازیاً، فلا یصار إلیه إلّا بالقرینة العامّة، و هی غیر موجودة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العقلاء غیر مرهون بالقرینة،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الالتزام بذلک فالأهون ما ذهب إلیه المحقّق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علی خلاف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المنشأ و إن کان شخص الطلب، لکنّه حیث تعلّق بالطبیعة، نلتزم بالعموم الاستغراقی فی جانب النهی حتّی ینحلّ النهی بتبعه</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یرد علیه عدم استعمال المادّة فی الأفراد وجداناً، کما لم تستعمل الهیئة فی الطبیعی علی ما ادّعاه المدّعی، فتدبّر</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لبعض الأعاظم دام ظلّه</w:t>
      </w:r>
      <w:r>
        <w:rPr>
          <w:rStyle w:val="FootnoteAnchor"/>
          <w:rtl w:val="true"/>
        </w:rPr>
        <w:footnoteReference w:id="13"/>
      </w:r>
      <w:r>
        <w:rPr>
          <w:rFonts w:ascii="IRNazanin" w:hAnsi="IRNazanin" w:eastAsia="IRNazanin"/>
          <w:color w:val="111111"/>
          <w:sz w:val="28"/>
          <w:sz w:val="28"/>
          <w:szCs w:val="28"/>
          <w:rtl w:val="true"/>
          <w:lang w:bidi="fa-IR"/>
        </w:rPr>
        <w:t>کلام فی مقتضی النهی بالنسبة إلی کلّ من الأفراد العرضیة و الطولیة، لکنّه لا یخلو من النظر؛ لأنّه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الأمر و النهی یشترکان فی أنّ متعلّقهما وجود الطبیعة، لکنّهما یختلفان بحسب الحقیقة، و المبادئ، و الآثار، فحقیقة الأمر هو البعث و التحریک نحو المتعلّق، و یعبّر عنه بالفارسیة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حقیقة النهی عبارة عن الزجر و المنع عن المتعلّق، و یعبّر عنه بالفارسیة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البعث نحو وجود الطبیعة تحقّق الامتثال بإیجاد فردٍ ما، فیسقط الأمر بذلک، و مقتضی الزجر عن وجودها کون الإتیان بکلّ فرد عصیاناً علی حدة؛ إذ کلّ فرد من الأفراد وجود للطبیعة، و قد زجر عنه المولی من جهة کون الوجود مشتملًا علی مفسدة نشأت من قبلها المبغوضیة، فهناک و إن کان نهی واحد متعلّق بوجود الطبیعة، و لکنّه یَنحلّ إلی نواهٍ متعدّدة بعدد الأفراد المتصوّرة للطبیعة، و بعددها یتصوّر له الامتثال و 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اقتضاء النهی ترک کلّ فرد فرد، إنّما هو 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المتعلّق الطبیعة اللابشرط، و کون النهی عبارة عن الزجر عن وجودها، فلو لم یکن واحد منهما لما اقتضی النهی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مقتضی النهی بالنسبة إلی الأفراد الطولیة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سقوط التکلیف إمّا بالامتثال، أو بانتفاء الموضوع، أو موت المکلّف، و لا یمکن أن یکون العصیان مسقطاً للتکلیف و إن اشتهر ذلک بینهم؛ لأنّ العصیان بما هو عصیان، لیس فیه ملاک الإسقاط، و سقوط الموقّتات بمضی أوقاتها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ترکها العبد فی أوقاتها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من جهة أنّه لا یقدر علی إتیانها بعد مضیّ الوقت، و تخرج عن تحت قدرته، لا من جهة العصیان، فبعد إیجاد فرد من الطبیعة المنهیّ عنها یتحقّق عصیان للنهی، و لکنّه مع ذلک یقع الفرد الثانی و الثالث إلی غیر ذلک، مصادیق للعصیان لو اتی بها، و یقع ترک کلّ واحد منها امتثالًا علی حدة لو ترکت بداعی نهی المولی </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أفاده دام ظلّه بالنسبة إلی الأفراد العرضیة،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استفادة ذلک لیست مرهونة بکون مدلول النهی الزجر عن الطبیعة، کما یراه دام ظلّه و هو</w:t>
      </w:r>
    </w:p>
    <w:p>
      <w:pPr>
        <w:pStyle w:val="BookText"/>
        <w:rPr/>
      </w:pPr>
      <w:r>
        <w:rPr>
          <w:rFonts w:ascii="IRNazanin" w:hAnsi="IRNazanin" w:eastAsia="IRNazanin"/>
          <w:color w:val="111111"/>
          <w:sz w:val="28"/>
          <w:sz w:val="28"/>
          <w:szCs w:val="28"/>
          <w:rtl w:val="true"/>
          <w:lang w:bidi="fa-IR"/>
        </w:rPr>
        <w:t>الحقّ عندنا کما تقدّم، بل لو قیل بأنّ مفاد النهی طلب الترک یستفاد ذلک أیضاً، مثلًا لو قال المولی لعبده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أطلب منک ترک 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یفهم منه لزوم ترک جمیع أفراد طبیعة الخمر، فما یراه من أنّ استفادة ترک جمیع الأفراد العرضیة من ناحیة کون مدلول النهی الزجر عن الطبیعة، کما تری</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استفادة ذلک لم تکن مختصّة بالنهی، أو اشتمال وجود الطبیعة المنهیّ عنها علی المفسدة، کما زعمه دام ظلّه بل یجری فی الإخبارات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أشرنا آنفاً إلی أنّ فهم العرف و العقلاء من وقوع الماهیة تلو السلب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نفیاً کان أو نهیاً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تحقّق فرد منها فی الخارج فی النفی، و الزجر عن إیجاد فرد منها فی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 بالنسبة إلی الأفراد الطولیة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عدم سقوط النهی بعصیانه بإیجاد فرد من الطبیعة المنهیّ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نسلّمه إذا کان متعلّق النهی عین متعلّق الأمر؛ بأن کان متعلّق النهی صرف وجود الطبیعة، و حیث إنّه غیر قابل للتکثّر، فیتحقّق عصیانه بصرف وجود الطبیعة المنهیّ عنها، و یسقط المنهیّ عنه حقیقة، فلا بدّ من تحدید حدود متعلّق النهی، و أنّه هل هو صِرف وجود الطبیعة، أو شی‌ء آخر؟</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أنّه لو کان متعلّق التکلیف فی الأمر و النهی، الطبیعة اللابشرط و صرف وجودها، و توجّه خطاب الأمر و خطاب النهی لشخص فی آنٍ واحد مقتضٍ لامتثالهما فی آنٍ واحد أیضاً، فلازمه أن یسقط کلا الخطابین، فکیف یصحّ أن یقال بصدق الامتثال بأوّل وجود الطبیعة فی جانب الأمر دون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النکتة فی الفرق بین الأمر المتعلّق بالطبیعة و النهی المتعلّق بها، لیست ما ذکره الأعلام، بل النکتة الوحیدة فی ذلک هی الفهم العرفی المتّبع فی أمثال المقام فی کلتا المرحلتین؛ فإنّهم یرون أنّ الطبیعی یوجد بوجود فرد ما، و ینعدم بعدم جمیع الأفراد، و معروفیة هذا المعنی فی أذهانهم بنحو ربما یوجد فی کلمات بعض الفلاسفة أیضاً</w:t>
      </w:r>
      <w:r>
        <w:rPr>
          <w:rStyle w:val="FootnoteAnchor"/>
          <w:rtl w:val="true"/>
        </w:rPr>
        <w:footnoteReference w:id="16"/>
      </w:r>
      <w:r>
        <w:rPr>
          <w:rFonts w:ascii="IRNazanin" w:hAnsi="IRNazanin" w:eastAsia="IRNazanin"/>
          <w:color w:val="111111"/>
          <w:sz w:val="28"/>
          <w:sz w:val="28"/>
          <w:szCs w:val="28"/>
          <w:rtl w:val="true"/>
          <w:lang w:bidi="fa-IR"/>
        </w:rPr>
        <w:t>، و یرون انحلال النهی المتعلّق بالطبیعة إلی نواهٍ؛ بحیث لو اتی بالمنهیّ عنه لا یرون سقوطه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هو المعنی العرفی الذی صرّح به المحقّق الخراسانی قدس سره و لم تقبلوه منه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الخراسانی قدس سره أراد إثبات ذلک من ناحیة حکم العقل، و قد عرفت ضعفه</w:t>
      </w:r>
      <w:r>
        <w:rPr>
          <w:rStyle w:val="FootnoteAnchor"/>
          <w:rtl w:val="true"/>
        </w:rPr>
        <w:footnoteReference w:id="17"/>
      </w:r>
      <w:r>
        <w:rPr>
          <w:rFonts w:ascii="IRNazanin" w:hAnsi="IRNazanin" w:eastAsia="IRNazanin"/>
          <w:color w:val="111111"/>
          <w:sz w:val="28"/>
          <w:sz w:val="28"/>
          <w:szCs w:val="28"/>
          <w:rtl w:val="true"/>
          <w:lang w:bidi="fa-IR"/>
        </w:rPr>
        <w:t>، و أمّا نحن فنرید إثبات ذلک بالتشبّث بالفهم العرفی و النظر العقلائی، و کم 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یرون انحلال النهی إلی نواهٍ متعدّدة، فیفهمون مبغوضیة الأفراد، بعکس ما یراه المحقّق النائینی قدس سره من أنّ مبغوضیة الطبیعی تَسری إلی الأفراد، کما سبق</w:t>
      </w:r>
      <w:r>
        <w:rPr>
          <w:rStyle w:val="FootnoteAnchor"/>
          <w:rtl w:val="true"/>
        </w:rPr>
        <w:footnoteReference w:id="18"/>
      </w:r>
      <w:r>
        <w:rPr>
          <w:rFonts w:ascii="IRNazanin" w:hAnsi="IRNazanin" w:eastAsia="IRNazanin"/>
          <w:color w:val="111111"/>
          <w:sz w:val="28"/>
          <w:sz w:val="28"/>
          <w:szCs w:val="28"/>
          <w:rtl w:val="true"/>
          <w:lang w:bidi="fa-IR"/>
        </w:rPr>
        <w:t>، و من غیر فرق فی ذلک بین کون النهی زجراً، کما یراه بعض الأعاظم دام ظلّه</w:t>
      </w:r>
      <w:r>
        <w:rPr>
          <w:rStyle w:val="FootnoteAnchor"/>
          <w:rtl w:val="true"/>
        </w:rPr>
        <w:footnoteReference w:id="19"/>
      </w:r>
      <w:r>
        <w:rPr>
          <w:rFonts w:ascii="IRNazanin" w:hAnsi="IRNazanin" w:eastAsia="IRNazanin"/>
          <w:color w:val="111111"/>
          <w:sz w:val="28"/>
          <w:sz w:val="28"/>
          <w:szCs w:val="28"/>
          <w:rtl w:val="true"/>
          <w:lang w:bidi="fa-IR"/>
        </w:rPr>
        <w:t>، أو طلب الترک، بل یجری ذلک فی الطبیعة الواقعة تلو السلب؛ نفیاً کان، أو نهیاً، و إنکار الفهم العرفی بالنسبة إلی ما ذکرنا فی المرحلتین، لعلّه مکابرة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معرفة سرّ فهم العقلاء فلا یضرّ جهله بعد ذلک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یتمّ شی‌ء ممّا أفادوه فی افتراق الطبیعی الواقع تلو النهی، عن الطبیعی الواقع تلو الأمر، فالأولی أن یتشبّث فی ذلک فی جانب النهی؛ بذیل فهم العرف و العقلاء المُتبع فی أمثال المقام، فإنّهم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 إلیه غیر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یرون بالنسبة إلی الأفراد العرضیة، أنّ الطبیعی ینعدم بانعدام جمیع الأفراد، و بالنسبة إلی الأفراد الطولیة، یرون أنّ النهی إذا تعلّق بطبیعة فینحلّ إلی نواهٍ، فإذا عصی و أتی بالمنهیّ عنه فلا یرون سقوطه، بل یرون أنّه إذا أتی بالمنهیّ عنه مراراً، استحقّ العقوبة بعدد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یهمّنا بعد ذلک عدم معرفة سِرّ ذلک منهم، فافهم، و کن من الشاکرین</w:t>
      </w:r>
      <w:r>
        <w:rPr>
          <w:rFonts w:eastAsia="IRNazanin" w:cs="IRNazanin"/>
          <w:color w:val="111111"/>
          <w:sz w:val="28"/>
          <w:szCs w:val="28"/>
          <w:rtl w:val="true"/>
          <w:lang w:bidi="fa-IR"/>
        </w:rPr>
        <w:t>.</w:t>
      </w:r>
      <w:bookmarkStart w:id="29" w:name="pg12934_164394"/>
    </w:p>
    <w:p>
      <w:pPr>
        <w:pStyle w:val="BookText"/>
        <w:rPr/>
      </w:pPr>
      <w:bookmarkEnd w:id="29"/>
      <w:r>
        <w:rPr>
          <w:rFonts w:ascii="IRNazanin" w:hAnsi="IRNazanin" w:eastAsia="IRNazanin"/>
          <w:color w:val="111111"/>
          <w:sz w:val="28"/>
          <w:sz w:val="28"/>
          <w:szCs w:val="28"/>
          <w:rtl w:val="true"/>
          <w:lang w:bidi="fa-IR"/>
        </w:rPr>
        <w:t>اجتماع الأمر و النهی</w:t>
      </w:r>
    </w:p>
    <w:p>
      <w:pPr>
        <w:pStyle w:val="Heading3"/>
        <w:numPr>
          <w:ilvl w:val="2"/>
          <w:numId w:val="1"/>
        </w:numPr>
        <w:rPr/>
      </w:pPr>
      <w:bookmarkStart w:id="30" w:name="__RefHeading___Toc4026031_3224264995"/>
      <w:bookmarkStart w:id="31" w:name="_Toc11"/>
      <w:bookmarkEnd w:id="30"/>
      <w:r>
        <w:rPr>
          <w:rtl w:val="true"/>
        </w:rPr>
        <w:t>المبحث الثالث فی اجتماع الأمر و النهی</w:t>
      </w:r>
      <w:bookmarkEnd w:id="31"/>
    </w:p>
    <w:p>
      <w:pPr>
        <w:pStyle w:val="Heading4"/>
        <w:numPr>
          <w:ilvl w:val="3"/>
          <w:numId w:val="1"/>
        </w:numPr>
        <w:rPr/>
      </w:pPr>
      <w:bookmarkStart w:id="32" w:name="__RefHeading___Toc4026033_3224264995"/>
      <w:bookmarkStart w:id="33" w:name="_Toc12"/>
      <w:bookmarkEnd w:id="32"/>
      <w:r>
        <w:rPr>
          <w:rtl w:val="true"/>
        </w:rPr>
        <w:t>اشارة</w:t>
      </w:r>
      <w:bookmarkEnd w:id="33"/>
    </w:p>
    <w:p>
      <w:pPr>
        <w:pStyle w:val="BookText"/>
        <w:rPr/>
      </w:pPr>
      <w:r>
        <w:rPr>
          <w:rFonts w:ascii="IRNazanin" w:hAnsi="IRNazanin" w:eastAsia="IRNazanin"/>
          <w:color w:val="111111"/>
          <w:sz w:val="28"/>
          <w:sz w:val="28"/>
          <w:szCs w:val="28"/>
          <w:rtl w:val="true"/>
          <w:lang w:bidi="fa-IR"/>
        </w:rPr>
        <w:t>المبحث الثالث فی اجتماع الأمر و النهی</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اختلفوا فی جواز اجتماع الأمر و النهی و عدمه فی شی‌ء واحد علی أقوال؛ فذهب بعض إلی الجواز مطلقاً، و بعض آخر إلی المنع کذلک، و فصّل ثالث فقال بالجواز عقلًا، و الامتناع 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تنقیح الأمر فی ذلک</w:t>
      </w:r>
    </w:p>
    <w:p>
      <w:pPr>
        <w:pStyle w:val="Heading4"/>
        <w:numPr>
          <w:ilvl w:val="3"/>
          <w:numId w:val="1"/>
        </w:numPr>
        <w:rPr/>
      </w:pPr>
      <w:bookmarkStart w:id="34" w:name="__RefHeading___Toc4026035_3224264995"/>
      <w:bookmarkStart w:id="35" w:name="_Toc13"/>
      <w:bookmarkEnd w:id="34"/>
      <w:r>
        <w:rPr>
          <w:rtl w:val="true"/>
        </w:rPr>
        <w:t>یقتضی تمهید امور</w:t>
      </w:r>
      <w:r>
        <w:rPr>
          <w:rtl w:val="true"/>
        </w:rPr>
        <w:t>:</w:t>
      </w:r>
      <w:bookmarkEnd w:id="35"/>
    </w:p>
    <w:p>
      <w:pPr>
        <w:pStyle w:val="Heading5"/>
        <w:numPr>
          <w:ilvl w:val="4"/>
          <w:numId w:val="1"/>
        </w:numPr>
        <w:rPr/>
      </w:pPr>
      <w:bookmarkStart w:id="36" w:name="__RefHeading___Toc4026037_3224264995"/>
      <w:bookmarkStart w:id="37" w:name="_Toc14"/>
      <w:bookmarkEnd w:id="36"/>
      <w:r>
        <w:rPr>
          <w:rtl w:val="true"/>
        </w:rPr>
        <w:t>الأمر الأوّل</w:t>
      </w:r>
      <w:r>
        <w:rPr>
          <w:rtl w:val="true"/>
        </w:rPr>
        <w:t xml:space="preserve">: </w:t>
      </w:r>
      <w:r>
        <w:rPr>
          <w:rtl w:val="true"/>
        </w:rPr>
        <w:t>فی عنوان البحث</w:t>
      </w:r>
      <w:bookmarkEnd w:id="37"/>
    </w:p>
    <w:p>
      <w:pPr>
        <w:pStyle w:val="BookText"/>
        <w:rPr/>
      </w:pPr>
      <w:r>
        <w:rPr>
          <w:rFonts w:ascii="IRNazanin" w:hAnsi="IRNazanin" w:eastAsia="IRNazanin"/>
          <w:color w:val="111111"/>
          <w:sz w:val="28"/>
          <w:sz w:val="28"/>
          <w:szCs w:val="28"/>
          <w:rtl w:val="true"/>
          <w:lang w:bidi="fa-IR"/>
        </w:rPr>
        <w:t>یقتضی تمهید امور</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عنوان البحث</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المعروف بینهم قدیماً و حدیثاً فی عنوان البحث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أنّه هل یجوز اجتماع الأمر و النهی فی شی‌ء واحد،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لا یخفی ما فیه؛ لأنّ 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الواحد الشخصی، أو الجنسی، أو النوعی، أو الأعمّ من الشخصی و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سبیل إلی إرادة الواحد الشخصی؛ لأنّ شخصیة الشی‌ء إنّما هی بالوجود، و هو قبل الوجود کلّی، و بالوجود یصیر جزئیاً، فیلزم أن یکون البحث فی أنّه هل یجوز اجتماع الأمر و النهی فی الصلاة الخارجیة مثلًا الواقعة فی الدار الغصبیة، أم لا؟ و من الواضح أنّ الخارج ظرف سقوط التکلیف لا ثبوته، فاجتماع الأمر و النهی لا معنی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الواحد الشخصی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 کون الخارج ظرف سقوط التکلیف لا ثبوته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أن یتعلّق به تکلیف واحد، فضلًا عن تکلیفین، لأنّ الشی‌ء بعد وجوده الخارجی لا یکاد یمکن أن یتعلّق به أمر أو نهی، فاجتماع الأمر و النهی فی الواحد الشخصی لا معنی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ارید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الواحد الجنسی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یراد أنّ الواحد الذی له أنواع مختلفة، متعلّق للأمر و النهی، کجنس الحرکة الجامعة بین الحرکة الصلاتیة و الحرکة الغصبیة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الواحد النوعی الذی له أصناف متعدّدة کالحرکة، لکنّها بعنایة اخری، 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الواحد الکذائی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الجنسی أو النوعی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یتعلّق به أمر و لا نهی؛ لأنّ الأمر تعلّق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 النهی تعلّق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 فی مال الغیر بغیر 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تعلّق الأمر و النهی کذلک، یمکن انتزاع جامع جنسی أو نوعی منهما، و لکنّه غیر ما تعلّق به التکلیف</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لتعلّق الأمر و النهی بالواحد الجنسی مع قطع النظر عن التصادق علی الواحد الشخصی؛ لأنّ الحرکة فی ضمن الصلاة تکون مأموراً بها، کما أنّها فی ضمن الغصب و التصرّف فی مال الغیر، تکون منهیّاً عنها مع قطع النظر عن تصادقهما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الأمر بالحرکة المتحصّصة بالصلاة، و النهی عن الحرکة المتحصّصة بالغصب، بلا إشکال و ریب، و کالأمر بالسجود للَّه تعالی، و النهی عنه للصنم، فلا معنی للنزاع فی الواحد الجنسی أو النوعی مع قطع النظر عن التصادق علی الواحد الشخصی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تمهّد لک حال إرادة الواحد الشخصی أو الواحد الجنسی أو النوعی، یظهر لک الأمر فی إرادة الأعمّ من الشخصی و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الواحد الشخصی لم یکن محلّاً للبحث؛ لعدم معقولیته، و لا الواحد الجنسی أو النوعی؛ لعدم محذور فیه، بل لا ینبغی البحث و النزاع فیه لوضوحه، فالبحث فی الحقیقة إنّما هو فی انطباق عنوانی المأمور به و المنهیّ عنه و تصادقهما فی الموجود الخارجی، فالحری عقد عنوان البحث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اجتماع الأمر و النهی علی عنوانین متصادقین خارجاً علی واحد شخصی؛ بحیث یکون الموضوع الخارجی مجمع العنوانین، أم لا؟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فعلی هذا، یکون النزاع فی هذه المسألة کبرویاً لا صغرویاً، خلافاً للعلمین الخراسانی و النائینی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یظهر منهما أنّ النزاع فی المسألة صغروی، فقد قال المحقّق الخراسانی قدس سره فی الأمر الثانی عند بیان الفرق بین هذه المسألة و مسألة النهی فی العبادة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الجهة المبحوث عنها فی هذه المسألة، هی أنّ تعدّد الوجه و العنوان فی الواحد، هل یوجب تعدّد متعلّق الأمر و النهی؛ بحیث یرتفع به غائلة استحالة الاجتماع فی الواحد بوجه واحد، أو لا یوجبه، بل یکون حاله حاله</w:t>
      </w:r>
      <w:r>
        <w:rPr>
          <w:rStyle w:val="FootnoteAnchor"/>
          <w:rtl w:val="true"/>
        </w:rPr>
        <w:footnoteReference w:id="2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فالنزاع فی سرایة کلّ من الأمر و النهی إلی متعلّق الآخر؛ لاتحاد متعلّقیهما وجوداً، و عدم سرایته؛ لتعدّدهما وجهاً </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المحقّق النائینی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ظاهر عنوانهم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هل یجوز اجتماع الأمر و النهی فی شی‌ء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النزاع فی تضادّ الأمر و النهی و عدمه، مع أنّ تضادّ الأحکام بأسرها، أمر مفروغ عنه غیر قابل للنزاع فیه، فلیس ظاهر العنوان مراداً قطعاً، فالبحث إنّما هو فی أصل لزوم الاجتماع و عدمه، لا جوازه و عدمه، فالأولی تبدیل عنوان البحث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اجتمع متعلّق الأمر و النهی من حیث الإیجاد و الوجود، فهل یلزم من الاجتماع الکذائی أن یتعلّق کلّ من الأمر و النهی بعین ما تعلّق به الآخر، کما هو مقالة القائل بالامتناع، أو لا یلزم ذلک، کما هو مقالة القائل بالجواز؟ </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فتری أیّها الخبیر أنّهما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بصدد تحریر محطّ النزاع بنحو لا یلزم القائلین بالجواز، اجتماع الأمر و النهی فی شی‌ء واحد، فنزاع القوم فی الحقیقة فی أنّه هل یلزم اجتماع الأمر و النهی فی شی‌ء واحد، أم لا؟ فیکون النزاع صغرویاً</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واضح أنّه لا داعی إلی عقد عنوان البحث صغرویاً بعد إمکان عقد البحث کبرویاً؛ أی فی جواز اجتماع الأمر و النهی علی عنوانین کلّیین متصادقین فی الخارج علی أمر واحد شخصی و عدمه، فمن لم یجز ذلک یری أنّ الأمر و النهی المتعلّقین بالعنوانین، یسریان إلی الخارج، و من جوّزه یری عدم سرایة الحکم المتعلّق بالعنوان إلی الخارج، و ما ذکره العلمان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أحد شقّی المسألة، و واضح أنّه لا بدّ من عقد عنوان البحث بنحو قابل للردّ و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التوالی الفاسدة من لزوم اجتماع الأمر و النهی فی شی‌ء واحد و اجتماع الضدّین، إنّما هو دلیل أحد طرفی التردید، فلا معنی لجعله معقداً للبحث،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تمهّد لک ما ذکرنا یظهر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الواحد الشخصی؛ إبقاءً لما ورد من السلف إلی الخلف، خلافاً للمحقّق الخراسانی قدس سره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المراد بالواحد مطلق ما کان ذا وجهین و مندرجاً تحت عنوانین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بأحدهما کان مورداً للأمر، و بالآخر للنهی؛ و إن کان کلّیاً مقولًا علی کثیرین، کالصلاة فی المغصوب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ذکر هذا لإخراج ما إذا تعدّد متعلّق الأمر و النهی، و لم یجتمعا وجوداً و لو جمعهما واحد مفهوماً، کالسجود للَّه تعالی، و السجود للصنم، لا لإخراج الواحد الجنسی أو النوعی، کالحرکة و السکون الکلّیین المعنونین بالصلاتیة و الغصبیة </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الصلاة فی الدار المغصوبة لم تکن أمراً واحداً، و لم تکن متعلّقة للأمر، و لا النهی، بل الأمر تعلّق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النهی تعلّق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التسلّط علی مال الغیر بغیر 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فی عالم العنوانیة متغایران، غایة الأمر یتحدان باعتبار الوجود الخارجی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لم یلحظ الواحد بلحاظ وجوده الخارجی، فلا ینبغی الإشکال و الخلاف فی جواز تعلّق الأمر و النهی به، کالسجود للَّه تعالی، و للصنم، و إنّما الإشکال و الخلاف فیما إذا لوحظ اجتماعهما و تصادقهما علی موجود خارجی، فالأولی أن یتحدّد عنوان البحث بما ذکرنا، فتدبّر</w:t>
      </w:r>
      <w:r>
        <w:rPr>
          <w:rFonts w:eastAsia="IRNazanin" w:cs="IRNazanin"/>
          <w:color w:val="111111"/>
          <w:sz w:val="28"/>
          <w:szCs w:val="28"/>
          <w:rtl w:val="true"/>
          <w:lang w:bidi="fa-IR"/>
        </w:rPr>
        <w:t>.</w:t>
      </w:r>
      <w:bookmarkStart w:id="38" w:name="pg12934_164399"/>
    </w:p>
    <w:p>
      <w:pPr>
        <w:pStyle w:val="Heading5"/>
        <w:numPr>
          <w:ilvl w:val="4"/>
          <w:numId w:val="1"/>
        </w:numPr>
        <w:rPr/>
      </w:pPr>
      <w:bookmarkStart w:id="39" w:name="__RefHeading___Toc4026039_3224264995"/>
      <w:bookmarkStart w:id="40" w:name="_Toc15"/>
      <w:bookmarkEnd w:id="38"/>
      <w:bookmarkEnd w:id="39"/>
      <w:r>
        <w:rPr>
          <w:rtl w:val="true"/>
        </w:rPr>
        <w:t>الأمر الثانی فی الفرق بین هذه المسألة و مسألة النهی عن العبادة أو المعاملة</w:t>
      </w:r>
      <w:bookmarkEnd w:id="40"/>
    </w:p>
    <w:p>
      <w:pPr>
        <w:pStyle w:val="BookText"/>
        <w:rPr/>
      </w:pPr>
      <w:r>
        <w:rPr>
          <w:rFonts w:ascii="IRNazanin" w:hAnsi="IRNazanin" w:eastAsia="IRNazanin"/>
          <w:color w:val="111111"/>
          <w:sz w:val="28"/>
          <w:sz w:val="28"/>
          <w:szCs w:val="28"/>
          <w:rtl w:val="true"/>
          <w:lang w:bidi="fa-IR"/>
        </w:rPr>
        <w:t>إذا أحطت خبراً بما ذکرناه فی الأمر الأوّل، یظهر لک الفرق بین هذه المسألة و مسألة النهی عن العبادة أو المعاملة التی سیجی‌ء ذکرها؛ و أنّه فی الموضوع و المحمول معاً، أعنی بتمام الذات؛ لوضوح أنّ موضوع هذه المسألة هو اجتماع الأمر و النهی علی عنوانین متصادقین علی موضوع واحد، و محمولها هو الجواز أو عدمه، و موضوع تلک المسألة تعلّق النهی بالعبادة أو المعاملة، و محمولها إیجاب الفساد أو عدمه، فامتازت کلّ من المسألتین عن الاخری بتمام الذات؛ لأنّ الامتیاز الذاتی بین المسألتین إمّا بالموضوع، أو المحمول، أو مجموعهما، فالتمایز بالموضوع و المحمول تمایز بتمام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الامتیاز بین المسألتین بأمر ذاتی بل بتمام الذات، فلا تصل النوبة إلی الامتیاز بغیر الذات و الذاتیات، کالامتیاز بالأغراض، فما أفاده المحقّق الخراسانی قدس سره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الجهة المبحوث عنها الممیّزة لهذه المسألة عن تلک المسألة؛ هی أنّ الجهة المبحوث عنها فی هذه المسألة، هی أنّ تعدّد الوجه و العنوان هل یوجب تعدّد متعلّق الأمر و النهی، أم لا؟ فالنزاع فی سرایة کلّ من الأمر و النهی إلی متعلّق الآخر؛ لاتحاد متعلّقیهما وجوداً، و عدم سرایته؛ لتعدّدهما وجهاً، و الجهة المبحوث عنها هناک فی أنّ النهی عن العبادة أو المعاملة یوجب فسادها بعد الفراغ عن التوجّه إلیها</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لا یخلو من النظر؛ و ذلک</w:t>
      </w:r>
      <w:r>
        <w:rPr>
          <w:rFonts w:eastAsia="IRNazanin" w:cs="IRNazanin"/>
          <w:color w:val="111111"/>
          <w:sz w:val="28"/>
          <w:szCs w:val="28"/>
          <w:rtl w:val="true"/>
          <w:lang w:bidi="fa-IR"/>
        </w:rPr>
        <w:t>:</w:t>
      </w:r>
      <w:bookmarkStart w:id="41" w:name="pg12934_164400"/>
    </w:p>
    <w:p>
      <w:pPr>
        <w:pStyle w:val="BookText"/>
        <w:rPr/>
      </w:pPr>
      <w:bookmarkEnd w:id="41"/>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إذا اختلفت مسألتان فی بعض الذات أو تمام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الموضوع و المحمول، کما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تصل النوبة إلی التمییز بینهما بالجهات الخارجیة و الأغراض الخارجة عن حریم الذات، و لا یصار إلیها بعد إمکان الامتیاز بما یکون دخیلًا فی الذات و الذاتیات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الجهة المبحوث عنها فی هذه المسألة لیست ما ذکره؛ لأنّ ما ذکره من المبادئ التصدیقیة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البرهان علی المسألة؛ أی أنّه إذا اجتمع عنوانان تعلّق بواحد منهما أمر، و بالآخر نهی، و تصادقا علی موضوع واحد شخصی، هل یجوز، أم لا؟</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مسألة عن اخری إنّما هو بموضوعها و محمولها، أو بأحدهما، فإذا کانت المسألة متمیّزة عن اخری بتمام 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معنی للتمسّک بما هو خارج عن مرتبة الذات؛ کسرایة کلّ من الأمر و النهی إلی متعلّق الآخر و عدمها فی المقام، و کون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تسلیم السرایة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یوجب الفساد أم لا فی غیر المقام؟</w:t>
      </w:r>
    </w:p>
    <w:p>
      <w:pPr>
        <w:pStyle w:val="BookText"/>
        <w:rPr/>
      </w:pPr>
      <w:r>
        <w:rPr>
          <w:rFonts w:ascii="IRNazanin" w:hAnsi="IRNazanin" w:eastAsia="IRNazanin"/>
          <w:color w:val="111111"/>
          <w:sz w:val="28"/>
          <w:sz w:val="28"/>
          <w:szCs w:val="28"/>
          <w:rtl w:val="true"/>
          <w:lang w:bidi="fa-IR"/>
        </w:rPr>
        <w:t>مضافاً إلی أنّ الجهة المبحوث عنها فی المقام، لیست هی کون التعدّد فی الواحد یوجب تعدّد المتعلّق، أو لا، و أنّه هل یسری کلّ منهما إلی متعلّق الآخر، أو لا؟</w:t>
      </w:r>
    </w:p>
    <w:p>
      <w:pPr>
        <w:pStyle w:val="Heading5"/>
        <w:numPr>
          <w:ilvl w:val="4"/>
          <w:numId w:val="1"/>
        </w:numPr>
        <w:rPr/>
      </w:pPr>
      <w:bookmarkStart w:id="42" w:name="__RefHeading___Toc4026041_3224264995"/>
      <w:bookmarkStart w:id="43" w:name="_Toc16"/>
      <w:bookmarkEnd w:id="42"/>
      <w:r>
        <w:rPr>
          <w:rtl w:val="true"/>
        </w:rPr>
        <w:t>الأمر الثالث فی کون المسألة اصولیة</w:t>
      </w:r>
      <w:bookmarkEnd w:id="43"/>
    </w:p>
    <w:p>
      <w:pPr>
        <w:pStyle w:val="BookText"/>
        <w:rPr/>
      </w:pPr>
      <w:r>
        <w:rPr>
          <w:rFonts w:ascii="IRNazanin" w:hAnsi="IRNazanin" w:eastAsia="IRNazanin"/>
          <w:color w:val="111111"/>
          <w:sz w:val="28"/>
          <w:sz w:val="28"/>
          <w:szCs w:val="28"/>
          <w:rtl w:val="true"/>
          <w:lang w:bidi="fa-IR"/>
        </w:rPr>
        <w:t>ظهر لک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عقد عنوان المسألة بنحوین</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النحو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ذکرناه من جواز اجتماع الأمر و النهی علی عنوانین متصادقین فی الخارج، و قد أشرنا إلی أنّه مراد من عنون المسألة من السلف إلی الخلف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w:t>
      </w:r>
    </w:p>
    <w:p>
      <w:pPr>
        <w:pStyle w:val="BookText"/>
        <w:rPr/>
      </w:pPr>
      <w:r>
        <w:rPr>
          <w:rFonts w:ascii="IRNazanin" w:hAnsi="IRNazanin" w:eastAsia="IRNazanin"/>
          <w:color w:val="111111"/>
          <w:sz w:val="28"/>
          <w:sz w:val="28"/>
          <w:szCs w:val="28"/>
          <w:rtl w:val="true"/>
          <w:lang w:bidi="fa-IR"/>
        </w:rPr>
        <w:t>هل یجوز اجتماع الأمر و النهی فی شی‌ء واحد؟</w:t>
      </w:r>
      <w:r>
        <w:rPr>
          <w:rFonts w:eastAsia="IRNazanin" w:cs="IRNazanin"/>
          <w:color w:val="111111"/>
          <w:sz w:val="28"/>
          <w:szCs w:val="28"/>
          <w:rtl w:val="true"/>
          <w:lang w:bidi="fa-IR"/>
        </w:rPr>
        <w:t>»</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تسامح فی تعبیرهم، کما أشرنا 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النزاع علی ذلک کبروی</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النحو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عنونه المحقّق الخراسانی قدس سره و تبعه فی ذلک غیره و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تعدّد الجهة فی شی‌ء واحد، هل یوجب رفع غائلة اجتماع الأمر و النهی و الضدّین،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النزاع علیه صغروی</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کلا التقدیرین وقع الخلاف فی کون المسألة من المسائل الاصولیة، أو من المسائل الکلامیة، أو الفقهیة، أو من المبادئ الأحکامیة، أو من المبادئ التصدیقیة لمسألة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یظهر من بعضهم عدّها مسألة فقهیة بتوهّم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البحث عنها فی صحّة الصلاة فی الدار المغصوبة مثلًا و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البحث فی المسألة عقلی؛ إذ هو فی جواز الاجتماع و إمکانه و عدمه علی النحو الذی ذکرناه، و فی لزوم ذلک علی النحو الآخر، و من الواضح أنّ البحث علیهما لا یکون بحثاً فی مسألة فقهیة؛ حیث إنّ المسألة الفقهیة ما تتعلّق بفعل المکلّف بلا واسطة من حیث الصحّة و الفساد، و لیست هذه المسألة متکفّلة لذلک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نتیجة هذه المسألة تنتهی إلی الفقه؛ و هی صحّة الصلاة فی الدار المغصوبة و عدمها مثلًا، و لکن من الواضح أنّ مجرّد ذلک لا یوجب عدّ المسألة فقهیة، و إلّا یلزم أن یکون جلّ المسائل الاصولیة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تکن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فقهیة؛ لانتهاء الأمر فیها إلی عمل المکلّف،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یظهر من بعضهم عدّ المسألة من المسائل الکلامیة</w:t>
      </w:r>
      <w:r>
        <w:rPr>
          <w:rStyle w:val="FootnoteAnchor"/>
          <w:rtl w:val="true"/>
        </w:rPr>
        <w:footnoteReference w:id="30"/>
      </w:r>
      <w:r>
        <w:rPr>
          <w:rFonts w:ascii="IRNazanin" w:hAnsi="IRNazanin" w:eastAsia="IRNazanin"/>
          <w:color w:val="111111"/>
          <w:sz w:val="28"/>
          <w:sz w:val="28"/>
          <w:szCs w:val="28"/>
          <w:rtl w:val="true"/>
          <w:lang w:bidi="fa-IR"/>
        </w:rPr>
        <w:t>بلحاظ أنّ المسألة عقلیة؛ و یبحث فیها عمّا یصحّ و یمتنع علیه تعالی، لأنّ مرجع النزاع فیها إلی فعله تعالی؛ و أنّه هل یجوز علیه تعالی جعل حکمین متخالفین بعنوانین متصادقین علی واحد؟ و أنّه هل تجتمع إرادته تعالی و کراهته فی واحد کذلک، أم لا؟</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یصحّ من المولی الحکیم الأمر و النهی بعنوانین متصادقین علی واحد، أم لا؟</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کون المسألة عقلیة لا یوجب عدّها مسألة کلامیة؛ و إلّا یلزم أن تکون مسائل المنطق و سائر العلوم العقلیة، مسائل کلامیة، و هو کما تری، و مجرّد إمکان إرجاع البحث فیها بنحو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المسائل الکلامیة، صرف للمسألة عن مسیرها من دون داعٍ، و لعلّ البحث علی ما ذکر أشبه شی‌ء بالأکل من القفا</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الاصول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یظهر من المحقّق النائینی قدس سره أنّ النزاع فی المسألة من المبادئ التصدیقیة لموضوع مسألة التعارض أو التزاحم؛ و ذلک لأنّه قدس سره غیّر عنوان البحث عن ظاهره إلی أنّه إذا اجتمع متعلّق الأمر و النهی من حیث الإیجاد و الوجود، فهل یلزم من الاجتماع کذلک أن یتعلّق کلّ من الأمر و النهی بعین ما تعلّق به الآخر، أو لا؟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الکلام فی المسألة یقع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لزوم ذلک و عدمه، فإن لزم منه تعلّق الأمر بعین ما تعلّق به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لمکان إطلاق کلّ منهما لمتعلّق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فیمتنع تشریع الأمر و النهی معاً بلحاظ حال الاجتماع، و یکون بین الدلیلین المتکفّلین لذلک تعارض العموم من وجه، و إن لم یلزم منه ذلک فلا یمتنع تشریع مثل هذا الأمر و النهی، و لا یکون بینهما 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بعد ما لم یتعلّق الأمر بعین ما تعلّق به النهی، فهل وجود المندوحة للمکلّف و تمکّنه من إیجاد الصلاة خارج الدار الغصبیة، یجدی فی رفع غائلة التزاحم بین الأمر و النهی، و یکفی فی انطباق المأمور به و المنهی عنه علی الجامع؛ و هو الصلاة فی الدار الغصبیة، فتصحّ الصلاة فیها، أو لا یجدی وجود المندوحة فی ذلک، و لا ینطبق المأمور به علی المجمع؟</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البحث فی مسألة اجتماع الأمر و النهی و إن کان راجعاً إلی باب الملازمات العقلیة للخطابات الشرعیة، کالبحث عن مقدّمة الواجب، و مسألة الضدّ، مع فرق بینهما؛ حیث إنّ البحث فی تلک المسائل عن لازم خطاب واحد، و فی هذه المسألة عن لازم خطابین، و لازم ذلک فی بادئ النظر و إن کان عدّ المسألة من المسائل الاصولیة کما کانت تلک المسائل کذلک، و لکن حیث إنّ مجرّد کون البحث عن الملازمات، لا یکفی فی عدّ المسألة اصولیة إلّا إذا کانت الکبری المبحوث عنها بنفسها، واقعةً فی طریق الاستنباط؛ بحیث یصلح أن تکون کبری لقیاس الاستنباط، و یستنتج حکم فرعی کلّی، و الکبری المبحوث عنها فی المقام لا تصلح لذلک، بخلاف کبریات تلک المسائل؛ و ذلک لأنّ المبحوث عنها فیها هو عن اقتضاء الأمر بالشی‌ء النهی عن ضدّه، و اقتضاء إیجاب الشی‌ء إیجاب مقدّماته، و کلّ واحد منهما بنفسه یقع کبری لقیاس الاستنباط، و یستنتج منه حکم کلّی؛</w:t>
      </w:r>
    </w:p>
    <w:p>
      <w:pPr>
        <w:pStyle w:val="BookText"/>
        <w:rPr/>
      </w:pPr>
      <w:r>
        <w:rPr>
          <w:rFonts w:ascii="IRNazanin" w:hAnsi="IRNazanin" w:eastAsia="IRNazanin"/>
          <w:color w:val="111111"/>
          <w:sz w:val="28"/>
          <w:sz w:val="28"/>
          <w:szCs w:val="28"/>
          <w:rtl w:val="true"/>
          <w:lang w:bidi="fa-IR"/>
        </w:rPr>
        <w:t>و هو فساد الضدّ إذا کان عبادة، و وجوب مقدّمة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فیما نحن فیه فلیس کذلک؛ لأنّ المبحوث عنه فی المقام الأوّل فی استلزام تعلّق الأمر و النهی بعین ما تعلّق به الآخر عند اتحاد المتعلّقین، فیکون الأمر و النهی متعارضین، أو عدم استلزام ذلک، فلا تعارض، و من الواضح أنّ ثبوت التعارض و عدمه، لا یقع بنفسه کبری القیاس ما لم ینضمّ إلیه قواعد التعارض من الترجیح أو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المقام الثانی إنّما هو فی کفایة وجود المندوحة فی رفع غائلة التزاحم، و عدم کفایته، فیکون بحثاً عمّا یقتضی وجود التزاحم و عدمه، و هو أیضاً لیس بنفسه کبری القیاس ما لم تنضمّ إلیه قواعد التزاحم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البحث فی المسألة أشبه شی‌ء بالبحث عن المبادئ التصدیقیة؛ لرجوع البحث فیها إلی البحث عمّا یقتضی وجود الموضوع لمسألة التعارض و التزاحم، و لیس بحثاً عن المسألة الاصولیة، و لا عن المبادئ الأحکامیة</w:t>
      </w:r>
      <w:r>
        <w:rPr>
          <w:rStyle w:val="FootnoteAnchor"/>
          <w:rtl w:val="true"/>
        </w:rPr>
        <w:footnoteReference w:id="32"/>
      </w:r>
      <w:r>
        <w:rPr>
          <w:rFonts w:ascii="Amiri" w:hAnsi="Amiri" w:eastAsia="Amiri" w:cs="Amiri"/>
          <w:color w:val="111111"/>
          <w:sz w:val="28"/>
          <w:sz w:val="28"/>
          <w:szCs w:val="28"/>
          <w:rtl w:val="true"/>
          <w:lang w:bidi="ar-SA"/>
        </w:rPr>
        <w:t>، انتهی کلامه محرّراً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أفاده قدس سره غیر وجیه، و لتوضیح بعض الإشکال فیه ینبغی الإشارة الإجمالیة إلی معنی المبدأ التصوّری و المبدأ التصدیقی، و أنّ المبادئ الأحکامیة لیست أمراً خارجاً عنهما، بل اصطلاح محض فیما یرجع إلی الأحکام الشرعیة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مسألة موضوع، و محمول، و نسبة حکمیة، و حکم، فما یکون دخیلًا فی تصوّر موضوع المسألة أو محمولها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النسبة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مبدأً تصوّریّاً بالنسبة إلیها، و أمّا ما یکون دخیلًا فی التصدیق بالمسألة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التصدیق بثبوت المحمول للموضوع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مبدأً تصدیقیاً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 یدلّ علی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فکلّ ما یکون دخیلًا فی تصوّر الأمر و أنّه ما ذا؟ و فی أنّ الوجوب ما هو؟ و فی النسبة بینهما؟ یکون مبدأً تصوّریّاً بالنسبة إلیها، و أمّا ما یکون دخیلًا فی التصدیق بأنّ الأمر یدلّ علی الوجوب، فیکون مبدأً تصدیقیاً بالنسبة إلیها، فلکلّ مسألة جهة تصدیقیة، و جهات تصوّریة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المبادئ الأحکامیة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یلهج به بعض الألسنة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شیئاً آخر وراء ما ذکرنا، و التعبیر بها مجرّد اصطلاح؛ لأنّ کلّ ما یکون دخیلًا فی موضوع الحکم الشرعی أو محموله أو النسبة بینهما، یکون مبدأً تصوّریّاً للحکم الشرعی، و ما یکون دخیلًا فی الحکم الشرعی یکون مبدأً تصدیقیاً بالنسبة إلیه، فلیس هنا أمر وراء ما ذکرنا نسمّیه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المبادئ الأحکامیة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وقع الاصطلاح فی تسمیة ما یکون دخیلًا فی الحکم الشرعی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المبادئ الأحکامیة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مضایقة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لک 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المبدأ التصوّری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التصدیقی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الأوّل عبارة عن کلّ ما یکون دخیلًا فی تصوّر أطراف القضیة، و أنّ الثانی عبارة عمّا یکون دخیلًا فی التصدیق بأنّ المحمول للموضوع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یکون دخیلًا فی التصدیق بوجود موضوع المسألة أو محمولها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یکون دخیلًا فی تحقّق أطراف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فاختلف فی کونه مبدأً تصوّریّاً أو تصدیقیاً، و الحقّ کما أفاده بعض، أنّ ما یکون دخیلًا فی التصدیق بالهوهویة و أنّ المحمول هو الموضوع، مبدأ تصدیقی، و أمّا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دخیلًا فی تصوّر الأطراف، أو کان دخیلًا فی تحقّقها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فمبدأ تصوّری</w:t>
      </w:r>
      <w:r>
        <w:rPr>
          <w:rStyle w:val="FootnoteAnchor"/>
          <w:rtl w:val="true"/>
        </w:rPr>
        <w:footnoteReference w:id="33"/>
      </w:r>
      <w:r>
        <w:rPr>
          <w:rFonts w:ascii="IRNazanin" w:hAnsi="IRNazanin" w:eastAsia="IRNazanin"/>
          <w:color w:val="111111"/>
          <w:sz w:val="28"/>
          <w:sz w:val="28"/>
          <w:szCs w:val="28"/>
          <w:rtl w:val="true"/>
          <w:lang w:bidi="fa-IR"/>
        </w:rPr>
        <w:t>، و التفصیل یطلب من محلّه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تمهّد لک 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أفاده مواقع للنظر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 جواز الاجتماع کبروی لا صغروی؛ و فی سرایة کلّ من الأمر و النهی لعین ما تعلّق بالآخر و عدمها، حتّی یتوهّم کون البحث فیها عن مبدأ تصدیقی لموضوع مسألة التعارض علی وجه، أو لموضوع مسألة التزاحم علی وجه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کون النزاع فی ذلک، و لکن ستعرف قریباً أنّ هذه المسألة لا تکون محقّقة لموضوع مسألة باب التعارض أو التزاحم، فارتقب حتّی 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ذلک أیضاً؛ و أنّ هذه المسألة محقّقة لموضوع مسألة التعارض أو التزاحم، و لکن لا یوجب ذلک أن تکون هذه المسألة مبدأً تصدیقیاً بالنسبة إلیهما، بل لا تکون مبدأً تصوّریّاً لهما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عدم کونها مبدأً تصدیقیاً لهما؛ فلما أشرنا إلیه من أنّ المبدأ التصدیقی لمسألة، هو الذی یکون دخیلًا فی التصدیق بنفس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تنزّلنا فیمکن أن یعدّ ما یکون دخیلًا فی التصدیق بوجود الموضوع أو المحمول، مبدأً تصوّریّاً، و من المعلوم أنّ محقّق موضوع المسألة غیر دخیل فی تصدیقها، و لا فی التصدیق بوجود الموضوع أو المحمول</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عدم کونها مبدأً تصوّریّاً لها؛ فلما أشرنا إلیه أیضاً من أنّه عبارة عمّا یکون دخیلًا فی تصوّر أطراف القضیة، أو دخیلًا فی التصدیق بوجود الموضوع أو المحمول، و من الواضح أنّ ما یکون محقّقاً لموضوع مسألة، هو الذی إن لم یتمّ البحث فیه لا یکون وقْع للبحث فیها، 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موضوع مسألة هو علّة وجودها، و کم فرق بین علّة وجود الشی‌ء، و بین ما یکون دخیلًا فی تصوّره، أو التصدیق بوجوده، بل فی التصدیق بنفس القضیة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تری أنّه تعالی علّة وجود الموضوعات و تحقّقها، و لیس مبدأً تصوّریّاً و لا تصدیقیاً لشی‌ء من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مسألة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کونها محقّقة لموضوع مسألة التعارض أو التزاحم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 مبدأً تصدیقیاً و لا تصوّریّاً لهما، بل من علل وجودها،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کون مسألة مبدأً تصدیقیاً لمسألة، لا یوجب أن لا تکون المسألة اصولیة؛ لأنّه من الممکن أن تکون المسألة مع کونها مسألة اصولیة، مبدأً تصدیقیاً لمسألة اخری، أ لا تری أنّ مسألة حجّیة خبر الواحد مسألة اصولیة، بل من مهمّاتها، مع أنّها بزعمه قدس سره تکون مبدأً تصدیقیاً لموضوع مسألة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مسألتنا هذه کذلک؛ لأنّها لو تمّت تکون مبدأً تصدیقیاً لموضوع مسألة التعارض أو التزاحم</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ربما یظهر من بعض الأعاظم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کون مسألة الاجتماع مسألة اصولیة؛ لأنّ موضوع علم الاصول هو الحجّة فی الفقه، کما علیه الشافعی خرّیت فنّ الاصول، و موضوع العلم ما یبحث فیه عن عوارضه الذاتیة، فلا بدّ و أن یکون البحث فی مسائل علم الاصول عن عوارض الحجّة، و من الواضح أنّ مسألة جواز اجتماع الأمر و النهی و عدمه، لم تکن بحثاً عن عوارض الحجّة فی الفقه</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تقدّم الکلام مفصّلًا فی مقاله دام ظلّه فی صدر الکتاب</w:t>
      </w:r>
      <w:r>
        <w:rPr>
          <w:rStyle w:val="FootnoteAnchor"/>
          <w:rtl w:val="true"/>
        </w:rPr>
        <w:footnoteReference w:id="37"/>
      </w:r>
      <w:r>
        <w:rPr>
          <w:rFonts w:ascii="IRNazanin" w:hAnsi="IRNazanin" w:eastAsia="IRNazanin"/>
          <w:color w:val="111111"/>
          <w:sz w:val="28"/>
          <w:sz w:val="28"/>
          <w:szCs w:val="28"/>
          <w:rtl w:val="true"/>
          <w:lang w:bidi="fa-IR"/>
        </w:rPr>
        <w:t>، و قلنا بأنّه لا دلیل علی لزوم أن یکون لکلّ علم موضوع؛ حتّی یبحث فیه عن عوارضه الذاتیة، و أنّه لا نسلّم کون الوجوب و الحرمة من عوارض فعل المکلّف لو سلّم کونهما من العوارض، و لا دلیل علی کون موضوع علم الاصول الحجّة فی الفقه، و لو سلّم کون موضوع علم الاصول ما أفاده دام ظلّه فغایة ما یقتضیه الاعتبار و یمکن تسلّمه، هو ما یکون حجّة فی الفقه بالحمل الشائع و ما یحتجّ به الفقیه فی الفقه، لا ما هو الحجّة بالحمل الأوّلی، و من المعلوم أنّه کما أنّ البحث عن مسألة حجّیة خبر الواحد مسألة اصولیة؛ لکون البحث فیها عمّا یکون حجّة بالحمل الشائع، و یستنتج منها الفقیه حکماً کلّیاً آلیاً فرعیاً، فکذلک مسألتنا هذه؛ فإنّه یبحث فیها عمّا یکون مصداقاً للحجّة، و یُثبِت بها حکماً کلّیاً آلیاً فرعیاً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أراد دام ظلّه أنّ موضوع علم الاصول مفهوم الحجّة فی الفقه، فیلزم خروج جلّ المسائل الاصولیة عنه لو لم یخرج کلّها؛ لعدم کون البحث فیها عن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مع تکلّفٍ و تعسّف، أ لا تری أنّ مسألة مقدّمة الواجب مسألة اصولیة، و کذا مسألة الضدّ مسألة اصولیة، و هکذا غیرهما، مع أنّ البحث فیها لم یکن عن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موجب للالتزام بکون موضوع علم الاصول هو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یتکلّف فی إدراج بعض المسائل الاصولیة فیه، کما لا موجب لالتزام بعض أرباب المعقول</w:t>
      </w:r>
      <w:r>
        <w:rPr>
          <w:rStyle w:val="FootnoteAnchor"/>
          <w:rtl w:val="true"/>
        </w:rPr>
        <w:footnoteReference w:id="38"/>
      </w:r>
      <w:r>
        <w:rPr>
          <w:rFonts w:ascii="IRNazanin" w:hAnsi="IRNazanin" w:eastAsia="IRNazanin"/>
          <w:color w:val="111111"/>
          <w:sz w:val="28"/>
          <w:sz w:val="28"/>
          <w:szCs w:val="28"/>
          <w:rtl w:val="true"/>
          <w:lang w:bidi="fa-IR"/>
        </w:rPr>
        <w:t>بأخذ الوجود موضوعاً لعلم الفلسفة لإدراج بعض المسائل العقلیة فیه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أراد بذلک ما یکون مصداقاً للحجّة و ما یحتجّ به الفقیه فی استنباط</w:t>
      </w:r>
      <w:bookmarkStart w:id="44" w:name="pg12934_164409"/>
    </w:p>
    <w:p>
      <w:pPr>
        <w:pStyle w:val="BookText"/>
        <w:rPr/>
      </w:pPr>
      <w:bookmarkEnd w:id="44"/>
      <w:r>
        <w:rPr>
          <w:rFonts w:ascii="IRNazanin" w:hAnsi="IRNazanin" w:eastAsia="IRNazanin"/>
          <w:color w:val="111111"/>
          <w:sz w:val="28"/>
          <w:sz w:val="28"/>
          <w:szCs w:val="28"/>
          <w:rtl w:val="true"/>
          <w:lang w:bidi="fa-IR"/>
        </w:rPr>
        <w:t>الحکم الشرعی من الدلیل، فیمکن الالتزام به، و لعلّ الشافعی أیضاً یری أنّ موضوع علم الاصول ما یکون حجّة بالحمل الشائع، و واضح أنّ مسألتنا هذه ممّا یصحّ الاحتجاج بها فی الفقه، و یستنتج منها حکم فرعی؛ و هو جواز الصلاة فی الدار المغصوبة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مسألة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ذهبنا إلیه من کون النزاع فیها کبرویاً، أو کما ذهب إلیه بعضهم من صغرویة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عقلیة 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أحسن و أجاد المحقّق الخراسانی قدس سره فی المقام،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نتیجة هذه المسألة حیث تقع فی طریق الاستنباط، کانت المسألة من المسائل الاصولیة، لا من مبادئها الأحکامیة، و لا التصدیقیة، و لا من المسائل الکلامیة، و لا من المسائل الفرعیة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فیها جهاتها،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أنّ مجرّد ذلک لا یوجب کونها منها إذا کانت فیها جهة اخری یمکن عقدها معها من المسائل، و قد عرفت فی أوّل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ضیر فی کون مسألة واحدة یبحث فیها عن جهة خاصّة من مسائل علمین؛ لانطباق جهتین عامّتین علی تلک الجهة؛ کانت بإحداهما من مسائل علم، و بالاخری من آخر</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 w:name="__RefHeading___Toc4026043_3224264995"/>
      <w:bookmarkStart w:id="46" w:name="_Toc17"/>
      <w:bookmarkEnd w:id="45"/>
      <w:r>
        <w:rPr>
          <w:rtl w:val="true"/>
        </w:rPr>
        <w:t>الأمر الرابع فی عدم اعتبار وجود المندوحة</w:t>
      </w:r>
      <w:bookmarkEnd w:id="4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اختلفوا فی اعتبار قید المندوحة فی محطّ البحث و عدمه، و 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المندوحة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تمکّن المکلّف من إتیان المأمور به فی غیر المجمع؛ بأن یمکنه إتیان الصلاة مثلًا فی مقام الامتثال فی غیر المکان المغصوب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یظهر من بعضهم اعتبارها فی محطّ البحث</w:t>
      </w:r>
      <w:r>
        <w:rPr>
          <w:rStyle w:val="FootnoteAnchor"/>
          <w:rtl w:val="true"/>
        </w:rPr>
        <w:footnoteReference w:id="40"/>
      </w:r>
      <w:r>
        <w:rPr>
          <w:rFonts w:ascii="IRNazanin" w:hAnsi="IRNazanin" w:eastAsia="IRNazanin"/>
          <w:color w:val="111111"/>
          <w:sz w:val="28"/>
          <w:sz w:val="28"/>
          <w:szCs w:val="28"/>
          <w:rtl w:val="true"/>
          <w:lang w:bidi="fa-IR"/>
        </w:rPr>
        <w:t>بتوهّم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بدّ و أن یتمکّن من إتیان الصلاة فی غیر المکان المغصوب، و إلّا فلو لم تکن هناک مندوحة یلزم التکلیف بالمحال؛ لعدم قدرة المکلّف علی امتثال الأمر، فلا بدّ من القول بالامتناع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الذی یقتضیه النظر عدم اعتبارها فی محطّ البحث؛ سواء کان النزاع صغرویاً، أی فی أنّه هل یوجب تعدّد العنوان رفع غائلة اجتماع الضدّین، أم لا؟ أو کبرویاً؛ أی فی أنّه هل یجوز اجتماع الأمر و النهی علی عنوانین متصادقین علی أمر واحد، و کان البحث أعمّ من لزوم اجتماع الضدّین الذی هو تکلیف بالمحال، أو التکلیف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کون النزاع صغرویاً؛ فلأنّ محطّ البحث علی هذا فی أنّ تعدّد العنوان، هل یرفع غائلة اجتماع الضدّین، أم لا؟ فالأمر یدور مدار تعدّد العنوان، فإن کفی ذلک لرفع غائلة الاجتماع، فوجود المندوحة و عدمها سیّان، و إن لم یکفِ ذلک لرفعها، لما کان لوجود المندوحة و عدمها فائدة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المندوحة و عدمها لا یرتبط فیما هو المهمّ فی محطّ النزاع؛ من إمکان اجتماع الحکمین و استحالته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کبرویة النزاع کما هو المختار، و کون النزاع أعمّ من التکلیف بالمحال، أو التکلیف المحال، فتوهّم اعتبار المندوحة إنّما نشأ من خلط الأحکام و الخطابات الکلّیة القانونیة؛ بالأحکام و الخطابات الجزئیة و الشخصیة، مع أنّه قد أشرنا غیر مرّة إلی أنّ لکلّ منهما ملاکاً و ضابطةً تخصّه؛ بداهة اعتبار احتمال الانبعاث فی الخطاب</w:t>
      </w:r>
    </w:p>
    <w:p>
      <w:pPr>
        <w:pStyle w:val="BookText"/>
        <w:rPr/>
      </w:pPr>
      <w:r>
        <w:rPr>
          <w:rFonts w:ascii="IRNazanin" w:hAnsi="IRNazanin" w:eastAsia="IRNazanin"/>
          <w:color w:val="111111"/>
          <w:sz w:val="28"/>
          <w:sz w:val="28"/>
          <w:szCs w:val="28"/>
          <w:rtl w:val="true"/>
          <w:lang w:bidi="fa-IR"/>
        </w:rPr>
        <w:t>الشخصی بالنسبة إلی المخاطب، و عدم اعتبار ذلک فی الخطاب القانونی، و غایة ما یعتبر فیه هو إمکان انبعاث طائفة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العنوانان اللّذان تعلّق بأحدهما الأمر و بالآخر النهی، إمّا غیر مرتبطین و یفترق کلّ منهما عن الآخر بحسب نوع حالات المکلّفین فی الأعصار و الأمصار، کعنوانی الصلاة و الغصب، حیث إنّ عامّة الناس فی الأعصار و الأمصار، یتمکّنون غالباً من إتیان الصلاة فی غیر الدار المغصوبة، نعم ربما یتّفق لبعضهم و یتضیّق علیه الأمر نادراً؛ بحیث لا یتمکّن إلّا من الصلاة فی الدار المغصوبة، و إمّا أن یکونا متلازمین و غیر منفکّین بحسب التحقّق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أشرنا إلی أنّ فعلیة الأحکام القانونیة، لا تکون مرهونة بملاحظة حالات آحاد الأفراد؛ حتّی یکون الحکم بالنسبة إلی واحد منهم إنشائیاً بلحاظ عدم تحقّق شرط التکلیف فیه، و فعلیاً بالنسبة إلی واجد الشرط، بل حتّی یکون الحکم فعلیاً و إنشائیاً بالنسبة إلی حالات شخص واحد؛ بأن یکون الحکم بالنسبة إلی النائم و الساهی إنشائیاً، و یصیر فعلیاً إذا استیقظ و تذکّر، بل الحکم فعلی بالنسبة إلی جمیع آحاد المکلّفین و حالاتهم، بل بالنسبة إلی حالات شخص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غایة ما یقتضیه العقل هی معذوریة ذوی الأعذار عن القیام بامتثال الحکم الفعلی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فالحکم الإنشائی هو الحکم الذی یری المقنّن صلاحاً فی إنشائه و جعله علی موضوع کلّی، فإن لم یکن عن إجرائه مانع فیجعله و یصیر الحکم فعلیاً، و إن کان عن إجرائه مانع فلن یصل إلی مرتبة الفعلیة</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فی جعل الأحکام القانونیة، هو انبعاث أو انزجار طائفة منهم فی الأعصار و الأمصار، و لا یعتبر فیها ملاحظة حالات کلّ واحد من الأفراد مع ما هم علیه من الاختلاف؛ فبعضهم عاجز، و بعضهم 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الأعذار، و غایة ما یقتضیه العقل عند طروّ الجهل أو العجز أو غیرهما، هی معذوریة المتلبّس بها، لا تقیید الحکم بعدمها، فإذا تعلّق الحکم بعنوان و ابتلی الشخص بأعذار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ابتلاؤه بعدم القدرة علیه بلحاظ انطباق عنوان حکم آخر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یصیر الحکم إنشائیاً، بل فعلیاً، و غایة ما یقتضیه حکم العقل هی معذوریة الشخص عن القیام بامتثال الحکم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انحلال التکلیف الواحد بعدد رءوس آحاد المکلّفین؛ حتّی یکون کلّ فرد مخصوصاً بخطاب یخصّه، حتّی یستهجن خطابه بالبعث نحو الصلاة مثلًا، و بالزجر عن الغصب، حتّی یصیر المقام من التکلیف بالمحال، أو التکلیف المحال من المولی الحکیم، بل تکلیف واحد بإرادة واحدة؛ و هی إرادة التشریع و جعل الحکم علی العنوان لیصیر حجّة علی کلّ من أحرز دخوله تحت العنوان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تمهّد لک ما ذکرنا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العنوانین إمّا أن یکونا من قبیل القسم الأوّل؛ أی غیر مرتبط أحدهما بالآخر فی الوجود الخارجی غالباً، و إنّما یتصادقان أحیاناً، فإن لم یکن محذور فی تعلّق الحکمین بالعنوانین الکذائیین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کان محذور، فوجود المندوحة و عدمها سیّان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عین سابقه إذ ما هو الفرق بین</w:t>
      </w:r>
      <w:bookmarkStart w:id="47" w:name="pg12934_164413"/>
    </w:p>
    <w:p>
      <w:pPr>
        <w:pStyle w:val="BookText"/>
        <w:rPr/>
      </w:pPr>
      <w:bookmarkEnd w:id="47"/>
      <w:r>
        <w:rPr>
          <w:rFonts w:ascii="IRNazanin" w:hAnsi="IRNazanin" w:eastAsia="IRNazanin"/>
          <w:color w:val="111111"/>
          <w:sz w:val="28"/>
          <w:sz w:val="28"/>
          <w:szCs w:val="28"/>
          <w:rtl w:val="true"/>
          <w:lang w:bidi="fa-IR"/>
        </w:rPr>
        <w:t>أن یکون وجود المندوحة کعدمها و بین أن لا یکون لها أثر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یکونا من قبیل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متلازمین 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یحتاج إلی التقیید بالمندوحة أیضاً؛ لاستحالة صدور الحکمین الکذائیین من المولی الحکیم المقنّن، لأنّ الإرادة الجدّیة من المولی الحکیم، إنّما تتمشّی فی مورد یقدر المکلّف علی امتثاله، و فی صورة تلازم العنوانین فی الوجود، لا یکاد تصدر إرادة البعث لأحدهما، و إرادة الزجر عن الآخر، فالتکلیف محال من المولی الحکیم؛ لأجل التکلیف المحال، فضلًا عن التکلیف بالمحال، فعند ذلک لا بدّ و أن یقیّد أحد الحکمین بعدم الآخر؛ إمّا بتقیید جانب الأمر بعدم النهی لو کانت له مزیّة، أو بالعکس إذا کان للنهی مزیّة، و إذا لم یکن لأحدهما مزیّة علی الآخر فالتخییر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 بطوله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اعتبار قید المندوحة غیر محتاج إلیه؛ لا علی کون النزاع صغرویاً، و لا علی کونه کبرویاً، فافهم</w:t>
      </w:r>
      <w:r>
        <w:rPr>
          <w:rFonts w:eastAsia="IRNazanin" w:cs="IRNazanin"/>
          <w:color w:val="111111"/>
          <w:sz w:val="28"/>
          <w:szCs w:val="28"/>
          <w:rtl w:val="true"/>
          <w:lang w:bidi="fa-IR"/>
        </w:rPr>
        <w:t>.</w:t>
      </w:r>
    </w:p>
    <w:p>
      <w:pPr>
        <w:pStyle w:val="Heading5"/>
        <w:numPr>
          <w:ilvl w:val="4"/>
          <w:numId w:val="1"/>
        </w:numPr>
        <w:rPr/>
      </w:pPr>
      <w:bookmarkStart w:id="48" w:name="__RefHeading___Toc4026045_3224264995"/>
      <w:bookmarkStart w:id="49" w:name="_Toc18"/>
      <w:bookmarkEnd w:id="48"/>
      <w:r>
        <w:rPr>
          <w:rtl w:val="true"/>
        </w:rPr>
        <w:t>الأمر الخامس فی جریان النزاع حتّی مع تعلّق الأوامر و النواهی بالأفراد</w:t>
      </w:r>
      <w:bookmarkEnd w:id="49"/>
    </w:p>
    <w:p>
      <w:pPr>
        <w:pStyle w:val="Heading6"/>
        <w:numPr>
          <w:ilvl w:val="5"/>
          <w:numId w:val="1"/>
        </w:numPr>
        <w:rPr/>
      </w:pPr>
      <w:bookmarkStart w:id="50" w:name="__RefHeading___Toc4026047_3224264995"/>
      <w:bookmarkStart w:id="51" w:name="_Toc19"/>
      <w:bookmarkEnd w:id="50"/>
      <w:r>
        <w:rPr>
          <w:rtl w:val="true"/>
        </w:rPr>
        <w:t>اشارة</w:t>
      </w:r>
      <w:bookmarkEnd w:id="51"/>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النزاع فی هذه المسألة، مبنی علی مسألة تعلّق الأحکام بالطبائع أو الأفراد؛ بحیث إنّ کلّ من قال بتعلّق الأحکام بالطبائع، فلا بدّ له و أن یقول هنا بجواز الاجتماع، و من قال بتعلّقها بالأفراد فلا بدّ له من اختیار امتناع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النزاع فی هذه المسألة، إنّما یتمشّی لو قیل بتعلّق الأحکام بالطبائع، و أمّا لو قیل بتعلّقها بالأفراد فلا مناص فی هذه المسألة من اختیار الامتناع</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الذی یقتضیه التأمّل، عدم ابتناء النزاع فی هذه المسألة علی ذلک إلّا</w:t>
      </w:r>
    </w:p>
    <w:p>
      <w:pPr>
        <w:pStyle w:val="BookText"/>
        <w:rPr/>
      </w:pPr>
      <w:r>
        <w:rPr>
          <w:rFonts w:ascii="IRNazanin" w:hAnsi="IRNazanin" w:eastAsia="IRNazanin"/>
          <w:color w:val="111111"/>
          <w:sz w:val="28"/>
          <w:sz w:val="28"/>
          <w:szCs w:val="28"/>
          <w:rtl w:val="true"/>
          <w:lang w:bidi="fa-IR"/>
        </w:rPr>
        <w:t>بإرادة بعض معانی الفرد؛ و ذلک لأنّه یحتمل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مراد القائلین بتعلّق الأحکام بالأفراد، أحد هذه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بالفرد المصداق و الفرد الخارجی الذی یصدر من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عنوان الفرد الجامع لکلّ ما یلحقه؛ سواء کانت ملازمة له، أو مفارقة إیّاه؛ بحیث یکون متعلّق الأمر مثلًا الصلاة المتعانقة مع تلک اللواحق، فتکون تلک الامور مأخوذةً فی الموضوع، و کذا فی جانب النهی تکون طبیعة الغصب مع ما یقارنها، متعلّقةً للنهی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تعلّقها بالفرد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تعلّقها به مع کلّ ما یلازمه و یقارنه حتّی الاتفاقیات منه، مثلًا تکون الصلاة مع جمیع ما یقارنها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وقوعها فی الدار الغصبیة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متعلّقة للأمر؛ بحیث اخذت هذه الامور فی الموضوع، و تکون طبیعة الغصب مع ما یقارنها حتّی وقوعها فی حال الصلاة، متعلّقة للنهی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یراد بتعلّقها بالفرد عنوان إجمالی الفرد؛ بأن یکون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أوجد فرد الصلاة،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توجد فرداً من 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بالفرد الحصّة الملازمة لأین ما، و مکان ما، و هکذا بالمعنی الذی یراه المحقّق العراقی قدس سره</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الطبیعة الملازمة للعناوین المشخّصة و أمارات التشخّص، کطبیعی الأین، و المتی، و الوضع، و هکذا سائر العناوین، فیکون الواجب طبیعة الصلاة مع مکان کلّی، و هکذا سائر العناوین، و الحرام الطبیعة الغصبیة المتصفة بالوضع و المکان الکلّیین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بالفرد الوجود الخاصّ قبال الوجود السّعِی الذی فسّره به المحقّق الخراسانی قدس سره</w:t>
      </w:r>
      <w:r>
        <w:rPr>
          <w:rStyle w:val="FootnoteAnchor"/>
          <w:rtl w:val="true"/>
        </w:rPr>
        <w:footnoteReference w:id="44"/>
      </w:r>
      <w:r>
        <w:rPr>
          <w:rFonts w:ascii="IRNazanin" w:hAnsi="IRNazanin" w:eastAsia="IRNazanin"/>
          <w:color w:val="111111"/>
          <w:sz w:val="28"/>
          <w:sz w:val="28"/>
          <w:szCs w:val="28"/>
          <w:rtl w:val="true"/>
          <w:lang w:bidi="fa-IR"/>
        </w:rPr>
        <w:t>یعنی وجود الصلاة و الغصب فی مقابل الوجود السّعِی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عرفت المحتملات فی إرادة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مراد القائل بتعلّق الأحکام بالأفراد أحد المعنیین الأوّلین، لما کان للنزاع فی هذه المسألة مجال؛ لاستلزامه تعلّق الأمر بعین ما تعلّق به النهی، و تکون طبیعة واحدة متعلّقةً للأمر و النهی، فیخرج عن محطّ النزاع الذی هو فی تعدّد العنوانین و اتحاد المعنون، و یدخل فی موضوع باب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الذی یسهّل الخطب؛ هو أنّه لم یکن شی‌ء من المعنیین، مراد القائلین بتعلّق الأحکام بالأفراد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المعنی الأوّل ضروری البطلان؛ لما أشرنا من أنّ الخارج ظرف السقوط لا الثبوت، فیدور أمرها بین المعانی الثلاثة الباقیة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ارید المعنی الأوّل منها فیمکن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المولی لاحظ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 علّق الأمر بإیجاد فرد منها، و لاحظ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علّق النهی بفرد منه، فتکون الصلاة فی الدار الغصبیة مجمع العنوانین؛ لانطباق عنوانی فرد الصلاة و الغصب علیها، نظیر ما لو تعلّق الأمر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النهی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انطبقا علی معنون واحد، فیصحّ أن ینازع فی جواز الاجتماع و عدمه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إرادة هذا المعنی من الفرد یصحّ النزاع، کما یصحّ النزاع علی القول بتعلّق الأحکام بالطبیعة؛ لأنّ فرد الصلاة و فرد الغصب عنوانان کلّیان</w:t>
      </w:r>
      <w:bookmarkStart w:id="52" w:name="pg12934_164416"/>
    </w:p>
    <w:p>
      <w:pPr>
        <w:pStyle w:val="BookText"/>
        <w:rPr/>
      </w:pPr>
      <w:bookmarkEnd w:id="52"/>
      <w:r>
        <w:rPr>
          <w:rFonts w:ascii="IRNazanin" w:hAnsi="IRNazanin" w:eastAsia="IRNazanin"/>
          <w:color w:val="111111"/>
          <w:sz w:val="28"/>
          <w:sz w:val="28"/>
          <w:szCs w:val="28"/>
          <w:rtl w:val="true"/>
          <w:lang w:bidi="fa-IR"/>
        </w:rPr>
        <w:t>منطبقان علی معنون واحد، کما أنّ نفس طبیعة الصلاة و نفس طبیعة الغصب، تنطبقان علی معنون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أولی من ذلک بجریان النزاع لو ارید المعنی الثانی منها؛ لأنّ الحصّة من الصلاة الملازمة لأین ما و کم ما، غیر عنوان الحصّة من الغصب التی هی کذلک، و لم تکن الصلاتیة و الغصبیة من مشخّصات الاخری، فاختلف العنوانان، و اتحد المعنون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لو ارید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الفرد الخاصّ مقابل الوجود السّعِی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النزاع أیضاً، فیکون متعلَّق الأمر وجوداً خاصّاً من الصلاة، و متعلّق النهی وجوداً خاصّاً من الغصب، فیختلف العنوانان، فیصحّ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قلنا فی تلک المسألة بتعلّق الأحکام بالأفراد، فقد عرفت صحّة النزاع هناک علی تقدیر إرادة أحد المعانی الثلاثة الأخیرة التی یدور أمر القائل بتعلّقها بالأفراد بواحد منها</w:t>
      </w:r>
      <w:r>
        <w:rPr>
          <w:rFonts w:eastAsia="IRNazanin" w:cs="IRNazanin"/>
          <w:color w:val="111111"/>
          <w:sz w:val="28"/>
          <w:szCs w:val="28"/>
          <w:rtl w:val="true"/>
          <w:lang w:bidi="fa-IR"/>
        </w:rPr>
        <w:t>.</w:t>
      </w:r>
    </w:p>
    <w:p>
      <w:pPr>
        <w:pStyle w:val="Heading6"/>
        <w:numPr>
          <w:ilvl w:val="5"/>
          <w:numId w:val="1"/>
        </w:numPr>
        <w:rPr/>
      </w:pPr>
      <w:bookmarkStart w:id="53" w:name="__RefHeading___Toc4026049_3224264995"/>
      <w:bookmarkStart w:id="54" w:name="_Toc20"/>
      <w:bookmarkEnd w:id="53"/>
      <w:r>
        <w:rPr>
          <w:rtl w:val="true"/>
        </w:rPr>
        <w:t>صحّة النزاع فی هذه المسألة علی القول بتعلّق الأحکام بالطبائع</w:t>
      </w:r>
      <w:bookmarkEnd w:id="54"/>
    </w:p>
    <w:p>
      <w:pPr>
        <w:pStyle w:val="BookText"/>
        <w:rPr/>
      </w:pPr>
      <w:r>
        <w:rPr>
          <w:rFonts w:ascii="IRNazanin" w:hAnsi="IRNazanin" w:eastAsia="IRNazanin"/>
          <w:color w:val="111111"/>
          <w:sz w:val="28"/>
          <w:sz w:val="28"/>
          <w:szCs w:val="28"/>
          <w:rtl w:val="true"/>
          <w:lang w:bidi="fa-IR"/>
        </w:rPr>
        <w:t>و أمّا لو قلنا فی تلک المسألة بتعلّقها بالطبائع، فلا یلزم القائل بها الحکم بجواز الاجتماع، کما توهّم، بل یمکنه القول بامتناع الاجتماع، فهذا المحقّق الخراسانی قدس سره مع أنّه قائل بتعلّق الأحکام بالطبائع</w:t>
      </w:r>
      <w:r>
        <w:rPr>
          <w:rStyle w:val="FootnoteAnchor"/>
          <w:rtl w:val="true"/>
        </w:rPr>
        <w:footnoteReference w:id="45"/>
      </w:r>
      <w:r>
        <w:rPr>
          <w:rFonts w:ascii="IRNazanin" w:hAnsi="IRNazanin" w:eastAsia="IRNazanin"/>
          <w:color w:val="111111"/>
          <w:sz w:val="28"/>
          <w:sz w:val="28"/>
          <w:szCs w:val="28"/>
          <w:rtl w:val="true"/>
          <w:lang w:bidi="fa-IR"/>
        </w:rPr>
        <w:t>، ذهب فی مسألتنا هذه إلی الامتناع؛ زعماً منه أنّ النهی المتعلّق بالطبیعة یسری إلی الأفراد</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ممّا ذکرنا صحّة النزاع فی جواز الاجتماع و عدمه من القائلین بتعلّق الأحکام بالأفراد أو الطبائع</w:t>
      </w:r>
      <w:r>
        <w:rPr>
          <w:rFonts w:eastAsia="IRNazanin" w:cs="IRNazanin"/>
          <w:color w:val="111111"/>
          <w:sz w:val="28"/>
          <w:szCs w:val="28"/>
          <w:rtl w:val="true"/>
          <w:lang w:bidi="fa-IR"/>
        </w:rPr>
        <w:t>.</w:t>
      </w:r>
      <w:bookmarkStart w:id="55" w:name="pg12934_164417"/>
    </w:p>
    <w:p>
      <w:pPr>
        <w:pStyle w:val="Heading6"/>
        <w:numPr>
          <w:ilvl w:val="5"/>
          <w:numId w:val="1"/>
        </w:numPr>
        <w:rPr/>
      </w:pPr>
      <w:bookmarkStart w:id="56" w:name="__RefHeading___Toc4026051_3224264995"/>
      <w:bookmarkStart w:id="57" w:name="_Toc21"/>
      <w:bookmarkEnd w:id="55"/>
      <w:bookmarkEnd w:id="56"/>
      <w:r>
        <w:rPr>
          <w:rtl w:val="true"/>
        </w:rPr>
        <w:t>کلام المحقّق النائینی قدس سره فی المقام و نقده</w:t>
      </w:r>
      <w:bookmarkEnd w:id="57"/>
    </w:p>
    <w:p>
      <w:pPr>
        <w:pStyle w:val="BookText"/>
        <w:rPr/>
      </w:pPr>
      <w:r>
        <w:rPr>
          <w:rFonts w:ascii="IRNazanin" w:hAnsi="IRNazanin" w:eastAsia="IRNazanin"/>
          <w:color w:val="111111"/>
          <w:sz w:val="28"/>
          <w:sz w:val="28"/>
          <w:szCs w:val="28"/>
          <w:rtl w:val="true"/>
          <w:lang w:bidi="fa-IR"/>
        </w:rPr>
        <w:t>فمن هنا یظهر النظر فیما ذکره المحقّق النائینی قدس سره فی المقام؛ لأنّه نفی أوّلًا کون مراد القائل بتعلّق الأحکام بالأفراد، تعلّقها بالأفراد الشخصیة، أو تعلّقها بها علی وجه یکون التخییر بینها شرعیاً؛ بحیث تکون الخصوصیات الشخصیة مطلوبة علی البدل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فالذی یصحّ النزاع المعقول فی تعلّق الأوامر بالطبیعة أو الفرد، هو أن یکون النزاع فی سرایة الأمر بالطبیعة إلی الأمر بالخصوصیات و لو علی النحو الکلّی؛ أی خصوصیة ما، بحیث تکون الخصوصیة داخلة تحت الطلب تبعاً نظیر تعلّق الإرادة التبعیة بالمقدّمة و إن لم یکن من ذلک فالقائل بالفرد یدّعی السرایة، و القائل بالطبیعة یدّعی عدم السرایة؛ و أنّ المأمور به هو الطبیعة المعرّاة عن کلّ خصوصیة، أی الساذجة غیر الملحوظة معها خصوصیة أصلًا، فعلی هذا فالحقّ أنّ النزاع فی مسألة الاجتماع، إنّما یجوز إذا قلنا هناک بتعلّق الأمر بالطبیعة، و أمّا إن قلنا بتعلّقه بالفرد بالمعنی الذی ذکر فلا؛ لاستلزامه تعلّق الأمر بعین ما تعلّق به النهی و لو بالتبعیة، فیمتنع الاجتماع </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8" w:name="__RefHeading___Toc4026053_3224264995"/>
      <w:bookmarkStart w:id="59" w:name="_Toc22"/>
      <w:bookmarkEnd w:id="58"/>
      <w:r>
        <w:rPr>
          <w:rtl w:val="true"/>
        </w:rPr>
        <w:t>توضیح الضعف</w:t>
      </w:r>
      <w:r>
        <w:rPr>
          <w:rtl w:val="true"/>
        </w:rPr>
        <w:t>:</w:t>
      </w:r>
      <w:bookmarkEnd w:id="59"/>
    </w:p>
    <w:p>
      <w:pPr>
        <w:pStyle w:val="BookText"/>
        <w:rPr/>
      </w:pPr>
      <w:r>
        <w:rPr>
          <w:rFonts w:ascii="IRNazanin" w:hAnsi="IRNazanin" w:eastAsia="IRNazanin"/>
          <w:color w:val="111111"/>
          <w:sz w:val="28"/>
          <w:sz w:val="28"/>
          <w:szCs w:val="28"/>
          <w:rtl w:val="true"/>
          <w:lang w:bidi="fa-IR"/>
        </w:rPr>
        <w:t xml:space="preserve">هو أنّه أراد قدس سره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السرایة إلی الخصوصیات الفردیة، و قد نفاه، و لو قطع النظر عنه و ارید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المعانی الثلاثة الأخیرة، فقد عرفت صحّة النزاع علی إرادة کلّ واحد منها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ممّا ذکرنا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النزاع فی جواز الاجتماع و عدمه جارٍ؛ سواء قلنا بتعلّق الأحکام بالطبائع، أو الأفراد</w:t>
      </w:r>
      <w:r>
        <w:rPr>
          <w:rFonts w:eastAsia="IRNazanin" w:cs="IRNazanin"/>
          <w:color w:val="111111"/>
          <w:sz w:val="28"/>
          <w:szCs w:val="28"/>
          <w:rtl w:val="true"/>
          <w:lang w:bidi="fa-IR"/>
        </w:rPr>
        <w:t>.</w:t>
      </w:r>
      <w:bookmarkStart w:id="60" w:name="pg12934_164418"/>
    </w:p>
    <w:p>
      <w:pPr>
        <w:pStyle w:val="Heading5"/>
        <w:numPr>
          <w:ilvl w:val="4"/>
          <w:numId w:val="1"/>
        </w:numPr>
        <w:rPr/>
      </w:pPr>
      <w:bookmarkStart w:id="61" w:name="__RefHeading___Toc4026055_3224264995"/>
      <w:bookmarkStart w:id="62" w:name="_Toc23"/>
      <w:bookmarkEnd w:id="60"/>
      <w:bookmarkEnd w:id="61"/>
      <w:r>
        <w:rPr>
          <w:rtl w:val="true"/>
        </w:rPr>
        <w:t>الأمر السادس فی عدم ابتناء النزاع علی إحراز المناط فی المجمع</w:t>
      </w:r>
      <w:bookmarkEnd w:id="62"/>
    </w:p>
    <w:p>
      <w:pPr>
        <w:pStyle w:val="Heading6"/>
        <w:numPr>
          <w:ilvl w:val="5"/>
          <w:numId w:val="1"/>
        </w:numPr>
        <w:rPr/>
      </w:pPr>
      <w:bookmarkStart w:id="63" w:name="__RefHeading___Toc4026057_3224264995"/>
      <w:bookmarkStart w:id="64" w:name="_Toc24"/>
      <w:bookmarkEnd w:id="63"/>
      <w:r>
        <w:rPr>
          <w:rtl w:val="true"/>
        </w:rPr>
        <w:t>اشارة</w:t>
      </w:r>
      <w:bookmarkEnd w:id="64"/>
    </w:p>
    <w:p>
      <w:pPr>
        <w:pStyle w:val="BookText"/>
        <w:rPr/>
      </w:pPr>
      <w:r>
        <w:rPr>
          <w:rFonts w:ascii="IRNazanin" w:hAnsi="IRNazanin" w:eastAsia="IRNazanin"/>
          <w:color w:val="111111"/>
          <w:sz w:val="28"/>
          <w:sz w:val="28"/>
          <w:szCs w:val="28"/>
          <w:rtl w:val="true"/>
          <w:lang w:bidi="fa-IR"/>
        </w:rPr>
        <w:t>ربما یتراءی من بعض العبارات</w:t>
      </w:r>
      <w:r>
        <w:rPr>
          <w:rStyle w:val="FootnoteAnchor"/>
          <w:rtl w:val="true"/>
        </w:rPr>
        <w:footnoteReference w:id="48"/>
      </w:r>
      <w:r>
        <w:rPr>
          <w:rFonts w:ascii="IRNazanin" w:hAnsi="IRNazanin" w:eastAsia="IRNazanin"/>
          <w:color w:val="111111"/>
          <w:sz w:val="28"/>
          <w:sz w:val="28"/>
          <w:szCs w:val="28"/>
          <w:rtl w:val="true"/>
          <w:lang w:bidi="fa-IR"/>
        </w:rPr>
        <w:t>، ابتناء النزاع فی هذه المسألة علی وجود المناط فی کلّ واحد من الأمر و النهی مطلقاً حتّی فی مورد التصادق؛ بحیث یکون علی جواز الاجتماع محکوماً بحکمین فعلیین، و علی الامتناع محکوماً بحکم أقوی المناطین، و أمّا إذا لم یکن لمتعلّق الأمر و النهی مناط کذلک، فلا یکون من هذا الباب، بل من باب التعارض</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التحقیق یقتضی عدم ابتناء النزاع فی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وجود المناط فی متعلّق کلّ واحد من الأمر و النهی فی مورد التصادق؛ لا فی مقام الثبوت، و لا فی مقام إحرازهما فی مقام الإثبات، من غیر فرق بین کون النزاع فی مسألة الاجتماع صغرویاً، کما یظهر من بعضهم، منهم المحقّق الخراسانی قدس سره</w:t>
      </w:r>
      <w:r>
        <w:rPr>
          <w:rStyle w:val="FootnoteAnchor"/>
          <w:rtl w:val="true"/>
        </w:rPr>
        <w:footnoteReference w:id="49"/>
      </w:r>
      <w:r>
        <w:rPr>
          <w:rFonts w:ascii="IRNazanin" w:hAnsi="IRNazanin" w:eastAsia="IRNazanin"/>
          <w:color w:val="111111"/>
          <w:sz w:val="28"/>
          <w:sz w:val="28"/>
          <w:szCs w:val="28"/>
          <w:rtl w:val="true"/>
          <w:lang w:bidi="fa-IR"/>
        </w:rPr>
        <w:t>أو کبرویاً، کما هو المختار</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علی صغرویة النزاع فواضح؛ لأنّ مرجع البحث حینئذٍ إلی أنّ تعدّد الجهة مع وحدة الموضوع، هل یوجب رفع التنافی و التضادّ، أم لا؟ و هذا لا یتوقّف علی وجود المناط واقعاً و إحرازه إثباتاً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النزاع علی هذا حیثی؛ أی فی أنّ تعدّد العنوان هل یوجب تعدّد المعنون، أم لا؟ و اشتمالهما علی المناط و عدمه لا یوجب تعدّد المعنون، و لا وحدته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کبرویة 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أنّه هل یجوز اجتماع الأمر و النهی فی عنوانین متصادقین علی موضوع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فعدم اعتبار المناط أوضح؛ لأنّ البحث علی ذلک فی الإمکان و عدمه، لا فی الوقوع و عدمه، فلم یرتبط بوجود المناط واقعاً و إحرازه إثباتاً، فأخذ وجود المناط فی کلّ منهما ثبوتاً و إحرازهما فی مقام الإثبات فی عنوان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کما کان عدم اعتبار المندوحة فی مقام الإثبات کذلک، فلا بدّ فی عنوان البحث من أخذ قیود یکون لها دخل تامّ فی عنوان البحث</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المحقّق الخراسانی قدس سره فی الأمر الثامن و التاسع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أنّه إنّما تکون المسألة من باب الاجتماع، إذا کان لکلّ من الأمر و النهی، مناط حکمه مطلقاً حتّی فی مورد التصادق و الاجتماع فی مقام الثبوت، و احرز کذلک فی مقام الإثبات، و إلّا فإن لم یکن لهما مناط کذلک فیکون من باب التعارض</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 علی ظاهره لیس علی ما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قدس سره لا یرید ظاهره، بل بصدد بیان دفع إشکال ربما یتوهّم فی المقام، و لیس ببعید عن مساق بعض عبارته، فتدبّر</w:t>
      </w:r>
      <w:r>
        <w:rPr>
          <w:rFonts w:eastAsia="IRNazanin" w:cs="IRNazanin"/>
          <w:color w:val="111111"/>
          <w:sz w:val="28"/>
          <w:szCs w:val="28"/>
          <w:rtl w:val="true"/>
          <w:lang w:bidi="fa-IR"/>
        </w:rPr>
        <w:t>.</w:t>
      </w:r>
      <w:bookmarkStart w:id="65" w:name="pg12934_164420"/>
    </w:p>
    <w:p>
      <w:pPr>
        <w:pStyle w:val="Heading6"/>
        <w:numPr>
          <w:ilvl w:val="5"/>
          <w:numId w:val="1"/>
        </w:numPr>
        <w:rPr/>
      </w:pPr>
      <w:bookmarkStart w:id="66" w:name="__RefHeading___Toc4026059_3224264995"/>
      <w:bookmarkStart w:id="67" w:name="_Toc25"/>
      <w:bookmarkEnd w:id="65"/>
      <w:bookmarkEnd w:id="66"/>
      <w:r>
        <w:rPr>
          <w:rtl w:val="true"/>
        </w:rPr>
        <w:t>إشکال و دفع</w:t>
      </w:r>
      <w:bookmarkEnd w:id="67"/>
    </w:p>
    <w:p>
      <w:pPr>
        <w:pStyle w:val="BookText"/>
        <w:rPr/>
      </w:pPr>
      <w:r>
        <w:rPr>
          <w:rFonts w:ascii="IRNazanin" w:hAnsi="IRNazanin" w:eastAsia="IRNazanin"/>
          <w:color w:val="111111"/>
          <w:sz w:val="28"/>
          <w:sz w:val="28"/>
          <w:szCs w:val="28"/>
          <w:rtl w:val="true"/>
          <w:lang w:bidi="fa-IR"/>
        </w:rPr>
        <w:t>أمّا الإشکال المتوهّم فحاصله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القوم ذکروا لمسألة الاجتماع مثالًا تکون النسبة بین دلیلی الأمر و النهی، عموماً من وجه، کالصلاة و الغصب، فاختار جمع الجواز؛ و أنّه لا تعارض بینهما فی محلّ التصادق، و لمّا وصل القائلون بالجواز إلی باب التعارض، ذکروا أنّ أحد وجوه التعارض ما کانت النسبة بین الدلیلین عموماً من وجه، و أخذوا بمرجّحات باب التعارض، و لم یجمع أحد بینهما معتذراً بجواز الاجتماع، مع أنّ الاعتبار یساعد علی وحدة المقال فی البابین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فتصدّی المحقّق الخراسانی قدس سره لدفع الإشکال بالفرق بین البابین؛ بأنّ العامّین من وجه إنّما یکونان من باب الاجتماع إذا احرز وجود المناط لکلیهما حتّی فی مورد التصادق، و إلّا فإن کان لأحدهما مناط دون الآخر فهذا داخل فی مسألة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قدس سره تصدّی لبیان الفرق الواقعی بین البابین، لا ابتناء مسألة الاجتماع علی وجود مناط کلّ منهما فی مورد التصادق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دفع المحقّق النائینی قدس سره الإشکال المتوهّم بوجه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أنّ الترکیب فی مسألة الاجتماع انضمامی، دون الترکیب فی مسألة التعارض، فإنّه اتحادی، فکلّ مورد یکون الترکیب فیه انضمامیاً، یکون من باب مسألة الاجتماع، و کلّ مورد یکون الترکیب فیه اتّحادیاً، یکون من باب التعارض</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یقتضیه دقیق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جهة مشترکة بین المسألتین حتّی یحتاج إلی بیان الفصل بینهما، و لا ترتبط إحدی المسألتین بالأخری حتّی یحتاج إلی التفرقة بینهما؛ و ذلک لأنّ ما یذکر فی مسألة التعارض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أنّ الجمع بین</w:t>
      </w:r>
    </w:p>
    <w:p>
      <w:pPr>
        <w:pStyle w:val="BookText"/>
        <w:rPr/>
      </w:pPr>
      <w:r>
        <w:rPr>
          <w:rFonts w:ascii="IRNazanin" w:hAnsi="IRNazanin" w:eastAsia="IRNazanin"/>
          <w:color w:val="111111"/>
          <w:sz w:val="28"/>
          <w:sz w:val="28"/>
          <w:szCs w:val="28"/>
          <w:rtl w:val="true"/>
          <w:lang w:bidi="fa-IR"/>
        </w:rPr>
        <w:t>الدلیلین أولی من الطرح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المراد بالجمع کلّ جمع ممکن حتّی العقلی منه، بل المراد الجمع العرفی العقلائی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لم یمکن التوفیق بینهما فیکون أحدهما مخالفاً أو معارضاً للآخر، و الأخبار العلاجیة الواردة فی مقام بیان الوظیفة عند ذلک، بین ما علّق علی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الخبرین المتعارضین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مرسلة زرارة</w:t>
      </w:r>
      <w:r>
        <w:rPr>
          <w:rStyle w:val="FootnoteAnchor"/>
          <w:rtl w:val="true"/>
        </w:rPr>
        <w:footnoteReference w:id="53"/>
      </w:r>
      <w:r>
        <w:rPr>
          <w:rFonts w:ascii="IRNazanin" w:hAnsi="IRNazanin" w:eastAsia="IRNazanin"/>
          <w:color w:val="111111"/>
          <w:sz w:val="28"/>
          <w:sz w:val="28"/>
          <w:szCs w:val="28"/>
          <w:rtl w:val="true"/>
          <w:lang w:bidi="fa-IR"/>
        </w:rPr>
        <w:t xml:space="preserve">فقط، و بین ما علّق علی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الخبرین المتخالفین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لسان أکثر الأخبار العلاجیة</w:t>
      </w:r>
      <w:r>
        <w:rPr>
          <w:rStyle w:val="FootnoteAnchor"/>
          <w:rtl w:val="true"/>
        </w:rPr>
        <w:footnoteReference w:id="54"/>
      </w:r>
      <w:r>
        <w:rPr>
          <w:rFonts w:ascii="IRNazanin" w:hAnsi="IRNazanin" w:eastAsia="IRNazanin"/>
          <w:color w:val="111111"/>
          <w:sz w:val="28"/>
          <w:sz w:val="28"/>
          <w:szCs w:val="28"/>
          <w:rtl w:val="true"/>
          <w:lang w:bidi="fa-IR"/>
        </w:rPr>
        <w:t>، فکلا العنوانین أو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إرجاع الآخر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موضوع البحث هناک، فإذا ورد من الشرع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اختلف الخبران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من أخذ موضوع هذا الدلیل من العرف و العقلاء، کما هو الشأن فی أخذ موضوعات سائر الأدلّة الواردة فی الکتاب و السنّة منهم، فکما یُؤخذ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غیرهما من العرف و یترتّب علیه الأثر، فکذلک یؤخذ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الخبرین المختلفین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فکلّ خبرین تعارضا أو اختلفا عند العرف و العقلاء و لا یمکن الجمع بینهما فی محیطهم، یدخل فی موضوع باب التعارض و إن أمکن الجمع بینهما بنحو من التعمّل العقلی، فمسألة التعارض مسألة عرفیة عقلائیة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بخلاف مسألة الاجتماع، فإنّها مسألة عقلیة لا سبیل للعرف إلی نیلها و درکها، أ لا تری أنّ العرف لا یری تعارضاً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أنّ الحکم فیهما تعلّق بعنوانین غیر مرتبط أحدهما بالآخر، مع أنّ العقل یری بینهما نحو تنافٍ فی تصادقهما فی موضوع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کلّ دلیلین لا یمکن الجمع العرفی بینهما و یکون بینهما تنافٍ فی محیط العرف و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أمکن الجمع بینهما بنحو من أنحاء الجمع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داخل فی موضوع أخبار التعارض و لو احرز وجود المناطین فی مورد التصادق، و أمّا إذا تعلّق حکمان بعنوانین مختلفین فی عالم العنوانیة غیر مرتبط أحدهما بالآخر فی محیط العرف و العقلاء،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لتعلّق کلّ واحد منهما بعنوان غیر ما تعلّق به الآخر، و لکن تصادقا فی موضوع واحد، فیدخل فی موضوع مسألة الاجتماع؛ سواء احرز المناط لکلیهما، أو لأحدهما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دلیلین عُدّا فی محیط العرف و العقلاء مختلفین أو متعارضین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احرز المناط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 داخلان فی باب التعارض، و لا بدّ فیه من إعمال قواعده من الجمع، أو الترجیح، أو التخییر، أو الطرح، کما أنّه إذا لم یرَ العرف بین دلیلین تخالفاً و تنافیاً، و لکنّ العقل یری بینهما نحو تخالف، فهو من باب الاجتماع و إن لم یحرز المناط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موضوع باب التعارض هو الخبران المتخالفان أو المتعارضان، و المناط فی فهم التخالف و التعارض هو الفهم العرفی، و الجمع هناک عرفی، بخلافه فی باب الاجتماع، فإنّ المسألة عقلیة محضة، فلا ارتباط بین البابین أصلًا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مسألة الاجتماع غیر مسألة التعارض، و غیر مبتنیتین علی وجود المناط فی الدلیلین فی الاولی، و لا وجود المناط فی أحدهما فی الثانیة، فالفرق الذی ذکره المحقّق الخراسانی قدس سره بینهما</w:t>
      </w:r>
      <w:r>
        <w:rPr>
          <w:rStyle w:val="FootnoteAnchor"/>
          <w:rtl w:val="true"/>
        </w:rPr>
        <w:footnoteReference w:id="55"/>
      </w:r>
      <w:r>
        <w:rPr>
          <w:rFonts w:ascii="IRNazanin" w:hAnsi="IRNazanin" w:eastAsia="IRNazanin"/>
          <w:color w:val="111111"/>
          <w:sz w:val="28"/>
          <w:sz w:val="28"/>
          <w:szCs w:val="28"/>
          <w:rtl w:val="true"/>
          <w:lang w:bidi="fa-IR"/>
        </w:rPr>
        <w:t>، لیس بسدید</w:t>
      </w:r>
      <w:r>
        <w:rPr>
          <w:rFonts w:eastAsia="IRNazanin" w:cs="IRNazanin"/>
          <w:color w:val="111111"/>
          <w:sz w:val="28"/>
          <w:szCs w:val="28"/>
          <w:rtl w:val="true"/>
          <w:lang w:bidi="fa-IR"/>
        </w:rPr>
        <w:t>.</w:t>
      </w:r>
      <w:bookmarkStart w:id="68" w:name="pg12934_164423"/>
    </w:p>
    <w:p>
      <w:pPr>
        <w:pStyle w:val="BookText"/>
        <w:rPr/>
      </w:pPr>
      <w:bookmarkEnd w:id="68"/>
      <w:r>
        <w:rPr>
          <w:rFonts w:ascii="IRNazanin" w:hAnsi="IRNazanin" w:eastAsia="IRNazanin"/>
          <w:color w:val="111111"/>
          <w:sz w:val="28"/>
          <w:sz w:val="28"/>
          <w:szCs w:val="28"/>
          <w:rtl w:val="true"/>
          <w:lang w:bidi="fa-IR"/>
        </w:rPr>
        <w:t>و أمّا الفرق الذی قاله المحقّق النائینی قدس سره</w:t>
      </w:r>
      <w:r>
        <w:rPr>
          <w:rStyle w:val="FootnoteAnchor"/>
          <w:rtl w:val="true"/>
        </w:rPr>
        <w:footnoteReference w:id="56"/>
      </w:r>
      <w:r>
        <w:rPr>
          <w:rFonts w:ascii="IRNazanin" w:hAnsi="IRNazanin" w:eastAsia="IRNazanin"/>
          <w:color w:val="111111"/>
          <w:sz w:val="28"/>
          <w:sz w:val="28"/>
          <w:szCs w:val="28"/>
          <w:rtl w:val="true"/>
          <w:lang w:bidi="fa-IR"/>
        </w:rPr>
        <w:t>، ففیه کلام سیجی‌ء بیانه و دفعه؛ و أنّ الترکیب الانضمامی لا ثمرة له هنا، بل لا ترتبط الاتّحادیة و الانضمامیة بهاتین المسألتین، فارتقب حتّی حین</w:t>
      </w:r>
      <w:r>
        <w:rPr>
          <w:rFonts w:eastAsia="IRNazanin" w:cs="IRNazanin"/>
          <w:color w:val="111111"/>
          <w:sz w:val="28"/>
          <w:szCs w:val="28"/>
          <w:rtl w:val="true"/>
          <w:lang w:bidi="fa-IR"/>
        </w:rPr>
        <w:t>.</w:t>
      </w:r>
    </w:p>
    <w:p>
      <w:pPr>
        <w:pStyle w:val="Heading5"/>
        <w:numPr>
          <w:ilvl w:val="4"/>
          <w:numId w:val="1"/>
        </w:numPr>
        <w:rPr/>
      </w:pPr>
      <w:bookmarkStart w:id="69" w:name="__RefHeading___Toc4026061_3224264995"/>
      <w:bookmarkStart w:id="70" w:name="_Toc26"/>
      <w:bookmarkEnd w:id="69"/>
      <w:r>
        <w:rPr>
          <w:rtl w:val="true"/>
        </w:rPr>
        <w:t>الأمر السابع فی ثمرة بحث الاجتماع علی القول بالجواز</w:t>
      </w:r>
      <w:bookmarkEnd w:id="70"/>
    </w:p>
    <w:p>
      <w:pPr>
        <w:pStyle w:val="Heading6"/>
        <w:numPr>
          <w:ilvl w:val="5"/>
          <w:numId w:val="1"/>
        </w:numPr>
        <w:rPr/>
      </w:pPr>
      <w:bookmarkStart w:id="71" w:name="__RefHeading___Toc4026063_3224264995"/>
      <w:bookmarkStart w:id="72" w:name="_Toc27"/>
      <w:bookmarkEnd w:id="71"/>
      <w:r>
        <w:rPr>
          <w:rtl w:val="true"/>
        </w:rPr>
        <w:t>اشارة</w:t>
      </w:r>
      <w:bookmarkEnd w:id="72"/>
    </w:p>
    <w:p>
      <w:pPr>
        <w:pStyle w:val="BookText"/>
        <w:rPr/>
      </w:pPr>
      <w:r>
        <w:rPr>
          <w:rFonts w:ascii="IRNazanin" w:hAnsi="IRNazanin" w:eastAsia="IRNazanin"/>
          <w:color w:val="111111"/>
          <w:sz w:val="28"/>
          <w:sz w:val="28"/>
          <w:szCs w:val="28"/>
          <w:rtl w:val="true"/>
          <w:lang w:bidi="fa-IR"/>
        </w:rPr>
        <w:t>الأمر السابع فی ثمرة بحث الاجتماع علی القول بالجواز</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ملازمة بین القول بجواز الاجتماع و صحّة الصلاة فی الدار المغصوبة؛ لأنّها مبنیة علی أمر آخر؛ و هو أنّ حیثیة الصلاتیة و حیثیة الغصبیة، حیثیتان خارجیتان، فهل أنّ حیثیة الصلاتیة عین حیثیة الغصبیة، أم لا؟</w:t>
      </w:r>
    </w:p>
    <w:p>
      <w:pPr>
        <w:pStyle w:val="BookText"/>
        <w:rPr/>
      </w:pPr>
      <w:r>
        <w:rPr>
          <w:rFonts w:ascii="IRNazanin" w:hAnsi="IRNazanin" w:eastAsia="IRNazanin"/>
          <w:color w:val="111111"/>
          <w:sz w:val="28"/>
          <w:sz w:val="28"/>
          <w:szCs w:val="28"/>
          <w:rtl w:val="true"/>
          <w:lang w:bidi="fa-IR"/>
        </w:rPr>
        <w:t>فإن قلنا بالأوّل؛ و أنّ العنوانین موجودان بوجود واحد، و أنّ الترکیب بینهما اتحادی، فمحال أن یتقرّب بما یکون مبغوضاً و مبعّداً إلّا إذا کان الشخص جاهلًا بالموضوع، أو غیر ملتفت، أو جاهلًا بالحکم قصوراً، فتصحّ صلاته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إن قلنا بالثانی؛ و أنّ حیثیة الصلاتیة غیر حیثیة الغصبیة وجوداً و إن جمعهما موضوع واحد، فتصحّ صلاته؛ لأنّه یتقرّب بالجهة المحسّنة المنفکّة وجوداً عن الجهة المقبّحة و إن قارنتها أو لازمتها؛ لعدم إخلال المقارنة أو الملازمة بعبادیة الصلاة</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bookmarkStart w:id="73" w:name="pg12934_164424"/>
    </w:p>
    <w:p>
      <w:pPr>
        <w:pStyle w:val="Heading6"/>
        <w:numPr>
          <w:ilvl w:val="5"/>
          <w:numId w:val="1"/>
        </w:numPr>
        <w:rPr/>
      </w:pPr>
      <w:bookmarkStart w:id="74" w:name="__RefHeading___Toc4026065_3224264995"/>
      <w:bookmarkStart w:id="75" w:name="_Toc28"/>
      <w:bookmarkEnd w:id="73"/>
      <w:bookmarkEnd w:id="74"/>
      <w:r>
        <w:rPr>
          <w:rtl w:val="true"/>
        </w:rPr>
        <w:t>ذهاب المحقّق النائینی إلی أنّ الصلاة فی الدار المغصوبة مرکّب انضمامی</w:t>
      </w:r>
      <w:bookmarkEnd w:id="75"/>
    </w:p>
    <w:p>
      <w:pPr>
        <w:pStyle w:val="BookText"/>
        <w:rPr/>
      </w:pPr>
      <w:r>
        <w:rPr>
          <w:rFonts w:ascii="IRNazanin" w:hAnsi="IRNazanin" w:eastAsia="IRNazanin"/>
          <w:color w:val="111111"/>
          <w:sz w:val="28"/>
          <w:sz w:val="28"/>
          <w:szCs w:val="28"/>
          <w:rtl w:val="true"/>
          <w:lang w:bidi="fa-IR"/>
        </w:rPr>
        <w:t>و ربما یظهر من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کالمحقّق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ابتناء جواز الاجتماع و عدمه علی کون الترکیب انضمامیاً أو اتحادیاً؛ فإن کان الترکیب انضمامیاً یصحّ القول بالجواز، و إلّا فلا، و رتّب صحّة الصلاة فی الدار المغصوبة و فسادها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مهّد قدس سره مقدّمة طویلة الذیل لإثبات ذلک؛ و أنّ الترکیب بینهما انضمامی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لا نرید الآن بیان أنّ المبعّد کیف یکون مقرّباً، و لا إثبات عدم ابتناء الجواز و عدمه علی اختلاف نحوی الترکیب من حیث الانضمامیة و الاتحادیة، و سیوافیک حالهما إن شاء اللَّه، بل الذی یکون مقصوداً بالبحث هنا هو استعراض ما اختاره المحقّق النائینی قدس سره من جعله المثال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الصلاة فی الدار المغصوبة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الترکیب الانضمامی، و قد ذکر فی هذا المقام مقالًا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لا إشکال فی کون المقولات العشر، متباینات بحسب الذات و الحقیقة؛ أی أنّها اعتبرت بشرط لا بالنسبة إلی نفسها و إن کانت بالنسبة إلی موضوعها یمکن لحاظها لا بشرط، و أنّ المقولات بأجمعها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النسبیة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بسائط خارجیة، فیکون ما به الاشتراک فیها عین ما به الامتیاز، و أنّ الحرکة فی کلّ مقولة عین تلک المقولة، و لیست الحرکة بمنزلة الجنس للمقولات؛ لاستلزامه الترکیب فی الأعراض مع کونها بسائط، و لا هی عرض آخر غیر المقولات؛ لاستلزامه قیام العرض بالعرض، و هو محال</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الصلاة من مقولة الوضع، کما فی أحد تقریری بحثه</w:t>
      </w:r>
      <w:r>
        <w:rPr>
          <w:rStyle w:val="FootnoteAnchor"/>
          <w:rtl w:val="true"/>
        </w:rPr>
        <w:footnoteReference w:id="59"/>
      </w:r>
      <w:r>
        <w:rPr>
          <w:rFonts w:ascii="IRNazanin" w:hAnsi="IRNazanin" w:eastAsia="IRNazanin"/>
          <w:color w:val="111111"/>
          <w:sz w:val="28"/>
          <w:sz w:val="28"/>
          <w:szCs w:val="28"/>
          <w:rtl w:val="true"/>
          <w:lang w:bidi="fa-IR"/>
        </w:rPr>
        <w:t>، أو إنّ أفعال الصلاة من مقولة الوضع؛ سواء قلنا بأنّ المأمور به فی مثل الرکوع و السجود هو</w:t>
      </w:r>
    </w:p>
    <w:p>
      <w:pPr>
        <w:pStyle w:val="BookText"/>
        <w:rPr/>
      </w:pPr>
      <w:r>
        <w:rPr>
          <w:rFonts w:ascii="IRNazanin" w:hAnsi="IRNazanin" w:eastAsia="IRNazanin"/>
          <w:color w:val="111111"/>
          <w:sz w:val="28"/>
          <w:sz w:val="28"/>
          <w:szCs w:val="28"/>
          <w:rtl w:val="true"/>
          <w:lang w:bidi="fa-IR"/>
        </w:rPr>
        <w:t xml:space="preserve">الهیئة، کما هو مختار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أو الفعل، کما هو المختار، فیکون الانحناء إلی الرکوع أوضاعاً متلاصقة متصلة، کما فی التقریر الآخر</w:t>
      </w:r>
      <w:r>
        <w:rPr>
          <w:rStyle w:val="FootnoteAnchor"/>
          <w:rtl w:val="true"/>
        </w:rPr>
        <w:footnoteReference w:id="61"/>
      </w:r>
      <w:r>
        <w:rPr>
          <w:rFonts w:ascii="IRNazanin" w:hAnsi="IRNazanin" w:eastAsia="IRNazanin"/>
          <w:color w:val="111111"/>
          <w:sz w:val="28"/>
          <w:sz w:val="28"/>
          <w:szCs w:val="28"/>
          <w:rtl w:val="true"/>
          <w:lang w:bidi="fa-IR"/>
        </w:rPr>
        <w:t>، و أمّا الغصب فهو من مقولة الأین؛ لأنّه عبارة عن شاغلیة الشخص للمکان، فکما أنّ الصلاة و الغصب متغایران بحسب الهویة و الحقیقة، فکذلک الحرکة الصلاتیة مغایرة للحرکة الغصبیة بعین مغایرة الصلاة للغصب، و یکون فی المجمع حرکتان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حرکة صلاتیة، و حرکة غصبیة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الید و وضعها، و لا حرکة الرأس و الرجل و وضعهما؛ فإنّ ذلک لا دخل له فی المقام حتّی یبحث عن أنّها واحدة أو متعدّدة، بل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الحرکة الصلاتیة، و الحرکة الغصبیة، و هما متعدّدتان لا محالة، فعلی هذا لا یتحد متعلّق الأمر و النهی، و لا یکون متعلّق أحدهما عین ما تعلّق به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یشهد علی أنّ الحرکة فی کلّ مقولة غیر الحرکة فی الاخری، هو أنّ نسبة المکان إلی المکین و الإضافة الحاصلة بین المکین و المکان، لا یعقل أن تختلف بین أن یکون المکین من مقولة الجواهر، أو من مقولة الأعراض، فکما لا یعقل الترکیب الاتحادی بین الجوهر و الإضافة فی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لا یعقل الترکیب الاتحادی بین الضرب و الإضافة فی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الصلاة و الإضافة فی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لا یکون زید غصباً، کذلک لا تکون الصلاة غصباً، أو الضرب غصباً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إضافة واحدة و نسبة فاردة، فلا بدّ</w:t>
      </w:r>
    </w:p>
    <w:p>
      <w:pPr>
        <w:pStyle w:val="BookText"/>
        <w:rPr/>
      </w:pPr>
      <w:r>
        <w:rPr>
          <w:rFonts w:ascii="IRNazanin" w:hAnsi="IRNazanin" w:eastAsia="IRNazanin"/>
          <w:color w:val="111111"/>
          <w:sz w:val="28"/>
          <w:sz w:val="28"/>
          <w:szCs w:val="28"/>
          <w:rtl w:val="true"/>
          <w:lang w:bidi="fa-IR"/>
        </w:rPr>
        <w:t>و أن لا تختلف بین أن یکون طرف الإضافة من مقولة الجواهر، أو الأعراض، فکما لا یکون زید غصباً، فکذلک لا تکون الصلاة غصباً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الترکیب بین الصلاة و الغصب انضمامی، فلا شبهة فی جواز اجتماع الأمر و النهی و عدم لزوم تعلّق الأمر بعین ما تعلّق به النهی</w:t>
      </w:r>
      <w:r>
        <w:rPr>
          <w:rStyle w:val="FootnoteAnchor"/>
          <w:rtl w:val="true"/>
        </w:rPr>
        <w:footnoteReference w:id="62"/>
      </w:r>
      <w:r>
        <w:rPr>
          <w:rFonts w:ascii="Amiri" w:hAnsi="Amiri" w:eastAsia="Amiri" w:cs="Amiri"/>
          <w:color w:val="111111"/>
          <w:sz w:val="28"/>
          <w:sz w:val="28"/>
          <w:szCs w:val="28"/>
          <w:rtl w:val="true"/>
          <w:lang w:bidi="ar-SA"/>
        </w:rPr>
        <w:t>، انتهی کلامه محرّراً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فیما ذکره مواقع للنظر نذکر ما هو المهمّ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أفعال الصلاة من مقولة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لأنّه لیست الصلاة و لا أجزاؤها من مقولة الوضع، فإنّ الصلاة ماهیة اعتباریة اختراعیة؛ أوّلها التکبیر، و آخرها التسلیم، و لم یکن للهیئة الترکیبیة و الهیئة الاجتماعیة، تحقّق فی الخارج غیر ما یکون لأجزائها من التکبیر، و القراءة، و الرکوع، و السجود، و غیرها، کما یکون للماهیات الأصلیة تحقّق فیه، فلم تندرج الصلاة تحت مقولة؛ بداهة أنّ المقولات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الأعراض النسبیة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الحقائق الخارجیة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أنّ للماهیة الاعتباریة الاختراعیة تحقّقاً فی الخارج، و أنّه یمکن أن تندرج تحت مقولة، لکنّ الصلاة لم تکن بهذه المثابة؛ لأنّها مرکّبة من عدّة مقولات و امور اعتباریة، و ذلک لأنّ الرکوع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اعترف قدس سره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الحرکة من الانتصاب إلی الانحناء تعظیماً، و الحرکة من الانتصاب إلی الانحناء تشبه أن تکون من مقولة الوضع، و القراءة تشبه أن تکون من مقولة الکیف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فلا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الصلاة من مقولة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علی تقدیر أن یکون مراده أنّ الصلاة من مقولة الوضع، کما فی أحد تقریری بحثه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أنّ أفعال الصلاة من مقولة الوضع کما فی تقریره الآخر، فهو و إن کان أقلّ محذوراً من سابقه، و لکن یتوجّه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اعترف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الحقّ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الرکوع هو الحرکة من الاستقامة إلی الانحناء تعظیماً، و من الواضح أنّ الحرکة الکذائیة بقصد التعظیم، لا تکون من المقولة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قطع النظر عن التعظیم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لوحظ مطلق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من المقولة، و لکن لا من مقولة الوضع، بل تشبه أن تکون من مقولة الحرکة فی الأین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منه قدس سره حیث عدّ هذه الحرکة أوضاعاً متلاصقة؛ ضرورة أنّه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الحرکة فی کلّ مقولة عینها، فما یصدر من المکلّف هو الحرکة فی الأین، فیکون جزء الرکوع من مقولة الأین، نعم لهذه الحرکة فی کلّ آن وجود، و تتحقّق هیئة و وضع، فتنتزع من الهیئات الحاصلة أوضاع متعدّدة، و لکن لیس شی‌ء منها من الرکوع،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جزءاً من الرکوع الذی هو فعل المکلّف، من مقولة الأین؛ و هو الهوی من الاستقامة إلی الانحناء، و حیث إنّه تکون له هیئة، فیشبه أن یکون جزءٌ من أفعال الصلاة من مقولة الأین، نعم ینتزع من الهیئة الحاصلة لهذا الجزء وضع، لکنّها لم تکن من أفعال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فی الأوضاع المتلاصقة إشکالًا عقلیاً مذکوراً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الرکوع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السجدة، فهی الهیئة الحاصلة من وضع المواضع السبعة علی ما یصحّ السجود علیه تعظیماً للَّه تعالی، و من المعلوم عدم اعتباره فی المقولة، کما عرفته فی الرکوع، فیکون جزء السجدة من مقولة الوضع</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القراءة فتشبه أن تکون من مقولة الکیف المحسوس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القول بأنّ أفعال الصلاة من مقولة الوضع و کذا القول بأنّ الصلاة من مقولة الوضع، لیس بسدید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الغصب من مقولة الأین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 لأنّ الغصب هو الاستبداد و الاستیلاء علی مال الغیر عدواناً، فمن أخرج صاحب الدار عنها و استولی علیها، یعدّ غاصباً، فهو من الامور الاعتباریة، کما أنّ استیلاء الشخص علی مال نفسه المعبّر عنه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اعتباری، فلا یندرج الغصب فی المقولات التی هی من الحقائق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دخل داراً بدون رضا صاحبها و استطرقها من دون أن یکون مستولیاً و مستبدّاً بها، فلا یکون غاصباً، نعم متصرّفاً فی مال الغیر بدون رضاه، و هو حرام بنفسه؛ حرم الغصب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مجرّد الکون فی المکان من غیر رضا صاحبه و الصلاة فیه، لا یعدّ غصباً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ذلک 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مجرّد الکون فی المکان غصب، و لکن لا یصیر ذلک من المقولة؛ لأنّ مقولة الأین هی الهیئة الحاصلة من الکون فی المکان، لا نفس الکون فی المکان الذی فرضنا کونه غصباً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ذلک أیضاً و أنّ مطلق الکون فی المکان مقولة،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اخذ فی مفهوم الغصب کون الاستیلاء و التصرّف عدوانیاً، و من الواضح أنّه غیر مأخوذ فی حقیقة مقولة الأین، فغایة ما یقتضیه التسلّم الباطل هی کون ماهیة الغصب من مقولة الأین، فتدبّر</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بطلان الصلاة فی الدار المغصوبة، لیس لأجل الغصبیة، کما هو المعروف بینهم، و منهم هذا المحقّق، بل لأجل التصرّف فی مال الغیر بغیر إذنه و رضاه،</w:t>
      </w:r>
    </w:p>
    <w:p>
      <w:pPr>
        <w:pStyle w:val="BookText"/>
        <w:rPr/>
      </w:pPr>
      <w:r>
        <w:rPr>
          <w:rFonts w:ascii="IRNazanin" w:hAnsi="IRNazanin" w:eastAsia="IRNazanin"/>
          <w:color w:val="111111"/>
          <w:sz w:val="28"/>
          <w:sz w:val="28"/>
          <w:szCs w:val="28"/>
          <w:rtl w:val="true"/>
          <w:lang w:bidi="fa-IR"/>
        </w:rPr>
        <w:t>و هو عنوان غیر عنوان الغصبیة، و هما قد یجتمعان فی مورد، کما قد یفترق کلّ منهما عن الآخر؛ و ذلک لأنّه قد یکون الشخص متصرّفاً فی مال الغیر مع استقلال یده و الاستیلاء علیه، و قد یکون متصرّفاً فیه بلا استیلاء و استقلال یده علیه، کما أنّه قد یکون مستولیاً علی مال الغیر مع التصرّف فیه، و بطلان الصلاة فی الدار الغصبیة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القائل بامتناع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أنّ الحرکة الرکوعیة و السجودیة عین التصرّف فی مال الغیر، و هی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کانت هناک حرکتان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حرکة صلاتیة، و حرکة غصبیة، کما یراه هذا المحقّق، و قد صرّح قدس سره فی کلا تقریری بحثه</w:t>
      </w:r>
      <w:r>
        <w:rPr>
          <w:rStyle w:val="FootnoteAnchor"/>
          <w:rtl w:val="true"/>
        </w:rPr>
        <w:footnoteReference w:id="6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الحرکة الغصبیة غیر الحرکة الصلاتیة، و أنّ الحرکة فی کلّ مقولة عینها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تصویر صحّة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الشأن فی صحّة ذلک؛ بداهة أنّه لیس فی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عبارة عن الحرکة من الانتصاب إلی الانحناء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حرکة واحدة، لا حرکتان أو حرکات، و الوجدان أصدق شاهد علی ذلک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العجب من هذا المحقّق، حیث تعدّی عن ذلک و رأی أنّ فی الخارج حرکات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الحرکة الصلاتیة، الحرکة الغصبیة، الحرکة من الانتصاب إلی الانحناء، و قد نفی قدس سره کون المراد بالحرکة المعنی الثالث، مع أنّه لیس فی الخارج إلّا تلک الحرکة لیس إلّا، و هل تسمح لنفسک بأن تتفوّه بأنّ فی الخارج حرکة غیر ما نعهده و نحسّه؟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وجدان هذا المحقّق أیضاً غیر مذعن بهذا المقال، و التزامه بما یخالف الوجدان لازم المبنی؛ أی کون الحرکة فی کلّ مقولة تابعة لها و عینها، و أنّ الصلاة و الغصب مقولتان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أشرنا و عرفت أنّهما من الامور الاعتباریة؛ لا واقعیة لهما فی</w:t>
      </w:r>
      <w:bookmarkStart w:id="76" w:name="pg12934_164430"/>
    </w:p>
    <w:p>
      <w:pPr>
        <w:pStyle w:val="BookText"/>
        <w:rPr/>
      </w:pPr>
      <w:bookmarkEnd w:id="76"/>
      <w:r>
        <w:rPr>
          <w:rFonts w:ascii="IRNazanin" w:hAnsi="IRNazanin" w:eastAsia="IRNazanin"/>
          <w:color w:val="111111"/>
          <w:sz w:val="28"/>
          <w:sz w:val="28"/>
          <w:szCs w:val="28"/>
          <w:rtl w:val="true"/>
          <w:lang w:bidi="fa-IR"/>
        </w:rPr>
        <w:t>الخارج حتّی تنسلک فی عداد المقولات، و لیس فی الخارج إلّا حرکة واحدة، و هی رفع الید و وضعها،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أخیراً بعنوان التأکید من عجائب القول؛ بداهة أنّ ذات زید فی الدار لم تکن من الأعمال حتّی تکون تصرّفاً کما نری، أو غصباً کما یزعمه قدس سره بل هو غیر متصرّف و غاصب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کونه فیها حیث إنّه من الأفعال، تصرّف محرّم، أو غصب، و الصلاة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کونها من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التصرّف فی الدار، أو 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بین زید و الصلاة بوناً بعیداً، و قیاس أحدهما بالآخر قیاس مع الفارق، کما هو أوضح من أن یخفی، فتدبّر و کن من الشاکرین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ذکره من أنّ الترکیب فی المقام انضمامی، غیر مستقیم؛ لما سیجی‌ء من أنّه لا ملازمة بین القول بالترکیب الانضمامی أو القول بالترکیب الاتحادی، و بین جواز الاجتماع و عدمه، و لذا فنحن نری أنّ الترکیب بینها اتحادی، و مع ذلک اخترنا جواز الاجتماع، و سیوافیک بیانه، فارتقب حتّی حین</w:t>
      </w:r>
      <w:r>
        <w:rPr>
          <w:rFonts w:eastAsia="IRNazanin" w:cs="IRNazanin"/>
          <w:color w:val="111111"/>
          <w:sz w:val="28"/>
          <w:szCs w:val="28"/>
          <w:rtl w:val="true"/>
          <w:lang w:bidi="fa-IR"/>
        </w:rPr>
        <w:t>.</w:t>
      </w:r>
    </w:p>
    <w:p>
      <w:pPr>
        <w:pStyle w:val="Heading5"/>
        <w:numPr>
          <w:ilvl w:val="4"/>
          <w:numId w:val="1"/>
        </w:numPr>
        <w:rPr/>
      </w:pPr>
      <w:bookmarkStart w:id="77" w:name="__RefHeading___Toc4026067_3224264995"/>
      <w:bookmarkStart w:id="78" w:name="_Toc29"/>
      <w:bookmarkEnd w:id="77"/>
      <w:r>
        <w:rPr>
          <w:rtl w:val="true"/>
        </w:rPr>
        <w:t>الأمر الثامن فی ثمرة بحث الاجتماع علی القول بالامتناع</w:t>
      </w:r>
      <w:bookmarkEnd w:id="78"/>
    </w:p>
    <w:p>
      <w:pPr>
        <w:pStyle w:val="Heading6"/>
        <w:numPr>
          <w:ilvl w:val="5"/>
          <w:numId w:val="1"/>
        </w:numPr>
        <w:rPr/>
      </w:pPr>
      <w:bookmarkStart w:id="79" w:name="__RefHeading___Toc4026069_3224264995"/>
      <w:bookmarkStart w:id="80" w:name="_Toc30"/>
      <w:bookmarkEnd w:id="79"/>
      <w:r>
        <w:rPr>
          <w:rtl w:val="true"/>
        </w:rPr>
        <w:t>اشارة</w:t>
      </w:r>
      <w:bookmarkEnd w:id="80"/>
    </w:p>
    <w:p>
      <w:pPr>
        <w:pStyle w:val="BookText"/>
        <w:rPr/>
      </w:pPr>
      <w:r>
        <w:rPr>
          <w:rFonts w:ascii="IRNazanin" w:hAnsi="IRNazanin" w:eastAsia="IRNazanin"/>
          <w:color w:val="111111"/>
          <w:sz w:val="28"/>
          <w:sz w:val="28"/>
          <w:szCs w:val="28"/>
          <w:rtl w:val="true"/>
          <w:lang w:bidi="fa-IR"/>
        </w:rPr>
        <w:t>لو قلنا بامتناع الاجتماع، و رجّحنا جانب الأمر، فإذا لم تکن هناک مندوحة و لم یتمکّن من الامتثال فی غیر الدار المغصوبة، فتصحّ صلاته فیها من دون عصیان</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کانت هناک مندوحة و تمکّن من الامتثال فی غیر الدار المغصوبة، فلا تصحّ صلاته فیها؛ لأنّ مزاحمة ملاک الصلاة لملاک الغصب و تقدیم جانب الصلاة</w:t>
      </w:r>
    </w:p>
    <w:p>
      <w:pPr>
        <w:pStyle w:val="BookText"/>
        <w:rPr/>
      </w:pPr>
      <w:r>
        <w:rPr>
          <w:rFonts w:ascii="IRNazanin" w:hAnsi="IRNazanin" w:eastAsia="IRNazanin"/>
          <w:color w:val="111111"/>
          <w:sz w:val="28"/>
          <w:sz w:val="28"/>
          <w:szCs w:val="28"/>
          <w:rtl w:val="true"/>
          <w:lang w:bidi="fa-IR"/>
        </w:rPr>
        <w:t>لأهمّیتها، لا یقتضی أزید من سقوط ملاک الغصب عن التأثیر فی صورة دوران الأمر بین امتثال الصلاة و مخالفة النهی، فلو تمکّن من امتثال الأمر بإتیان الصلاة خارج الدار المغصوبة، فلا وجه لسقوط ملاک النهی عن التأثیر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وجود المندوحة، لا وجه لتقیید ملاک النهی المتعلّق بالغصب بملاک الصلاة مطلقاً؛ لعدم دوران الأمر بینهما، بل مقتضی الجمع بین الفرضین، تقیید الصلاة عقلًا أو شرعاً بغیر محلّ الغصب، فلا تصحّ صلاته فیها، و تکون صلاته فیها تصرّفاً عدوانیاً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فالقول بصحّة الصلاة فی الدار المغصوبة بقول مطلق فی صورة ترجیح جانب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المحقّق الخراسانی قدس سره</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محلّه، و لعلّه أیضاً لا یرید ظاهر کلامه،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الامتناع و ترجیح جانب النهی، فلا مجال لصحّة الصلاة فیها؛ من غیر فرق بین صورة العلم بالحکم و الجهل به، تقصیراً أو قصوراً؛ و ذلک لأنّ صحّة الصلاة علی الملاکات، تتوقّف علی تمامیة أمرین، فإن تمّا تصحّ الصلاة بقسمیه، و إلّا فلا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ملاک الصلاة مع ملاک الغصب فی مورد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التقرّب بالملاک المرجوح و صحّة کون ذلک مصحّحاً لعبادیة العبادة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تمامیة الأمر الأوّل مشکلة؛ لأنّ تمامیته مساوقة للقول بجواز الاجتماع، و ذلک لأنّه لو أمکن رفع التضادّ بین ملاک الصلاة و ملاک الغصب باختلاف الحیثیتین؛ و أنّ حیثیة الصلاتیة غیر حیثیة الغصبیة واقعاً، بحیث یکون الترکیب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یراه</w:t>
      </w:r>
      <w:bookmarkStart w:id="81" w:name="pg12934_164432"/>
    </w:p>
    <w:p>
      <w:pPr>
        <w:pStyle w:val="BookText"/>
        <w:rPr/>
      </w:pPr>
      <w:bookmarkEnd w:id="81"/>
      <w:r>
        <w:rPr>
          <w:rFonts w:ascii="IRNazanin" w:hAnsi="IRNazanin" w:eastAsia="IRNazanin"/>
          <w:color w:val="111111"/>
          <w:sz w:val="28"/>
          <w:sz w:val="28"/>
          <w:szCs w:val="28"/>
          <w:rtl w:val="true"/>
          <w:lang w:bidi="fa-IR"/>
        </w:rPr>
        <w:t>المحقّق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انضمامیاً</w:t>
      </w:r>
      <w:r>
        <w:rPr>
          <w:rStyle w:val="FootnoteAnchor"/>
          <w:rtl w:val="true"/>
        </w:rPr>
        <w:footnoteReference w:id="65"/>
      </w:r>
      <w:r>
        <w:rPr>
          <w:rFonts w:ascii="IRNazanin" w:hAnsi="IRNazanin" w:eastAsia="IRNazanin"/>
          <w:color w:val="111111"/>
          <w:sz w:val="28"/>
          <w:sz w:val="28"/>
          <w:szCs w:val="28"/>
          <w:rtl w:val="true"/>
          <w:lang w:bidi="fa-IR"/>
        </w:rPr>
        <w:t>، فلا بدّ و أن یقال بجواز الاجتماع، لأنّ التضادّ بین الأحکام لم یثبت عند کثیر من الأصحاب، و نحن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یکون لنا حیثیتان واقعیتان، و یکون الترکیب انضمامیاً، أو لا، فعلی الأوّل فلا بدّ و أن یقال بجواز اجتماع الأمر و النهی، و لا سبیل إلی اختیار الامتناع، کما لا یخفی، و علی الثانی یکون الترکیب اتحادیاً، و یکون متعلّق الأمر عین متعلّق النهی، و ذلک غیر جائز، فلا یمکن تصویر ملاکین، فلا بدّ و أن یقال بالامتناع، فعلیه إن رجّحنا جانب النهی فمقتضاه عدم وجود ملاک للمرجوح، فتبطل الصلاة؛ لعدم الملاک لها حسب الفرض، و من المعلوم أنّه لا دخالة للعلم و الجهل تقصیراً أو قصوراً فی ذلک</w:t>
      </w:r>
      <w:r>
        <w:rPr>
          <w:rFonts w:eastAsia="IRNazanin" w:cs="IRNazanin"/>
          <w:color w:val="111111"/>
          <w:sz w:val="28"/>
          <w:szCs w:val="28"/>
          <w:rtl w:val="true"/>
          <w:lang w:bidi="fa-IR"/>
        </w:rPr>
        <w:t>.</w:t>
      </w:r>
    </w:p>
    <w:p>
      <w:pPr>
        <w:pStyle w:val="Heading6"/>
        <w:numPr>
          <w:ilvl w:val="5"/>
          <w:numId w:val="1"/>
        </w:numPr>
        <w:rPr/>
      </w:pPr>
      <w:bookmarkStart w:id="82" w:name="__RefHeading___Toc4026071_3224264995"/>
      <w:bookmarkStart w:id="83" w:name="_Toc31"/>
      <w:bookmarkEnd w:id="82"/>
      <w:r>
        <w:rPr>
          <w:rtl w:val="true"/>
        </w:rPr>
        <w:t>کلام المحقّقین الخراسانی و النائینی و نقده</w:t>
      </w:r>
      <w:bookmarkEnd w:id="83"/>
    </w:p>
    <w:p>
      <w:pPr>
        <w:pStyle w:val="BookText"/>
        <w:rPr/>
      </w:pPr>
      <w:r>
        <w:rPr>
          <w:rFonts w:ascii="IRNazanin" w:hAnsi="IRNazanin" w:eastAsia="IRNazanin"/>
          <w:color w:val="111111"/>
          <w:sz w:val="28"/>
          <w:sz w:val="28"/>
          <w:szCs w:val="28"/>
          <w:rtl w:val="true"/>
          <w:lang w:bidi="fa-IR"/>
        </w:rPr>
        <w:t>فما یظهر من المحقّق الخراسانی قدس سره من صحّة الصلاة فی صورة الجهل</w:t>
      </w:r>
      <w:r>
        <w:rPr>
          <w:rStyle w:val="FootnoteAnchor"/>
          <w:rtl w:val="true"/>
        </w:rPr>
        <w:footnoteReference w:id="66"/>
      </w:r>
      <w:r>
        <w:rPr>
          <w:rFonts w:ascii="IRNazanin" w:hAnsi="IRNazanin" w:eastAsia="IRNazanin"/>
          <w:color w:val="111111"/>
          <w:sz w:val="28"/>
          <w:sz w:val="28"/>
          <w:szCs w:val="28"/>
          <w:rtl w:val="true"/>
          <w:lang w:bidi="fa-IR"/>
        </w:rPr>
        <w:t>، غیر وجیه؛ لأنّه إنّما تصحّ إذا کانت هناک حیثیتان واقعیتان یتعلّق بکلّ منهما ملاک یخصّها، لکن یقدّم جانب النهی عند العلم لأهمّیته، و عند الجهل و الغفلة لو أتی بالصلاة یکون آتیاً بما یکون واجداً للمصلحة، فتصحّ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أمکن إثبات حیثیتین واقعیتین، فلا بدّ و أن یقال بالجواز؛ لارتفاع التضادّ بذلک بین الملاکین، فضلًا عن الحکمین، فالقائل بالامتناع لا یمکنه إثبات ذلک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تمامیة الأمر الأوّل مساوقة لرفع الید عن امتناع</w:t>
      </w:r>
    </w:p>
    <w:p>
      <w:pPr>
        <w:pStyle w:val="BookText"/>
        <w:rPr/>
      </w:pPr>
      <w:r>
        <w:rPr>
          <w:rFonts w:ascii="IRNazanin" w:hAnsi="IRNazanin" w:eastAsia="IRNazanin"/>
          <w:color w:val="111111"/>
          <w:sz w:val="28"/>
          <w:sz w:val="28"/>
          <w:szCs w:val="28"/>
          <w:rtl w:val="true"/>
          <w:lang w:bidi="fa-IR"/>
        </w:rPr>
        <w:t>الاجتماع، فمع القول بالامتناع لا یتمّ الأمر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لو اغمض عمّا ذکرنا فی الأمر الأوّل، لصحّ ما أفاده المحقّق الخراسانی قدس سره لأنّه إذا کانت حیثیة الغصبیة غیر حیثیة الصلاتیة، و کان لکلّ منهما ملاک یخصّها، و کان ترجّح جانب النهی إنّما هو لأهمّیته، فلا یوجب ذلک تنقیصاً فی ملاک الصلاة، فملاکها تامّ، و عدم إنشاء الحکم علی طبقه إنّما هو للمانع؛ و هو أهمّیة ملاک الغصب، ففی صورة الجهل و النسیان و الغفلة یمکن التقرّب بها،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یتوجّه علی مقال المحقّق الخراسانی قدس سره شی‌ء من الإشکالین اللذین أوردهما المحقّق النائینی قدس سره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إشکاله الأوّل فحاصله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تقدیر الامتناع تندرج المسألة فی صغری التعارض؛ و هو عدم إمکان تشریع الحکمین اللذین تکفّلهما الدلیلان فی عالم الثبوت، لا فی صغری التزاحم الذی هو جعل الحکم علی کلّ منهما، و لکن المکلّف فی مقام الامتثال لا یمکنه الجمع بینهما، فإن رجّحنا جانب النهی یکون مقتضاه تقیید إطلاق متعلّق الأمر بما عدا الفرد المجامع للغصب، و یکون المأمور به الصلاة المقیّدة بأن لا تکون فی الدار الغصبیة، و هذا التقیید راجع إلی مرحلة الثبوت و الواقع، کما هو الشأن فی سائر التقییدات، حیث إنّ دلیل المقیّد کاشف عن عدم تعلّق إرادة الأمر بما تضمّنه المطلق، فإذن لا دخل لعلم المأمور و جهله بذلک، و لازم ذلک فساد الصلاة فی الدار الغصبیة؛ عَلم المکلف بغصبیة الدار أم لا، لأنّه لم یأتِ بالمأمور به</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إشکاله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 الملاک الذی یمکن أن یتقرّب به و الموجب للصحّة، هو الملاک الذی لم یکن مکسوراً بما هو أقوی منه فی عالم التشریع، و أمّا الملاک</w:t>
      </w:r>
    </w:p>
    <w:p>
      <w:pPr>
        <w:pStyle w:val="BookText"/>
        <w:rPr/>
      </w:pPr>
      <w:r>
        <w:rPr>
          <w:rFonts w:ascii="IRNazanin" w:hAnsi="IRNazanin" w:eastAsia="IRNazanin"/>
          <w:color w:val="111111"/>
          <w:sz w:val="28"/>
          <w:sz w:val="28"/>
          <w:szCs w:val="28"/>
          <w:rtl w:val="true"/>
          <w:lang w:bidi="fa-IR"/>
        </w:rPr>
        <w:t>المغلوب بما هو أقوی منه و المکسور بغیره فی الجعل و التشریع، فلا یمکن أن یتقرّب به، و لا یکون موجباً للصحّة</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إشکاله الأوّل فیرد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أشرنا إلیه آنفاً من أنّ مسألتنا هذه لیست من باب التعارض؛ لما أشرنا من أنّ موضوع البحث هناک فی الدلیلین المتعارضین أو المتخالفین بحسب العرف، بخلاف مسألتنا هذه، فإنّه فی التعارض العقلی بین الدلیلین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إنشاء الحکم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لضعف فی الملاک و المصلحة؛ أی لقصور فی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لمانع؛ و هو أهمّیة الملاک الآخر، مع کونه فی نفسه تامّ الملاک و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الصلاة لها مصلحة تامّة، لکن لابتلائها بما هو أهمّ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لأقوائیة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یتعلّق بها الأمر؛ فعدم تعلّق الأمر بها حینئذٍ لأجل المانع، لا لقصور فی ملاک الأمر، بل ملاکه تامّ و کامل، فیصحّ التقرّب بها عند الجهل، و لا فرق فی ذلک بینه و بین التزاحم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التفریق بینهما من جهة أنّه فی باب التزاحم، لا یمکن الجمع بین الدلیلین فی مقام الامتثال بعد الفراغ عن إنشاء الحکم علیهما، بخلاف ما هنا؛ لأنّه لم ینشأ الحکم إلّا علی أحدهما، فهو غیر فارق؛ لأنّه إذا احرز واجدیة کلّ منهما للملاک التامّ، و لکنّه لمانع لم یمکنه إنشاء الحکم علی أحدهما، فحینئذٍ یمکن التقرّب به علی تقدیر کفایة تمامیة الملاک فی عبادیة العبادة فی صورة الجهل، کما یمکن ذلک فی صورة التزاحم، کما اعترف به</w:t>
      </w:r>
      <w:r>
        <w:rPr>
          <w:rFonts w:eastAsia="IRNazanin" w:cs="IRNazanin"/>
          <w:color w:val="111111"/>
          <w:sz w:val="28"/>
          <w:szCs w:val="28"/>
          <w:rtl w:val="true"/>
          <w:lang w:bidi="fa-IR"/>
        </w:rPr>
        <w:t>.</w:t>
      </w:r>
      <w:bookmarkStart w:id="84" w:name="pg12934_164435"/>
    </w:p>
    <w:p>
      <w:pPr>
        <w:pStyle w:val="BookText"/>
        <w:rPr/>
      </w:pPr>
      <w:bookmarkEnd w:id="84"/>
      <w:r>
        <w:rPr>
          <w:rFonts w:ascii="IRNazanin" w:hAnsi="IRNazanin" w:eastAsia="IRNazanin"/>
          <w:color w:val="111111"/>
          <w:sz w:val="28"/>
          <w:sz w:val="28"/>
          <w:szCs w:val="28"/>
          <w:rtl w:val="true"/>
          <w:lang w:bidi="fa-IR"/>
        </w:rPr>
        <w:t>و أمّا إشکاله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حدیث المصلحة المکسورة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أراد بها نقصان المصلحة التی کانت لها قبل ابتلائها بما هو أقوی و سقوطها،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غیر معقول؛ لعدم مصادمة أحدهما للآخر، و إن أراد أنّه و إن لم ینقص، و لکنّ الحکم لم ینشأ إلّا لما هو الأقوی، فعلیه یصحّ التقرّب بها بعد تمامیة ملاک المهمّ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قلنا بامتناع اجتماع الأمر و النهی، و رجّحنا جانب النهی، فالقاعدة مقتضیة لفساد العبادة؛ من دون فرق بین صورتی العلم و الجهل، و الالتفات و عدمه؛ لعدم تمامیة الأمر الأوّل، و إن تمّ ذلک فتصحّ العبادة من غیر فرق بین کون المسألة من باب التزاحم أو لا، فتدبّر</w:t>
      </w:r>
      <w:r>
        <w:rPr>
          <w:rFonts w:eastAsia="IRNazanin" w:cs="IRNazanin"/>
          <w:color w:val="111111"/>
          <w:sz w:val="28"/>
          <w:szCs w:val="28"/>
          <w:rtl w:val="true"/>
          <w:lang w:bidi="fa-IR"/>
        </w:rPr>
        <w:t>.</w:t>
      </w:r>
    </w:p>
    <w:p>
      <w:pPr>
        <w:pStyle w:val="Heading5"/>
        <w:numPr>
          <w:ilvl w:val="4"/>
          <w:numId w:val="1"/>
        </w:numPr>
        <w:rPr/>
      </w:pPr>
      <w:bookmarkStart w:id="85" w:name="__RefHeading___Toc4026073_3224264995"/>
      <w:bookmarkStart w:id="86" w:name="_Toc32"/>
      <w:bookmarkEnd w:id="85"/>
      <w:r>
        <w:rPr>
          <w:rtl w:val="true"/>
        </w:rPr>
        <w:t>الأمر التاسع فی تحدید العناوین التی یجری النزاع فیها و شروطها</w:t>
      </w:r>
      <w:bookmarkEnd w:id="86"/>
    </w:p>
    <w:p>
      <w:pPr>
        <w:pStyle w:val="Heading6"/>
        <w:numPr>
          <w:ilvl w:val="5"/>
          <w:numId w:val="1"/>
        </w:numPr>
        <w:rPr/>
      </w:pPr>
      <w:bookmarkStart w:id="87" w:name="__RefHeading___Toc4026075_3224264995"/>
      <w:bookmarkStart w:id="88" w:name="_Toc33"/>
      <w:bookmarkEnd w:id="87"/>
      <w:r>
        <w:rPr>
          <w:rtl w:val="true"/>
        </w:rPr>
        <w:t>اشارة</w:t>
      </w:r>
      <w:bookmarkEnd w:id="88"/>
    </w:p>
    <w:p>
      <w:pPr>
        <w:pStyle w:val="BookText"/>
        <w:rPr/>
      </w:pPr>
      <w:r>
        <w:rPr>
          <w:rFonts w:ascii="IRNazanin" w:hAnsi="IRNazanin" w:eastAsia="IRNazanin"/>
          <w:color w:val="111111"/>
          <w:sz w:val="28"/>
          <w:sz w:val="28"/>
          <w:szCs w:val="28"/>
          <w:rtl w:val="true"/>
          <w:lang w:bidi="fa-IR"/>
        </w:rPr>
        <w:t>لا کلام فی عدم النزاع فی مسألة الاجتماع فیما إذا کان العنوانان متباینین أو متساویین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لا ینبغی الإشکال فی جواز تعلّق الأمر بعنوان و النهی بعنوان آخر یتباین معه؛ بحیث لا یکاد یتصادقان علی موضوع واحد؛ و ذلک لما عرفت من أنّ محطّ النزاع، إنّما هو فی جواز تعلّق حکمین فعلیین علی عنوانین متصادقین علی موضوع واحد، فإن تباین العنوانان فهو خارج عن محطّ النزاع؛ لعدم تصادقهما علی موضوع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ریب فی عدم جواز تعلّق الأمر بعنوان و النهی عن عنوان آخر متصادقین فی جمیع الأفراد و المصادیق</w:t>
      </w:r>
      <w:r>
        <w:rPr>
          <w:rFonts w:eastAsia="IRNazanin" w:cs="IRNazanin"/>
          <w:color w:val="111111"/>
          <w:sz w:val="28"/>
          <w:szCs w:val="28"/>
          <w:rtl w:val="true"/>
          <w:lang w:bidi="fa-IR"/>
        </w:rPr>
        <w:t>.</w:t>
      </w:r>
    </w:p>
    <w:p>
      <w:pPr>
        <w:pStyle w:val="Heading6"/>
        <w:numPr>
          <w:ilvl w:val="5"/>
          <w:numId w:val="1"/>
        </w:numPr>
        <w:rPr/>
      </w:pPr>
      <w:bookmarkStart w:id="89" w:name="__RefHeading___Toc4026077_3224264995"/>
      <w:bookmarkStart w:id="90" w:name="_Toc34"/>
      <w:bookmarkEnd w:id="89"/>
      <w:r>
        <w:rPr>
          <w:rtl w:val="true"/>
        </w:rPr>
        <w:t>و أمّا إذا کان بین العنوانین عموم مطلق</w:t>
      </w:r>
      <w:bookmarkEnd w:id="9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فهو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العموم و الخصوص بلحاظ المورد لا المفهوم؛ بأن لم یؤخذ مفهوم الأعمّ فی الأخصّ، کعنوان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فی المدرسة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 أنّ کلّ من فی المدرسة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العموم و الخصوص بحسب المفهوم؛ بأن اخذ مفهوم العامّ فی الخاصّ، و ذلک مثل المطلق و المقیّد، کعنوان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القسم الأوّل یجری النزاع کما یجری فی العامّین من وجه؛ لأنّ کلّ واحد منهما عنوان مستقلّ مغایر للآخر یتصادقان علی موضوع واحد، فکما صحّ النزاع فیما إذا کان بین العنوانین عموم من وجه،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یصحّ فیما إذا کان بین العنوانین عموم مطلق من حیث المورد،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من فی المدرسة</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مناهج الوصول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یکون العنوانان مختلفین و هما متعلقا الأمر و النهی، فیدخلان فی محطّ النزاع، و مجرّد الاتحاد فی المصداق لا یضرّ المجوّز، فتدبّر</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القسم الثانی، فیمکن جریان النزاع فیه إذا لم یتعلّق النهی بالعنوان،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فرضنا أنّ النهی لم یتعلّق بحیثیة الصلاتیة، بل بالتمکّن فی الحمّام؛ أی تعلّق النهی بجعل الصلاة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نظیر ما إذا کنت عطشان تحبّ شرب الماء، و لکن تکره کونه فی جراب النورة، فلم تکره شرب الماء بل تحبّه، و إنّما المکروه کون الماء فی جراب النورة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النزاع فی هذا القسم من العامّ و الخاصّ و إن کان مفهوم العامّ، مأخوذاً فی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تعلّق النهی بالعنوان؛ أی أنّ العامّ و الخاصّ بلحاظ المفهوم، أو المطلق و المقیّد، فهل یصحّ النزاع فیه، أم لا؟ وجهان، بل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یوجّه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عنوان العامّ أو المطلق غیر عنوان الخاصّ و المقیّد، و الأمر تعلّق بنفس الطبیعة، و النهی تعلّق بالمقیّد، فنفس الطبیعة بلا قید لم تکن موضوعاً للحکم فی المقیّد، و قد کانت موضوعاً فی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الأمر الضمنی لا أساس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فی المقیّد لم یتعلّق بالمطلق مع قیده، بل بالمقیّد بما هو مقیّد، و نفس الطبیعة بلا قید لم تکن موضوعاً للحکم فی المقیّد، و هما عنوانان متغایران متصادقان علی موضوع واحد، فیجری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یوجّه عدم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الإطلاق فی المطلق لیس قیداً أو جزء للموضوع، بل الموضوع فیه نفس الطبیعة التی هی متعلّق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نفس الطبیعة مرسلة إذا اخذت موضوعاً للحکم، و المقیّد هو نفس الطبیعة بعینها مع القید، فموضوع الأمر و النهی شی‌ء واحد، غایة الأمر یکون لأحدهما إضافة شی‌ء آخر، فلا یکونان عنوانین منطبقین علی موضوع واحد، فلا یجری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المسألة محلّ إشکال و تأمّل و إن کان عدم جریان النزاع فیه أشبه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ممّا 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المحقّقین القمّی</w:t>
      </w:r>
      <w:r>
        <w:rPr>
          <w:rStyle w:val="FootnoteAnchor"/>
          <w:rtl w:val="true"/>
        </w:rPr>
        <w:footnoteReference w:id="70"/>
      </w:r>
      <w:r>
        <w:rPr>
          <w:rFonts w:ascii="IRNazanin" w:hAnsi="IRNazanin" w:eastAsia="IRNazanin"/>
          <w:color w:val="111111"/>
          <w:sz w:val="28"/>
          <w:sz w:val="28"/>
          <w:szCs w:val="28"/>
          <w:rtl w:val="true"/>
          <w:lang w:bidi="fa-IR"/>
        </w:rPr>
        <w:t>و النائینی</w:t>
      </w:r>
      <w:r>
        <w:rPr>
          <w:rStyle w:val="FootnoteAnchor"/>
          <w:rtl w:val="true"/>
        </w:rPr>
        <w:footnoteReference w:id="71"/>
      </w:r>
      <w:r>
        <w:rPr>
          <w:rFonts w:ascii="IRNazanin" w:hAnsi="IRNazanin" w:eastAsia="IRNazanin"/>
          <w:color w:val="111111"/>
          <w:sz w:val="28"/>
          <w:sz w:val="28"/>
          <w:szCs w:val="28"/>
          <w:rtl w:val="true"/>
          <w:lang w:bidi="fa-IR"/>
        </w:rPr>
        <w:t>و غیرهما القائلین بخروج العامّ</w:t>
      </w:r>
    </w:p>
    <w:p>
      <w:pPr>
        <w:pStyle w:val="BookText"/>
        <w:rPr/>
      </w:pPr>
      <w:r>
        <w:rPr>
          <w:rFonts w:ascii="IRNazanin" w:hAnsi="IRNazanin" w:eastAsia="IRNazanin"/>
          <w:color w:val="111111"/>
          <w:sz w:val="28"/>
          <w:sz w:val="28"/>
          <w:szCs w:val="28"/>
          <w:rtl w:val="true"/>
          <w:lang w:bidi="fa-IR"/>
        </w:rPr>
        <w:t xml:space="preserve">و الخاصّ المطلقین عن محطّ النزاع مطلقاً، واقعون فی طرف التفریط، کما أنّ المحکی عن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من دخولهما فی محطّ البحث مطلقاً، واقع فی طرف الإفراط، و خیر الامور أوسطها، و هو الذی ذکرناه، فلاحظ و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العامّان من وجه، فهما أیضاً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فقسم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مفهوم أحدهما مأخوذاً فی الآخر،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الدار الغصبیة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القسم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یکن کذلک، کعنوانی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الفاسق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القسم الأوّل، فیرد فیه الإشکال المتقدّم آنفاً فی العامّ و الخاصّ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القسم الثانی، فالظاهر أنّه لا إشکال فی کونه محلّاً للنزاع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الظاهر أنّ العامّین من وجه فیما إذا لم یکن مفهوم أحدهما مأخوذاً فی الآخر، داخلان فی محطّ البحث مطلقاً؛ سواء کان العنوانان المتعلّقان للأمر و النهی، من الأفعال الاختیاریة للمکلّف، کعنوانی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کانا من الموضوعات الخارجة عن اختیار المکلّف، کعنوانی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سواء کانا من الأفعال الاختیاریة للمکلّف أوّلًا و بالذات،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أم کانا من الأفعال التولیدیة التی لم تکن کذلک و إن کانا اختیاریین بالعرض و بواسطة أسبابها و مولّداتها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 عنوان یحصل بالقیام عند مجی‌ء الشخص، و سواء کان تصادق العنوانین علی المصداق الخارجی انضمامیاً أو اتحادیاً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خالف المحقّق النائینی قدس سره فی المواقف الثلاثة فی کلام طویل الذیل، فقال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کلّما کانت النسبة بین العنوانین عموماً من وجه،</w:t>
      </w:r>
    </w:p>
    <w:p>
      <w:pPr>
        <w:pStyle w:val="BookText"/>
        <w:rPr/>
      </w:pPr>
      <w:r>
        <w:rPr>
          <w:rFonts w:ascii="IRNazanin" w:hAnsi="IRNazanin" w:eastAsia="IRNazanin"/>
          <w:color w:val="111111"/>
          <w:sz w:val="28"/>
          <w:sz w:val="28"/>
          <w:szCs w:val="28"/>
          <w:rtl w:val="true"/>
          <w:lang w:bidi="fa-IR"/>
        </w:rPr>
        <w:t>یکون محلّاً للبحث، بل لا بدّ و أن تکون النسبة بین نفس الفعلین الصادرین عن المکلّف بإرادة و اختیار اللذین تعلّق بهما الأمر و النهی، کالصلاة و الغصب، لأنّه لو کانت النسبة کذلک بین الموضوعین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خارج عن محلّ البحث؛ لأنّ الترکیب فی مثل ذلک اتحادی، و یکون متعلّق الأمر بعینه هو متعلّق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عدم جریان البحث فیما لو کانت النسبة بین عنوانین متولّدین من فعل واحد صادر من المکلّف، کما لو أکرم العالم المأمور بإکرامه و الفاسق المنهی عن إکرامه، بفعل واحد تولّد منه کلّ من الإکرامین، کما لو قام بقصد التعظیم لکلّ من العالم و الفاسق، فإنّ تعظیم کلّ منهما و إن اجتمعا بفعل واحد واحد، و کان اجتماعهما علی وجه الترکیب الانضمامی؛ بداهة أنّ تعظیم زید العالم غیر تعظیم عمرو الفاسق، و لا یحمل أحدهما علی الآخر، و لکن حیث إنّ التعظیمین من المسبّبات التولیدیة التی لم تتعلّق إرادة المکلّف بها أوّلًا و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لکونهما غیر مقدورین له بلا 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جرم یکون متعلّق التکلیف هو السبب، و المفروض أنّه فعل واحد بالحقیقة و الهویة، فیوجب اجتماع الأمر و النهی فی شی‌ء واحد شخصی، و لا بدّ حینئذٍ من إعمال قواعد التعارض، و لا یکون من مسألة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بدّ و أن تکون النسبة بین الفعلین الصادرین عن المکلّف أوّلًا و بالذات، عموماً من وجه، لا بین الموضوعین، و لا بین العنوانین المتولّدین من فعل واحد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لا یکفی مجرّد ذلک ما لم یکن الترکیب بین الفعلین ترکیباً انضمامیاً، و إلّا فلو کان الترکیب فیه اتحادیاً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اشرب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الترکیب فی مورد الاجتماع من شرب الماء المغصوب، یکون علی وجه الاتحاد؛ حیث إنّ</w:t>
      </w:r>
    </w:p>
    <w:p>
      <w:pPr>
        <w:pStyle w:val="BookText"/>
        <w:rPr/>
      </w:pPr>
      <w:r>
        <w:rPr>
          <w:rFonts w:ascii="IRNazanin" w:hAnsi="IRNazanin" w:eastAsia="IRNazanin"/>
          <w:color w:val="111111"/>
          <w:sz w:val="28"/>
          <w:sz w:val="28"/>
          <w:szCs w:val="28"/>
          <w:rtl w:val="true"/>
          <w:lang w:bidi="fa-IR"/>
        </w:rPr>
        <w:t>الفرد من الماء الذی یشربه، مصداق لکلّ من الشرب و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یجری فیه النزاع</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فروح کلام هذا المحقّق قدس سره و أساسه، مبنی علی أنّ النزاع إنّما یجری فیما إذا کان الترکیب انضمامیاً، و إلّا فلا یجری فیه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بذلک بیان أنّ نزاع القوم إنّما هو فیما إذا کان الترکیب انضمامیاً،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فی کلامهم من الترکیب الانضمامی أو الاتحادی عین و لا أثر؛ لأنّ القائل بالجواز یری أنّ الأمر تعلّق بعنوان غیر ما تعلّق به النهی و إنّ اتحدا خارجاً، کما أنّ القائل بالامتناع یری سرایة أحدهما إلی الآخر، و یکونان موجودین بإیجاد واحد، فحدیث ابتناء النزاع علی کون الترکیب انضمامیاً، غیر سدید، بل من یری أنّ الترکیب الخارجی بین العنوانین اتحادی، یمکنه القول بجواز الاجتماع باعتبار أنّ متعلّقات الأحکام، إنّما هی العناوین الکلّیة، دون المصادیق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قدس سره بذلک بیان ما ینبغی أن یکون محطّ النزاع و بیان مختاره فی المسألة؛ و أنّه کلّما کان الترکیب انضمامیاً یجوز الاجتماع، و إلّا فلا،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الکلام فی المقام فی تحریر محطّ النزاع فی المسألة، لا بیان المختار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یرد علیه أمران</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النزاع فیما لو کان الترکیب اتحادیاً، بل یصحّ القول بالجواز مع ذلک؛ لأنّ الاتحادیة و الانضمامیة فی الترکیب، إنّما هما فی الخارج الذی هو ظرف السقوط، و هو غیر مربوط بمقام متعلّقات الأحکام التی هی العناوین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أغمضنا عن ذلک و قلنا بعدم الجواز فیما لو کان الترکیب اتحادیاً، فهذا لا یوجب أن یکون ذلک خارجاً عن محطّ النزاع، بل یکون ذلک دلیلًا علی اختیار التفصیل فی المسألة؛ و هو جواز الاجتماع فیما لو کان الترکیب انضمامیاً، و الامتناع فیما إذا کان الترکیب اتحادیاً،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فالمحقّق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أتعب نفسه الزکیة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یأتِ بشی‌ء مقنع ینقّح محطّ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یمکن أن یکون محطّاً للنزاع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العنوانان اللذان تکون النسبة بینهما عموماً من وجه؛ بحیث لم یؤخذ أحدهما فی الآخر، فعلی هذا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داخلین فی محطّ البحث، و لیس الترکیب بینهما انضمامیاً، و هو المثال المعروف الدارج فی کلمات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أشرنا إلی أنّ تجویز هذا المحقّق دخوله فی محطّ النزاع؛ لأجل ما یری من أنّ الحرکة فی کلّ مقولة عینها، و هناک حرکات فی الخارج، و أنّ الترکیب بینهما انضمامی، و قد عرفت عدم تمامیة ما ذکره</w:t>
      </w:r>
      <w:r>
        <w:rPr>
          <w:rStyle w:val="FootnoteAnchor"/>
          <w:rtl w:val="true"/>
        </w:rPr>
        <w:footnoteReference w:id="74"/>
      </w:r>
      <w:r>
        <w:rPr>
          <w:rFonts w:ascii="IRNazanin" w:hAnsi="IRNazanin" w:eastAsia="IRNazanin"/>
          <w:color w:val="111111"/>
          <w:sz w:val="28"/>
          <w:sz w:val="28"/>
          <w:szCs w:val="28"/>
          <w:rtl w:val="true"/>
          <w:lang w:bidi="fa-IR"/>
        </w:rPr>
        <w:t>و أنّ المقولة هی التصرّف فی مال الغیر لا الغصب؛ لما أشرنا من أنّه عبارة عن الاستبداد و الاستیلاء علی مال الغیر، و أنّ الترکیب بین الرکوع و الغصب أو التصرّف فی مال الغیر بغیر رضاه، ترکیب اتحادی، و مع ذلک تری جواز اجتماع الأمر و النهی، و علی مبناه قدس سره لا بدّ و أن یلتزم بامتناع الاجتماع فی المثال المعروف، و تجویزه ذلک إنّما هو لأجل مبنی غیر صحیح؛ و هو کون الترکیب انضمامیاً، و إذ قد عرفت فساد المبنی، فیخرب ما بنی علیه، فتدبّر</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فرق فی ما ذکرنا بین کون متعلّق الأمر و النهی من العناوین التولیدیة أو غیرها؛ و لو قلنا بأنّ الأمر بالمسبّب أمر بالسبب، و ذلک المأمور به هو التعظیم للعالم،</w:t>
      </w:r>
      <w:bookmarkStart w:id="91" w:name="pg12934_164442"/>
    </w:p>
    <w:p>
      <w:pPr>
        <w:pStyle w:val="BookText"/>
        <w:rPr/>
      </w:pPr>
      <w:bookmarkEnd w:id="91"/>
      <w:r>
        <w:rPr>
          <w:rFonts w:ascii="IRNazanin" w:hAnsi="IRNazanin" w:eastAsia="IRNazanin"/>
          <w:color w:val="111111"/>
          <w:sz w:val="28"/>
          <w:sz w:val="28"/>
          <w:szCs w:val="28"/>
          <w:rtl w:val="true"/>
          <w:lang w:bidi="fa-IR"/>
        </w:rPr>
        <w:t>و المنهیّ عنه هو التعظیم للفاسق، و معنی ذلک هو لزوم القیام بحیثیة تعظیم العالم، و حرمة القیام بحیثیة تعظیم الفاسق، و هما عنوانان مختلفان موجودان بوجود واحد؛ یجوز تعلّق الأمر بأحدهما، و النهی عن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إرجاع الأمر بالمسبّب إلی الأمر بالسبب، لا وجه له بعد کون الدلیل ظاهراً فی تعلّقه بالمسبّب، و المسبّب مقدور بواسطة السبب، فیجوز تعلّق الأمر به، کما یجوز تعلّقه بالسبب، فتدبّر و اغتنم</w:t>
      </w:r>
      <w:r>
        <w:rPr>
          <w:rFonts w:eastAsia="IRNazanin" w:cs="IRNazanin"/>
          <w:color w:val="111111"/>
          <w:sz w:val="28"/>
          <w:szCs w:val="28"/>
          <w:rtl w:val="true"/>
          <w:lang w:bidi="fa-IR"/>
        </w:rPr>
        <w:t>.</w:t>
      </w:r>
    </w:p>
    <w:p>
      <w:pPr>
        <w:pStyle w:val="Heading4"/>
        <w:numPr>
          <w:ilvl w:val="3"/>
          <w:numId w:val="1"/>
        </w:numPr>
        <w:rPr/>
      </w:pPr>
      <w:bookmarkStart w:id="92" w:name="__RefHeading___Toc4026079_3224264995"/>
      <w:bookmarkStart w:id="93" w:name="_Toc35"/>
      <w:bookmarkEnd w:id="92"/>
      <w:r>
        <w:rPr>
          <w:rtl w:val="true"/>
        </w:rPr>
        <w:t>التحقیق جواز اجتماع الأمر و النهی</w:t>
      </w:r>
      <w:bookmarkEnd w:id="93"/>
    </w:p>
    <w:p>
      <w:pPr>
        <w:pStyle w:val="Heading5"/>
        <w:numPr>
          <w:ilvl w:val="4"/>
          <w:numId w:val="1"/>
        </w:numPr>
        <w:rPr/>
      </w:pPr>
      <w:bookmarkStart w:id="94" w:name="__RefHeading___Toc4026081_3224264995"/>
      <w:bookmarkStart w:id="95" w:name="_Toc36"/>
      <w:bookmarkEnd w:id="94"/>
      <w:r>
        <w:rPr>
          <w:rtl w:val="true"/>
        </w:rPr>
        <w:t>اشارة</w:t>
      </w:r>
      <w:bookmarkEnd w:id="95"/>
    </w:p>
    <w:p>
      <w:pPr>
        <w:pStyle w:val="BookText"/>
        <w:rPr/>
      </w:pPr>
      <w:r>
        <w:rPr>
          <w:rFonts w:ascii="IRNazanin" w:hAnsi="IRNazanin" w:eastAsia="IRNazanin"/>
          <w:color w:val="111111"/>
          <w:sz w:val="28"/>
          <w:sz w:val="28"/>
          <w:szCs w:val="28"/>
          <w:rtl w:val="true"/>
          <w:lang w:bidi="fa-IR"/>
        </w:rPr>
        <w:t>إذا تمهّد لک ما ذکرنا کلّه</w:t>
      </w:r>
      <w:r>
        <w:rPr>
          <w:rStyle w:val="FootnoteAnchor"/>
          <w:rtl w:val="true"/>
        </w:rPr>
        <w:footnoteReference w:id="75"/>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جواز اجتماع الأمر و النهی المتعلّقین بعنوانین متصادقین علی موضوع واحد،</w:t>
      </w:r>
    </w:p>
    <w:p>
      <w:pPr>
        <w:pStyle w:val="Heading5"/>
        <w:numPr>
          <w:ilvl w:val="4"/>
          <w:numId w:val="1"/>
        </w:numPr>
        <w:rPr/>
      </w:pPr>
      <w:bookmarkStart w:id="96" w:name="__RefHeading___Toc4026083_3224264995"/>
      <w:bookmarkStart w:id="97" w:name="_Toc37"/>
      <w:bookmarkEnd w:id="96"/>
      <w:r>
        <w:rPr>
          <w:rtl w:val="true"/>
        </w:rPr>
        <w:t>و لتقریب ذلک نقدّم اموراً</w:t>
      </w:r>
      <w:r>
        <w:rPr>
          <w:rtl w:val="true"/>
        </w:rPr>
        <w:t>:</w:t>
      </w:r>
      <w:bookmarkEnd w:id="97"/>
    </w:p>
    <w:p>
      <w:pPr>
        <w:pStyle w:val="Heading6"/>
        <w:numPr>
          <w:ilvl w:val="5"/>
          <w:numId w:val="1"/>
        </w:numPr>
        <w:rPr/>
      </w:pPr>
      <w:bookmarkStart w:id="98" w:name="__RefHeading___Toc4026085_3224264995"/>
      <w:bookmarkStart w:id="99" w:name="_Toc38"/>
      <w:bookmarkEnd w:id="98"/>
      <w:r>
        <w:rPr>
          <w:rtl w:val="true"/>
        </w:rPr>
        <w:t>الأمر الأوّل</w:t>
      </w:r>
      <w:r>
        <w:rPr>
          <w:rtl w:val="true"/>
        </w:rPr>
        <w:t xml:space="preserve">: </w:t>
      </w:r>
      <w:r>
        <w:rPr>
          <w:rtl w:val="true"/>
        </w:rPr>
        <w:t>فی صور متعلّق الأمر و النهی</w:t>
      </w:r>
      <w:bookmarkEnd w:id="99"/>
    </w:p>
    <w:p>
      <w:pPr>
        <w:pStyle w:val="BookText"/>
        <w:rPr/>
      </w:pPr>
      <w:r>
        <w:rPr>
          <w:rFonts w:ascii="IRNazanin" w:hAnsi="IRNazanin" w:eastAsia="IRNazanin"/>
          <w:color w:val="111111"/>
          <w:sz w:val="28"/>
          <w:sz w:val="28"/>
          <w:szCs w:val="28"/>
          <w:rtl w:val="true"/>
          <w:lang w:bidi="fa-IR"/>
        </w:rPr>
        <w:t>تتصوّر فی متعلّق الأمر أو النهی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المتعلّق فیهما نفس الطبیعة علی نحو الإطلاق؛ و إن کان مقتضی تعلّق البعث و الزجر بالطبیعة، مختلفاً بحسب الفهم العرفی، حیث إنّه یفهم أنّ امتثال الأمر بالطبیعة بصرف وجود الطبیعة، و امتثال النهی عنها بترک جمیع الأفراد، کما سبق</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المتعلّق فیهما جمیع أفراد الطبیعة علی نحو العموم علی النحو المعقول؛ أی عنوان إجمالی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المتعلّق فی جانب الأمر بنحو الإطلاق، و فی جانب النهی بنحو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بعکس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جمیع التقادیر لا بدّ للآمر أو الناهی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ملتفتاً خبیراً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لحاظ موضوع أمره أو نهیه بما لهما من الخصوصیات أوّلًا، ثمّ إصدار البعث أو الزجر نحوه، فربما تکون نفس الطبیعة من دون قید و شرط، محصّلة لغرضه، و اخری یکون لاعتبار شرط أو قید دخالة فی حصوله، و من المعلوم أنّه لا یکاد تتعلّق إرادته الجدّیة بغیر ما یکون محصّلًا لغرضه، بل کلّ ما یکون دخیلًا فی حصول غرضه یتعلّق به البعث أو الزجر؛ لأنّ الإرادة التشریعیة تابعة للإرادة التکوینیة، فهی مثلها فی أنّها لا تتعلّق إلّا بما یکون محصّلًا لغرضه، و لا تکاد تتجاوزه إلی غیره حتّی المتحد معه خارجاً، فضلًا عمّا یلازمه، فما ظنّک بما یقارنه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ملاحظة الطبیعة بما لها من الخصوصیات الدخیلة فی تحصیل غرضه؛ إذا کان متعلّق الأمر أو النهی الطبیعة، أو ملاحظة فرد الطبیعة بما له من الخصوصیات، فیبعث نحوه، أو یزجر عنه، و لا یکاد أن یتجاوزا عن مصبّهما إلی ما یکون متحداً معه، أو ملازماً، أو مقارناً له، فالأمر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متعلّق بنفس طبیعة الصلاة مجرّدة عن کافّة الخصوصیات، و لا یعقل تعدّیه عنها إلی ما هو خارج عنها و إن اتحد معها خارجاً أو ذهناً، فضلًا عمّا یلازمه أو یقارنه، و کذلک النهی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بنفس طبیعة الغصب مجرّدةً عن کافّة الخصوصیات، و لا یکاد یعقل تعدّیه عنها إلی ما هو خارج عنها و إن اتحد معها خارجاً أو ذهناً أو لازمها أو قارنها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السرّ فی ذلک تبعیة الإرادة التشریعیة للإرادة التکوینیة، فکما أنّ الإرادة</w:t>
      </w:r>
      <w:bookmarkStart w:id="100" w:name="pg12934_164444"/>
    </w:p>
    <w:p>
      <w:pPr>
        <w:pStyle w:val="BookText"/>
        <w:rPr/>
      </w:pPr>
      <w:bookmarkEnd w:id="100"/>
      <w:r>
        <w:rPr>
          <w:rFonts w:ascii="IRNazanin" w:hAnsi="IRNazanin" w:eastAsia="IRNazanin"/>
          <w:color w:val="111111"/>
          <w:sz w:val="28"/>
          <w:sz w:val="28"/>
          <w:szCs w:val="28"/>
          <w:rtl w:val="true"/>
          <w:lang w:bidi="fa-IR"/>
        </w:rPr>
        <w:t>التکوینیة من المولی الحکیم، تابعة لإدراک الصلاح و الفساد، و لا تکاد تتعلّق إلّا بما هو دخیل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الواقع و نفس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تحصیل الغرض، و لا یعقل تعدّیه عن موضوعه إلی ما لا دخالة له فی وعاء من الأوعیة ذهناً کان أو خارجاً، فکذلک الإرادة التشریعیة، فعلی هذا لا یتعلّق الأمر بالصلاة إلّا إذا کانت الخصوصیات المأخوذة فیها دخیلةً فی تحصیل المصلحة، فکما لا یمکن تعلّقه بالفاقدة منها، فکذلک لا یمکن تعلّقه بالخصوصیة غیر الدخیلة فی تحصیل الغرض، و قس علیه تعلّق النهی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 فی مال الغیر بغیر 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فالملازمات الوجودیة للمأمور به و المنهی عنه فی الوجود الخارجی أو الذهنی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المقارنات الاتفاقیة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خارجة عن حریم الأمر و النهی</w:t>
      </w:r>
      <w:r>
        <w:rPr>
          <w:rFonts w:eastAsia="IRNazanin" w:cs="IRNazanin"/>
          <w:color w:val="111111"/>
          <w:sz w:val="28"/>
          <w:szCs w:val="28"/>
          <w:rtl w:val="true"/>
          <w:lang w:bidi="fa-IR"/>
        </w:rPr>
        <w:t>.</w:t>
      </w:r>
    </w:p>
    <w:p>
      <w:pPr>
        <w:pStyle w:val="Heading6"/>
        <w:numPr>
          <w:ilvl w:val="5"/>
          <w:numId w:val="1"/>
        </w:numPr>
        <w:rPr/>
      </w:pPr>
      <w:bookmarkStart w:id="101" w:name="__RefHeading___Toc4026087_3224264995"/>
      <w:bookmarkStart w:id="102" w:name="_Toc39"/>
      <w:bookmarkEnd w:id="101"/>
      <w:r>
        <w:rPr>
          <w:rtl w:val="true"/>
        </w:rPr>
        <w:t>الأمر الثانی</w:t>
      </w:r>
      <w:r>
        <w:rPr>
          <w:rtl w:val="true"/>
        </w:rPr>
        <w:t xml:space="preserve">: </w:t>
      </w:r>
      <w:r>
        <w:rPr>
          <w:rtl w:val="true"/>
        </w:rPr>
        <w:t>فی معنی الإطلاق المقابل للتقیید</w:t>
      </w:r>
      <w:bookmarkEnd w:id="102"/>
    </w:p>
    <w:p>
      <w:pPr>
        <w:pStyle w:val="Heading6"/>
        <w:numPr>
          <w:ilvl w:val="5"/>
          <w:numId w:val="1"/>
        </w:numPr>
        <w:rPr/>
      </w:pPr>
      <w:bookmarkStart w:id="103" w:name="__RefHeading___Toc4026089_3224264995"/>
      <w:bookmarkStart w:id="104" w:name="_Toc40"/>
      <w:bookmarkEnd w:id="103"/>
      <w:r>
        <w:rPr>
          <w:rtl w:val="true"/>
        </w:rPr>
        <w:t>اشارة</w:t>
      </w:r>
      <w:bookmarkEnd w:id="104"/>
    </w:p>
    <w:p>
      <w:pPr>
        <w:pStyle w:val="BookText"/>
        <w:rPr/>
      </w:pPr>
      <w:r>
        <w:rPr>
          <w:rFonts w:ascii="IRNazanin" w:hAnsi="IRNazanin" w:eastAsia="IRNazanin"/>
          <w:color w:val="111111"/>
          <w:sz w:val="28"/>
          <w:sz w:val="28"/>
          <w:szCs w:val="28"/>
          <w:rtl w:val="true"/>
          <w:lang w:bidi="fa-IR"/>
        </w:rPr>
        <w:t>معنی الإطلاق المقابل للتقیید هو کون الماهیة من حیث هی، تمامَ الموضوع للحکم؛ بحیث لا یکون شی‌ء آخر دخیلًا فیه و إن کان متحداً معها فی الخارج، فضلًا عمّا یکون ملازماً لها، أو مقارناً إیّاها، مثلًا معنی الإطلاق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 xml:space="preserve">هو أنّه بعد جریان مقدّمات الحکمة، تکون نفس طبیعة البیع بلا دخالة قید و شرط فیها، تمام الموضوع للحکم علیها بالحلّیة، و حیث إنّ الطبیعة توجد بتمامها بوجود الفرد، فتنطبق الطبیعة علی هذا، و 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یستفاد من جریان مقدّمات الحکمة تعلّق الحکم بأفراد البیع، کما کان یستفاد ذلک من العموم إذا قیل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اللَّه کلّ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یظهر من بعضهم من أنّ الإطلاق عبارة عن لحاظ المطلق ساریاً فی أفراده، و جاریاً فی مصادیقه، أو مرآة</w:t>
      </w:r>
      <w:bookmarkStart w:id="105" w:name="pg12934_164445"/>
    </w:p>
    <w:p>
      <w:pPr>
        <w:pStyle w:val="BookText"/>
        <w:rPr/>
      </w:pPr>
      <w:bookmarkEnd w:id="105"/>
      <w:r>
        <w:rPr>
          <w:rFonts w:ascii="IRNazanin" w:hAnsi="IRNazanin" w:eastAsia="IRNazanin"/>
          <w:color w:val="111111"/>
          <w:sz w:val="28"/>
          <w:sz w:val="28"/>
          <w:szCs w:val="28"/>
          <w:rtl w:val="true"/>
          <w:lang w:bidi="fa-IR"/>
        </w:rPr>
        <w:t xml:space="preserve">لحالاته؛ بحیث لا یکون فرق بین العموم و الإطلاق إلّا فی أنّ دلالة العموم علی الأفراد وضعیة، بخلاف الإطلاق، فإنّها بمقدّمات الحکمة، غیر سدید؛ لاستحالة کون الماهیة آلة للحاظ الخصوصیات و إن کانت متحدة معها، بل لا بدّ من دالٍّ آخر یدلّ علی الکثرة الإجمالیة من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لام الاستغراق و نحوهما، و معه یصیر عموماً لا مطلقاً، و لذا عقد الاصولیون لکلّ من الإطلاق و العموم باباً مستقلّاً، و ذکروا لکلّ منهما أحکاماً علی حدة، کما سیوافیک مفصّلًا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بما ذکرنا یظهر ضعف ما ربما یظهر من بعضهم من أنّ معنی الإطلاق، کون الشی‌ء بتمام حالاته و لواحقه موضوعاً للحکم، و أنّ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ظاهرت فأعتق رقبة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أنّه یجب علیک عتقها؛ سواء کانت عادلة أو فاسقة، عالمة أو جاهلة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لما عرفت من عدم کون الماهیة آلة للحاظ تلک الخصوصیات، فلا بدّ للحاظها من دالّ آخر، و المفروض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الإطلاق عدم لحاظ الحالات و الخصوصیات، لا لحاظ عدمها حتّی یکون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إنشاء وجوب طبیعة الصلاة سواء وقعت فی مکان غصبی، أم لا، بل معناه تعلّق الحکم بطبیعة الصلاة بلا دخالة أمر آخر فیها، کما أنّ إطلاق قوله علیه السلام</w:t>
      </w:r>
      <w:r>
        <w:rPr>
          <w:rFonts w:eastAsia="IRNazanin" w:cs="IRNazanin"/>
          <w:color w:val="111111"/>
          <w:sz w:val="28"/>
          <w:szCs w:val="28"/>
          <w:rtl w:val="true"/>
          <w:lang w:bidi="fa-IR"/>
        </w:rPr>
        <w:t>:</w:t>
      </w:r>
    </w:p>
    <w:p>
      <w:pPr>
        <w:pStyle w:val="Heading6"/>
        <w:numPr>
          <w:ilvl w:val="5"/>
          <w:numId w:val="1"/>
        </w:numPr>
        <w:rPr/>
      </w:pPr>
      <w:bookmarkStart w:id="106" w:name="__RefHeading___Toc4026091_3224264995"/>
      <w:bookmarkStart w:id="107" w:name="_Toc41"/>
      <w:bookmarkEnd w:id="106"/>
      <w:r>
        <w:rPr>
          <w:rtl w:val="true"/>
        </w:rPr>
        <w:t>«</w:t>
      </w:r>
      <w:r>
        <w:rPr>
          <w:rtl w:val="true"/>
        </w:rPr>
        <w:t>لا یجوز التصرّف فی مال الغیر بلا إذنه</w:t>
      </w:r>
      <w:r>
        <w:rPr>
          <w:rtl w:val="true"/>
        </w:rPr>
        <w:t>»</w:t>
      </w:r>
      <w:bookmarkEnd w:id="1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التصرّف فی مال الغیر بلا إذنه</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عبارة عن کون هذا العنوان تمام الموضوع للحرمة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لا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ناظراً إلی الصلاة فی الدار المغصوبة، کما أنّ النهی عن التصرّف فی مال الغیر بلا إذنه، لا یکون ناظراً إلی التصرّف الصلاتی، و لذا قلنا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دلالة المطلق علی الإطلاق، دلالة عقلیة بلحاظ دلالة فعل المتکلّم بما أنّه فاعل مختار، لا دلالة لفظیة، کما هو الشأن فی العموم</w:t>
      </w:r>
      <w:r>
        <w:rPr>
          <w:rFonts w:eastAsia="IRNazanin" w:cs="IRNazanin"/>
          <w:color w:val="111111"/>
          <w:sz w:val="28"/>
          <w:szCs w:val="28"/>
          <w:rtl w:val="true"/>
          <w:lang w:bidi="fa-IR"/>
        </w:rPr>
        <w:t>.</w:t>
      </w:r>
      <w:bookmarkStart w:id="108" w:name="pg12934_164446"/>
    </w:p>
    <w:p>
      <w:pPr>
        <w:pStyle w:val="BookText"/>
        <w:rPr/>
      </w:pPr>
      <w:bookmarkEnd w:id="108"/>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الحالات و الخصوصیات المتصوّرة فی المطلق کلّها خارجة عن حریم المطلق، کما أنّها داخلة فی حریم العموم، و سیوافیک تفصیله فی محلّه إن شاء اللَّه، فارتقب حتّی حین</w:t>
      </w:r>
      <w:r>
        <w:rPr>
          <w:rFonts w:eastAsia="IRNazanin" w:cs="IRNazanin"/>
          <w:color w:val="111111"/>
          <w:sz w:val="28"/>
          <w:szCs w:val="28"/>
          <w:rtl w:val="true"/>
          <w:lang w:bidi="fa-IR"/>
        </w:rPr>
        <w:t>.</w:t>
      </w:r>
    </w:p>
    <w:p>
      <w:pPr>
        <w:pStyle w:val="Heading6"/>
        <w:numPr>
          <w:ilvl w:val="5"/>
          <w:numId w:val="1"/>
        </w:numPr>
        <w:rPr/>
      </w:pPr>
      <w:bookmarkStart w:id="109" w:name="__RefHeading___Toc4026093_3224264995"/>
      <w:bookmarkStart w:id="110" w:name="_Toc42"/>
      <w:bookmarkEnd w:id="109"/>
      <w:r>
        <w:rPr>
          <w:rtl w:val="true"/>
        </w:rPr>
        <w:t>الأمر الثالث</w:t>
      </w:r>
      <w:r>
        <w:rPr>
          <w:rtl w:val="true"/>
        </w:rPr>
        <w:t xml:space="preserve">: </w:t>
      </w:r>
      <w:r>
        <w:rPr>
          <w:rtl w:val="true"/>
        </w:rPr>
        <w:t>فی عدم حکایة الماهیة اللابشرط عمّا یتحد معها خارجاً</w:t>
      </w:r>
      <w:bookmarkEnd w:id="110"/>
    </w:p>
    <w:p>
      <w:pPr>
        <w:pStyle w:val="BookText"/>
        <w:rPr/>
      </w:pPr>
      <w:r>
        <w:rPr>
          <w:rFonts w:ascii="IRNazanin" w:hAnsi="IRNazanin" w:eastAsia="IRNazanin"/>
          <w:color w:val="111111"/>
          <w:sz w:val="28"/>
          <w:sz w:val="28"/>
          <w:szCs w:val="28"/>
          <w:rtl w:val="true"/>
          <w:lang w:bidi="fa-IR"/>
        </w:rPr>
        <w:t xml:space="preserve">إنّ الماهیة اللابشرط سواء أ کانت مدخولة للفظة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نحوها أو لا، و سواء کانت ماهیة أصیلة کالإنسان، أو اعتباریة، کالغصب و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یحکی اللفظ الموضوع لها عمّا یتحد معها خارجاً؛ و إن کانت محفوفة فی الخارج بالخصوصیات، و تتحد معها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الماهیة اللابشرط تتحد مع ألف شرط فی الوجود الخارجی ممّا هو خارج عن 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معناه حکایة الماهیة اللابشرط عن الخصوصیات الخارجیة و الأفراد، بل معناه أنّها فی الخارج تکون عین هذا الفرد و ذاک الفرد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و کم فرق بینهما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عنوانان لا بشرطان یتحد کلّ منهما مع الآخر أحیاناً؛ فإنّ ماهیة الصلاة ربما تتحد مع ماهیة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مبنی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الجهات، کالحرکة الغصبیة، و کذا الفاسق قد یتحد مع العالم خارجاً، و لکنّ اللفظ الموضوع لأحدهما لا یحکی عن الآخر؛ ضرورة أنّ حکایة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لم تکن طبعیة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تابعة للوضع و الجعل، فکلّ ما یکون موضوعاً له یکون اللفظ حاکیاً و کاشفاً عنه، و هو منتفٍ فی المقام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یحکی اللفظ الموضوع لعنوان عن عنوان آخر متحد معه أحیاناً، و لا عن الخصوصیات المکتنفة به؛ أ لا تری أنّ أقوی مراتب الاتحاد الخارجی، إنّما هی بین</w:t>
      </w:r>
      <w:bookmarkStart w:id="111" w:name="pg12934_164447"/>
    </w:p>
    <w:p>
      <w:pPr>
        <w:pStyle w:val="BookText"/>
        <w:rPr/>
      </w:pPr>
      <w:bookmarkEnd w:id="111"/>
      <w:r>
        <w:rPr>
          <w:rFonts w:ascii="IRNazanin" w:hAnsi="IRNazanin" w:eastAsia="IRNazanin"/>
          <w:color w:val="111111"/>
          <w:sz w:val="28"/>
          <w:sz w:val="28"/>
          <w:szCs w:val="28"/>
          <w:rtl w:val="true"/>
          <w:lang w:bidi="fa-IR"/>
        </w:rPr>
        <w:t>الماهیة و الوجود، و لکن مع ذلک لا یحکی و لا یدلّ اللفظ الموضوع لأحدهما عن الآخر دلالة لفظیة، و کذا سائر الأعراض متحدة مع موضوعاتها خارجاً، و موجودة فیها، و مع ذلک لا یحکی اللفظ الموضوع للعرض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موضوعه؛ و هو الإنسان، فإذا وضع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للذات المبهمة المتصفة بالعلم فلا یحکی عن الخصوصیات المکتنفة و المتحدة معه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یوجب تصوّر أحد المتلازمین انتقال الذهن إلی الآخر، و لکن ذلک من باب تداعی المعانی، لا دلالة اللفظ، و لذا ربما یکون الانتقال من أحد الضدّین إلی الآخر أیضاً؛ لأنّ تداعی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قرّر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یدور مدار الموافاة الوجودیة، أو وقوع المطاردة بینها فی محلّ واحد، و غایة ما یمکن أن یقال فیما نحن فیه تحقّق الموافاة الوجودیة بین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الخصوصیات المکتنفة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فالصلاة مثلًا و إن اتحدت أحیاناً مع التصرّف فی مال الغیر بلا إذنه، و لکن لا یمکن أن تکون مرآة له و کاشفة عنه، فالاتحاد فی الوجود غیر الکشف عمّا یتحد به، و هو واضح</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2" w:name="__RefHeading___Toc4026095_3224264995"/>
      <w:bookmarkStart w:id="113" w:name="_Toc43"/>
      <w:bookmarkEnd w:id="112"/>
      <w:r>
        <w:rPr>
          <w:rtl w:val="true"/>
        </w:rPr>
        <w:t>الأمر الرابع</w:t>
      </w:r>
      <w:r>
        <w:rPr>
          <w:rtl w:val="true"/>
        </w:rPr>
        <w:t xml:space="preserve">: </w:t>
      </w:r>
      <w:r>
        <w:rPr>
          <w:rtl w:val="true"/>
        </w:rPr>
        <w:t>فی المراد بمتعلّقات الأحکام</w:t>
      </w:r>
      <w:bookmarkEnd w:id="113"/>
    </w:p>
    <w:p>
      <w:pPr>
        <w:pStyle w:val="BookText"/>
        <w:rPr/>
      </w:pPr>
      <w:r>
        <w:rPr>
          <w:rFonts w:ascii="IRNazanin" w:hAnsi="IRNazanin" w:eastAsia="IRNazanin"/>
          <w:color w:val="111111"/>
          <w:sz w:val="28"/>
          <w:sz w:val="28"/>
          <w:szCs w:val="28"/>
          <w:rtl w:val="true"/>
          <w:lang w:bidi="fa-IR"/>
        </w:rPr>
        <w:t>و هذا الأمر هو العمدة فی الباب، و علیه یبتنی أساس القول بالجواز، و حاصله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متعلّقات الأحکام، هل هی العناوین المأخوذة فی لسان الأدلّة؛ أعنی الماهیة اللابشرط من حیث هی منسلخة عن کافّة اللواحق و العوارض، أو بما هی موجودة فی الخارج أو فی الذهن، أو بما هی مرآة لما فی الخارج، أو أنّ معنونات هذه العناوین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 أفعال المکلّفین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متعلّقات للأحکام، فجعل العناوین قنطرة إلیها؟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کانت متعلّقات الأحکام المعنونات، یصحّ النزاع فی أنّ الخصوصیات التی تقارنها، هل تتحد معها، أو تنضمّ معها؟ و إلّا 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متعلّقات الأحکام هی نفس العناوین بما هی، فیکون حدیث الانضمامیة أو الاتحادیة غیر صحیح؛ لأنّهما من شئون الوجودات الخارجیة، و المفروض أنّها غیر متعلّقة للتکالیف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هذا علی ذکر منک، و سنشیر إلیه قریباً، فارتقب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قال المحقّق الخراسانی قدس سره فی المقدّمة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شبهة فی أنّ متعلّق الأحکام، هو فعل المکلّف و ما هو فی الخارج یصدر عنه، و هو فاعله و جاعله، لا ما هو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ما هو عنوانه ممّا قد انتزع عنه؛ بحیث لو لا انتزاعه تصوّراً و اختراعه ذهناً، لما کان بحذائه شی‌ء خارجاً</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المقدّمة الثالثة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یوجب تعدّد الوجه و العنوان تعدّد المعنون، و لا ینثلم به وحدته؛ فإنّ المفاهیم المتعدّدة و العناوین الکثیرة، ربما تنطبق علی الواحد و تصدق علی الفارد الذی لا کثرة فیه من جهة، بل بسیط من جمیع الجهات لیس فیه حیث غیر حیث وجهة مغایرة لجهة، کالواجب تبارک و تعالی،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بساطته، و وحدته، و أحدیته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علیه مفاهیم الصفات الجلالیة و الجمالیة</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شعری هل مراده قدس سره ما هو الظاهر من کلامه من تعلّق البعث أو الزجر بما هو الموجود خارجاً، و قد نفاه قدس سره عند البحث عن تعلّق الأوامر و النواهی</w:t>
      </w:r>
    </w:p>
    <w:p>
      <w:pPr>
        <w:pStyle w:val="BookText"/>
        <w:rPr/>
      </w:pPr>
      <w:r>
        <w:rPr>
          <w:rFonts w:ascii="IRNazanin" w:hAnsi="IRNazanin" w:eastAsia="IRNazanin"/>
          <w:color w:val="111111"/>
          <w:sz w:val="28"/>
          <w:sz w:val="28"/>
          <w:szCs w:val="28"/>
          <w:rtl w:val="true"/>
          <w:lang w:bidi="fa-IR"/>
        </w:rPr>
        <w:t>بالطبائع أو الأفراد</w:t>
      </w:r>
      <w:r>
        <w:rPr>
          <w:rStyle w:val="FootnoteAnchor"/>
          <w:rtl w:val="true"/>
        </w:rPr>
        <w:footnoteReference w:id="81"/>
      </w:r>
      <w:r>
        <w:rPr>
          <w:rFonts w:ascii="IRNazanin" w:hAnsi="IRNazanin" w:eastAsia="IRNazanin"/>
          <w:color w:val="111111"/>
          <w:sz w:val="28"/>
          <w:sz w:val="28"/>
          <w:szCs w:val="28"/>
          <w:rtl w:val="true"/>
          <w:lang w:bidi="fa-IR"/>
        </w:rPr>
        <w:t>؟ و هو الحقّ؛ لأنّ تعلّق الحکم بالوجود الخارجی أو الإیجاد بالحمل الشائع، لا یمکن إلّا فی ظرف تحقّقه، و البعث إلی إیجاد المتحقّق تحصیل للحاصل و طلب لما هو الموجود، کما أنّ الزجر عمّا وجد خارجاً ممتنع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واضح أنّه لم یکن لنا فی محطّ البحث، واحد بسیط تنطبق علیه عناوین عدیدة إلّا الحرکة الخارجیة؛ فإنّه ینطبق علیها عنوانا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الغصبیة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أنّها غیر موجودة عند تعلّق الحکم، و لیس هناک إلّا عنوان لم یکن شیئاً قبل تصوّره، و عند تصوّره یکون موجوداً ذهنیاً، و مع تقییده ذهناً لا یمکن انطباقه علی الخارج، و لو تعلّق الحکم بالخارج یلزم تحصیل الحاصل و طلب ما هو الموجود، و قد نفی هذا المحقّق قدس سره تعلّق الحکم بما هو الموجود خارجاً،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بما لا مزید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الحقّ فی متعلّق الأحکام، و لکن حیث إنّ الإعادة لا تخلو من فائدة، لذا نرجع و نشیر إلی ما هو الحقّ</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متعلّق البعث أو الزجر، لیس إلّا نفس الطبیعة من حیث هی، لا بما هی موجودة فی الخارج؛ لاستلزامه البعث إلی ما هو الحاصل خارجاً، و الزجر عمّا تحقّق کذلک، و لا بما هی موجودة فی الذهن؛ لأنّه لو کان کذلک لما انطبق علی الخارج؛ و لا بما هی مرآة للخارج، لکونه خلاف ظاهر الأدلّة، و قد أشرنا آنفاً إلی أنّ اتحاد الطبیعة خارجاً مع الخصوصیات و العوارض، غیر حدیث الکشف و المرآتیة، و لذا أشرنا إلی أنّ الماهیة و إن اتحدت خارجاً مع الوجود، بل هی عین الوجود، و لکن مع ذلک لا یحکی اللفظ الموضوع لأحدهما عن الآخر، فلکلّ منهما شأن یغنیه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فمتعلّق الأمر هو نفس الطبیعة من حیث هی، فحیث یری المقنّن أنّ نفس الطبیعة بوجودها الخارجی منشأً للأثر، فیتصوّرها، و یصدّق بفائدتها، فیشتاق إلیها أحیاناً، فیریدها، ثمّ یبعث نحوها فیرید إیجادها، نظیر إشارة الأخرس فی التکوینیات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الحال فی جانب الزجر، فیری المقنّن أنّ نفس الطبیعة بوجودها الخارجی ذات مفسدة، فتنقدح مبادئ الزجر فی ذهنه، فیزجر عنها، فیرید عدم إیجادها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الماهیة و إن کانت موجودة فی الذهن عند تصوّرها، و کانت مصداقاً ذهنیاً للماهیة، و لکنّها بوجودها الذهنی لم یحمل علیها شی‌ء، و لم تکن موضوعاً للحکم، بداهة أنّه کما أنّک فی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ترد حمل الإنسانیة علی الماهیة الموجودة فی الذهن بما أنّها موجودة فیه؛ لعدم صدق المصداق الذهنی علی المصداق الخارجی، بل المراد حمل نفس طبیعة الإنسانیة، فکذلک المقنّن، فلحاظ الماهیة ذهناً و جعل ظرف تحقّقها فی الذهن، باعتبار أنّ تعلّق الحکم بالموضوع یتوقّف علی تصوّر الموضوع، و إلّا فنفس الطبیعة من حیث هی متعلّقة للحکم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مزید توضیح لما ذکرنا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وزان الحکم بالنسبة إلی موضوعه وزان لوازم الماهیة إلی نفسها؛ فإنّ لزوم الإمکان للماهیة و الزوجیة للأربعة، و إن کان لا یتوقّف علی وجودهما خارجاً أو ذهناً، إلّا أنّ ظهور اللزوم یتوقّف علی وجود المعروض فی أحد الموطنین، فکذلک الحکم بالنسبة إلی موضوعه، فإنّه و إن لم یتعلّق بنفس الطبیعة مقیّدة بأحد الموطنین، و لکن حیث إنّ تعلّق الحکم یتوقّف علی تصوّر الموضوع، فتکون الطبیعة متعلّقة للحکم فی الذهن، لا بما هی موجودة فیه، و لا بما هی موجودة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حدیث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الماهیة من حیث هی لیست إلّا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محبوبة و لا مبغوضة، فلا تکون محصّلة للغرض، فکیف یبعث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 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بما لا مزید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التکلّم فی کون متعلّقات الأحکام الطبائع دون الأفراد،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منافاة بین تعلّق البعث بنفس الطبیعة و کون الماهیة من حیث هی لیست إلّا هی، و لا یلزم من ذلک کون الماهیة من حیث هی، مؤثّرةً فی تحصیل الغرض، بل المولی لمّا رأی أنّ إتیان الصلاة و وجودها خارجاً محصّل للغرض، فلا محالة یتوسّل إلیه بوسیلة، و لا یکون ذلک إلّا بالتشبّث بالأمر بالطبیعة لیبعث العبد إلی إیجادها، فمتعلّق الأمر هو الطبیعة، و الهیئة باعثة نحو إیجادها، و إن شئت تفصیل المقال فاطلب مظانّه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متعلّقات الأحکام إنّما هی نفس الطبائع و العناوین من حیث هی، لا معنوناتها، و لا هی بما أنّها مرآة للخارج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 أنّ الماهیة بما هی مرآة للخارج، متعلّقة للحکم، و لکنّ هذا لا یضرّ بما نحن بصدد إثباته عجالة؛ و هو إثبات الجواز فی المسألة؛ و ذلک لأنّه لو کانت للطبیعة مرآتیة، فإنّما هی بالنسبة إلی الأفراد و المصادیق الذاتیة لها، فماهیة الصلاة مثلًا تکون حاکیة لما یکون فرداً ذاتیاً لها، و لا تحکی عمّا یتحد معه، و لا یتخطّی الحکم المتعلّق به إلی ما یلازمه و یقارنه و یتحد معه، و کذا ماهیة الغصب تحکی عمّا یکون مصداقاً ذاتیاً لها، و لا یتجاوز الحکم المتعلّق بها إلی ما یلازمها و یقارنها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فیما إذا کان متعلّق الأحکام بصورة الإطلاق</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الحال فیما إذا کان بصورة العموم</w:t>
      </w:r>
      <w:r>
        <w:rPr>
          <w:rStyle w:val="FootnoteAnchor"/>
          <w:rtl w:val="true"/>
        </w:rPr>
        <w:footnoteReference w:id="82"/>
      </w:r>
      <w:r>
        <w:rPr>
          <w:rFonts w:ascii="IRNazanin" w:hAnsi="IRNazanin" w:eastAsia="IRNazanin"/>
          <w:color w:val="111111"/>
          <w:sz w:val="28"/>
          <w:sz w:val="28"/>
          <w:szCs w:val="28"/>
          <w:rtl w:val="true"/>
          <w:lang w:bidi="fa-IR"/>
        </w:rPr>
        <w:t>و ذلک لأنّ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bookmarkStart w:id="114" w:name="pg12934_164452"/>
    </w:p>
    <w:p>
      <w:pPr>
        <w:pStyle w:val="BookText"/>
        <w:rPr/>
      </w:pPr>
      <w:bookmarkEnd w:id="114"/>
      <w:r>
        <w:rPr>
          <w:rFonts w:ascii="IRNazanin" w:hAnsi="IRNazanin" w:eastAsia="IRNazanin"/>
          <w:color w:val="111111"/>
          <w:sz w:val="28"/>
          <w:sz w:val="28"/>
          <w:szCs w:val="28"/>
          <w:rtl w:val="true"/>
          <w:lang w:bidi="fa-IR"/>
        </w:rPr>
        <w:t>لیس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 زیداً و عمراً و بکراً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حتّی یکون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کلّ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تکرم زیداً، و عمراً، و بکراً الفاسقین؛ حتّی یوجبا تعلّق البعث و الزجر بشی‌ء واحد، بل لم یکن فی المثال الأوّل إلّا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دالّة علی الکثرة الإجمالیة، و 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تفید کثرة مدخوله، فیکون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أکرم کلّ فرد من أفراد طبیعة العالم، و هو عنوان یقبل الصدق علی الأفراد الموجودة فی الخارج من زید، و عمرو، 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لا عینها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الحال فی المثال الثانی، إذ لم یکن إلّا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تفید کثرة مدخوله، فیکون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تکرم کلّ فرد من أفراد طبیعة الفاسق، و هو عنوان یقبل الصدق علی الموجودین فی الخارج، فعنوان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عالم المفهومیة و إن انطبقا خارجاً علی زید و عمرو 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فلا منافاة بین الحکم علی أحدهما و بین الحکم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أنّه لا فرق فی القول بالجواز بین کون متعلّق الحکم الماهیة اللابشرط أو عموماً، فتدبّر</w:t>
      </w:r>
      <w:r>
        <w:rPr>
          <w:rFonts w:eastAsia="IRNazanin" w:cs="IRNazanin"/>
          <w:color w:val="111111"/>
          <w:sz w:val="28"/>
          <w:szCs w:val="28"/>
          <w:rtl w:val="true"/>
          <w:lang w:bidi="fa-IR"/>
        </w:rPr>
        <w:t>.</w:t>
      </w:r>
    </w:p>
    <w:p>
      <w:pPr>
        <w:pStyle w:val="Heading5"/>
        <w:numPr>
          <w:ilvl w:val="4"/>
          <w:numId w:val="1"/>
        </w:numPr>
        <w:rPr/>
      </w:pPr>
      <w:bookmarkStart w:id="115" w:name="__RefHeading___Toc4026097_3224264995"/>
      <w:bookmarkStart w:id="116" w:name="_Toc44"/>
      <w:bookmarkEnd w:id="115"/>
      <w:r>
        <w:rPr>
          <w:rtl w:val="true"/>
        </w:rPr>
        <w:t>تبیین قول المختار</w:t>
      </w:r>
      <w:bookmarkEnd w:id="11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تمهّدت لک هذه الامور التی عمدتها الأمر الرابع، یسهل علیک التصدیق بجواز تعلّق الأمر و النهی بعنوانین متصادقین علی واحد شخصی، بل یکون ذلک من الواضحات؛ و ذلک لأنّه إذا لم یتجاوز الحکم المتعلّق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بصورة الإطلاق أو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عنوان آخر، و لا یکاد یتجاوزه إلی لوازمه أو لواحقه المتحدة معه خارجاً غیر الدخیلة فی تحصیل الغرض، و أنّ معنی الإطلاق بعد تمامیة مقدّمات الحکمة، لیس إلّا کون نفس الطبیعة بما هی، تمامَ الموضوع للحکم من دون</w:t>
      </w:r>
      <w:bookmarkStart w:id="117" w:name="pg12934_164453"/>
    </w:p>
    <w:p>
      <w:pPr>
        <w:pStyle w:val="BookText"/>
        <w:rPr/>
      </w:pPr>
      <w:bookmarkEnd w:id="117"/>
      <w:r>
        <w:rPr>
          <w:rFonts w:ascii="IRNazanin" w:hAnsi="IRNazanin" w:eastAsia="IRNazanin"/>
          <w:color w:val="111111"/>
          <w:sz w:val="28"/>
          <w:sz w:val="28"/>
          <w:szCs w:val="28"/>
          <w:rtl w:val="true"/>
          <w:lang w:bidi="fa-IR"/>
        </w:rPr>
        <w:t xml:space="preserve">دخالة للملحقات و المتحدات معها فی ذلک، و أنّ مصبّ متعلّق الأحکام هو نفس العناوین لا المعنونات، فعلیه فالحکم المتعلّق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لا یکاد یسری إلی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 فی مال الغیر بغیر 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بالعکس، بل کلّ منهما مقصور علی موضوعه لا یکاد یتجاوزه إلی الآخر، و عند الصلاة فی دار علم عدم رضا صاحبها و إن اتحد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الغصبیة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 فی مال الغیر بغیر 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یکون بینهما کمال الملاءمة و الاتحاد، و لکنّ الخارج لیس ظرفاً لتعلّق البعث أو الزجر حتّی یضرّ الاتحاد فیه و قد کانا متخالفین فی ظرف تعلّق الحکمین؛ بداهة أنّ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یخالف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الغصبیة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 العدوانی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مفهوماً</w:t>
      </w:r>
      <w:r>
        <w:rPr>
          <w:rFonts w:eastAsia="IRNazanin" w:cs="IRNazanin"/>
          <w:color w:val="111111"/>
          <w:sz w:val="28"/>
          <w:szCs w:val="28"/>
          <w:rtl w:val="true"/>
          <w:lang w:bidi="fa-IR"/>
        </w:rPr>
        <w:t>.</w:t>
      </w:r>
    </w:p>
    <w:p>
      <w:pPr>
        <w:pStyle w:val="Heading5"/>
        <w:numPr>
          <w:ilvl w:val="4"/>
          <w:numId w:val="1"/>
        </w:numPr>
        <w:rPr/>
      </w:pPr>
      <w:bookmarkStart w:id="118" w:name="__RefHeading___Toc4026099_3224264995"/>
      <w:bookmarkStart w:id="119" w:name="_Toc45"/>
      <w:bookmarkEnd w:id="118"/>
      <w:r>
        <w:rPr>
          <w:rtl w:val="true"/>
        </w:rPr>
        <w:t>عدم ابتناء الجواز علی الترکیب الانضمامی</w:t>
      </w:r>
      <w:bookmarkEnd w:id="119"/>
    </w:p>
    <w:p>
      <w:pPr>
        <w:pStyle w:val="BookText"/>
        <w:rPr/>
      </w:pPr>
      <w:r>
        <w:rPr>
          <w:rFonts w:ascii="IRNazanin" w:hAnsi="IRNazanin" w:eastAsia="IRNazanin"/>
          <w:color w:val="111111"/>
          <w:sz w:val="28"/>
          <w:sz w:val="28"/>
          <w:szCs w:val="28"/>
          <w:rtl w:val="true"/>
          <w:lang w:bidi="fa-IR"/>
        </w:rPr>
        <w:t>لعلّه بما ذکرنا ظهر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المحقّق النائینی قدس سره فی المقام</w:t>
      </w:r>
      <w:r>
        <w:rPr>
          <w:rStyle w:val="FootnoteAnchor"/>
          <w:rtl w:val="true"/>
        </w:rPr>
        <w:footnoteReference w:id="83"/>
      </w:r>
      <w:r>
        <w:rPr>
          <w:rFonts w:ascii="IRNazanin" w:hAnsi="IRNazanin" w:eastAsia="IRNazanin"/>
          <w:color w:val="111111"/>
          <w:sz w:val="28"/>
          <w:sz w:val="28"/>
          <w:szCs w:val="28"/>
          <w:rtl w:val="true"/>
          <w:lang w:bidi="fa-IR"/>
        </w:rPr>
        <w:t>، و أتعب نفسه الزکیة فی بیان الفرق بین المبادئ و المشتقّات، و الفرق بین الترکیب الاتحادی و الانضمامی، و بنائه محطّ النزاع علی القول بکون الترکیب انضمامیاً، لیس فی محلّه، لأنّ الانضمامیة أو الاتحادیة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 إلیه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هما فی الخارج و ما هو فعل المکلّف، و هو الذی یتصوّر فیه کونه مؤلّفاً من مقولتین علی نحو الترکیب الانضمامی، و قد عرفت أنّ متعلّقات الأحکام نفس العناوین لا المعنونات، فإذا انهدم المبنی انهدم البناء علیه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أنّه لا مَسرح للترکیب الاتحادی و الانضمامی فی الامور الاعتباریة، و لیس ذلک إلّا من باب انطباق عناوین متعدّدة علی شی‌ء واحد، و واضح أنّه</w:t>
      </w:r>
      <w:bookmarkStart w:id="120" w:name="pg12934_164454"/>
    </w:p>
    <w:p>
      <w:pPr>
        <w:pStyle w:val="BookText"/>
        <w:rPr/>
      </w:pPr>
      <w:bookmarkEnd w:id="120"/>
      <w:r>
        <w:rPr>
          <w:rFonts w:ascii="IRNazanin" w:hAnsi="IRNazanin" w:eastAsia="IRNazanin"/>
          <w:color w:val="111111"/>
          <w:sz w:val="28"/>
          <w:sz w:val="28"/>
          <w:szCs w:val="28"/>
          <w:rtl w:val="true"/>
          <w:lang w:bidi="fa-IR"/>
        </w:rPr>
        <w:t>لیس انطباق العناوین علی شی‌ء واحد من قبیل الترکیب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کلامه قدس سره وجوه من الإشکال</w:t>
      </w:r>
      <w:r>
        <w:rPr>
          <w:rStyle w:val="FootnoteAnchor"/>
          <w:rtl w:val="true"/>
        </w:rPr>
        <w:footnoteReference w:id="84"/>
      </w:r>
      <w:r>
        <w:rPr>
          <w:rFonts w:ascii="IRNazanin" w:hAnsi="IRNazanin" w:eastAsia="IRNazanin"/>
          <w:color w:val="111111"/>
          <w:sz w:val="28"/>
          <w:sz w:val="28"/>
          <w:szCs w:val="28"/>
          <w:rtl w:val="true"/>
          <w:lang w:bidi="fa-IR"/>
        </w:rPr>
        <w:t>لا یهمّنا التعرّض لها روماً للاختصار</w:t>
      </w:r>
      <w:r>
        <w:rPr>
          <w:rFonts w:eastAsia="IRNazanin" w:cs="IRNazanin"/>
          <w:color w:val="111111"/>
          <w:sz w:val="28"/>
          <w:szCs w:val="28"/>
          <w:rtl w:val="true"/>
          <w:lang w:bidi="fa-IR"/>
        </w:rPr>
        <w:t>.</w:t>
      </w:r>
    </w:p>
    <w:p>
      <w:pPr>
        <w:pStyle w:val="Heading5"/>
        <w:numPr>
          <w:ilvl w:val="4"/>
          <w:numId w:val="1"/>
        </w:numPr>
        <w:rPr/>
      </w:pPr>
      <w:bookmarkStart w:id="121" w:name="__RefHeading___Toc4026101_3224264995"/>
      <w:bookmarkStart w:id="122" w:name="_Toc46"/>
      <w:bookmarkEnd w:id="121"/>
      <w:r>
        <w:rPr>
          <w:rtl w:val="true"/>
        </w:rPr>
        <w:t>اختیار جواز الاجتماع و لو لم نقل بالخطابات القانونیة</w:t>
      </w:r>
      <w:bookmarkEnd w:id="122"/>
    </w:p>
    <w:p>
      <w:pPr>
        <w:pStyle w:val="BookText"/>
        <w:rPr/>
      </w:pPr>
      <w:r>
        <w:rPr>
          <w:rFonts w:ascii="IRNazanin" w:hAnsi="IRNazanin" w:eastAsia="IRNazanin"/>
          <w:color w:val="111111"/>
          <w:sz w:val="28"/>
          <w:sz w:val="28"/>
          <w:szCs w:val="28"/>
          <w:rtl w:val="true"/>
          <w:lang w:bidi="fa-IR"/>
        </w:rPr>
        <w:t xml:space="preserve">ثمّ إنّه لا فرق فیما ذکرنا فی تصویر الجواز بین کون الخطاب القانونی، خطاباً واحداً متوجّهاً إلی المجتمع، کما نقول به، أو خطاباً واحداً منحلّاً إلی خطابات عدیدة بعدد آحاد المکلّفین، کما یقولون؛ و ذلک لأنّ معنی انحلال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هو انحلاله إلی خطابات عدیدة بعدد أفراد طبیعة العالم، و مقتضی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القائل بکونه بعد تمامیة مقدّمات الحکمة کالعموم فیکون علی منهاجه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تعلّق الخطاب البعثی بفرد من العالم، فهو غیر تعلّق الخطاب بفرد من الفاسق، فلا یوجب الاجتماع علی تقدیر انحلال الخطاب أیضاً،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ظهر ممّا ذکرنا عدم لزوم اجتماع الأمر و النهی فی شی‌ء واحد من القول بجواز الاجتماع؛ لتعلّق کلّ منهما بعنوان غیر ما تعلّق الآخر به، فلو قلنا بتضادّ الأحکام فإنّما یلزم لو کان متعلّقهما شیئاً واحداً، و قد عرفت أنّهما متعدّدان</w:t>
      </w:r>
      <w:r>
        <w:rPr>
          <w:rFonts w:eastAsia="IRNazanin" w:cs="IRNazanin"/>
          <w:color w:val="111111"/>
          <w:sz w:val="28"/>
          <w:szCs w:val="28"/>
          <w:rtl w:val="true"/>
          <w:lang w:bidi="fa-IR"/>
        </w:rPr>
        <w:t>.</w:t>
      </w:r>
    </w:p>
    <w:p>
      <w:pPr>
        <w:pStyle w:val="Heading5"/>
        <w:numPr>
          <w:ilvl w:val="4"/>
          <w:numId w:val="1"/>
        </w:numPr>
        <w:rPr/>
      </w:pPr>
      <w:bookmarkStart w:id="123" w:name="__RefHeading___Toc4026103_3224264995"/>
      <w:bookmarkStart w:id="124" w:name="_Toc47"/>
      <w:bookmarkEnd w:id="123"/>
      <w:r>
        <w:rPr>
          <w:rtl w:val="true"/>
        </w:rPr>
        <w:t>دفع الإشکالات الواردة علی القول بجواز الاجتماع</w:t>
      </w:r>
      <w:bookmarkEnd w:id="124"/>
    </w:p>
    <w:p>
      <w:pPr>
        <w:pStyle w:val="Heading6"/>
        <w:numPr>
          <w:ilvl w:val="5"/>
          <w:numId w:val="1"/>
        </w:numPr>
        <w:rPr/>
      </w:pPr>
      <w:bookmarkStart w:id="125" w:name="__RefHeading___Toc4026105_3224264995"/>
      <w:bookmarkStart w:id="126" w:name="_Toc48"/>
      <w:bookmarkEnd w:id="125"/>
      <w:r>
        <w:rPr>
          <w:rtl w:val="true"/>
        </w:rPr>
        <w:t>اشارة</w:t>
      </w:r>
      <w:bookmarkEnd w:id="12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فی المقام إشکالات من حیث إنّ مقتضی القول بجواز الاجتماع، لزوم کون شی‌ء واحد مراداً و مکروهاً، أو محبوباً و مبغوضاً، و ذا مصلحة ملزمة و مفسدة کذلک، أو مقرّباً و مبعّداً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إنّ تقریب الإشکال فیها علی نسق واحد، فلا نحتاج لتقریب الإشکال علی کلّ واحد منها علی حدة، فنقرّر الإشکال علی وجه واحد،</w:t>
      </w:r>
    </w:p>
    <w:p>
      <w:pPr>
        <w:pStyle w:val="BookText"/>
        <w:rPr/>
      </w:pPr>
      <w:r>
        <w:rPr>
          <w:rFonts w:ascii="IRNazanin" w:hAnsi="IRNazanin" w:eastAsia="IRNazanin"/>
          <w:color w:val="111111"/>
          <w:sz w:val="28"/>
          <w:sz w:val="28"/>
          <w:szCs w:val="28"/>
          <w:rtl w:val="true"/>
          <w:lang w:bidi="fa-IR"/>
        </w:rPr>
        <w:t>و نشیر إلی کلّ من الجهات، فالإشکال فی الحقیقة إشکال واحد ذو شعب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لدی عقل کلّ ذی مسکة، فی أنّ الذی تتعلّق به الإرادة و الکراهة و الحبّ و البغض، ما هو الموجود خارجاً؛ بداهة أنّ التفّاح الخارجی أو الماء الخارجی، یکون مراداً محبوباً، و یبذل المال لتحصیله، لا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الذی یفرح القلب هو التفّاح الخارجی، و کذا الماء الخارجی یروی العطشان، لا عنوانهما، و کذا الخمر الخارجیة تکون مکروهة و مبغوضة؛ لأنّها تخمّر العقل و تزیله، لا عنوانها، فالمراد و المحبوب فی المثال هو الصلاة الخارجیة لا عنوانها، و المکروه و المبغوض هو الاستیلاء أو التصرّف الخارجیان فی مال الغیر بغیر رضاه، لا عنوانهما، و هکذا، فلازم القول بالجواز تعلّق الإرادة و الکراهة و الحبّ و البغض بشی‌ءٍ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فإنّ الموجودات الخارجیة ذوات صلاح و فساد، لا عناوینها، و کذا فإنّ المقرّب و المبعّد هو الموجود الخارجی، فإنّ الصلاة التی هی قربان کلّ تقی</w:t>
      </w:r>
      <w:r>
        <w:rPr>
          <w:rStyle w:val="FootnoteAnchor"/>
          <w:rtl w:val="true"/>
        </w:rPr>
        <w:footnoteReference w:id="85"/>
      </w:r>
      <w:r>
        <w:rPr>
          <w:rFonts w:ascii="IRNazanin" w:hAnsi="IRNazanin" w:eastAsia="IRNazanin"/>
          <w:color w:val="111111"/>
          <w:sz w:val="28"/>
          <w:sz w:val="28"/>
          <w:szCs w:val="28"/>
          <w:rtl w:val="true"/>
          <w:lang w:bidi="fa-IR"/>
        </w:rPr>
        <w:t>أو معراج المؤمن</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الاعتقادات، المجلسی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الناهیة عن الفحشاء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إنّما هی الموجودة خارجاً، و هی التی بإتیانها یتقرّب العبد لمولاه، لا عنوانها و التصرّف الخارجی فی مال الغیر بغیر رضاه،</w:t>
      </w:r>
      <w:bookmarkStart w:id="127" w:name="pg12934_164456"/>
    </w:p>
    <w:p>
      <w:pPr>
        <w:pStyle w:val="BookText"/>
        <w:rPr/>
      </w:pPr>
      <w:bookmarkEnd w:id="127"/>
      <w:r>
        <w:rPr>
          <w:rFonts w:ascii="IRNazanin" w:hAnsi="IRNazanin" w:eastAsia="IRNazanin"/>
          <w:color w:val="111111"/>
          <w:sz w:val="28"/>
          <w:sz w:val="28"/>
          <w:szCs w:val="28"/>
          <w:rtl w:val="true"/>
          <w:lang w:bidi="fa-IR"/>
        </w:rPr>
        <w:t xml:space="preserve">ذو مفسدة و مبعّد عن ساحة المولی تعالی، لا عنوانه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الأمثلة ممّا هو ظاهر بأدنی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الحرکة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القیام، و الرکوع، و السجود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تصرّفاً فی مال الغیر بغیر رضاه، تکون مکروهة و مبغوضةً، و ذات مفسدة، و مبعّدة عن ساحة المولی تعالی، فکیف تکون الحرکة الکذائیة مرادةً و محبوبةً، و ذات مصلحة، و مقرّبة إلی ساحته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تری أنّ بعض القائلین بجواز اجتماع الأمر و النهی، قائل ببطلان الصلاة فی الدار المغصوبة؛ من جهة أنّ المبعّد لا یکون مقرّباً</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لعلّه یمکن للمستشکل أن یوسّع نطاق الإشکال و یجریه فی مبادئ الإرادة و الکراهة من التصوّر، و التصدیق، و الشوق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حاصل الإشکال بشعبه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الجواب عن الإشکال فنقول من 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التصوّر و التصدیق، فمن الواضح أنّ المقنّن و الآمر و الناهی عند أمره أو نهیه، یتصوّر شیئاً، و من المعلوم أنّ المتصوّر من کلّ منهما غیر الآخر، فیکون مورد التصدیق بالمصلحة غیر مورد التصدیق بالمفسدة، و هکذا الأمر بالنسبة إلی الاشتیاق، و قد سبق أنّه عند تصوّر العنوان لا ینقدح خصوصیات المصادیق، بل یری أنّ نفس العنوان بذاته فی الخارج، محصّل لغرضه، فیتصوّره، و یصدّق بفائدته، و یشتاق إلیه أحیاناً</w:t>
      </w:r>
      <w:r>
        <w:rPr>
          <w:rFonts w:eastAsia="IRNazanin" w:cs="IRNazanin"/>
          <w:color w:val="111111"/>
          <w:sz w:val="28"/>
          <w:szCs w:val="28"/>
          <w:rtl w:val="true"/>
          <w:lang w:bidi="fa-IR"/>
        </w:rPr>
        <w:t>.</w:t>
      </w:r>
    </w:p>
    <w:p>
      <w:pPr>
        <w:pStyle w:val="Heading6"/>
        <w:numPr>
          <w:ilvl w:val="5"/>
          <w:numId w:val="1"/>
        </w:numPr>
        <w:rPr/>
      </w:pPr>
      <w:bookmarkStart w:id="128" w:name="__RefHeading___Toc4026107_3224264995"/>
      <w:bookmarkStart w:id="129" w:name="_Toc49"/>
      <w:bookmarkEnd w:id="128"/>
      <w:r>
        <w:rPr>
          <w:rtl w:val="true"/>
        </w:rPr>
        <w:t>إشکال اجتماع الإرادة و الکراهة و الحبّ و البغض</w:t>
      </w:r>
      <w:bookmarkEnd w:id="129"/>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الإشکال من حیث اجتماع الإرادة و الکراهة و الحبّ و البغض؛ فلأنّ الإرادة و الحبّ و مقابلیهما، من الصفات النفسانیة ذات الإضافة القائمة بنفس المرید</w:t>
      </w:r>
    </w:p>
    <w:p>
      <w:pPr>
        <w:pStyle w:val="BookText"/>
        <w:rPr/>
      </w:pPr>
      <w:r>
        <w:rPr>
          <w:rFonts w:ascii="IRNazanin" w:hAnsi="IRNazanin" w:eastAsia="IRNazanin"/>
          <w:color w:val="111111"/>
          <w:sz w:val="28"/>
          <w:sz w:val="28"/>
          <w:szCs w:val="28"/>
          <w:rtl w:val="true"/>
          <w:lang w:bidi="fa-IR"/>
        </w:rPr>
        <w:t>و الکاره و المحبّ و المبغض، فلا بدّ لها من متعلّق یشخّصها و یعیّنها؛ بداهة أنّ الإرادة بدون المراد أو الحبّ بدون المحبوب، نظیر العلم، فکما أنّ تشخّص العلم بالمعلوم، فکذلک تشخّص الإرادة أو الحبّ بالمراد و المحبوب، و من المعلوم أنّ مشخّصاتها لیست الوجودات الخارجیة، بل صورها و عناوینها الموجودة فی الذهن، و إلّا فلو کان الخارج مشخّصاً لما فی الذهن، یلزم الانقلاب و صیرورة الذهن خارجاً، أو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من ذلک أن لا یتعلّق شی‌ء منها بما لم یکن موجوداً فی الخارج؛ لامتناع أن یکون المعدوم مقوّماً و مشخّصاً للموجود، مع أنّا نری وجداناً صحّة تعلّق تلک الامور أحیاناً بما لم تکن موجودة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مناص من القول بأنّ متعلّق الحبّ و البغض أو الإرادة و الکراهة، متغایران حقیقة؛ لأنّ وعاء الذهن وعاء التحلیل و التجزئة، فصورة ما تعلّق به الحبّ و الإرادة، غیر صورة ما تعلّق به البغض و الکراهة، نعم لمّا کانت العناوین وجوهاً لمصادیقها، فلا محالة یصیر الخارج محبوباً و مراداً أو مبغوضاً و مکروهاً بالعرض و بالواسطة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مزید توضیح فلاحظ أنّه إذا تخیّلت وجود الأسد قریباً منک، تخاف عند ذلک، فهل أنّ خوفک من الأسد الخارجی، أو أنّه من الصورة الحاصلة منه فی ذهنک؟ فإن قلت بالأوّل، فلا بدّ و أن یحصل لک الخوف عند ذلک و إن لم تکن ملتفتاً لوجود الأسد عندک، مع أنّه لیس کذلک ضرورة، و یلزمک أن لا تخافه إذا توهّمت کون هذه البقرة أسداً، مع أنّه لیس کذلک، فلا بدّ و أن تقول بالثانی؛ و أنّ الأسد بوجوده الخارجی غیر مخوّف إیّاک، بل المخوّف هو الصورة الأسدیة الحاصلة لک؛ کان هناک أسد أم لا، و هی متعلّق علمک بالذات، لا الخارجی منها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حیث تکون العناوین وجوهاً لمصادیقها، فلا محالة یکون الخارج معلوماً</w:t>
      </w:r>
    </w:p>
    <w:p>
      <w:pPr>
        <w:pStyle w:val="BookText"/>
        <w:rPr/>
      </w:pPr>
      <w:r>
        <w:rPr>
          <w:rFonts w:ascii="IRNazanin" w:hAnsi="IRNazanin" w:eastAsia="IRNazanin"/>
          <w:color w:val="111111"/>
          <w:sz w:val="28"/>
          <w:sz w:val="28"/>
          <w:szCs w:val="28"/>
          <w:rtl w:val="true"/>
          <w:lang w:bidi="fa-IR"/>
        </w:rPr>
        <w:t>بالعرض، و لذا فإذا تخیّلت وجود الأسد قریباً منک، تحصل لک دهشة و اضطراب و إن لم یکن فی الخارج، و إن لم تتحصّل لک صورته، تکن مطمئنّاً غیر مضطرب و إن کان الأسد فی حجرتک، فلا تخاف فی الحقیقة إلّا من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الإرادة و الحبّ و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نحوها من الصفات النفسانیة ذات الإضافة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نحو إضافة إلی المراد و المحبوب و المعلوم، و تتشخّص بها، و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یکون فی الخارج حیث إنّه فی غیر وعاء النفس، فلا یکاد یمکن أن یشخّص ما یکون فی وعاء النفس، فلا بدّ من وجود المشخّص فی افق النفس؛ و هو عنوان کلّی فی الصور الکلّیة، و عنوان جزئی فی الصور الجزئیة، و لکن حیث إنّ العناوین الموجودة فی الذهن وجوه لمصادیقها و مرایا لما فی الخارج، فیصیر الخارج مراداً و مکروهاً و محبوباً و مبغوضاً و معلوماً بالعرض، و الغافل یتوهّم أنّ الخارج متعلّق تلک الامور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أنّ الإرادة و الکراهة و الحبّ و البغض، صفات حقیقیة ذات إضافة، فلا بدّ لها من مشخّص فی الذهن،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 فانٍ فی المعنون و یکون مرآة له، فلا یحکی إلّا عن حیثیة الصلاتیة، و أمّا الخصوصیات الاخر فخارجة عن حریم کاشفیتها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ظهر ما ذکرنا، و وضح لک أنّ متعلّق الإرادة و مشخّصها، غیر متعلّق الکراهة و مشخّصها، و کذا فی جانب الحبّ و البغض، تعلم أنّ متعلّق الإرادة أو الحبّ من العنوان، یغایر متعلّق الکراهة و البغض، فیکون الموجود الخارجی مراداً و محبوباً من جهة، و مکروهاً و مبغوضاً من جهة اخری، و لا غَرْوَ فی ذلک؛ لأنّ کون شی‌ء مراداً و مکروهاً و محبوباً و مبغوضاً، لا یوجب اتصاف الخارج بمبدءین متضادّین، نظیر اتصاف الجسم بالسواد و البیاض حتّی یمتنع، بل هو وجود تلک الصفات فی</w:t>
      </w:r>
    </w:p>
    <w:p>
      <w:pPr>
        <w:pStyle w:val="BookText"/>
        <w:rPr/>
      </w:pPr>
      <w:r>
        <w:rPr>
          <w:rFonts w:ascii="IRNazanin" w:hAnsi="IRNazanin" w:eastAsia="IRNazanin"/>
          <w:color w:val="111111"/>
          <w:sz w:val="28"/>
          <w:sz w:val="28"/>
          <w:szCs w:val="28"/>
          <w:rtl w:val="true"/>
          <w:lang w:bidi="fa-IR"/>
        </w:rPr>
        <w:t>النفس مضافة إلی الخارج ثانیاً و بالعرض بعد تعلّقها بصورها أوّلًا، و واضح أنّه لا یحصل بذلک فی الخارج تغییر، و لا وجود عرض حالّ فی المراد و المحبوب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بحذاء هذه الأوصاف شی‌ء فی الخارج حتّی یلزم وجود مبدءین متضادّین فی الواحد، بل صفات قائمة بنفس المرید و المحبّ مثلًا مضافة إلی ما فی الخارج،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لا تری أنّ مرکّبات هذا العالم لا بدّ و أن تنتهی إلی البسائط؛ لبطلان التسلسل، و أبسط البسائط ذات الواجب تعالی، فإنّه بسیط غایة البساطة لا تشوبه شائبة الکثرة أصلًا، و مع ذلک تصدق علی ذاته المقدّسة عناوین کثیرة؛ ککونه تعالی عالماً، قادراً، سمیعاً، بصیراً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أسمائه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تعالی محبوب کلّ مؤمن، مع أنّه لا یمکن حدوث صفة و حالة فیه تعالی بعددهم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غیره تعالی من سائر البسائط، فإنّ کلّ بسیط یکون مقدوراً و معلوماً و مرضیاً له تعالی، و هکذا، و هو بحیثیة کونه مقدوراً له تعالی معلوم، و بالعکس، و إلّا یلزم أن تکون ذاته تعالی عالمة بحیثیة دون حیثیة، و مع ذلک لا یلزم تکثّر البسیط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ربما یصدق عنوانان متقابلان علی شی‌ء واحد بسیط، کالحرکة الواحدة، فإنّها ربما تکون معلومة من جهة کونها صلاة و حرکة رکوعیة، و مجهولة من جهة کونها غصباً إذا شکّ فی کون المکان غصباً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تلک العناوین عناوین انتزاعیة تنتزع من نحو ارتباط بها، لا امور حقیقیة قائمة به نظیر السواد و البیاض بالنسبة إلی الجسم؛ لأنّ المحبوبیة أو المبغوضیة مثلًا، تنتزعان من تعلّق الحبّ أو البغض بالصورة الحاکیة عن الخارج</w:t>
      </w:r>
      <w:r>
        <w:rPr>
          <w:rFonts w:eastAsia="IRNazanin" w:cs="IRNazanin"/>
          <w:color w:val="111111"/>
          <w:sz w:val="28"/>
          <w:szCs w:val="28"/>
          <w:rtl w:val="true"/>
          <w:lang w:bidi="fa-IR"/>
        </w:rPr>
        <w:t>.</w:t>
      </w:r>
      <w:bookmarkStart w:id="130" w:name="pg12934_164460"/>
    </w:p>
    <w:p>
      <w:pPr>
        <w:pStyle w:val="Heading6"/>
        <w:numPr>
          <w:ilvl w:val="5"/>
          <w:numId w:val="1"/>
        </w:numPr>
        <w:rPr/>
      </w:pPr>
      <w:bookmarkStart w:id="131" w:name="__RefHeading___Toc4026109_3224264995"/>
      <w:bookmarkStart w:id="132" w:name="_Toc50"/>
      <w:bookmarkEnd w:id="130"/>
      <w:bookmarkEnd w:id="131"/>
      <w:r>
        <w:rPr>
          <w:rtl w:val="true"/>
        </w:rPr>
        <w:t>حول تفریق المحقّق النائینی قدس سره بین ذاته تعالی و بین سائر البسائط</w:t>
      </w:r>
      <w:bookmarkEnd w:id="132"/>
    </w:p>
    <w:p>
      <w:pPr>
        <w:pStyle w:val="BookText"/>
        <w:rPr/>
      </w:pPr>
      <w:r>
        <w:rPr>
          <w:rFonts w:ascii="IRNazanin" w:hAnsi="IRNazanin" w:eastAsia="IRNazanin"/>
          <w:color w:val="111111"/>
          <w:sz w:val="28"/>
          <w:sz w:val="28"/>
          <w:szCs w:val="28"/>
          <w:rtl w:val="true"/>
          <w:lang w:bidi="fa-IR"/>
        </w:rPr>
        <w:t>یظهر من المحقّق النائینی قدس سره أنّه فرّق بین ذاته تعالی و سائر البسائط</w:t>
      </w:r>
      <w:r>
        <w:rPr>
          <w:rStyle w:val="FootnoteAnchor"/>
          <w:rtl w:val="true"/>
        </w:rPr>
        <w:footnoteReference w:id="88"/>
      </w:r>
      <w:r>
        <w:rPr>
          <w:rFonts w:ascii="IRNazanin" w:hAnsi="IRNazanin" w:eastAsia="IRNazanin"/>
          <w:color w:val="111111"/>
          <w:sz w:val="28"/>
          <w:sz w:val="28"/>
          <w:szCs w:val="28"/>
          <w:rtl w:val="true"/>
          <w:lang w:bidi="fa-IR"/>
        </w:rPr>
        <w:t>، فقال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تعدّد العنوان لا بدّ و أن یوجب تعدّداً فی المعنون، و إلّا یلزم صدق کلّ عنوان علی کلّ شی‌ء، فلا یعقل تصادق عنوانین علی متحد الجهة مع فرض إمکان افتراق أحد العنوانین علی الآخر و لو فی الجملة؛ فإنّ البرهان العقلی الفطری، قائم علی عدم إمکان انطباق العناوین المتباینة المفترقة فی الصدق علی متحد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یکفی فی تصدیقه نفس تصوّره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انتقاض القاعدة بصفات الباری تعالی؛ من حیث إنّه تنطبق علیه تعالی عناوین متباینة بالتباین الجزئی، مع أنّه تعالی لیس فیه تعدّد جهة؛ لکونه تعالی بسیطاً کلّ البساطة، و مع ذلک ینطبق علیه تعالی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سائر الصفات، مع أنّ بینهما عموماً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یقاس التراب بربّ الأرباب؛ فإنّ العناوین المنطبقة علیه تعالی، کلّها راجعة إلی الذات، فهو بذاته قادر، و عالم، و حیّ، و قیّوم، و لیس العلم أو القدرة مغایرین للذات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القیاس مع الفارق و فی غیر محلّه؛ لأنّ مقام الباری تعالی مقام لا تصل إلیه الأوهام، و لا یمکن تعقّل حقیقة انطباق تلک العناوین علیه، فلا یصحّ جعل ذلک نقضاً للبرهان الفطری</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bookmarkStart w:id="133" w:name="pg12934_164461"/>
    </w:p>
    <w:p>
      <w:pPr>
        <w:pStyle w:val="BookText"/>
        <w:rPr/>
      </w:pPr>
      <w:bookmarkEnd w:id="133"/>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تمّ ما ادّعاه من البرهان الفطری، فلا وجه للتفرقة بینه تعالی و بین سائر البسائط؛ لأنّ التخصیص فی الحکم العقلی غیر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یستکشف من صحّة انطباق عناوین متعدّدة علی ذاته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لزوم تعدّد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إلّا یلزم أن یکون معلومه تعالی غیر مقدور، و مقدوره غیر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یلزم من صحّة انطباق عناوین متعدّدة علی ذاتٍ، تکثّر المعنون و تعدّده و لو جهة، و مصحّح انتزاع العناوین هو الذات البسیطة التی لا تشوبها شائبة الکثرة أصلًا، کما تقرّر فی محلّه، و لعلّه بالتأمّل فیما ذکرنا یظهر لک الخلل فیما ذکره غیر ما ذکرنا،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ممّا ذکرنا بطوله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یصحّ أن یکون شی‌ء واحد محبوباً و مبغوضاً، و یصحّ تعلّق الحبّ بعنوان، و البغض بعنوان آخر موجودین بوجود واحد، فتدبّر</w:t>
      </w:r>
      <w:r>
        <w:rPr>
          <w:rFonts w:eastAsia="IRNazanin" w:cs="IRNazanin"/>
          <w:color w:val="111111"/>
          <w:sz w:val="28"/>
          <w:szCs w:val="28"/>
          <w:rtl w:val="true"/>
          <w:lang w:bidi="fa-IR"/>
        </w:rPr>
        <w:t>.</w:t>
      </w:r>
    </w:p>
    <w:p>
      <w:pPr>
        <w:pStyle w:val="Heading6"/>
        <w:numPr>
          <w:ilvl w:val="5"/>
          <w:numId w:val="1"/>
        </w:numPr>
        <w:rPr/>
      </w:pPr>
      <w:bookmarkStart w:id="134" w:name="__RefHeading___Toc4026111_3224264995"/>
      <w:bookmarkStart w:id="135" w:name="_Toc51"/>
      <w:bookmarkEnd w:id="134"/>
      <w:r>
        <w:rPr>
          <w:rtl w:val="true"/>
        </w:rPr>
        <w:t>إشکال اجتماع المصلحة و المفسدة</w:t>
      </w:r>
      <w:bookmarkEnd w:id="135"/>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قضیّة المصلحة و المفسدة، فغایة ما یقتضیه مذهب العدلیة</w:t>
      </w:r>
      <w:r>
        <w:rPr>
          <w:rStyle w:val="FootnoteAnchor"/>
          <w:rtl w:val="true"/>
        </w:rPr>
        <w:footnoteReference w:id="90"/>
      </w:r>
      <w:r>
        <w:rPr>
          <w:rFonts w:ascii="IRNazanin" w:hAnsi="IRNazanin" w:eastAsia="IRNazanin"/>
          <w:color w:val="111111"/>
          <w:sz w:val="28"/>
          <w:sz w:val="28"/>
          <w:szCs w:val="28"/>
          <w:rtl w:val="true"/>
          <w:lang w:bidi="fa-IR"/>
        </w:rPr>
        <w:t>هی تبعیة الأحکام و مبادئها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الإرادة و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للمصالح و المفاسد، و إلّا یکن جعل الأحکام جزافیاً، و من المعلوم أنّ الصلاح و الفساد من الامور الاعتباریة الراجعة إلی حفظ المجتمع البشری؛ من دون أن یوجب الصلاح أو الفساد فی شی‌ء، صفةً حقیقیةً فیه، کما یوجبه البیاض فی الجسم مثلًا، فشرب الخمر من الامور الحقیقیة، و لم تترتّب علیه صفة حقیقیة قائمة به بعنوان المفسدة، بل لأجل أنّ للخمر شأناً لو شربت لخمّرت العقل، و أوجبت هتکاً للأعراض و النفوس، و مفاسد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ترتّب الصلاح علی الوفاء بالعقد، لیس معناه أنّ الوفاء بالعقد الذی هو أمر عقلائی، قامت به صفة حقیقیة، بل معناه أنّ النظام الاجتماعی یتوقّف علی امور، منها الوفاء بالعقد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معراجیة الصلاة للمؤمن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ثبوت روایتها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صفة حقیقیة قائمة بما یکون أوّله التکبیر، و آخره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التصرّف فی مال الغیر بغیر إذنه، ظلم قبیح له مفسدة؛ لأنّ ذلک موجب للهرج و المرج و الفساد من غیر أن تکون هذه العناوین أوصافاً خارجیة قائمة بالموضوع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المصالح و المفاسد فی الأشیاء، من الوجوه و الاعتبارات العقلائیة، لا من الأعراض و الصفات الخارجیة القائمة فی الأشیاء، فبعد ما عرفت من إمکان أن یکون شی‌ء واحد مبغوضاً من جهة و محبوباً من جهة اخری، لا یبقی مجال للاستشکال فی أنّه کیف یکون شی‌ء واحد ذا صلاح 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معنی کون شی‌ء محبوباً فی الحقیقة هو کونه ذا صلاح، و کونه مبغوضاً کونه ذا فساد، و علیه فالحرکة الخارجیة بما أنّها خضوع للَّه تعالی و الرکوع له بما أنّه قیام بأمر العبودیة و شکر لبعض آلائه و قیام بأداء بعض حقّ العبودیة، ذات صلاح و محبوبة، و هی بما أنّها غصب أو تصرّف فی مال الغیر بغیر رضاه، ذات مفسدة و مبغوضة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یصدق علی الحرکة الخارجیة عنوانان صدقاً حقیقیاً؛ ضرورة أنّها بما أنّها رکوع للَّه تعالی، حسنة و ذات صلاح موجبة لأداء بعض حقوق العبودیة، و لکنّها بما أنّها تصرّف فی مال الغیر بغیر رضاه، قبیحة لا حسن فیها أصلًا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مَسّ رأس الیتیم فی الدار المغصوبة، من جهة أنّه رحمة به حسن ذو مصلحة، و من جهة أنّه تصرّف فی مال الغیر بغیر رضاه، قبیح ذو مفسدة؛ من غیر أن یکون ذلک من اجتماع الضدّین بالضرورة</w:t>
      </w:r>
      <w:r>
        <w:rPr>
          <w:rFonts w:eastAsia="IRNazanin" w:cs="IRNazanin"/>
          <w:color w:val="111111"/>
          <w:sz w:val="28"/>
          <w:szCs w:val="28"/>
          <w:rtl w:val="true"/>
          <w:lang w:bidi="fa-IR"/>
        </w:rPr>
        <w:t>.</w:t>
      </w:r>
      <w:bookmarkStart w:id="136" w:name="pg12934_164463"/>
    </w:p>
    <w:p>
      <w:pPr>
        <w:pStyle w:val="Heading6"/>
        <w:numPr>
          <w:ilvl w:val="5"/>
          <w:numId w:val="1"/>
        </w:numPr>
        <w:rPr/>
      </w:pPr>
      <w:bookmarkStart w:id="137" w:name="__RefHeading___Toc4026113_3224264995"/>
      <w:bookmarkStart w:id="138" w:name="_Toc52"/>
      <w:bookmarkEnd w:id="136"/>
      <w:bookmarkEnd w:id="137"/>
      <w:r>
        <w:rPr>
          <w:rtl w:val="true"/>
        </w:rPr>
        <w:t>إشکال اتحاد المقرّب و المبعّد</w:t>
      </w:r>
      <w:bookmarkEnd w:id="138"/>
    </w:p>
    <w:p>
      <w:pPr>
        <w:pStyle w:val="BookText"/>
        <w:rPr/>
      </w:pPr>
      <w:r>
        <w:rPr>
          <w:rFonts w:ascii="IRNazanin" w:hAnsi="IRNazanin" w:eastAsia="IRNazanin"/>
          <w:color w:val="111111"/>
          <w:sz w:val="28"/>
          <w:sz w:val="28"/>
          <w:szCs w:val="28"/>
          <w:rtl w:val="true"/>
          <w:lang w:bidi="fa-IR"/>
        </w:rPr>
        <w:t>و أمّا حدیث کون المبعّد مقرّباً و المقرّب مبعّداً، فلعلّ الإشکال من جهته أقوی من الإشکال فی الجهات السابقة، و لذا تری بعضهم</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لمحات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قوله بالجواز، أشکل فی صحّة الصلاة فی الدار المغصوبة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الذی یقتضیه النظر، هو عدم تمایز هذه الجهة مع أخواتها إشکالًا و جواباً، فجمیعها ترتضع من ثدی واحد؛ و ذلک لأنّ معنی کون شی‌ء مقرّباً، هو وجود جهة حسن و صلاح فیه، و معنی کونه مبعّداً هو وجود جهة قبح و فساد فیه، فالمقرّبیة و المبعّدیة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کالمحبوبیة و المبغوضیة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الوجوه و الاعتبارات العقلائیة و الامور الانتزاعیة الدائرة مدار الجهات و الاعتبارات التی یمکن اجتماعها فی شی‌ء واحد بجهات مختلفة، و لیست من قبیل الأعراض الحقیقیة الخارجیة الموجبة لامتناع اتصاف الموضوع إلّا بواحد منها</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الاصول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9" w:name="pg12934_164464"/>
    </w:p>
    <w:p>
      <w:pPr>
        <w:pStyle w:val="BookText"/>
        <w:rPr/>
      </w:pPr>
      <w:bookmarkEnd w:id="139"/>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المقرّبیة و المبعّدیة من الوجوه و الاعتبارات التی یمکن اجتماعها فی شی‌ء واحد بجهات مختلفة؛ ضرورة أنّ العقل یدرک الفرق بین من ضرب ابن المولی فی الدار المغصوبة، و بین من أکرمه فیها، فحرکة الید لإکرام ابن المولی من جهة أنّها إکرام له، محبوبة و صالحة للتقرّب إلی المولی، و هی من جهة أنّها تصرّف فی مال الغیر، مبغوضة و مبعّدة عن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مسّ رأس الیتیم فی الدار المغصوبة من جهة أنّه رحمة بالیتیم، حسن و ذو مصلحة، و من جهة أنّه تصرّف فی مال الغیر قبیح و ذو 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فالحرکة الصلاتیة فی الدار المغصوبة من جهة أنّها مصداق للصلاة، محبوبة و مقرّبة منه تعالی، و من جهة أنّها مصداق للتصرّف العدوانی فی مال الغیر، مبغوضة و مبعّدة عنه</w:t>
      </w:r>
      <w:r>
        <w:rPr>
          <w:rFonts w:eastAsia="IRNazanin" w:cs="IRNazanin"/>
          <w:color w:val="111111"/>
          <w:sz w:val="28"/>
          <w:szCs w:val="28"/>
          <w:rtl w:val="true"/>
          <w:lang w:bidi="fa-IR"/>
        </w:rPr>
        <w:t>.</w:t>
      </w:r>
    </w:p>
    <w:p>
      <w:pPr>
        <w:pStyle w:val="Heading6"/>
        <w:numPr>
          <w:ilvl w:val="5"/>
          <w:numId w:val="1"/>
        </w:numPr>
        <w:rPr/>
      </w:pPr>
      <w:bookmarkStart w:id="140" w:name="__RefHeading___Toc4026115_3224264995"/>
      <w:bookmarkStart w:id="141" w:name="_Toc53"/>
      <w:bookmarkEnd w:id="140"/>
      <w:r>
        <w:rPr>
          <w:rtl w:val="true"/>
        </w:rPr>
        <w:t>تأیید المختار بالأمثلة العرفیة</w:t>
      </w:r>
      <w:bookmarkEnd w:id="141"/>
    </w:p>
    <w:p>
      <w:pPr>
        <w:pStyle w:val="BookText"/>
        <w:rPr/>
      </w:pPr>
      <w:r>
        <w:rPr>
          <w:rFonts w:ascii="IRNazanin" w:hAnsi="IRNazanin" w:eastAsia="IRNazanin"/>
          <w:color w:val="111111"/>
          <w:sz w:val="28"/>
          <w:sz w:val="28"/>
          <w:szCs w:val="28"/>
          <w:rtl w:val="true"/>
          <w:lang w:bidi="fa-IR"/>
        </w:rPr>
        <w:t>ما ذکرناه هو مقتضی البرهان فی المسألة،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أن یتّصف شی‌ء واحد بمثل هذه الانتزاعیات و الاعتباریات، و أنّه کما یمکن أن یکون شی‌ء واحد محبوباً من جهة و مبغوضاً من جهة اخری، فکذلک یمکن أن یکون مقرّباً من جهة، و مبعّداً من جهة اخری؛ من دون لزوم تضادّ و 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مع ذلک فی خواطرک ریب، فنوضّح الأمر بمثالین لعلّه یذعن و یعترف بهما کلّ من کان له قلب أو ألقی السمع و هو شهید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افرض أنّ للمولی عبدین نهاهما عن دخول بستانه، و کان له فیه ابن عزیز علیه، فخالفا مولاهما و دخلا البستان، و لکنّ أحدهما مع ذلک ضرب ابنه، و الآخر أکرمه و نعّمه، فمن الواضح بالوجدان أنّهما مختلفان؛ فإنّهما و إن أغضبا</w:t>
      </w:r>
      <w:bookmarkStart w:id="142" w:name="pg12934_164465"/>
    </w:p>
    <w:p>
      <w:pPr>
        <w:pStyle w:val="BookText"/>
        <w:rPr/>
      </w:pPr>
      <w:bookmarkEnd w:id="142"/>
      <w:r>
        <w:rPr>
          <w:rFonts w:ascii="IRNazanin" w:hAnsi="IRNazanin" w:eastAsia="IRNazanin"/>
          <w:color w:val="111111"/>
          <w:sz w:val="28"/>
          <w:sz w:val="28"/>
          <w:szCs w:val="28"/>
          <w:rtl w:val="true"/>
          <w:lang w:bidi="fa-IR"/>
        </w:rPr>
        <w:t>مولاهما بدخول البستان، فیکون تصرّفهما فیه مبغوضاً للمولی و مبعّداً عن ساحته، و لکن بإکرام أحدهما ولده یکون محبوباً له و مقرّباً إلی ساحته، کما أنّ الآخر بضربه ولده یکون بعیداً عن ساحته کلّ البعد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مسح الرجل علی رأس یتیم فی دار غصبیة و أحسن إلیه، فحرکة الید من حیث إنّها تصرّف فی مال الغیر، مبغوضة و ذات فساد و مبعّدة، و لکنّها من حیث إنّها رحمة بالیتیم، محبوبة و ذات صلاح و مقرّبة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أمثلة اخری کثیرة لا داعی لبیانها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فالصلاة فی الدار الغصبیة من جهة أنّها مصداق لقوله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أَقِمِ الصَّلاةَ لِدُلُوکِ الشَّمْسِ </w:t>
      </w:r>
      <w:r>
        <w:rPr>
          <w:rFonts w:eastAsia="Amiri" w:cs="Amiri" w:ascii="Amiri" w:hAnsi="Amiri"/>
          <w:color w:val="111111"/>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محبوبة و مقرّبة، و من جهة أنّها مصداق للتصرّف فی مال الغیر بغیر رضاه، مبغوضة و مبعّدة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البرهان مضافاً إلی الوجدان، قائمان علی جواز اجتماع الأمر و النهی و صحّة الصلاة فی الدار الغصبیة، فلیس مجرّد اجتماع الوجوب و الحرمة المتعلّقین بعنوانین متصادقین علی موضوع واحد، موجباً لبطلان الصلاة فی الدار الغصبیة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یستفاد من الأدلّة شرطیة إباحة المکان و أنّه لا تصحّ الصلاة فی الدار الغصبیة، و لکنّه کلام خارج عن محطّ البحث، فاغتنم و تدبّر</w:t>
      </w:r>
      <w:r>
        <w:rPr>
          <w:rFonts w:eastAsia="IRNazanin" w:cs="IRNazanin"/>
          <w:color w:val="111111"/>
          <w:sz w:val="28"/>
          <w:szCs w:val="28"/>
          <w:rtl w:val="true"/>
          <w:lang w:bidi="fa-IR"/>
        </w:rPr>
        <w:t>.</w:t>
      </w:r>
    </w:p>
    <w:p>
      <w:pPr>
        <w:pStyle w:val="Heading5"/>
        <w:numPr>
          <w:ilvl w:val="4"/>
          <w:numId w:val="1"/>
        </w:numPr>
        <w:rPr/>
      </w:pPr>
      <w:bookmarkStart w:id="143" w:name="__RefHeading___Toc4026117_3224264995"/>
      <w:bookmarkStart w:id="144" w:name="_Toc54"/>
      <w:bookmarkEnd w:id="143"/>
      <w:r>
        <w:rPr>
          <w:rtl w:val="true"/>
        </w:rPr>
        <w:t>عدم الفرق فی القول بالجواز بین کون الأحکام متضادّة أو متخالفة</w:t>
      </w:r>
      <w:bookmarkEnd w:id="14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مسألة الجواز تتمّ سواء قلنا بکون الأحکام الخمسة متضادّة اصطلاحاً، کما هو المعروف بینهم، أو لم نقل بذلک، بل قلنا بأنّها متخالفة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لعلّک إذا</w:t>
      </w:r>
      <w:bookmarkStart w:id="145" w:name="pg12934_164466"/>
    </w:p>
    <w:p>
      <w:pPr>
        <w:pStyle w:val="BookText"/>
        <w:rPr/>
      </w:pPr>
      <w:bookmarkEnd w:id="145"/>
      <w:r>
        <w:rPr>
          <w:rFonts w:ascii="IRNazanin" w:hAnsi="IRNazanin" w:eastAsia="IRNazanin"/>
          <w:color w:val="111111"/>
          <w:sz w:val="28"/>
          <w:sz w:val="28"/>
          <w:szCs w:val="28"/>
          <w:rtl w:val="true"/>
          <w:lang w:bidi="fa-IR"/>
        </w:rPr>
        <w:t>أحکمت ما ذکرنا و سددت ثغور الإشکالات المتوهّمة فی المقام، لکنت فی فُسحة من ذلک، و لقدرت علی دفع الإشکالات المتوهّمة و الحادثة فی المقام، فلا نحتاج إلی ذکرها إشکالًا و جواباً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انجرّ الکلام إلی ذکر تضادّ الأحکام الخمسة التکلیفیة، فلا بأس بتوضیح الحال فیها</w:t>
      </w:r>
      <w:r>
        <w:rPr>
          <w:rFonts w:eastAsia="IRNazanin" w:cs="IRNazanin"/>
          <w:color w:val="111111"/>
          <w:sz w:val="28"/>
          <w:szCs w:val="28"/>
          <w:rtl w:val="true"/>
          <w:lang w:bidi="fa-IR"/>
        </w:rPr>
        <w:t>.</w:t>
      </w:r>
    </w:p>
    <w:p>
      <w:pPr>
        <w:pStyle w:val="Heading5"/>
        <w:numPr>
          <w:ilvl w:val="4"/>
          <w:numId w:val="1"/>
        </w:numPr>
        <w:rPr/>
      </w:pPr>
      <w:bookmarkStart w:id="146" w:name="__RefHeading___Toc4026119_3224264995"/>
      <w:bookmarkStart w:id="147" w:name="_Toc55"/>
      <w:bookmarkEnd w:id="146"/>
      <w:r>
        <w:rPr>
          <w:rtl w:val="true"/>
        </w:rPr>
        <w:t>عدم تضادّ الأحکام الخمسة</w:t>
      </w:r>
      <w:bookmarkEnd w:id="147"/>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بین المتأخّرین أنّ النسبة بین الأحکام الخمسة التکلیفیة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منها مع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التضادّ</w:t>
      </w:r>
      <w:r>
        <w:rPr>
          <w:rStyle w:val="FootnoteAnchor"/>
          <w:rtl w:val="true"/>
        </w:rPr>
        <w:footnoteReference w:id="94"/>
      </w:r>
      <w:r>
        <w:rPr>
          <w:rFonts w:ascii="IRNazanin" w:hAnsi="IRNazanin" w:eastAsia="IRNazanin"/>
          <w:color w:val="111111"/>
          <w:sz w:val="28"/>
          <w:sz w:val="28"/>
          <w:szCs w:val="28"/>
          <w:rtl w:val="true"/>
          <w:lang w:bidi="fa-IR"/>
        </w:rPr>
        <w:t>، و قد صرّح بذلک المحقّق الخراسانی قدس سره فی المقدّمة الاولی،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ریب فی أنّ الأحکام الخمسة متضادّة فی مقام فعلیتها و بلوغها إلی مرتبة البعث و الزجر؛ ضرورة ثبوت المنافاة و المعاندة التامّة بین البعث نحو واحد فی زمان و الزجر عنه فی ذاک الزمان </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خالفهم فی ذلک المحقّق الأصفهانی قدس سره فصرّح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تضادّ الأحکام التکلیفیة و إن کان مشهوراً، إلّا أنّه ممّا لا أصل له</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عدم ثبوت التضادّ بینها بأیّ معنی فسّر الحکم به؛ و ذلک لأنّه عرّف الضدّان عند الأکابر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بأنّهما أمران وجودیان لا یتوقّف تعقّل أحدهما علی الآخر، یتعاقبان علی موضوع واحد، بینهما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اختلاف فی تعبیراتهم و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شرط المتضادّین أن تکون الأنواع الأخیرة التی توصف به،</w:t>
      </w:r>
    </w:p>
    <w:p>
      <w:pPr>
        <w:pStyle w:val="BookText"/>
        <w:rPr/>
      </w:pPr>
      <w:r>
        <w:rPr>
          <w:rFonts w:ascii="IRNazanin" w:hAnsi="IRNazanin" w:eastAsia="IRNazanin"/>
          <w:color w:val="111111"/>
          <w:sz w:val="28"/>
          <w:sz w:val="28"/>
          <w:szCs w:val="28"/>
          <w:rtl w:val="true"/>
          <w:lang w:bidi="fa-IR"/>
        </w:rPr>
        <w:t>داخلة تحت جنس واحد قریب، فلا یکون بین الأجناس و لا بین صنفین من نوع واحد و لا شخصین منه، تضادّ</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ینطبق التعریف المذکور علی الأحکام الخمسة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القول بأنّ الحکم عبارة عن أمر انتزاعی عقلائی أو اعتباری کذلک کما هو المختار، فواضح؛ لأنّه یکون الحکم من الامور الانتزاعیة أو الاعتباریة عند البعث و الزجر المنشأین بالآلات و الأدوات، کما تنتزع أو تعتبر الزوجیة أو الملکیة عند ذلک، فیکون البعث أو الزجر بالهیئة الدالّة علیه بالمواضعة و الاعتبار، فلا تکون الأحکام الخمسة من الامور الخارجیة المتأصّلة الحالّة فی موضوعاتها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کون الحکم من الامور الانتزاعیة أو الاعتباریة، فلا یکون من الأعیان الخارجیة، فیکون خارجاً عن المقسم، و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 بأنّ الحکم عبارة عن الإرادة أو الإرادة المظهرة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یراه المحقّق العراقی قدس سره و قد تقدّم ذکره و ضعفه</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أیضاً؛ و ذلک لما أشرنا من أنّه یشترط فی التضادّ أن یکون الأمران الوجودیان، داخلین تحت جنس قریب، و من الواضح أنّ إرادة البعث و إرادة الزجر، فردان من نوع واحد، لا نوعان من جنس قریب، فلا یکون بینهما خلاف، فضلًا عن کونهما فی غایة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کان مبدأ النهی کراهة الفعل، و مبدأ الأمر إرادة الفعل، فمن المعلوم أنّ الإرادة و الکراهة لیستا من نوع واحد، فیصدق علیهما تعریف التضادّ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الذی یسهّل الخطب، هو أنّ الکراهة و تنفّر الطبع، ربما تصیر مبدأً</w:t>
      </w:r>
    </w:p>
    <w:p>
      <w:pPr>
        <w:pStyle w:val="BookText"/>
        <w:rPr/>
      </w:pPr>
      <w:r>
        <w:rPr>
          <w:rFonts w:ascii="IRNazanin" w:hAnsi="IRNazanin" w:eastAsia="IRNazanin"/>
          <w:color w:val="111111"/>
          <w:sz w:val="28"/>
          <w:sz w:val="28"/>
          <w:szCs w:val="28"/>
          <w:rtl w:val="true"/>
          <w:lang w:bidi="fa-IR"/>
        </w:rPr>
        <w:t>لإرادة الزجر التشریعی عن العمد، و مقابل الکراهة الاشتیاق، و هما من مبادئ الإرادة التشریعیة أحیاناً، فلا تکون إرادة الفعل مقابلة للکراهة، بل التی تقابلها إرادة الزجر، و من المعلوم أنّ الإرادتین من نوع واحد، لا من نوعین من جنس واحد، فلا ینطبق علیهما تعریف التضادّ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الإرادة و الکراهة و جعل الکراهة مبدأً للنهی و الإرادة مبدأً للأمر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اشتهر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ما ینبغی؛ لأنّ کراهة صدور الفعل من المکلّف لیست فی مقابل إرادة البعث، بل مقابلة للاشتیاق إلی صدوره منه، فکما أنّ استحسان عمل و الاشتیاق إلی صدوره من المکلّف، صارا مبدأً لإرادة بعثه نحو الفعل، فکذا استقباح عمل و کراهة صدوره منه، صارا مبدأً لإرادة الزجر التشریعی و النهی عنه، فنفس الکراهة لیست بمبدإ قریب للنهی؛ ضرورة مبدئیة الإرادة لصدور جمیع الأفعال، فالمبدأ القریب هو إرادة الزجر، لا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الإرادات لیست أنواعاً مختلفة واقعة تحت جنس قریب، بل أصناف نوع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إلی الواجب و المستحبّ فواضح؛ لأنّ الإرادة الوجوبیة و الإرادة الاستحبابیة، مشترکتان فی حقیقة الإرادة، و متمیّزتان بالشدّة و الضعف؛ لأنّه إن ادرکت المصلحة الملزمة فتتعلّق به الإرادة الشدیدة، و ینتزع منه الوجوب، و إن ادرکت المصلحة غیر الملزمة فتتعلّق به الإرادة غیر الملزمة، فینتزع منه الاستحباب</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بالنسبة إلی الحرام و المکروه، فإنّ المبدأ القریب للنهی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تحریمیاً کان أو تنزیهیاً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الإرادة؛ لأنّه إن أدرک فی الفعل مفسدة یتوسّل لسدّ بابها بزجر العبد تشریعاً، فیرید الزجر التشریعی فیزجره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فإرادة الزجر المظهرة إذا کانت إلزامیة، ینتزع منها الحرمة، و إن کانت غیر إلزامیة ینتزع منها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أنّه علی القول بانتزاع الأحکام الشرعیة من الإرادات المظهرة، یکون المبدأ القریب فی کلّ الأحکام هو الإرادة؛ من غیر تفاوت بین الوجوب و الحرمة و غیرهما، و لا تکون الأحکام أنواعاً مختلفة مندرجة تحت جنس قریب، فلا ینطبق علیه أیضاً ما هو المناط فی الضدّین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اعتبرنا فی تحقّق التضادّ أن یکون بین الأمرین غایة الخلاف، لا یتحقّق التضادّ فی جمیع الأحکام؛ لأنّ الوجوب و الاستحباب لیس بینهما غایة الخلاف، کما لا یخفی، و قس علیهما الحرمة و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 أن تقول بخروج الأحکام الخمسة عن تقابل التضادّ؛ لقولهم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یتعاقبان علی موضوع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بداهة أنّ مرادهم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الموضوع الشخصی، لا الماهیة النوعیة، و قد أشرنا إلی أنّ متعلّقات الأحکام إنّما هی العناوین، لا المصادیق الخارجیة، فلا معنی للتعاقب و عدم الاجتماع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فغایة ما یقتضیه الاعتبار، تخالف الأحکام بعضها مع بعض، و لا یمکن اجتماعها فی موضوع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عدم الاجتماع لا یوجب اندراجها تحت تقابل التضادّ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القول بکون الأحکام اموراً انتزاعیة أو اعتباریة، فسِرّ عدم اجتماع الوجوب و الحرمة هو لغویة الجعلین، بل امتناع جعلهما لغرض الانبعاث؛ لأنّ المکلّف لا یقدر علی امتثالهما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القول بکونها إرادات مظهرة، فلامتناع تعلّق الإرادة بالبعث إلی عمل من شخص و الزجر عنه</w:t>
      </w:r>
      <w:r>
        <w:rPr>
          <w:rFonts w:eastAsia="IRNazanin" w:cs="IRNazanin"/>
          <w:color w:val="111111"/>
          <w:sz w:val="28"/>
          <w:szCs w:val="28"/>
          <w:rtl w:val="true"/>
          <w:lang w:bidi="fa-IR"/>
        </w:rPr>
        <w:t>.</w:t>
      </w:r>
      <w:bookmarkStart w:id="148" w:name="pg12934_164470"/>
    </w:p>
    <w:p>
      <w:pPr>
        <w:pStyle w:val="BookText"/>
        <w:rPr/>
      </w:pPr>
      <w:bookmarkEnd w:id="148"/>
      <w:r>
        <w:rPr>
          <w:rFonts w:ascii="IRNazanin" w:hAnsi="IRNazanin" w:eastAsia="IRNazanin"/>
          <w:color w:val="111111"/>
          <w:sz w:val="28"/>
          <w:sz w:val="28"/>
          <w:szCs w:val="28"/>
          <w:rtl w:val="true"/>
          <w:lang w:bidi="fa-IR"/>
        </w:rPr>
        <w:t>فظهر ممّا ذکرنا بطوله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ینطبق تعریف التضادّ علی الأحکام الخمسة بأیّ معنی فسّر به الحکم، نعم بینها تخالف، فالأحکام الخمسة بعضها مع بعض متخالفات، لا متضادّات، فما هو المشهور بینهم من أنّ النسبة بین الأحکام الخمسة نسبة التضادّ، لیس علی ما ینبغی، فتدبّر و کن من الشاکرین</w:t>
      </w:r>
      <w:r>
        <w:rPr>
          <w:rFonts w:eastAsia="IRNazanin" w:cs="IRNazanin"/>
          <w:color w:val="111111"/>
          <w:sz w:val="28"/>
          <w:szCs w:val="28"/>
          <w:rtl w:val="true"/>
          <w:lang w:bidi="fa-IR"/>
        </w:rPr>
        <w:t>.</w:t>
      </w:r>
    </w:p>
    <w:p>
      <w:pPr>
        <w:pStyle w:val="Heading5"/>
        <w:numPr>
          <w:ilvl w:val="4"/>
          <w:numId w:val="1"/>
        </w:numPr>
        <w:rPr/>
      </w:pPr>
      <w:bookmarkStart w:id="149" w:name="__RefHeading___Toc4026121_3224264995"/>
      <w:bookmarkStart w:id="150" w:name="_Toc56"/>
      <w:bookmarkEnd w:id="149"/>
      <w:r>
        <w:rPr>
          <w:rtl w:val="true"/>
        </w:rPr>
        <w:t>تزییف بعض أدلّة المجوّزین</w:t>
      </w:r>
      <w:bookmarkEnd w:id="150"/>
    </w:p>
    <w:p>
      <w:pPr>
        <w:pStyle w:val="BookText"/>
        <w:rPr/>
      </w:pPr>
      <w:r>
        <w:rPr>
          <w:rFonts w:ascii="IRNazanin" w:hAnsi="IRNazanin" w:eastAsia="IRNazanin"/>
          <w:color w:val="111111"/>
          <w:sz w:val="28"/>
          <w:sz w:val="28"/>
          <w:szCs w:val="28"/>
          <w:rtl w:val="true"/>
          <w:lang w:bidi="fa-IR"/>
        </w:rPr>
        <w:t>قد ظهر و 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اجتماع الأمر و النهی من دون إشکال، و لکن ربما استدلّ بعض المجوّزین</w:t>
      </w:r>
      <w:r>
        <w:rPr>
          <w:rStyle w:val="FootnoteAnchor"/>
          <w:rtl w:val="true"/>
        </w:rPr>
        <w:footnoteReference w:id="99"/>
      </w:r>
      <w:r>
        <w:rPr>
          <w:rFonts w:ascii="IRNazanin" w:hAnsi="IRNazanin" w:eastAsia="IRNazanin"/>
          <w:color w:val="111111"/>
          <w:sz w:val="28"/>
          <w:sz w:val="28"/>
          <w:szCs w:val="28"/>
          <w:rtl w:val="true"/>
          <w:lang w:bidi="fa-IR"/>
        </w:rPr>
        <w:t>بما لا یخلو من نظر،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أدلّ الدلیل علی إمکان الشی‌ء و صحّته هو وقوعه، و قد وقع فی الشریعة المقدّسة ما یکون نظیراً لمسألة الاجتماع؛ و ذلک مثل استحباب الصلاة فی المسجد، و کراهة الصلاة فی الحمّام، و کراهة الصوم یوم العاشور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الأمثلة، فقد اجتمع الوجوب و الاستحباب فی المثال الأوّل، کما اجتمع الوجوب و الکراهة فی المثال الثانی، و قد اجتمع الاستحباب و الکراهة فی المثال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الأحکام الخمسة بأسرها عندهم متضادّة من دون اختصاص لها بالوجوب و الحرمة، ففی الواجبات المستحبّة کالصلاة المفروضة فی المسجد، أو الواجبات المکروهة کالصلاة فی الحمّام، أو المستحبّات المکروهة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کصوم یوم العاشور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حکمان فی موضوع واحد کمسألتنا هذه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التضادّ بین الأحکام الخمسة مانعاً عن القول بجواز الاجتماع، فلیکن مانعاً فی تلک الأمثلة و نظرائها ممّا هو کثیر فی الشریعة،</w:t>
      </w:r>
    </w:p>
    <w:p>
      <w:pPr>
        <w:pStyle w:val="BookText"/>
        <w:rPr/>
      </w:pPr>
      <w:r>
        <w:rPr>
          <w:rFonts w:ascii="IRNazanin" w:hAnsi="IRNazanin" w:eastAsia="IRNazanin"/>
          <w:color w:val="111111"/>
          <w:sz w:val="28"/>
          <w:sz w:val="28"/>
          <w:szCs w:val="28"/>
          <w:rtl w:val="true"/>
          <w:lang w:bidi="fa-IR"/>
        </w:rPr>
        <w:t>فبملاحظة هذه الموارد و أشباهها فیها یستکشف بطلان المقدّم؛ و هو امتناع اجتماع الوجوب و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الاستدلال بالظاهر فی المسألة العقلیة غیر وجیه؛ لأنّ القائل بالامتناع یری امتناع الاجتماع، فإن ورد هناک ظاهر أوّله أو طرحه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بظواهر الأدلّة بعد قیام البرهان العقلی علی الامتناع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عن آداب المناظرة،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الاستدلال بالوقوع إنّما هو بعد مسلّمیة الوقوع، و لم تکن العبادات المستحبّة أو المکروهة عند القائل بالامتناع کذلک؛ لأنّه یؤوّلها أو یطرحها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اجتماع الحکمین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کالوجوب و الکراهة فی مورد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من مسألة الاجتماع حتّی یکون دلیلًا علی الجواز؛ لأنّه یتصوّر 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یتعلّق النهی بعنوان تکون النسبة بینه و بین عنوان تعلّق به الأمر، عموماً من وجه، کالصلاة فی مواضع التهمة بناءً علی أن تکون کراهتها من جهة کراهة الکون فیها المتحد مع الصلاة؛ فإنّ النهی لم یتعلّق بعنوان تعلّق به الأمر بذاته، بل تعلّق بعنوان یجامع عنوان العبادة 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النهی بعنوان تکون النسبة بینه و بین ما تعلّق به الأمر، عموماً مطلقاً، کالأمر بالصلاة، و النهی عن الصلاة فی الحمّام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النهی بعین ما تعلّق به الأمر، کصوم یوم العاشور، و النوافل المبتدئة عند طلوع الشمس و غروبها، و من المعلوم أنّ القسم الثالث خارج عن مسألة الاجتماع، بل عرفت فی الأمر التاسع أنّ دخول بعض أقسام القسم الثانی فی محطّ البحث، لا یخلو من إشکال</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فبقی القسم الأوّل من الواجب و المکروه فی محطّ البحث؛ و هو ما إذا تعلّق</w:t>
      </w:r>
      <w:bookmarkStart w:id="151" w:name="pg12934_164472"/>
    </w:p>
    <w:p>
      <w:pPr>
        <w:pStyle w:val="BookText"/>
        <w:rPr/>
      </w:pPr>
      <w:bookmarkEnd w:id="151"/>
      <w:r>
        <w:rPr>
          <w:rFonts w:ascii="IRNazanin" w:hAnsi="IRNazanin" w:eastAsia="IRNazanin"/>
          <w:color w:val="111111"/>
          <w:sz w:val="28"/>
          <w:sz w:val="28"/>
          <w:szCs w:val="28"/>
          <w:rtl w:val="true"/>
          <w:lang w:bidi="fa-IR"/>
        </w:rPr>
        <w:t>النهی بعنوان تکون النسبة بینه و بین ما تعلّق به الأمر، عموماً من وجه، و الکلام فیه هو الکلام فیما لو تعلّق الأمر الوجوبی بعنوان، و النهی التحریمی بعنوان، و کانت النسبة بینهما عموماً من وجه، فکما قلنا بالجواز هناک نقول بالجواز هنا طابق النعل بالنعل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الحال فی أقسام القسم الثانی، ففی القسم الثالث و بعض أقسام القسم الثانی، لا بدّ لکلّ من القائلین بالجواز و الامتناع من التفصّی عن الإشکال فیما لو تعلّق النهی التنزیهی بعین ما تعلّق به الأمر، و کذا بعض أقسام کون النسبة بین الدلیلین عموماً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البحث فی ذلک و إن کان خارجاً عن مسألة الاجتماع، إلّا أنّه لا یخلو من ارتباط بها، و هذا ما ستقرؤه تحت عنوان</w:t>
      </w:r>
      <w:r>
        <w:rPr>
          <w:rFonts w:eastAsia="IRNazanin" w:cs="IRNazanin"/>
          <w:color w:val="111111"/>
          <w:sz w:val="28"/>
          <w:szCs w:val="28"/>
          <w:rtl w:val="true"/>
          <w:lang w:bidi="fa-IR"/>
        </w:rPr>
        <w:t>:</w:t>
      </w:r>
    </w:p>
    <w:p>
      <w:pPr>
        <w:pStyle w:val="Heading5"/>
        <w:numPr>
          <w:ilvl w:val="4"/>
          <w:numId w:val="1"/>
        </w:numPr>
        <w:rPr/>
      </w:pPr>
      <w:bookmarkStart w:id="152" w:name="__RefHeading___Toc4026123_3224264995"/>
      <w:bookmarkStart w:id="153" w:name="_Toc57"/>
      <w:bookmarkEnd w:id="152"/>
      <w:r>
        <w:rPr>
          <w:rtl w:val="true"/>
        </w:rPr>
        <w:t>تذییل فی حکم العبادات المکروهة</w:t>
      </w:r>
      <w:bookmarkEnd w:id="153"/>
    </w:p>
    <w:p>
      <w:pPr>
        <w:pStyle w:val="Heading6"/>
        <w:numPr>
          <w:ilvl w:val="5"/>
          <w:numId w:val="1"/>
        </w:numPr>
        <w:rPr/>
      </w:pPr>
      <w:bookmarkStart w:id="154" w:name="__RefHeading___Toc4026125_3224264995"/>
      <w:bookmarkStart w:id="155" w:name="_Toc58"/>
      <w:bookmarkEnd w:id="154"/>
      <w:r>
        <w:rPr>
          <w:rtl w:val="true"/>
        </w:rPr>
        <w:t>توجیه المحقّق النائینی فی المقام</w:t>
      </w:r>
      <w:bookmarkEnd w:id="155"/>
    </w:p>
    <w:p>
      <w:pPr>
        <w:pStyle w:val="BookText"/>
        <w:rPr/>
      </w:pPr>
      <w:r>
        <w:rPr>
          <w:rFonts w:ascii="IRNazanin" w:hAnsi="IRNazanin" w:eastAsia="IRNazanin"/>
          <w:color w:val="111111"/>
          <w:sz w:val="28"/>
          <w:sz w:val="28"/>
          <w:szCs w:val="28"/>
          <w:rtl w:val="true"/>
          <w:lang w:bidi="fa-IR"/>
        </w:rPr>
        <w:t>قال المحقّق النائینی قدس سره فی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إذا کانت النسبة بین ما تعلّق به الأمر و ما تعلّق به النهی التنزیهی، عموماً من وجه، کالأمر بالصلاة، و النهی عن الکون فی بیوت التهمة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القسم و إن کان داخلًا فی مسألة الاجتماع، و یکون مثل ما إذا کان النهی تحریمیاً، لکنّه فرق بینهما من جهة أنّ النهی التنزیهی، لا یوجب تقیید متعلّق الأمر بما عدا مورد الاجتماع، سواء قلنا بجواز الاجتماع، أو امتناعه، بخلاف النهی التحریمی، فإنّه یقتضی التقیید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اقتضاء النهی التحریمی ذلک؛ فلأجل أنّ الأمر بالطبیعة حیث إنّه یقتضی أو</w:t>
      </w:r>
    </w:p>
    <w:p>
      <w:pPr>
        <w:pStyle w:val="BookText"/>
        <w:rPr/>
      </w:pPr>
      <w:r>
        <w:rPr>
          <w:rFonts w:ascii="Amiri" w:hAnsi="Amiri" w:eastAsia="Amiri" w:cs="Amiri"/>
          <w:color w:val="111111"/>
          <w:sz w:val="28"/>
          <w:sz w:val="28"/>
          <w:szCs w:val="28"/>
          <w:rtl w:val="true"/>
          <w:lang w:bidi="ar-SA"/>
        </w:rPr>
        <w:t>یتضمّن</w:t>
      </w:r>
      <w:r>
        <w:rPr>
          <w:rStyle w:val="FootnoteAnchor"/>
          <w:rtl w:val="true"/>
        </w:rPr>
        <w:footnoteReference w:id="100"/>
      </w:r>
      <w:r>
        <w:rPr>
          <w:rFonts w:ascii="IRNazanin" w:hAnsi="IRNazanin" w:eastAsia="IRNazanin"/>
          <w:color w:val="111111"/>
          <w:sz w:val="28"/>
          <w:sz w:val="28"/>
          <w:szCs w:val="28"/>
          <w:rtl w:val="true"/>
          <w:lang w:bidi="fa-IR"/>
        </w:rPr>
        <w:t>الرخصة بالنسبة إلی أیّ وجود یفرض من الطبیعة، و أیّ فردٍ یأتی به المکلّف بمقتضی الإطلاق البدلی، و أنّ النهی التحریمی لمکان إطلاقه الشمولی، یقتضی المنع و عدم الرخصة فی إتیان ذلک الفرد، فیحصل التدافع بین کلّ من إطلاق الأمر و إطلاق النهی؛ من حیث ما یقتضیانه من الرخصة و عدمها، فلا بدّ حینئذٍ من تقیید إطلاق متعلّق الأمر بما عدا ذلک الفرد؛ لقوّة إطلاق النهی من حیث کونه شمولیاً، و یخرج ذلک الفرد عن صلاحیته لانطباق الطبیعة المأمور بها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اقتضاء النهی التنزیهی ذلک؛ فأمّا علی القول بالجواز فواضح، و أمّا علی الامتناع فلأجل أنّ النهی التنزیهی، لا یقتضی المنع و عدم الرخصة، کما کان یقتضیه النهی التحریمی، بل التنزیهی یقتضی بنفسه الرخصة، و المفروض أنّ الأمر أیضاً یقتضی الرخصة بذلک الفرد، فلا تدافع بین مقتضی الإطلاقین، فلا موجب لتقیید إطلاق الأمر بما عدا المجمع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الامتناعی إنّما یقول به للزوم تعلّق الأمر بعین ما تعلّق به النهی، و مع العینیة لا یفترق الحال بین ما إذا کان النهی تحریمیاً، أو کان تنزیهیاً، لثبوت المضادّة فی جمیع الأحکام الخمسة</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بالعینیة، لیس أنّ الفرد المأتیّ به عین ما تعلّق به الأمر و النهی؛ لوضوح أنّ الأمر لم یتعلّق بالمأتی به، بل تعلّق بالطبیعة بما أنّها مرآة لما فی الخارج، و یکون المأتیّ به ممّا تنطبق علیه الطبیعة بمقتضی إطلاقها، و قد عرفت أنّ الإطلاق لا یقتضی أزید من الرخصة فی کلّ فرد مع جواز ترکه إلی بدل؛ لمکان کون الأفراد متساویة الأقدام فی انطباق الطبیعة علی کلّ منها، و النهی التحریمی یوجب</w:t>
      </w:r>
    </w:p>
    <w:p>
      <w:pPr>
        <w:pStyle w:val="BookText"/>
        <w:rPr/>
      </w:pPr>
      <w:r>
        <w:rPr>
          <w:rFonts w:ascii="IRNazanin" w:hAnsi="IRNazanin" w:eastAsia="IRNazanin"/>
          <w:color w:val="111111"/>
          <w:sz w:val="28"/>
          <w:sz w:val="28"/>
          <w:szCs w:val="28"/>
          <w:rtl w:val="true"/>
          <w:lang w:bidi="fa-IR"/>
        </w:rPr>
        <w:t>رفع هذا التساوی، و إلّا لزم اجتماع الرخصة و اللارخصة، فیوجب التقیید، بخلاف النهی التنزیهی، فإنّه لا یرفع هذا التساوی؛ لبقاء الرخصة حالها، فتأمّل جیّداً؛ فإنّه لا یخلو من دقّة و لطافة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تعرّض للقسم الثانی؛ و هو ما إذا کانت النسبة بین العنوانین عموماً مطلقاً،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الکلام فیه هو الکلام فی القسم الأوّل من عدم اقتضاء النهی التنزیهی التقیید؛ لأنّ مقتضی إطلاق الأمر الوجوبی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الرخصة فی الصلاة فی الحمّام، و النهی التنزیهی لا ینافی هذه الرخصة، و لا یوجب ذلک عینیة متعلّق الأمر و النهی حتّی یلزم اجتماع الضدّین؛ لأنّ الأمر الوجوبی تعلّق بالطبیعة علی نحو صِرف الوجود، و لم یتعلّق بجمیع حصصها علی نحو الشمول و السریان، و مقتضی ذلک لیس بأزید من الرخصة فی إیجاد الطبیعة فی ضمن أیّ حصّة، و هذا لا ینافی النهی التنزیهی عن حصّة خاصّة؛ لأنّه أیضاً یقتضی الرخصة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تعرّض للقسم الثالث، و هو المهمّ بالبحث هنا؛ و هو ما إذا تعلّق النهی التنزیهی بعین ما تعلّق به الأمر، کصوم یوم العاشور، و الصلاة عند طلوع الشمس و غروبها، فقال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التوجیه الذی ذکرناه فی القسمین الأوّلین، لا یجری فی هذا القسم؛ لأنّ صوم یوم العاشور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أنّه صوم یوم العاشور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لاستحباب صوم کلّ یوم بخصوصه، و معه لا یعقل أن یتعلّق به النهی التنزیهی؛ لأجل التضادّ الواقع بین الأحکام الخمسة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التوجیه الذی ینبغی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مرکب النهی التنزیهی غیر مرکب الاستحباب؛ لأنّ مرکب الأمر هو نفس العمل و ذات الصوم، و مرکب النهی التنزیهی هو التعبّد بالصوم أو الصلاة، و التقرّب به إلیه تعالی، فلا یلزم اجتماع الحکمین فی مرکب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فالمقام نظیر تعلّق الأمر النفسی بذات صلاة الظهر مثلًا، مع الأمر المقدّمی بها من حیث کونها مقدّمة وجودیة لصلاة العصر؛ لأنّ الأمر النفسی تعلّق بذات صلاة الظهر، و الأمر المقدّمی تعلّق بها بوصف کونها مأموراً بها، لأنّ ذات صلاة الظهر لم تکن مقدّمة لصلاة العصر، بل المقدّمة هی صلاة الظهر المأتی بها بداعی أمرها و بما أنّها متعبّد بها، مثل الأمر الآتی من قبل الإجارة إذا آجر الشخص نفسه لما یکون مستحبّاً علی الغیر، أو واجباً علیه؛ لأنّ الأمر الوجوبی الآتی من قِبل الوفاء بالعقد، إنّما یکون متعلّقاً بالعمل بوصف کونه مستحبّاً علی الغیر، أو واجباً علیه، لا بما هو ذات العمل؛ لأنّ الشخص إنّما صار أجیراً لتفریغ ذمّة الغیر، و لا یحصل ذلک إلّا بقصد الأمر المتوجّه إلی ذلک الغیر</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أنّه لا یکون من اجتماع المثلین، و لا من اتحاد الأمرین، کاتحاد الأمر بالوفاء بالنذر مع الأمر بصلاة اللیل عند نذرها، فإنّ متعلّق النذر هو ذات صلاة اللیل، لا صلاة اللیل بوصف کونها مستحبّة؛ لأنّ وصف الاستحباب لا یدخل تحت النذر، لأنّه بعد النذر تصیر صلاة اللیل واجبة علیه، فلا یمکن إتیانها حینئذٍ بوصف کونها مستحبّة، و لا بدّ و أن یکون المنذور مقدوراً للناذر فی ظرف الامتثال، فمتعلّق النذر لا بدّ و أن یکون ذات صلاة اللیل، و الأمر الاستحبابی أیضاً تعلّق بالذات، فیتحد متعلّق الأمر الاستحبابی مع متعلّق الأمر الوجوبی الآتی من قِبل الوفاء بالنذر، و معلوم أنّ الأمر الاستحبابی یندکّ حینئذٍ فی الأمر الوجوبی، کما أنّ الأمر الآتی من قِبل النذر یکتسب التعبّدیة، فیکتسب کلّ من الأمر الوجوبی و الاستحبابی من الآخر، ما یکون فاقداً له؛ فیکتسب الأمر الوجوبی التعبّدیة، کما أنّ الأمر الاستحبابی یکتسب الوجوب، و لا یعقل فی مثل هذا بقاء الأمر الاستحبابی علی حاله؛ لوحدة المتعلّقین، فیلزم اجتماع الوجوب و الاستحباب فی شی‌ء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نحن فیه یکون مرکب کلّ منهما غیر الآخر؛ فإنّ مرکب الأمر الاستحبابی هو ذات الصوم یوم العاشور، أو الصلاة عند طلوع الشمس، و النهی التنزیهی غیر متعلّق بذلک، بل تعلّق بالتعبّد بالصوم و الصلاة فی ذلک الیوم و الوقت؛ لما فی التعبّد بهما من التشبّه ببنی امیّة و عبدة الشمس، لأنّ بنی 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کانوا یتعبّدون بصوم یوم العاشور و یتقرّبون به إلی اللَّه تعالی، و کذا عبدة الشمس کانوا یتعبّدون بعملهم فی أوّل طلوع الشمس، فالمنهی عنه بالنهی التنزیهی هو ما کان علیه عمل هؤلاء، و لیس هو إلّا التعبّد، فیکون التعبّد مکروهاً مع کون العمل مستحبّاً، و لا تنافی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النهی تحریمیاً کان ذلک منافیاً لاستحباب العمل؛ لأنّ حرمة التعبّد لا تجامع صحّة العمل، بخلاف کراهیة التعبّد المتضمّنة للرخصة، فتأمّل فیما ذکرناه جیّداً</w:t>
      </w:r>
      <w:r>
        <w:rPr>
          <w:rStyle w:val="FootnoteAnchor"/>
          <w:rtl w:val="true"/>
        </w:rPr>
        <w:footnoteReference w:id="101"/>
      </w:r>
      <w:r>
        <w:rPr>
          <w:rFonts w:ascii="IRNazanin" w:hAnsi="IRNazanin" w:eastAsia="IRNazanin"/>
          <w:color w:val="111111"/>
          <w:sz w:val="28"/>
          <w:sz w:val="28"/>
          <w:szCs w:val="28"/>
          <w:rtl w:val="true"/>
          <w:lang w:bidi="fa-IR"/>
        </w:rPr>
        <w:t>، انتهی کلامه محرّراً زید فی علوّ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أفاده قدس سره مواقع للنظر</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 فی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الأمر بالطبیعة یتضمّن أو یقتضی الرخصة بالنسبة إلی أیّ فرد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إن کان مراده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قبال المطابقة؛ حتّی یکون المراد أنّ للأمر مفادین و مدلولین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المدلول المطابقی، 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المدلول التضمّنی؛ بحیث یکون لمجموع الکلام دلالتان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مطابقیة تدلّ علی لزوم إتیان الطبیعة، و دلالة اخری تضمّنیة تدلّ علی الرخصة فی إتیان أیّ فرد منها، فهذا ما لا أظنّ التزامه به، و الظاهر أنّه لم یکن مراده</w:t>
      </w:r>
      <w:r>
        <w:rPr>
          <w:rStyle w:val="FootnoteAnchor"/>
          <w:rtl w:val="true"/>
        </w:rPr>
        <w:footnoteReference w:id="102"/>
      </w:r>
      <w:r>
        <w:rPr>
          <w:rFonts w:ascii="IRNazanin" w:hAnsi="IRNazanin" w:eastAsia="IRNazanin"/>
          <w:color w:val="111111"/>
          <w:sz w:val="28"/>
          <w:sz w:val="28"/>
          <w:szCs w:val="28"/>
          <w:rtl w:val="true"/>
          <w:lang w:bidi="fa-IR"/>
        </w:rPr>
        <w:t>، و لو کان مراده ففساده غنی عن البیان؛ ضرورة أنّه لیس فی الأمر إلّا دلالة واحدة علی متعلّقه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مراده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 منه و من الاقتضاء، فیتوجّه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تعلّق الأمر بطبیعة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إلّا إتیان الطبیعة، و لا یتجاوز الأمر عمّا تعلّق به إلی الرخصة فی إیجاد الطبیعة فی ضمن أیّ فردٍ، و لا یدلّ علی الاکتفاء بالفرد، و لکن حیث إنّ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الإطاعة و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أنّ کلّاً من الأفراد المأتیّ بها تنطبق علیه الطبیعة تمام الانطباق و تکون الطبیعة عین الفرد، فیرخّص فی الإتیان بأیّ فرد منها، فالترخیص إنّما جاء من حکم العقل، لا من الشرع، و إطلاق الطبیعة لا یقتضی الترخیص بالنسبة إلی إتیان کلّ فرد، بل غایة ما یقتضیه هی أنّ الطبیعة تمام الموضوع للإتیان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لا دلالة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تضمّناً و لا 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الرخصة فی إتیان کلّ فرد فرد</w:t>
      </w:r>
      <w:r>
        <w:rPr>
          <w:rStyle w:val="FootnoteAnchor"/>
          <w:rtl w:val="true"/>
        </w:rPr>
        <w:footnoteReference w:id="103"/>
      </w:r>
      <w:r>
        <w:rPr>
          <w:rFonts w:ascii="IRNazanin" w:hAnsi="IRNazanin" w:eastAsia="IRNazanin"/>
          <w:color w:val="111111"/>
          <w:sz w:val="28"/>
          <w:sz w:val="28"/>
          <w:szCs w:val="28"/>
          <w:rtl w:val="true"/>
          <w:lang w:bidi="fa-IR"/>
        </w:rPr>
        <w:t>، و إنّما ذلک حکم العقل</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قدس سره من قِبل القائلین بالامتناع، لیس علی ما ینبغی؛ و ذلک لأنّ المحقّق الخراسانی قدس سره من المانعین، و قد صرّح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بأنّ المجمع حیث کان واحداً وجوداً و ذاتاً، کان تعلّق الأمر و النهی به محالًا و لو کان تعلّقهما به بعنوانین </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فتری أنّه قدس سره ینادی جهاراً بأنّ متعلّق الأمر فی الحقیقة، عین متعلّق النهی، فإذن یلزم اجتماع الحکمین المتضادّین فی موضوع واحد، فما قاله قدس سره 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 فیه جیّداً؛ فإنّه لا یخلو من دقّة و لطافة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 شی‌ء منهما، بل فیه إشکال،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حدیث الإطلاق البدلی ساقط من رأسه، کما أشرنا إلیه إجمالًا، و سنشیر إلیه مفصّلًا فی باب المطلق و المقیّد، فارتقب حتّی 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هنا إطلاق بدلی، فلا نسلّم کونه دون الإطلاق الشمولی؛ و أنّ الإطلاق الشمولی أقوی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تقدیم جانب النهی علی القول بالامتناع إذا کانت هناک مندوحة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علی القول بالجواز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لأجل الجمع بین الغرضین، لا لأقوائیة الشمولیة من البدلیة، و لذا لو فرض فی مورد أنّ الأمر أقوی ظهوراً من النهی، فمع ذلک یرجّح جانب النهی، و لیس ذلک إلّا لما ذکرنا من أنّه لأجل الجمع بین الغرضین،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قدس سره فی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الکلام فیه هو الکلام فی القسم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ما ینبغی؛ لأنّه قدس سره صرّح فی تحریر محطّ النزاع خلافاً لصاحب الفصول قدس سره بخروج العموم المطلق عن محطّ النزاع؛ بدعوی أنّه یلزم من ذلک تعلّق الأمر بعین ما تعلّق به النهی</w:t>
      </w:r>
      <w:r>
        <w:rPr>
          <w:rStyle w:val="FootnoteAnchor"/>
          <w:rtl w:val="true"/>
        </w:rPr>
        <w:footnoteReference w:id="105"/>
      </w:r>
      <w:r>
        <w:rPr>
          <w:rFonts w:ascii="IRNazanin" w:hAnsi="IRNazanin" w:eastAsia="IRNazanin"/>
          <w:color w:val="111111"/>
          <w:sz w:val="28"/>
          <w:sz w:val="28"/>
          <w:szCs w:val="28"/>
          <w:rtl w:val="true"/>
          <w:lang w:bidi="fa-IR"/>
        </w:rPr>
        <w:t xml:space="preserve">، و قد عرفت دخول قسم منه فی محطّ النزاع، و التردّدَ فی دخول قسم آخر منه فی ذلک، فلاحظ، فمع ذلک کیف ادّعی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الکلام فیه هو الکلام فی القسم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دخوله فی القسم الثالث أشبه؟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التفرقة بین بابی النذر و 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وحدة المتعلّق و تعدّده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وجیه؛ لأنّ وزان باب النذر وزان باب الإجارة، و متعلّق النذر و الإجارة غیر متعلّق الاستحباب أو الوجوب؛ فإنّ الوجوب أو الاستحباب تعلّق بعنوان أوّلی للعمل؛ أعنی ذات الصلاة مثلًا، و الواجب بالنذر هو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الوفاء بالنذر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الواجب بالإجارة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الوفاء بعقد 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واضح أنّ هذین</w:t>
      </w:r>
    </w:p>
    <w:p>
      <w:pPr>
        <w:pStyle w:val="BookText"/>
        <w:rPr/>
      </w:pPr>
      <w:r>
        <w:rPr>
          <w:rFonts w:ascii="IRNazanin" w:hAnsi="IRNazanin" w:eastAsia="IRNazanin"/>
          <w:color w:val="111111"/>
          <w:sz w:val="28"/>
          <w:sz w:val="28"/>
          <w:szCs w:val="28"/>
          <w:rtl w:val="true"/>
          <w:lang w:bidi="fa-IR"/>
        </w:rPr>
        <w:t xml:space="preserve">العنوانین غیر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تعلّق به الأمر الوجوبی أو الاستحبابی، و من الواضح أنّ عنوانی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الوفاء بالنذر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سائر العناوین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ینطبق علی الموجود الخارجی و المصداق الصلاتی مثلًا، فتکون الصلاة الخارجیة مجمعاً للعنوانین، غایته أنّها مصداق حقیقی للصلاة، و ینطبق علیها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الوفاء بالنذر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الوفاء بالإجارة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عناوین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الوفاء بالنذر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الوفاء بالإجارة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العناوین مختلفة فی ظرف تعلّق الحکم، و مجرّد الاتحاد خارجاً لا یضرّ، کما لم یکد یضرّ تعلّق الأمر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النهی عن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 فی مال الغیر بغیر 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اتحادهما خارجاً، فعلی هذا من نذر صلاة اللیل، فلازم الوفاء بالنذر هو إتیان صلاة اللیل بداعی الأمر المتوجّه إلی ذات صلاة اللیل، أو بوصف کونها مستحبّةً لو کان قصد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الوجوب أو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معتبراً، و إلّا فلو أتی بصلاة اللیل بقصد کونها واجبةً لم یکن موفیاً بالنذر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الحال فی الإجارة، فإنّ مقتضی الوفاء بالإجارة، هو إتیان العبادة بداعی الأمر المتوجّه إلی المنوب عنه واجباً أو مستحبّاً، أو بوصف کونها واجبةً أو مستحبّةً علی الغیر؛ لأنّ ذلک هو متعلّق الأمر الإجاری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التفرقة فی بابی النذر و 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وحدة المتعلّق و تعدّده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وجیه؛ لأنّهما یرتضعان من ثدی واحد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عدم استقامة ما ذکره من التعدّد العنوانی فی باب الإجارة؛ مدعیاً أنّ الأمر الإجاری یتعلّق بالعمل بوصف کونه واجباً أو مستحبّاً علی الغیر، کما سنشیر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أنّ مرکب الأمر الاستحبابی و النذری واحد، فما معنی الاکتساب و التولّد الذی صرّح به قدس سره فی غیر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بداهة أنّ الأمر المتعلّق بعنوان لا یکاد یتجاوزه إلی غیره، و أنّه إذا ثبتت موضوعیة شی‌ء لحکم لا ینقلب عمّا هو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ولیت شعری کیف یصیر الواجب التوصّلی تعبّدیاً؟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یصیر المستحبّ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هذا إلّا استحسان خیالی لا ینبغی العکوف علیه ممّن هو من الأفاضل، فضلًا عمّن کان من الأعاظم؟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فی تعلّق الأمر النفسی و الغیری بصلاة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 أنّ الأمر النفسی متعلّق بذات صلاة الظهر، و الأمر الغیری متعلّق بها بوصف کونها مأموراً بها فی غیر محلّه؛ لأنّ الأمر النفسی لو کان متعلّقاً بذات صلاة الظهر، یکون الواجب توصّلیاً یصحّ إتیانه کیف اتفق، مع أنّه لیس کذلک، فمتعلّق الأمر النفسی صلاة الظهر بوصف کونها مأموراً بها، و قد سبق فی محلّه</w:t>
      </w:r>
      <w:r>
        <w:rPr>
          <w:rStyle w:val="FootnoteAnchor"/>
          <w:rtl w:val="true"/>
        </w:rPr>
        <w:footnoteReference w:id="106"/>
      </w:r>
      <w:r>
        <w:rPr>
          <w:rFonts w:ascii="IRNazanin" w:hAnsi="IRNazanin" w:eastAsia="IRNazanin"/>
          <w:color w:val="111111"/>
          <w:sz w:val="28"/>
          <w:sz w:val="28"/>
          <w:szCs w:val="28"/>
          <w:rtl w:val="true"/>
          <w:lang w:bidi="fa-IR"/>
        </w:rPr>
        <w:t>إمکان أخذ قصد القربة أو القربة فی متعلّق الأمر بدلیل واحد، و لو لم یمکن ذلک بدلیل واحد لأمکن اعتباره بدلیل آخر من إجماع أو غیره بنتیجة التقیید مثلًا، کما یراه هذا المحقّق</w:t>
      </w:r>
      <w:r>
        <w:rPr>
          <w:rStyle w:val="FootnoteAnchor"/>
          <w:rtl w:val="true"/>
        </w:rPr>
        <w:footnoteReference w:id="107"/>
      </w:r>
      <w:r>
        <w:rPr>
          <w:rFonts w:ascii="IRNazanin" w:hAnsi="IRNazanin" w:eastAsia="IRNazanin"/>
          <w:color w:val="111111"/>
          <w:sz w:val="28"/>
          <w:sz w:val="28"/>
          <w:szCs w:val="28"/>
          <w:rtl w:val="true"/>
          <w:lang w:bidi="fa-IR"/>
        </w:rPr>
        <w:t>، فاتحد متعلّق الأمر النفسی و الأمر المقدّمی علی مبناه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فی المقام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 إلیه فی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الواجب مقدّمةً هو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غیر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فاختلف مرکب الأمر النفسی مع الأمر الغیری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 یظهر عدم استقامة ما أفاده فیما نحن فیه من استحباب ذات الصلاة عند طلوع الشمس و غروبها، أو ذات الصوم یوم العاشور، و أنّ الصلاة أو الصوم المتعبّد به مکروه؛ لأنّ ذات الصلاة أو الصوم لم تکن مأموراً بها واقعاً، و إلّا یلزم أن یکونا مستحبّین توصّلیین، فالمستحبّ هی الصلاة و الصوم بقصد التعبّد بهما، فیتحد الموضوعان، و لا یعقل أن یکون العمل المستحبّ واقعاً مرجوحاً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الضدّین کما یمتنع تواردهما علی موضوع واحد، کذلک یمتنع عروض أحدهما علی الآخر، فإذن الوجوب و الاستحباب کما لا یکاد یجتمعان فی موضوع واحد، کذلک لا یعقل أن یکون أحدهما موضوعاً للآخر، مع أنّه لو سلّم جمیع ما ذکره، تکون ذات الصلاة عند طلوع الشمس أو الصوم یوم العاشور مستحبةً، و الصلاة عند طلوع الشمس هی مستحبّة مکروهة، و کذا الصوم یوم العاشور بما هو مستحبّ مکروه، و هذا لا یجوز؛ لأنّ لازمه أن یکون موضوع الحکم منافیاً لحکمه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قدس سره أشار فی ذیل کلامه إلی أنّ النهی عن الصوم یوم العاشور و عن الصلاة عند طلوع الشمس، بلحاظ التشبّه بأعداء الدین؛ أی التشبّه ببنی امیّة فی صوم یوم العاشور، و التشبّه بعبدة الأصنام فی الصلاة المبتدئة عند طلوع الشمس و غروبها</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أراد أنّ النهی و إن تعلّق ظاهراً بالصوم و الصلاة، إلّا أنّه فی الواقع متعلّق بنفس التشبّه، فلا بأس به، و هو راجع إلی ما سنذکره قریباً، إلّا أنّ إثبات ذلک لا یحتاج إلی التکلّفات التی أتعب بها نفسه الزکیة</w:t>
      </w:r>
      <w:r>
        <w:rPr>
          <w:rFonts w:eastAsia="IRNazanin" w:cs="IRNazanin"/>
          <w:color w:val="111111"/>
          <w:sz w:val="28"/>
          <w:szCs w:val="28"/>
          <w:rtl w:val="true"/>
          <w:lang w:bidi="fa-IR"/>
        </w:rPr>
        <w:t>.</w:t>
      </w:r>
      <w:bookmarkStart w:id="156" w:name="pg12934_164482"/>
    </w:p>
    <w:p>
      <w:pPr>
        <w:pStyle w:val="Heading6"/>
        <w:numPr>
          <w:ilvl w:val="5"/>
          <w:numId w:val="1"/>
        </w:numPr>
        <w:rPr/>
      </w:pPr>
      <w:bookmarkStart w:id="157" w:name="__RefHeading___Toc4026127_3224264995"/>
      <w:bookmarkStart w:id="158" w:name="_Toc59"/>
      <w:bookmarkEnd w:id="156"/>
      <w:bookmarkEnd w:id="157"/>
      <w:r>
        <w:rPr>
          <w:rtl w:val="true"/>
        </w:rPr>
        <w:t>توجیه الشیخین الأنصاری و الخراسانی لتعلّق النهی بعین ما تعلّق به الأمر</w:t>
      </w:r>
      <w:bookmarkEnd w:id="158"/>
    </w:p>
    <w:p>
      <w:pPr>
        <w:pStyle w:val="BookText"/>
        <w:rPr/>
      </w:pPr>
      <w:r>
        <w:rPr>
          <w:rFonts w:ascii="IRNazanin" w:hAnsi="IRNazanin" w:eastAsia="IRNazanin"/>
          <w:color w:val="111111"/>
          <w:sz w:val="28"/>
          <w:sz w:val="28"/>
          <w:szCs w:val="28"/>
          <w:rtl w:val="true"/>
          <w:lang w:bidi="fa-IR"/>
        </w:rPr>
        <w:t>حکی</w:t>
      </w:r>
      <w:r>
        <w:rPr>
          <w:rStyle w:val="FootnoteAnchor"/>
          <w:rtl w:val="true"/>
        </w:rPr>
        <w:footnoteReference w:id="109"/>
      </w:r>
      <w:r>
        <w:rPr>
          <w:rFonts w:ascii="IRNazanin" w:hAnsi="IRNazanin" w:eastAsia="IRNazanin"/>
          <w:color w:val="111111"/>
          <w:sz w:val="28"/>
          <w:sz w:val="28"/>
          <w:szCs w:val="28"/>
          <w:rtl w:val="true"/>
          <w:lang w:bidi="fa-IR"/>
        </w:rPr>
        <w:t>عن شیخنا الأعظم الأنصاری قدس سره أنّه وجّه تعلّق النهی بعین ما تعلّق به الأمر بوجه آخر</w:t>
      </w:r>
      <w:r>
        <w:rPr>
          <w:rStyle w:val="FootnoteAnchor"/>
          <w:rtl w:val="true"/>
        </w:rPr>
        <w:footnoteReference w:id="110"/>
      </w:r>
      <w:r>
        <w:rPr>
          <w:rFonts w:ascii="IRNazanin" w:hAnsi="IRNazanin" w:eastAsia="IRNazanin"/>
          <w:color w:val="111111"/>
          <w:sz w:val="28"/>
          <w:sz w:val="28"/>
          <w:szCs w:val="28"/>
          <w:rtl w:val="true"/>
          <w:lang w:bidi="fa-IR"/>
        </w:rPr>
        <w:t>، و وافقه علی ذلک المحقّق الخراسانی قدس سره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عنوان الصوم یوم العاشور مثلًا و إن کان ذا مصلحة، إلّا أنّ هناک عنواناً آخر تکون المصلحة فیه، أقوی من مصلحة الصوم؛ و ذاک العنوان ینطبق علی الترک، أو ملازم له، فیرجّح ترک الصوم فی ذاک الیوم لأجل تحصیل ذلک العنوان الذی فیه المصلحة الأقوی؛ من دون أن یکون فی الفعل حزازة و منقصة</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قطع النظر عمّا هو الظاهر من کلامه من کون الترک راجحاً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غبار علیه؛ لأنّه من الممکن أن یوجد عنوانان وجودیان ذوا 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لم نطّلع علیه تکون المصلحة فیه أرجح من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ینطبق علی الترک انطباقاً عرضیاً، فالترک یکون ذا مصلحة لأجل انطباق العنوان الوجودی علیه، فیرجح الترک لکون المصلحة فیه أقوی؛ من دون أن یوجب حزازة و منقصة فی الفعل</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لم تناقش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الترک أمر عدمی، فکیف یتصف بالصلاح؟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صحّحنا انطباق الأمر الوجودی علی الترک انطباقاً عرضیاً، فلا یتوجّه علیه الإشکال الذی أورده علیه المحقّق النائینی، و ذلک لأنّه قدس سره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یعقل أن یکون کلّ من الفعل</w:t>
      </w:r>
    </w:p>
    <w:p>
      <w:pPr>
        <w:pStyle w:val="BookText"/>
        <w:rPr/>
      </w:pPr>
      <w:r>
        <w:rPr>
          <w:rFonts w:ascii="IRNazanin" w:hAnsi="IRNazanin" w:eastAsia="IRNazanin"/>
          <w:color w:val="111111"/>
          <w:sz w:val="28"/>
          <w:sz w:val="28"/>
          <w:szCs w:val="28"/>
          <w:rtl w:val="true"/>
          <w:lang w:bidi="fa-IR"/>
        </w:rPr>
        <w:t>و الترک، راجحاً و مستحبّاً شرعاً، بل لا بدّ من وقوع الکسر و الانکسار بین الجهات و المصالح؛ بین فعل الشی‌ء و ترکه، و لا یقع الکسر و الانکسار بین النقیضین مع عدم وقوعهما بین الضدّین الذین لا ثالث لهما، و المتلازمین فی الوجود دائماً، فإذا کان هذا حال المتضادّین و المتلازمین، فما ظنّک فی النقیضین؟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وقع الکسر و الانکسار فی کلّ من الفعل و الترک، فإمّا أن تغلب إحدی المصلحتین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الفعل أو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الاخری، فیکون البعث نحوها فقط، و إلّا یکون الحکم التخییر لیس إلّا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یعقل أن یکون کلّ من النقیضین، مأموراً به بالأمر الاستحبابی، و یکون کلّ من الفعل و الترک راجحاً و مبعوثاً إلیه شرعاً، فهذا الوجه الذی أفاده فی التقریر و تبعه صاحب الکفایة قدس سره ممّا لا یحسم مادّة الإشکال</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حسبما قرّرناه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یرد أنّ للترک مصلحةً حتّی یلزم الکسر و الانکسار، بل متعلّق المصلحة الراجحة فی الحقیقة، إنّما هو العنوان الوجودی الآخر الذی لم نطّلع علیه، و لکنّه حیث انطبق ذاک العنوان علی الترک انطباقاً عرضیاً، یستند الصلاح إلی الترک مجازاً و عرضاً، فمرکز المصلحتین أمران وجودیان، فلا معنی للکسر و الانکسار، و لأجل أنّه لا یمکن الجمع بین العنوانین فیوجّه بما تکون المزیّة فیه أقوی؛ و هو الترک لمداومة أئمّة أهل البیت علیهم السلام علیه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هو مراد المحقّق الخراسانی قدس سره لا ما هو الظاهر من کلامه من کون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 مصلحة؛ حتّی یتوجّه إشکال المحقّق النائینی قدس سره</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bookmarkStart w:id="159" w:name="pg12934_164484"/>
    </w:p>
    <w:p>
      <w:pPr>
        <w:pStyle w:val="BookText"/>
        <w:rPr/>
      </w:pPr>
      <w:bookmarkEnd w:id="159"/>
      <w:r>
        <w:rPr>
          <w:rFonts w:ascii="IRNazanin" w:hAnsi="IRNazanin" w:eastAsia="IRNazanin"/>
          <w:color w:val="111111"/>
          <w:sz w:val="28"/>
          <w:sz w:val="28"/>
          <w:szCs w:val="28"/>
          <w:rtl w:val="true"/>
          <w:lang w:bidi="fa-IR"/>
        </w:rPr>
        <w:t>و لکن مع ذلک کلّه لا یخلو التوجیه الذی ذکره من الإشکال؛ لأنّ الترک عدم، و العدم بما هو عدم لا یکون منطبقاً علیه العنوان الوجودی، و لا یکون ملازماً له؛ لأنّ الانطباق و الملازمة من الوجودیات التی لا بدّ فی ثبوتها لشی‌ء من ثبوت ذلک الشی‌ء</w:t>
      </w:r>
      <w:r>
        <w:rPr>
          <w:rFonts w:eastAsia="IRNazanin" w:cs="IRNazanin"/>
          <w:color w:val="111111"/>
          <w:sz w:val="28"/>
          <w:szCs w:val="28"/>
          <w:rtl w:val="true"/>
          <w:lang w:bidi="fa-IR"/>
        </w:rPr>
        <w:t>.</w:t>
      </w:r>
    </w:p>
    <w:p>
      <w:pPr>
        <w:pStyle w:val="Heading6"/>
        <w:numPr>
          <w:ilvl w:val="5"/>
          <w:numId w:val="1"/>
        </w:numPr>
        <w:rPr/>
      </w:pPr>
      <w:bookmarkStart w:id="160" w:name="__RefHeading___Toc4026129_3224264995"/>
      <w:bookmarkStart w:id="161" w:name="_Toc60"/>
      <w:bookmarkEnd w:id="160"/>
      <w:r>
        <w:rPr>
          <w:rtl w:val="true"/>
        </w:rPr>
        <w:t>مختارنا فی مقام التوجیه</w:t>
      </w:r>
      <w:bookmarkEnd w:id="16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الأولی فی مقام التوجیه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النهی و إن کان بظاهره متعلّقاً بنفس الصلاة عند طلوع الشمس و غروبها، أو الصوم یوم العاشور، و لکنّ المستفاد من الخارج أنّ مرکز النهی هو التشبّه بأعداء اللَّه؛ أی التشبّه بعبدة الشمس و ببنی امیّة، و هما حاصلان بنفس الصلاة عند طلوع الشمس و غروبها و بنفس الصوم فی یوم العاشور؛ و إن لم یقصد المصلّی أو الصائم التشبّه بهم، فمرکز الأمر الاستحبابی و النهی التنزیهی مختلفان، نظیر اختلاف عنوانی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حیث إنّه ینطبق علیه عنوان المنهی عنه، یکون عند الشارع أهمّ من نفس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لمداومة أئمّة أهل البیت علیهم السلام علی الترک، فیرجح جانب الترک مع عدم حزازة فی ذات الصلاة أو الصوم، فتدبّر</w:t>
      </w:r>
      <w:r>
        <w:rPr>
          <w:rFonts w:eastAsia="IRNazanin" w:cs="IRNazanin"/>
          <w:color w:val="111111"/>
          <w:sz w:val="28"/>
          <w:szCs w:val="28"/>
          <w:rtl w:val="true"/>
          <w:lang w:bidi="fa-IR"/>
        </w:rPr>
        <w:t>.</w:t>
      </w:r>
      <w:bookmarkStart w:id="162" w:name="pg12934_164485"/>
    </w:p>
    <w:p>
      <w:pPr>
        <w:pStyle w:val="Heading4"/>
        <w:numPr>
          <w:ilvl w:val="3"/>
          <w:numId w:val="1"/>
        </w:numPr>
        <w:rPr/>
      </w:pPr>
      <w:bookmarkStart w:id="163" w:name="__RefHeading___Toc4026131_3224264995"/>
      <w:bookmarkStart w:id="164" w:name="_Toc61"/>
      <w:bookmarkEnd w:id="162"/>
      <w:bookmarkEnd w:id="163"/>
      <w:r>
        <w:rPr>
          <w:rtl w:val="true"/>
        </w:rPr>
        <w:t>خاتمة فی حکم التوسّط فی الأرض الغصبیة و الصلاة فی الدار المغصوبة</w:t>
      </w:r>
      <w:bookmarkEnd w:id="164"/>
    </w:p>
    <w:p>
      <w:pPr>
        <w:pStyle w:val="Heading5"/>
        <w:numPr>
          <w:ilvl w:val="4"/>
          <w:numId w:val="1"/>
        </w:numPr>
        <w:rPr/>
      </w:pPr>
      <w:bookmarkStart w:id="165" w:name="__RefHeading___Toc4026133_3224264995"/>
      <w:bookmarkStart w:id="166" w:name="_Toc62"/>
      <w:bookmarkEnd w:id="165"/>
      <w:r>
        <w:rPr>
          <w:rtl w:val="true"/>
        </w:rPr>
        <w:t>اشارة</w:t>
      </w:r>
      <w:bookmarkEnd w:id="166"/>
    </w:p>
    <w:p>
      <w:pPr>
        <w:pStyle w:val="BookText"/>
        <w:rPr/>
      </w:pPr>
      <w:r>
        <w:rPr>
          <w:rFonts w:ascii="IRNazanin" w:hAnsi="IRNazanin" w:eastAsia="IRNazanin"/>
          <w:color w:val="111111"/>
          <w:sz w:val="28"/>
          <w:sz w:val="28"/>
          <w:szCs w:val="28"/>
          <w:rtl w:val="true"/>
          <w:lang w:bidi="fa-IR"/>
        </w:rPr>
        <w:t>و الکلام فیها یقع فی موردین</w:t>
      </w:r>
      <w:r>
        <w:rPr>
          <w:rFonts w:eastAsia="IRNazanin" w:cs="IRNazanin"/>
          <w:color w:val="111111"/>
          <w:sz w:val="28"/>
          <w:szCs w:val="28"/>
          <w:rtl w:val="true"/>
          <w:lang w:bidi="fa-IR"/>
        </w:rPr>
        <w:t>:</w:t>
      </w:r>
    </w:p>
    <w:p>
      <w:pPr>
        <w:pStyle w:val="Heading5"/>
        <w:numPr>
          <w:ilvl w:val="4"/>
          <w:numId w:val="1"/>
        </w:numPr>
        <w:rPr/>
      </w:pPr>
      <w:bookmarkStart w:id="167" w:name="__RefHeading___Toc4026135_3224264995"/>
      <w:bookmarkStart w:id="168" w:name="_Toc63"/>
      <w:bookmarkEnd w:id="167"/>
      <w:r>
        <w:rPr>
          <w:rtl w:val="true"/>
        </w:rPr>
        <w:t>المورد الأوّل</w:t>
      </w:r>
      <w:r>
        <w:rPr>
          <w:rtl w:val="true"/>
        </w:rPr>
        <w:t xml:space="preserve">: </w:t>
      </w:r>
      <w:r>
        <w:rPr>
          <w:rtl w:val="true"/>
        </w:rPr>
        <w:t>فی التوسّط فی الأرض الغصبیة</w:t>
      </w:r>
      <w:bookmarkEnd w:id="168"/>
    </w:p>
    <w:p>
      <w:pPr>
        <w:pStyle w:val="Heading6"/>
        <w:numPr>
          <w:ilvl w:val="5"/>
          <w:numId w:val="1"/>
        </w:numPr>
        <w:rPr/>
      </w:pPr>
      <w:bookmarkStart w:id="169" w:name="__RefHeading___Toc4026137_3224264995"/>
      <w:bookmarkStart w:id="170" w:name="_Toc64"/>
      <w:bookmarkEnd w:id="169"/>
      <w:r>
        <w:rPr>
          <w:rtl w:val="true"/>
        </w:rPr>
        <w:t>اشارة</w:t>
      </w:r>
      <w:bookmarkEnd w:id="170"/>
    </w:p>
    <w:p>
      <w:pPr>
        <w:pStyle w:val="BookText"/>
        <w:rPr/>
      </w:pPr>
      <w:r>
        <w:rPr>
          <w:rFonts w:ascii="IRNazanin" w:hAnsi="IRNazanin" w:eastAsia="IRNazanin"/>
          <w:color w:val="111111"/>
          <w:sz w:val="28"/>
          <w:sz w:val="28"/>
          <w:szCs w:val="28"/>
          <w:rtl w:val="true"/>
          <w:lang w:bidi="fa-IR"/>
        </w:rPr>
        <w:t>من توسّط أرضاً غصبیة فإمّا یکون دخوله فیها لا بسوء اختیاره، کالمحبوس فیها، أو بسوء اختیاره؛ بأن دخلها باختیاره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یکن دخوله فیها بسوء اختیاره، فالظاهر منهم أنّه مأمور بالخروج إذا انحصر التخلّص منها بالتصرّف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بسوء اختیاره و انحصر التخلّص منها بالتصرّف فیها بغیر رضا صاحبها، فهل الخروج واجب لیس إلّا، کما عن شیخنا الأعظم الأنصاری قدس سره</w:t>
      </w:r>
      <w:r>
        <w:rPr>
          <w:rStyle w:val="FootnoteAnchor"/>
          <w:rtl w:val="true"/>
        </w:rPr>
        <w:footnoteReference w:id="114"/>
      </w:r>
      <w:r>
        <w:rPr>
          <w:rFonts w:ascii="IRNazanin" w:hAnsi="IRNazanin" w:eastAsia="IRNazanin"/>
          <w:color w:val="111111"/>
          <w:sz w:val="28"/>
          <w:sz w:val="28"/>
          <w:szCs w:val="28"/>
          <w:rtl w:val="true"/>
          <w:lang w:bidi="fa-IR"/>
        </w:rPr>
        <w:t>، أو واجب و حرام معاً، کما عن أبی هاشم</w:t>
      </w:r>
      <w:r>
        <w:rPr>
          <w:rStyle w:val="FootnoteAnchor"/>
          <w:rtl w:val="true"/>
        </w:rPr>
        <w:footnoteReference w:id="115"/>
      </w:r>
      <w:r>
        <w:rPr>
          <w:rFonts w:ascii="Amiri" w:hAnsi="Amiri" w:eastAsia="Amiri" w:cs="Amiri"/>
          <w:color w:val="111111"/>
          <w:sz w:val="28"/>
          <w:sz w:val="28"/>
          <w:szCs w:val="28"/>
          <w:rtl w:val="true"/>
          <w:lang w:bidi="ar-SA"/>
        </w:rPr>
        <w:t>و المحقّق القمّی قدس سره</w:t>
      </w:r>
      <w:r>
        <w:rPr>
          <w:rStyle w:val="FootnoteAnchor"/>
          <w:rtl w:val="true"/>
        </w:rPr>
        <w:footnoteReference w:id="116"/>
      </w:r>
      <w:r>
        <w:rPr>
          <w:rFonts w:ascii="IRNazanin" w:hAnsi="IRNazanin" w:eastAsia="IRNazanin"/>
          <w:color w:val="111111"/>
          <w:sz w:val="28"/>
          <w:sz w:val="28"/>
          <w:szCs w:val="28"/>
          <w:rtl w:val="true"/>
          <w:lang w:bidi="fa-IR"/>
        </w:rPr>
        <w:t>أو أنّه مأمور بالخروج مع جریان حکم المعصیة علیه بالنهی السابق الساقط، کما عن صاحب الفصول قدس سره</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 الغرویة</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السطر </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أو أنّه غیر مأمور به و لا منهی عنه بالنهی الفعلی، و یجری علیه حکم</w:t>
      </w:r>
      <w:bookmarkStart w:id="171" w:name="pg12934_164486"/>
    </w:p>
    <w:p>
      <w:pPr>
        <w:pStyle w:val="BookText"/>
        <w:rPr/>
      </w:pPr>
      <w:bookmarkEnd w:id="171"/>
      <w:r>
        <w:rPr>
          <w:rFonts w:ascii="IRNazanin" w:hAnsi="IRNazanin" w:eastAsia="IRNazanin"/>
          <w:color w:val="111111"/>
          <w:sz w:val="28"/>
          <w:sz w:val="28"/>
          <w:szCs w:val="28"/>
          <w:rtl w:val="true"/>
          <w:lang w:bidi="fa-IR"/>
        </w:rPr>
        <w:t>الغصب مع إلزام العقل بالخروج؛ لکونه أقلّ محذوراً، کما ذهب إلیه المحقّق الخراسانی قدس سره</w:t>
      </w:r>
      <w:r>
        <w:rPr>
          <w:rStyle w:val="FootnoteAnchor"/>
          <w:rtl w:val="true"/>
        </w:rPr>
        <w:footnoteReference w:id="118"/>
      </w:r>
      <w:r>
        <w:rPr>
          <w:rFonts w:ascii="IRNazanin" w:hAnsi="IRNazanin" w:eastAsia="IRNazanin"/>
          <w:color w:val="111111"/>
          <w:sz w:val="28"/>
          <w:sz w:val="28"/>
          <w:szCs w:val="28"/>
          <w:rtl w:val="true"/>
          <w:lang w:bidi="fa-IR"/>
        </w:rPr>
        <w:t>أو أنّه لیس علیه شی‌ء أصلًا، أو أنّه منهی عنه بالنهی الفعلی، و لیس بمأمور به شرعاً؟ وجوه، بل أقوال</w:t>
      </w:r>
      <w:r>
        <w:rPr>
          <w:rFonts w:eastAsia="IRNazanin" w:cs="IRNazanin"/>
          <w:color w:val="111111"/>
          <w:sz w:val="28"/>
          <w:szCs w:val="28"/>
          <w:rtl w:val="true"/>
          <w:lang w:bidi="fa-IR"/>
        </w:rPr>
        <w:t>:</w:t>
      </w:r>
    </w:p>
    <w:p>
      <w:pPr>
        <w:pStyle w:val="Heading6"/>
        <w:numPr>
          <w:ilvl w:val="5"/>
          <w:numId w:val="1"/>
        </w:numPr>
        <w:rPr/>
      </w:pPr>
      <w:bookmarkStart w:id="172" w:name="__RefHeading___Toc4026139_3224264995"/>
      <w:bookmarkStart w:id="173" w:name="_Toc65"/>
      <w:bookmarkEnd w:id="172"/>
      <w:r>
        <w:rPr>
          <w:rtl w:val="true"/>
        </w:rPr>
        <w:t>المختار کون الخروج منهیاً عنه فعلًا و غیر مأمور به</w:t>
      </w:r>
      <w:bookmarkEnd w:id="173"/>
    </w:p>
    <w:p>
      <w:pPr>
        <w:pStyle w:val="BookText"/>
        <w:rPr/>
      </w:pPr>
      <w:r>
        <w:rPr>
          <w:rFonts w:ascii="IRNazanin" w:hAnsi="IRNazanin" w:eastAsia="IRNazanin"/>
          <w:color w:val="111111"/>
          <w:sz w:val="28"/>
          <w:sz w:val="28"/>
          <w:szCs w:val="28"/>
          <w:rtl w:val="true"/>
          <w:lang w:bidi="fa-IR"/>
        </w:rPr>
        <w:t>أقواها الأخیر؛ و هو کون الخروج منهیاً عنه فعلًا، و غیر مأمور به شرعاً، بل نقول بذلک حتّی فیما إذا کان الدخول فیها لا بسوء اختیاره، فلا یفترقان من هذه الجهة و إن کانا یفترقان من جهة أنّ الدخول إذا کان بسوء اختیاره یکون مرتکباً للحرام بلا عذر، فیعاقب علیه، و أمّا إذا کان بغیر سوء اختیاره فیکون مرتکباً له مع العذر، فلا یعاقب، فالباب باب المعذّریة العقلیة، لا سقوط التکلیف، فلنا دعویان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کون الخروج متصفاً بالوجوب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حراماً فعلیاً</w:t>
      </w:r>
      <w:r>
        <w:rPr>
          <w:rFonts w:eastAsia="IRNazanin" w:cs="IRNazanin"/>
          <w:color w:val="111111"/>
          <w:sz w:val="28"/>
          <w:szCs w:val="28"/>
          <w:rtl w:val="true"/>
          <w:lang w:bidi="fa-IR"/>
        </w:rPr>
        <w:t>.</w:t>
      </w:r>
    </w:p>
    <w:p>
      <w:pPr>
        <w:pStyle w:val="Heading6"/>
        <w:numPr>
          <w:ilvl w:val="5"/>
          <w:numId w:val="1"/>
        </w:numPr>
        <w:rPr/>
      </w:pPr>
      <w:bookmarkStart w:id="174" w:name="__RefHeading___Toc4026141_3224264995"/>
      <w:bookmarkStart w:id="175" w:name="_Toc66"/>
      <w:bookmarkEnd w:id="174"/>
      <w:r>
        <w:rPr>
          <w:rtl w:val="true"/>
        </w:rPr>
        <w:t>عدم کون الخروج من الأرض المغصوبة واجباً</w:t>
      </w:r>
      <w:bookmarkEnd w:id="175"/>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الدعوی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عدم کون الخروج من الأرض المغصوبة واجباً؛ فلأنّه یمکن هنا اعتبار عناوین متعدّدة، کعنوان وجوب التخلّص من الغصب، و وجوب الخروج منه، و ترک الغصب، و ترک التصرّف فی مال الغیر، و ردّ المال إلی صاحبه، و لا ریب فی أنّ وجوب إحدی هذه العناوین شرعاً، لا بدّ و أن یکون بدلالة الدلیل، و إلّا فلا یکاد یمکن إثباتها بعناوینها بمجرّد حرمة التصرّف فی مال الغیر بغیر رضاه، أو حرمة 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لاحظ الکتاب و السنّة و تأمّل فیهما، یری بالعیان أنّ الثابت فی الدین هو حرمة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حرمة التصرّف فی مال الغیر بغیر إذنه، و أمّا غیرهما من العناوین المومأ إلیها، فلم یرد من الشرع ما یدلّ علی وجوبها بعناوینها؛ بحیث یکون عنوان التخلّص من الغصب بعنوانه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غیره من العناوین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 شرعیاً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المغصوب کلّه مردود</w:t>
      </w:r>
      <w:r>
        <w:rPr>
          <w:rFonts w:eastAsia="IRNazanin" w:cs="IRNazanin"/>
          <w:color w:val="111111"/>
          <w:sz w:val="28"/>
          <w:szCs w:val="28"/>
          <w:rtl w:val="true"/>
          <w:lang w:bidi="fa-IR"/>
        </w:rPr>
        <w:t>»</w:t>
      </w:r>
    </w:p>
    <w:p>
      <w:pPr>
        <w:pStyle w:val="BookText"/>
        <w:rPr/>
      </w:pPr>
      <w:r>
        <w:rPr>
          <w:rStyle w:val="FootnoteAnchor"/>
          <w:rtl w:val="true"/>
        </w:rPr>
        <w:footnoteReference w:id="119"/>
      </w:r>
      <w:r>
        <w:rPr>
          <w:rFonts w:ascii="IRNazanin" w:hAnsi="IRNazanin" w:eastAsia="IRNazanin"/>
          <w:color w:val="111111"/>
          <w:sz w:val="28"/>
          <w:sz w:val="28"/>
          <w:szCs w:val="28"/>
          <w:rtl w:val="true"/>
          <w:lang w:bidi="fa-IR"/>
        </w:rPr>
        <w:t>فهو إرشاد إلی حرمة التصرّف فی مال الغیر بغیر إذنه، و لیس بصدد إفادة وجوب عنوان ردّ المغصوب بعنوانه، بل لمّا کان الغصب و التصرّف فی مال الغیر بغیر إذنه حراماً، یردّ المغصوب إلی صاحبه تخلّصاً من الحرام عقلًا، فهو إرشاد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یمکن استفادة وجوب ذاک العنوان من قوله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0"/>
      </w:r>
      <w:r>
        <w:rPr>
          <w:rFonts w:ascii="IRNazanin" w:hAnsi="IRNazanin" w:eastAsia="IRNazanin"/>
          <w:color w:val="111111"/>
          <w:sz w:val="28"/>
          <w:sz w:val="28"/>
          <w:szCs w:val="28"/>
          <w:rtl w:val="true"/>
          <w:lang w:bidi="fa-IR"/>
        </w:rPr>
        <w:t>لأنّ الکلام فی الحکم الشرعی التکلیفی، و ظاهر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قرّر فی محلّه</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دلالته علی الضمان الذی هو حکم وضعی؛ و هو أنّ من استولی بیده علی مال الغیر عدواناً، یکون ضامناً حتّی یؤدّیه، و لا ملازمة بین ثبوت الضمان و وجوب الردّ حتّی یکون علی من غصب مالًا تکلیفان و سؤالان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غصبت؟ 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لم تردّ المال المغصوب إلی صاحبه</w:t>
      </w:r>
      <w:r>
        <w:rPr>
          <w:rStyle w:val="FootnoteAnchor"/>
          <w:rtl w:val="true"/>
        </w:rPr>
        <w:footnoteReference w:id="122"/>
      </w:r>
      <w:r>
        <w:rPr>
          <w:rFonts w:ascii="IRNazanin" w:hAnsi="IRNazanin" w:eastAsia="IRNazanin"/>
          <w:color w:val="111111"/>
          <w:sz w:val="28"/>
          <w:sz w:val="28"/>
          <w:szCs w:val="28"/>
          <w:rtl w:val="true"/>
          <w:lang w:bidi="fa-IR"/>
        </w:rPr>
        <w:t>؟ و التفصیل یطلب من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یثبت من الشرع وجوب أحد هذه العناوین، فلا یتصف بالوجوب خروج من توسّط أرضاً مغصوبة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یتوهّم وجوبه الغیری التبعی؛ بتقریب أنّه کما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الأمر بالشی‌ء یقتضی النهی عن 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النهی عن الشی‌ء یقتضی وجوب ضدّه، و هو هنا ترک التصرّف، فیجب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انضمّ إلیه وجوب مقدّمة الواجب، یکون الخروج من الأرض الغصبیة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مقدّمة لترک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التصرّف فی مال الغیر حراماً، یکون ترک التصرّف واجباً، و الخروج من الأرض المغصوبة مقدّمة لترکه، فیکون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فی المقیس علیه ممنوع؛ لما ذکرنا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بما لا مزید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الأمر بالشی‌ء لا یدلّ علی النهی عن ضدّه العامّ، فضلًا عن ضدّه الخاصّ</w:t>
      </w:r>
      <w:r>
        <w:rPr>
          <w:rStyle w:val="FootnoteAnchor"/>
          <w:rtl w:val="true"/>
        </w:rPr>
        <w:footnoteReference w:id="123"/>
      </w:r>
      <w:r>
        <w:rPr>
          <w:rFonts w:ascii="IRNazanin" w:hAnsi="IRNazanin" w:eastAsia="IRNazanin"/>
          <w:color w:val="111111"/>
          <w:sz w:val="28"/>
          <w:sz w:val="28"/>
          <w:szCs w:val="28"/>
          <w:rtl w:val="true"/>
          <w:lang w:bidi="fa-IR"/>
        </w:rPr>
        <w:t>، فما ظنّک فی المقیس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قلنا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مقدّمة الواجب لیست بواجبة</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ذلک 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ترک التصرّف فی مال الغیر واجب، و لکن لا یکون التصرّف الخروجی مقدّمة له، بل غایته أنّ الخروج مقدّمة للکون فی خارج الدار، نعم بعد الخروج من الدار و کونه خارج الدار، ینتزع منه ترک التصرّف فیها، فتدبّر</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مدّعی وجوب ترک التصرّف، یری أنّ وجوبه شرعی یستحقّ</w:t>
      </w:r>
    </w:p>
    <w:p>
      <w:pPr>
        <w:pStyle w:val="BookText"/>
        <w:rPr/>
      </w:pPr>
      <w:r>
        <w:rPr>
          <w:rFonts w:ascii="IRNazanin" w:hAnsi="IRNazanin" w:eastAsia="IRNazanin"/>
          <w:color w:val="111111"/>
          <w:sz w:val="28"/>
          <w:sz w:val="28"/>
          <w:szCs w:val="28"/>
          <w:rtl w:val="true"/>
          <w:lang w:bidi="fa-IR"/>
        </w:rPr>
        <w:t>تارکه العقاب، و واضح أنّ وجوب المقدّمة لا یکون بتلک المثابة؛ لأنّه للغیر، و لا یستحقّ تارک المقدّمة عقاباً من أجل ترکها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أنّ مقدّمة الواجب واجبة شرعاً، و لکن لا یصحّ أن تکون مقدّمة الحرام حراماً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الخروج من الدار المغصوبة، لا یکون مأموراً به بالأمر النفسی الاستقلالی، و لا بالأمر الغیری التبعی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إلی الدعوی الاولی؛ و هی عدم وجوب الخروج من الأرض المغصوبة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الدعوی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کون الخروج حراماً فعلًا مطلقاً؛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الدخول فیها بسوء اختیاره، أم لا فأمر سهل بعد المراجعة إلی وضع القوانین فی الامم المتمدّنة، ناهیک عن القوانین المجعولة فی البرلمان الإیرانی، و هو بمرأی منک و مسمع، فتراهم یضعون قانوناً لمنع استعمال الموادّ المخدّرة مثلًا؛ و أنّ من ارتکبها فعلیه کذا و کذا، و ربما لا یستثنون ذوی الأعذار من تحته، بل ینشئون الحکم علی کلّ من استعمل الموادّ المخدّرة کائناً من کان، و بعد یسیر القانون مجراه الطبیعی إلی أن یصیر حکماً فعلیاً لازم الإجراء، فیکون حکماً فعلیاً لعامّة أفراد المملکة، فمن ارتکب بعد ذلک المادّة المخدّرة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کائناً من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ارتکب أمراً ممنوعاً، و لکنّه مع ذلک کلّه یفرّقون بین من ارتکبها لا لعذر، و بین من ارتکبها لعذر من نسیان، أو غفلة، أو خوف موت فی ترکها، و لا یرون عقاباً لمن ارتکبها لعذر، و یعدّونه معذوراً، بخلاف من ارتکبها لا لعذر فیعاقبونه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السرّ فی ذلک ما تکرّر منّا من أنّ الخطابات القانونیة تفارق الخطابات الشخصیة خطاباً و ملاکاً؛ لأنّ الخطاب القانونی خطاب واحد متعلّق بعنوان واحد،</w:t>
      </w:r>
    </w:p>
    <w:p>
      <w:pPr>
        <w:pStyle w:val="BookText"/>
        <w:rPr/>
      </w:pPr>
      <w:r>
        <w:rPr>
          <w:rFonts w:ascii="IRNazanin" w:hAnsi="IRNazanin" w:eastAsia="IRNazanin"/>
          <w:color w:val="111111"/>
          <w:sz w:val="28"/>
          <w:sz w:val="28"/>
          <w:szCs w:val="28"/>
          <w:rtl w:val="true"/>
          <w:lang w:bidi="fa-IR"/>
        </w:rPr>
        <w:t>و لا ینحلّ إلی خطابات عدیدة بعدد الأفراد؛ حتّی یلزم ملاحظة حالات کلّ واحد منهم، کما یکون الأمر کذلک فی الخطابات الشخصیة، و لا یعتبر إمکان انبعاث جمیع الأفراد فی صحّة مخاطبتهم، بل یکفی انبعاث عدّة منهم فی الأعصار و الأمصار، بخلاف الخطاب الشخصی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حال القوانین الموضوعة عند العرف و العقلاء، و لعلّه واضح لا یحتاج إلی مزید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القوانین المجعولة شرعاً کذلک، إذ لم یتخطّ الشارع عمّا هم علیه إلّا فی بعض الموارد، و هو مرهون بدلالة الدلیل، کما 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p>
    <w:p>
      <w:pPr>
        <w:pStyle w:val="BookText"/>
        <w:rPr/>
      </w:pPr>
      <w:r>
        <w:rPr>
          <w:rStyle w:val="FootnoteAnchor"/>
          <w:rtl w:val="true"/>
        </w:rPr>
        <w:footnoteReference w:id="125"/>
      </w:r>
      <w:r>
        <w:rPr>
          <w:rFonts w:ascii="IRNazanin" w:hAnsi="IRNazanin" w:eastAsia="IRNazanin"/>
          <w:color w:val="111111"/>
          <w:sz w:val="28"/>
          <w:sz w:val="28"/>
          <w:szCs w:val="28"/>
          <w:rtl w:val="true"/>
          <w:lang w:bidi="fa-IR"/>
        </w:rPr>
        <w:t>،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فی الشریعة الغرّاء المحمّدیة أکل المیتة و شرب الخمر مثلًا، فأکل المیتة و شرب الخمر ممنوعان شرعاً، و یکون حکم الحرمة علیهما فعلیاً، و لازم الإجراء، فکلّ من ارتکبهما فقد ارتکب الممنوع و المحرّم شرعاً، فإن ارتکبهما لا لعذر یکون المرتکب مستحقّاً للعقاب؛ لمخالفته الحکم الفعلی، و أمّا لو ارتکبهما لعذر یکون معذوراً عند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ففیما نحن فیه حرّم علیه السلام التصرّف فی مال الغیر بغیر إذنه بقوله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لأحدٍ أن یتصرّف فی مال غیره بغیر إذنه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6"/>
      </w:r>
      <w:r>
        <w:rPr>
          <w:rFonts w:ascii="IRNazanin" w:hAnsi="IRNazanin" w:eastAsia="IRNazanin"/>
          <w:color w:val="111111"/>
          <w:sz w:val="28"/>
          <w:sz w:val="28"/>
          <w:szCs w:val="28"/>
          <w:rtl w:val="true"/>
          <w:lang w:bidi="fa-IR"/>
        </w:rPr>
        <w:t>من غیر لحاظ حالات کلّ واحد من المکلّفین، و صحّة الخطاب القانونی، لا تتوقّف علی صحّة الباعثیة بالنسبة إلی جمیع الأفراد؛ لأنّ الخطاب القانونی لم یقیّد بالقادر العالم الملتفت؛ لا من ناحیة الحکم الشرعی، و لا من ناحیة العقل، نعم العقل یحکم بمعذوریة المکلّف فی بعض الأحیان، فالحکم بعدم جواز التصرّف فی مال الغیر، حکم فعلی تعلّق بعنوانه غیر مقیّد بحال</w:t>
      </w:r>
    </w:p>
    <w:p>
      <w:pPr>
        <w:pStyle w:val="BookText"/>
        <w:rPr/>
      </w:pPr>
      <w:r>
        <w:rPr>
          <w:rFonts w:ascii="IRNazanin" w:hAnsi="IRNazanin" w:eastAsia="IRNazanin"/>
          <w:color w:val="111111"/>
          <w:sz w:val="28"/>
          <w:sz w:val="28"/>
          <w:szCs w:val="28"/>
          <w:rtl w:val="true"/>
          <w:lang w:bidi="fa-IR"/>
        </w:rPr>
        <w:t>من الأحوال، و لکنّ العقل یحکم بمعذوریة العاجز إذا طرأ علیه العجز لا بسوء اختیاره، و أمّا معه فلا یراه معذوراً فی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مزید توضیح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المقام داخل فی باب الأعذار العقلیة، لا باب رفع الأحکام عند الأعذار، و لتوضیح الفکرة نمثّل لک بمثال؛ فافترض أنّ ابناً عزیزاً علی المولی أشرف علی الغرق، فمن الواضح أنّه یضطرب المولی اضطراباً شدیداً و یتوسّل بأیّة وسیلة ممکنة لإنجائه و إنقاذه من الغرق، و لنفترض أنّه کان له عبدان؛ أحدهما عاجز دون الآخر، فحینئذٍ یری المولی أنّ العبد العاجز معذور دون القادر؛ رغم اشتیاقه و إرادته لإنقاذ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الأمر فی الأحکام الکلّیة أیضاً کذلک؛ لأنّ حرمة التصرّف فی مال الغیر بغیر إذنه مثلًا، حکم فعلی لازم الإجراء، فإن تصرّف فیه بسوء اختیاره یعاقب علیه؛ لأنّه خالف الحکم الفعلی بلا عذر، و لکن إذا کان لا بسوء اختیاره فلا یعاقب علیه؛ لأنّه معذور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مقتضی القاعدة الکلّیة فی وضع القوانین الشرعیة بالنسبة إلی الأعذار العقلیة، إلّا أن یرد دلیل فی بعض الموارد یقتضی رفع التکلیف عند العذر، کحدیث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کلام آخر، کما عرفت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أنّ حال المتوسّط فی الأرض المغصوبة، حال من جعل نفسه مضطرّاً إلی أکل المیتة أو شرب الخمر بسوء اختیاره، فکما أنّه إذا سافر شخص إلی مکان لم یکن فیه ما یسدّ به رمقه و یرفع به عطشه؛ إلّا أکل المیتة و شرب الخمر، أو أحدث فی نفسه حدثاً اضطرّ معه إلی التداوی بشرب الخمر، فهو فی هذا الحال و إن کان ملزماً من ناحیة عقله بأکل المیتة و شرب الخمر بمقدار یسدّ به رمقه، و یدفع به جوعه و عطشه، إلّا أنّه مع ذلک لا یکون أکلها و شربها واجباً علیه شرعاً، بل</w:t>
      </w:r>
      <w:bookmarkStart w:id="176" w:name="pg12934_164492"/>
    </w:p>
    <w:p>
      <w:pPr>
        <w:pStyle w:val="BookText"/>
        <w:rPr/>
      </w:pPr>
      <w:bookmarkEnd w:id="176"/>
      <w:r>
        <w:rPr>
          <w:rFonts w:ascii="Amiri" w:hAnsi="Amiri" w:eastAsia="Amiri" w:cs="Amiri"/>
          <w:color w:val="111111"/>
          <w:sz w:val="28"/>
          <w:sz w:val="28"/>
          <w:szCs w:val="28"/>
          <w:rtl w:val="true"/>
          <w:lang w:bidi="ar-SA"/>
        </w:rPr>
        <w:t>حراماً علیه؛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عَلَیْکُمُ الْمَیْتَةُ</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و 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 الْمَیْسِرُ وَ الْأَنْصابُ وَ الْأَزْلامُ رِجْسٌ مِنْ عَمَلِ الشَّیْطانِ فَاجْتَنِبُوهُ</w:t>
      </w:r>
      <w:r>
        <w:rPr>
          <w:rFonts w:eastAsia="Amiri" w:cs="Amiri" w:ascii="Amiri" w:hAnsi="Amiri"/>
          <w:color w:val="111111"/>
          <w:sz w:val="28"/>
          <w:szCs w:val="28"/>
          <w:rtl w:val="true"/>
          <w:lang w:bidi="ar-SA"/>
        </w:rPr>
        <w:t>»</w:t>
      </w:r>
      <w:r>
        <w:rPr>
          <w:rStyle w:val="FootnoteAnchor"/>
          <w:rtl w:val="true"/>
        </w:rPr>
        <w:footnoteReference w:id="128"/>
      </w:r>
      <w:r>
        <w:rPr>
          <w:rFonts w:ascii="IRNazanin" w:hAnsi="IRNazanin" w:eastAsia="IRNazanin"/>
          <w:color w:val="111111"/>
          <w:sz w:val="28"/>
          <w:sz w:val="28"/>
          <w:szCs w:val="28"/>
          <w:rtl w:val="true"/>
          <w:lang w:bidi="fa-IR"/>
        </w:rPr>
        <w:t>، 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کما لا یراه معذوراً فی ترکه و مخالفته الخطاب العقلی، فکذلک من دخل داراً بغیر إذن صاحبها بسوء اختیاره، فهو و إن کان ملزماً عقلًا بالخروج، إلّا أنّه غیر واجب علیه، بل یکون تصرّفه الخروجی حراماً و معاقباً علیه؛ لأنّه ارتکب الحرام بلا عذر</w:t>
      </w:r>
      <w:r>
        <w:rPr>
          <w:rFonts w:eastAsia="IRNazanin" w:cs="IRNazanin"/>
          <w:color w:val="111111"/>
          <w:sz w:val="28"/>
          <w:szCs w:val="28"/>
          <w:rtl w:val="true"/>
          <w:lang w:bidi="fa-IR"/>
        </w:rPr>
        <w:t>.</w:t>
      </w:r>
    </w:p>
    <w:p>
      <w:pPr>
        <w:pStyle w:val="Heading6"/>
        <w:numPr>
          <w:ilvl w:val="5"/>
          <w:numId w:val="1"/>
        </w:numPr>
        <w:rPr/>
      </w:pPr>
      <w:bookmarkStart w:id="177" w:name="__RefHeading___Toc4026143_3224264995"/>
      <w:bookmarkStart w:id="178" w:name="_Toc67"/>
      <w:bookmarkEnd w:id="177"/>
      <w:r>
        <w:rPr>
          <w:rtl w:val="true"/>
        </w:rPr>
        <w:t>ذکر المحقّق النائینی قدس سره هنا فی خلال مقاله مطلبین</w:t>
      </w:r>
      <w:bookmarkEnd w:id="178"/>
    </w:p>
    <w:p>
      <w:pPr>
        <w:pStyle w:val="Heading6"/>
        <w:numPr>
          <w:ilvl w:val="5"/>
          <w:numId w:val="1"/>
        </w:numPr>
        <w:rPr/>
      </w:pPr>
      <w:bookmarkStart w:id="179" w:name="__RefHeading___Toc4026145_3224264995"/>
      <w:bookmarkStart w:id="180" w:name="_Toc68"/>
      <w:bookmarkEnd w:id="179"/>
      <w:r>
        <w:rPr>
          <w:rtl w:val="true"/>
        </w:rPr>
        <w:t>اشارة</w:t>
      </w:r>
      <w:bookmarkEnd w:id="180"/>
    </w:p>
    <w:p>
      <w:pPr>
        <w:pStyle w:val="BookText"/>
        <w:rPr/>
      </w:pPr>
      <w:r>
        <w:rPr>
          <w:rFonts w:ascii="IRNazanin" w:hAnsi="IRNazanin" w:eastAsia="IRNazanin"/>
          <w:color w:val="111111"/>
          <w:sz w:val="28"/>
          <w:sz w:val="28"/>
          <w:szCs w:val="28"/>
          <w:rtl w:val="true"/>
          <w:lang w:bidi="fa-IR"/>
        </w:rPr>
        <w:t>مرتبطین بما ذکرنا لا بأس بالإشارة إلیهما و النظر فیهما</w:t>
      </w:r>
      <w:r>
        <w:rPr>
          <w:rFonts w:eastAsia="IRNazanin" w:cs="IRNazanin"/>
          <w:color w:val="111111"/>
          <w:sz w:val="28"/>
          <w:szCs w:val="28"/>
          <w:rtl w:val="true"/>
          <w:lang w:bidi="fa-IR"/>
        </w:rPr>
        <w:t>:</w:t>
      </w:r>
    </w:p>
    <w:p>
      <w:pPr>
        <w:pStyle w:val="Heading6"/>
        <w:numPr>
          <w:ilvl w:val="5"/>
          <w:numId w:val="1"/>
        </w:numPr>
        <w:rPr/>
      </w:pPr>
      <w:bookmarkStart w:id="181" w:name="__RefHeading___Toc4026147_3224264995"/>
      <w:bookmarkStart w:id="182" w:name="_Toc69"/>
      <w:bookmarkEnd w:id="181"/>
      <w:r>
        <w:rPr>
          <w:rtl w:val="true"/>
        </w:rPr>
        <w:t>المطلب الأوّل</w:t>
      </w:r>
      <w:r>
        <w:rPr>
          <w:rtl w:val="true"/>
        </w:rPr>
        <w:t xml:space="preserve">: </w:t>
      </w:r>
      <w:r>
        <w:rPr>
          <w:rtl w:val="true"/>
        </w:rPr>
        <w:t>فی شمول الخطاب للممتنع و الکفّار و العصاة</w:t>
      </w:r>
      <w:bookmarkEnd w:id="182"/>
    </w:p>
    <w:p>
      <w:pPr>
        <w:pStyle w:val="BookText"/>
        <w:rPr/>
      </w:pPr>
      <w:r>
        <w:rPr>
          <w:rFonts w:ascii="IRNazanin" w:hAnsi="IRNazanin" w:eastAsia="IRNazanin"/>
          <w:color w:val="111111"/>
          <w:sz w:val="28"/>
          <w:sz w:val="28"/>
          <w:szCs w:val="28"/>
          <w:rtl w:val="true"/>
          <w:lang w:bidi="fa-IR"/>
        </w:rPr>
        <w:t>أمّا مطلبه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أنّه بعد أن نفی کون المقام من صغریات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بالاختیار لا ینافی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أقوی الأقوال قول الشیخ قدس سره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فرضنا کون المقام من صغریات تلک القاعدة، فالحقّ ما علیه المحقّق الخراسانی قدس سره من أنّ الخروج من الدار الغصبیة لیس بمأمور به شرعاً، و لا منهیاً عنه، مع کونه یعاقب علیه؛ لأنّ الامتناع بالاختیار إنّما لا ینافی الاختیار عقاباً لا خطاباً؛ لاستحالة الخطاب بالممتنع و إن کان امتناعه بسوء الاختیار، بداهة أنّ الخطاب إنّما هو للداعویة و الباعثیة، و من المعلوم أنّه إنّما یصلح ذلک إذا أمکن الانبعاث، و المفروض أنّه ممتنع فعلًا، فقیاس ما نحن فیه بالخطابات المتوجّهة إلی العصاة و الکفّار فی غیر محلّه؛ لتحقّق ما هو شرط صحّة الخطاب من الحکیم بالنسبة</w:t>
      </w:r>
    </w:p>
    <w:p>
      <w:pPr>
        <w:pStyle w:val="BookText"/>
        <w:rPr/>
      </w:pPr>
      <w:r>
        <w:rPr>
          <w:rFonts w:ascii="IRNazanin" w:hAnsi="IRNazanin" w:eastAsia="IRNazanin"/>
          <w:color w:val="111111"/>
          <w:sz w:val="28"/>
          <w:sz w:val="28"/>
          <w:szCs w:val="28"/>
          <w:rtl w:val="true"/>
          <w:lang w:bidi="fa-IR"/>
        </w:rPr>
        <w:t>إلیهم، و هو إمکان داعویة الخطاب و محرکیته و إن لم یکن محرّکاً فعلیاً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الخطاب فی مثل هذا یکون تخیّلیاً لیس فیه بعث حقیقی، مدفوع بعدم معقولیة ذلک بالنسبة إلی المولی الحکیم</w:t>
      </w:r>
      <w:r>
        <w:rPr>
          <w:rStyle w:val="FootnoteAnchor"/>
          <w:rtl w:val="true"/>
        </w:rPr>
        <w:footnoteReference w:id="129"/>
      </w:r>
      <w:r>
        <w:rPr>
          <w:rFonts w:ascii="Amiri" w:hAnsi="Amiri" w:eastAsia="Amiri" w:cs="Amiri"/>
          <w:color w:val="111111"/>
          <w:sz w:val="28"/>
          <w:sz w:val="28"/>
          <w:szCs w:val="28"/>
          <w:rtl w:val="true"/>
          <w:lang w:bidi="ar-SA"/>
        </w:rPr>
        <w:t>، انتهی محرّراً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تقدّم غیر مرّة حال جعل الأحکام القانونیة و شمولها للعصاة، و الکفّار، و من لم یقدر علی امتثالها،؛ سواء کان عدم قدرته بسوء اختیاره،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الأحکام المتعلّقة بالعناوین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فعلیة علی عناوینها من غیر لحاظ حالات کلّ واحد من آحاد المکلّفین، و أنّ صحّة الخطاب العمومی لا تتوقّف علی صحّة الباعثیة بالنسبة إلی جمیع الأفراد، و أنّ الخطابات غیر مقیّدة بالقادر العالم الملتفت، فالحکم بعدم جواز التصرّف فی مال الغیر مثلًا، فعلی علی عنوانه غیر مقیّد بحال من الأحوال، و لکنّ العقل یحکم بمعذوریة العاجز إذا طرأ علیه العجز لا بسوء اختیاره، و أمّا معه فلا یراه معذوراً فی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لا فرق بین العصاة و الکفّار و من لم یقدر علی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ذلک بسوء اختیاره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فعلیة الأحکام فی حقّهم، و غایة ما فی الباب حدیث المعذّریة و عدمها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أغمضنا عمّا هو الحقّ عندنا من صحّة توجّه الخطابات إلی العصاة و الکفّار، و قلنا بمقالتهم، فلا بدّ لنا من القول بصحّة الخطاب بالممتنع أیضاً، و الفرق بینهما من حیث إمکان داعویة الخطاب و محرّکیته بالنسبة إلی العصاة و الکفّار و استحالة الخطاب بالممتنع، غیر فارق؛ و ذلک لأنّ للبعث الجدّی مبادئ، منها احتمال</w:t>
      </w:r>
    </w:p>
    <w:p>
      <w:pPr>
        <w:pStyle w:val="BookText"/>
        <w:rPr/>
      </w:pPr>
      <w:r>
        <w:rPr>
          <w:rFonts w:ascii="IRNazanin" w:hAnsi="IRNazanin" w:eastAsia="IRNazanin"/>
          <w:color w:val="111111"/>
          <w:sz w:val="28"/>
          <w:sz w:val="28"/>
          <w:szCs w:val="28"/>
          <w:rtl w:val="true"/>
          <w:lang w:bidi="fa-IR"/>
        </w:rPr>
        <w:t>انبعاث المخاطب ببعثه، و إلّا فلو علم بعدم انبعاثه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لعدم قدرته، أو لتمرّده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یکاد یعقل من المولی الحکیم صحّة البعث جدّاً بداعی الانبعاث</w:t>
      </w:r>
      <w:r>
        <w:rPr>
          <w:rStyle w:val="FootnoteAnchor"/>
          <w:rtl w:val="true"/>
        </w:rPr>
        <w:footnoteReference w:id="130"/>
      </w:r>
      <w:r>
        <w:rPr>
          <w:rFonts w:ascii="IRNazanin" w:hAnsi="IRNazanin" w:eastAsia="IRNazanin"/>
          <w:color w:val="111111"/>
          <w:sz w:val="28"/>
          <w:sz w:val="28"/>
          <w:szCs w:val="28"/>
          <w:rtl w:val="true"/>
          <w:lang w:bidi="fa-IR"/>
        </w:rPr>
        <w:t>، أ لا تری أنّه لو أشرف عزیز علیک علی الغرق، و کان لک هناک عبدان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لا یقدر علی إنقاذه، 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علی ذلک، لکنّک تعلم بأنّه لا یعبأ ببعثک، فهل تری من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حکیماً بصیراً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تأمرهما جدّاً نحو إنقاذ عزیزک؟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تحصل لک مبادئ الإرادة الجدّیة بالنسبة إلی من تعلم بتمرّده دون العاجز معتذراً بأنّه قادر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حاشاک، ما هکذا الظنّ بالخبیر البصیر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انحلّ الخطاب القانونی بعدد رءوس آحاد المکلّفین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فلازمه توجّه خطابات 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شخصی بالنسبة إلی هذا الشخص، و خطاب شخصی آخر بالنسبة إلی ذاک الشخص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فلکلّ خطاب مبادئ تخصّه، و من الواضح بدیهة لغویة خطاب المولی الحکیم بداعی انبعاث العاصی و الکافر؛ لعدم ترتّب فائدة علیه، فلا ینقدح إرادة جدّیة منه إلی البعث عند ذلک، فمن یمتنع علیه إتیان العمل و من لا یعتنی بأمر المولی، سیّان فی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فی قوله تعالی لموسی و هارون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فَقُولا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 لَیِّناً لَعَلَّهُ یَتَذَکَّرُ أَوْ یَخْشی</w:t>
      </w:r>
      <w:r>
        <w:rPr>
          <w:rFonts w:eastAsia="Amiri" w:cs="Amiri" w:ascii="Amiri" w:hAnsi="Amiri"/>
          <w:color w:val="111111"/>
          <w:sz w:val="28"/>
          <w:szCs w:val="28"/>
          <w:rtl w:val="true"/>
          <w:lang w:bidi="ar-SA"/>
        </w:rPr>
        <w:t>»</w:t>
      </w:r>
      <w:r>
        <w:rPr>
          <w:rStyle w:val="FootnoteAnchor"/>
          <w:rtl w:val="true"/>
        </w:rPr>
        <w:footnoteReference w:id="131"/>
      </w:r>
      <w:r>
        <w:rPr>
          <w:rFonts w:ascii="IRNazanin" w:hAnsi="IRNazanin" w:eastAsia="IRNazanin"/>
          <w:color w:val="111111"/>
          <w:sz w:val="28"/>
          <w:sz w:val="28"/>
          <w:szCs w:val="28"/>
          <w:rtl w:val="true"/>
          <w:lang w:bidi="fa-IR"/>
        </w:rPr>
        <w:t>، مع علمه تعالی بعدم قبول فرعون قولهما؟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تذییل خطابه تعالی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 یَتَذَکَّرُ أَوْ یَخْشی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إحداث احتمال انبعاث فرعون ببعث موسی و هارون فی ذهنهما لمصالح، و هما داعیان إلی اللَّه سبحانه و تعالی</w:t>
      </w:r>
      <w:r>
        <w:rPr>
          <w:rFonts w:eastAsia="Amiri" w:cs="Amiri" w:ascii="Amiri" w:hAnsi="Amiri"/>
          <w:color w:val="111111"/>
          <w:sz w:val="28"/>
          <w:szCs w:val="28"/>
          <w:rtl w:val="true"/>
          <w:lang w:bidi="ar-SA"/>
        </w:rPr>
        <w:t>.</w:t>
      </w:r>
      <w:bookmarkStart w:id="183" w:name="pg12934_164495"/>
    </w:p>
    <w:p>
      <w:pPr>
        <w:pStyle w:val="BookText"/>
        <w:rPr/>
      </w:pPr>
      <w:bookmarkEnd w:id="183"/>
      <w:r>
        <w:rPr>
          <w:rFonts w:ascii="IRNazanin" w:hAnsi="IRNazanin" w:eastAsia="IRNazanin"/>
          <w:color w:val="111111"/>
          <w:sz w:val="28"/>
          <w:sz w:val="28"/>
          <w:szCs w:val="28"/>
          <w:rtl w:val="true"/>
          <w:lang w:bidi="fa-IR"/>
        </w:rPr>
        <w:t>مضافاً إلی احتمال عدم کون المدعوّ حقیقة نفس فرعون، بل حواریه و من یکون عنده، و لم یکد یمکن دعوتهم إلّا بعرض الدعوة صورةً علی فرعون، و قد امرا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یحکم بعدم إمکان صدور البعث الجدّی من المولی الحکیم الملتفت بالنسبة إلی العصاة و الکفّار، کما لا یمکن فی صورة عجزهم و عدم تمکّنهم، فإذا أمکن البعث الجدّی بالنسبة إلیهما، فلا یکاد یصحّ کون البعث لإتمام الحجّة، لأنّ الخطاب وسیلة للانبعاث و التوصّل إلی المقصد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کان لنفس التلفّظ بالخطاب فی نفسه مصلحة، فیصحّ منه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عند ذلک لا یفترق الحال بین العاصی و الکافر و الممتنع، فإذن لا بدّ و أن لا یکون العصاة و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النائم و الساهی، بل مطلق ذوی الأعذار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مکلّفین،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یسهّل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 إلیه آنفاً فی صحّة تکلیف العصاة و الکفّار، بل مطلق ذوی الأعذار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للخطاب القانونی مبادئ تخصّه لا تکون فی غیره؛ لأنّ المعتبر فی صحّة الخطاب القانونی، هو احتمال انبعاث عدّة معتنی بها ممّن تسعهم نطاق دائرة المقنّن فی الأعصار و الأمصار؛ من دون انحلال الخطاب الواحد بعدد آحاد المکلّفین، بل هو خطاب واحد فعلی علی عنوانه، فإن کانت هناک عدّة مختلفة الحالات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تسعهم نطاق سلطنته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تنبعث بذلک الخطاب الواحد، فالخطاب الواحد یکفی فی جعل الحکم الفعلی علی عنوانه العامّ بلا استثناء فتدبّر</w:t>
      </w:r>
      <w:r>
        <w:rPr>
          <w:rFonts w:eastAsia="IRNazanin" w:cs="IRNazanin"/>
          <w:color w:val="111111"/>
          <w:sz w:val="28"/>
          <w:szCs w:val="28"/>
          <w:rtl w:val="true"/>
          <w:lang w:bidi="fa-IR"/>
        </w:rPr>
        <w:t>.</w:t>
      </w:r>
    </w:p>
    <w:p>
      <w:pPr>
        <w:pStyle w:val="Heading6"/>
        <w:numPr>
          <w:ilvl w:val="5"/>
          <w:numId w:val="1"/>
        </w:numPr>
        <w:rPr/>
      </w:pPr>
      <w:bookmarkStart w:id="184" w:name="__RefHeading___Toc4026149_3224264995"/>
      <w:bookmarkStart w:id="185" w:name="_Toc70"/>
      <w:bookmarkEnd w:id="184"/>
      <w:r>
        <w:rPr>
          <w:rtl w:val="true"/>
        </w:rPr>
        <w:t>المطلب الثانی</w:t>
      </w:r>
      <w:r>
        <w:rPr>
          <w:rtl w:val="true"/>
        </w:rPr>
        <w:t xml:space="preserve">: </w:t>
      </w:r>
      <w:r>
        <w:rPr>
          <w:rtl w:val="true"/>
        </w:rPr>
        <w:t>فی عدم کون الخروج من الدار المغصوبة محبوباً و مطلوباً</w:t>
      </w:r>
      <w:bookmarkEnd w:id="185"/>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مطلبه الثانی، فقد ذکره قدس سره فی آخر کلامه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الکون الغصبی المتحقّق فی ضمن الخروج من الدار الغصبیة، لا یکون منهیاً عنه بوجه من الوجوه؛</w:t>
      </w:r>
    </w:p>
    <w:p>
      <w:pPr>
        <w:pStyle w:val="BookText"/>
        <w:rPr/>
      </w:pPr>
      <w:r>
        <w:rPr>
          <w:rFonts w:ascii="IRNazanin" w:hAnsi="IRNazanin" w:eastAsia="IRNazanin"/>
          <w:color w:val="111111"/>
          <w:sz w:val="28"/>
          <w:sz w:val="28"/>
          <w:szCs w:val="28"/>
          <w:rtl w:val="true"/>
          <w:lang w:bidi="fa-IR"/>
        </w:rPr>
        <w:t>و فی زمان من الأزمنة، بل هو واجب فی جمیع الحالات؛ لوجوب ردّ المغصوب إلی صاحبه بالضرورة من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کونه هو الذی أوقع نفسه فی هذا التصرّف الغصبی بسوء اختیاره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دخل فی الدار عن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کون الخروج حال وقوعه مبغوضاً، کمن شرب دواءً مهلکاً و انحصر حفظ نفسه بشرب الخمر، فإنّ شرب الخمر فی هذا الحال یکون واجباً عقلًا و شرعاً؛ لتوقّف حفظ النفس علیه و إن کان بسوء اختیاره أوقع نفسه فی شرب الخمر لمکان شربه الدواء المهلک، و حیث إنّ شرب الخمر من الامور التی لم یرد الشارع وقوعها فی الخارج لما فیه من المفسدة فیعاقب الشخص بشرب الدواء المفضی لشرب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ذلک کشرب المرأة الدواء الموجب للحیض المستلزم لعدم أمرها بالصلاة، حیث إنّه یمکن القول بجواز شربها للدواء؛ إذ لم یعلم من مذاق الشارع مبغوضیة إیقاع الشخص نفسه فی موضوع یوجب عدم تکلیفه بالصلاة، فلا یعاقب بشرب الدواء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قبیل الأوّل الدخول فی الدار الغصبیة؛ لأنّ إدخال الشخص نفسه فی موضوع یوجب تکلیفه بالتصرّف فی مال الغیر، مبغوض للشارع، فالدخول فی الدار الغصبیة یکون مبغوضاً و محرّماً من 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کونه فی نفسه تصرّفاً فی ملک الغیر، و من جهة استلزامه للتصرّف الخروجی، بخلاف شرب الدواء الموجب لشرب الخمر؛ إذا کان الدواء فی حدّ نفسه ممّا یجوز شربه، فإنّه محرّم من جهة استلزامه شرب الخمر، و لیس له جهة اخری؛ لکون الدواء فی حدّ نفسه ممّا یجوز شربه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ینبغی التکلّم فی الدخول من جهة أنّ حرمته تکون من جهتین، لا فی الخروج؛ فإنّ الخروج واجب علی کلّ حال</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ورد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وجوب الخروج، لیس من باب حکم العقل باختیار أقلّ المحذورین؛ لأنّ مناط حکم العقل بلزوم الخروج عن ملک الغیر فی صورة ما إذا کان الدخول فیه بالاختیار و فی صورة ما إذا کان الدخول فیه بلا اختیار، أمر واحد؛ و هو لزوم فراغ ملک الغیر و ردّه إلی صاحبه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مناط حکم العقل معلوم عندنا مطّرد فی جمیع أقسام الغصب من المنقول و غیره؛ و أنّه فی الجمیع یجب ردّ المغصوب إلی أهله شرعاً و عقلًا، غایته أنّه فی المنقول یکون الردّ بالقبض، و فی غیره یکون برفع الید و التخلیة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محیص عن القول بأنّ الخروج عن الدار الغصبیة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توسّطها بالاختیار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لیس إلّا، و لا یجری علیه حکم المعصیة</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الخروج مطلوباً و محبوباً من أوّل الأمر و علی کلّ حال، فکیف یکون السبب المفضی لذلک مبغوضاً؟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و أن لا یکون الدخول مبغوضاً من جهة التصرّف الخروجی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لازم ما ذکره قدس سره هو کون الدخول مطلوباً و محبوباً؛ لکونه مستلزماً للمطلوب،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أغمضنا عن ذلک 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الدخول مبغوض دون الخروج، فنقول فی مثال شرب الدواء المباح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شرب الخمر عند ذلک مبغوض، أم لا؟ فإن لم یکن مبغوضاً فلا وجه لصیرورة الدواء المباح مبغوضاً و مباحاً، و کذا إذا کان شرب الخمر مبغوضاً؛ لأنّ شرب الدواء المباح لم یکن مقدّمة وجودیة، و لا مستلزماً له، نعم صار شرب الدواء الکذائی، سبباً لتکلیف الشارع بحفظ النفس من الهلکة، فتدبّر</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اقتضاه شرب الدواء، هو إیجاب الشارع حفظ النفس</w:t>
      </w:r>
      <w:r>
        <w:rPr>
          <w:rFonts w:eastAsia="IRNazanin" w:cs="IRNazanin"/>
          <w:color w:val="111111"/>
          <w:sz w:val="28"/>
          <w:szCs w:val="28"/>
          <w:rtl w:val="true"/>
          <w:lang w:bidi="fa-IR"/>
        </w:rPr>
        <w:t>.</w:t>
      </w:r>
      <w:bookmarkStart w:id="186" w:name="pg12934_164498"/>
    </w:p>
    <w:p>
      <w:pPr>
        <w:pStyle w:val="BookText"/>
        <w:rPr/>
      </w:pPr>
      <w:bookmarkEnd w:id="186"/>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کون شرب الدواء مقدّمة وجودیة أو مستلزماً لشرب الخمر، فقد أشرنا إلی عدم کون مقدّمة الحرام حراماً و لو قلنا بوجوب مقدّمة الواجب</w:t>
      </w:r>
      <w:r>
        <w:rPr>
          <w:rStyle w:val="FootnoteAnchor"/>
          <w:rtl w:val="true"/>
        </w:rPr>
        <w:footnoteReference w:id="134"/>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ما عرفت من أنّ شرب الخمر عند ذلک، لازم یحکم به العقل لحفظ نفسه من الهلکة، إلّا أنّه مع ذلک لا یکون معذوراً کما یکون معذوراً إذا لم یکن ذلک بسوء اختیاره، فتدبّر</w:t>
      </w:r>
      <w:r>
        <w:rPr>
          <w:rFonts w:eastAsia="IRNazanin" w:cs="IRNazanin"/>
          <w:color w:val="111111"/>
          <w:sz w:val="28"/>
          <w:szCs w:val="28"/>
          <w:rtl w:val="true"/>
          <w:lang w:bidi="fa-IR"/>
        </w:rPr>
        <w:t>.</w:t>
      </w:r>
    </w:p>
    <w:p>
      <w:pPr>
        <w:pStyle w:val="Heading6"/>
        <w:numPr>
          <w:ilvl w:val="5"/>
          <w:numId w:val="1"/>
        </w:numPr>
        <w:rPr/>
      </w:pPr>
      <w:bookmarkStart w:id="187" w:name="__RefHeading___Toc4026151_3224264995"/>
      <w:bookmarkStart w:id="188" w:name="_Toc71"/>
      <w:bookmarkEnd w:id="187"/>
      <w:r>
        <w:rPr>
          <w:rtl w:val="true"/>
        </w:rPr>
        <w:t>مقال الشیخ فی کون الخروج من الدار المغصوبة واجباً و المناقشة فیه</w:t>
      </w:r>
      <w:bookmarkEnd w:id="188"/>
    </w:p>
    <w:p>
      <w:pPr>
        <w:pStyle w:val="BookText"/>
        <w:rPr/>
      </w:pPr>
      <w:r>
        <w:rPr>
          <w:rFonts w:ascii="IRNazanin" w:hAnsi="IRNazanin" w:eastAsia="IRNazanin"/>
          <w:color w:val="111111"/>
          <w:sz w:val="28"/>
          <w:sz w:val="28"/>
          <w:szCs w:val="28"/>
          <w:rtl w:val="true"/>
          <w:lang w:bidi="fa-IR"/>
        </w:rPr>
        <w:t>حکی عن الشیخ الأعظم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الخروج من الدار المغصوبة واجب لیس إلّا</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 و حاصل ما أفاده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لیس جمیع أقسام التصرّف فی مال الغیر بغیر إذنه حراماً، و إنّما یحرم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کان التصرّف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الدخول فی ملک الغیر بغیر 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البقاء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التصرّف بالخروج الذی یتوقّف علیه رفع الظلم، فحیث إنّه مصداق للتخلّص من الغصب أو سبب له، فلم یکن حراماً من أوّل الأمر قبل الدخول و إن توقّف وجود الخروج فی الخارج علی الدخول بواسطة ترتّب طبیعی بین الدخول و الخروج، بل الخروج محبوب علی کلّ حال؛ قبل الدخول أو بعده، کما أنّ الغصب مبغوض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قبل الدخول فیها له قدرة علی عدم التصرّف، فالدخول و البقاء و الخروج المسبّب عن الدخول، منهی عنه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الحرام هو الدخول و البقاء فی ملک الغیر بغیر إذنه، و أمّا</w:t>
      </w:r>
    </w:p>
    <w:p>
      <w:pPr>
        <w:pStyle w:val="BookText"/>
        <w:rPr/>
      </w:pPr>
      <w:r>
        <w:rPr>
          <w:rFonts w:ascii="IRNazanin" w:hAnsi="IRNazanin" w:eastAsia="IRNazanin"/>
          <w:color w:val="111111"/>
          <w:sz w:val="28"/>
          <w:sz w:val="28"/>
          <w:szCs w:val="28"/>
          <w:rtl w:val="true"/>
          <w:lang w:bidi="fa-IR"/>
        </w:rPr>
        <w:t>الخروج منه الذی یکون مصداقاً للتخلّص من الغصب أو مسبّباً له، فلیس بمنهی عنه، بل 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مثل شرب الخمر، فإنّه لم یحرّم علینا شرب الخمر بجمیع أقسامه، لأنّه إذا توقّف حفظ النفس علی شرب الخمر، یکون شرب الخمر واجباً لا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الخروج من الدار الغصبیة حیث إنّه مصداق للتخلّص من الغصب أو سبب له، لا یکون إلّا مطلوباً، و یستحیل أن یتصف بغیر المحبوبیة و یحکم علیه بغیر المطلوبیة، انتهی محصل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أجاب به المحقّق الخراسانی قدس سره مجملًا</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لیس شی‌ء من الدخول فی ملک الغیر بغیر إذنه أو البقاء فیه أو الخروج منه بعناوینها، حراماً، و إنّما الحرام هو التصرّف فی ملک الغیر بغیر إذنه، و واضح أنّ شموله بالنسبة إلی الدخول فیه و البقاء فیه و الخروج عنه، علی وزان واحد، فکما یحرم التصرّف الدخولی و البقائی فیه، فکذلک یحرم التصرّف الخروجی منه، و قد عرفت أنّ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التخلّص من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واجباً شرعاً، و إنّما یعتبر ذلک عند حرمة التصرّف فی مال الغیر بغیر إذنه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علی ما ذکره أن یکون الاضطرار و نحوه، من قیود التکلیف، و یکون المضطرّ خارجاً من دائرة التکلیف، مع أنّه لیس کذلک، و غایة ما یکون عند</w:t>
      </w:r>
      <w:bookmarkStart w:id="189" w:name="pg12934_164500"/>
    </w:p>
    <w:p>
      <w:pPr>
        <w:pStyle w:val="BookText"/>
        <w:rPr/>
      </w:pPr>
      <w:bookmarkEnd w:id="189"/>
      <w:r>
        <w:rPr>
          <w:rFonts w:ascii="IRNazanin" w:hAnsi="IRNazanin" w:eastAsia="IRNazanin"/>
          <w:color w:val="111111"/>
          <w:sz w:val="28"/>
          <w:sz w:val="28"/>
          <w:szCs w:val="28"/>
          <w:rtl w:val="true"/>
          <w:lang w:bidi="fa-IR"/>
        </w:rPr>
        <w:t>الاضطرار و نحوه، هو أنّه إذا لم یکن الاضطرار بسوء اختیاره یکون معذوراً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علی ما ذکره أن یجوز لکلّ أحد أن یوقع نفسه فی الاضطرار بسوء اختیاره فی شرب الخمر، بل یلزم أن یثاب علی شربها الواجب لو قصد التقرّب به إلی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الفقیه من التفوّه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من أوقع نفسه فی الاضطرار إلی شرب الخمر بسوء اختیاره و انحصر حفظ نفسه بشربها، فهو ملزم به من ناحیة عقله؛ لکونه أقلّ محذوراً من هلاک النفس، و لکنّه مع ذلک یکون قد ارتکب حراماً فعلیاً بلا عذر، فیعاقب علیه، فتدبّر</w:t>
      </w:r>
      <w:r>
        <w:rPr>
          <w:rFonts w:eastAsia="IRNazanin" w:cs="IRNazanin"/>
          <w:color w:val="111111"/>
          <w:sz w:val="28"/>
          <w:szCs w:val="28"/>
          <w:rtl w:val="true"/>
          <w:lang w:bidi="fa-IR"/>
        </w:rPr>
        <w:t>.</w:t>
      </w:r>
    </w:p>
    <w:p>
      <w:pPr>
        <w:pStyle w:val="Heading6"/>
        <w:numPr>
          <w:ilvl w:val="5"/>
          <w:numId w:val="1"/>
        </w:numPr>
        <w:rPr/>
      </w:pPr>
      <w:bookmarkStart w:id="190" w:name="__RefHeading___Toc4026153_3224264995"/>
      <w:bookmarkStart w:id="191" w:name="_Toc72"/>
      <w:bookmarkEnd w:id="190"/>
      <w:r>
        <w:rPr>
          <w:rtl w:val="true"/>
        </w:rPr>
        <w:t>حول مقال أبی هاشم و صاحب الفصول</w:t>
      </w:r>
      <w:bookmarkEnd w:id="191"/>
    </w:p>
    <w:p>
      <w:pPr>
        <w:pStyle w:val="BookText"/>
        <w:rPr/>
      </w:pPr>
      <w:r>
        <w:rPr>
          <w:rFonts w:ascii="IRNazanin" w:hAnsi="IRNazanin" w:eastAsia="IRNazanin"/>
          <w:color w:val="111111"/>
          <w:sz w:val="28"/>
          <w:sz w:val="28"/>
          <w:szCs w:val="28"/>
          <w:rtl w:val="true"/>
          <w:lang w:bidi="fa-IR"/>
        </w:rPr>
        <w:t xml:space="preserve">قد عرفت عدم وجوب شی‌ء من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المغصوب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التخلّص من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التصرّف فی مال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شرعاً، و إنّما تعتبر تلک العناوین عند حرمة التصرّف فی ملک الغیر بغیر إذنه، فالثابت فی الشریعة إنّما هی حرمة التصرّف فی ملک الغیر بغیر إذنه، فتعتبر عند ذلک تلک العناوین، کما أنّ الثابت فی الشریعة وجوب الصلاة، فیعتبر عند ذلک حرمة ترک الصلاة، کما أنّ الثابت فی الشریعة حرمة شرب الخمر، فیعتبر عند ذلک وجوب ترک شرب 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لو بنینا علی وجوب أحد تلک العناوین شرعاً، کما لو قلنا بأنّ ترک التصرّف فی ملک الغیر بغیر إذنه واجب، و قلنا بأنّ الحرکة الخروجیة من مقدّمات ترک التصرّف فیه، لا للکون خارج البیت، و قلنا بأنّ مقدّمة الواجب واجبة، فهل الحقّ مع أبی هاشم و المحقّق القمّی قدس سره</w:t>
      </w:r>
      <w:r>
        <w:rPr>
          <w:rStyle w:val="FootnoteAnchor"/>
          <w:rtl w:val="true"/>
        </w:rPr>
        <w:footnoteReference w:id="137"/>
      </w:r>
      <w:r>
        <w:rPr>
          <w:rFonts w:ascii="IRNazanin" w:hAnsi="IRNazanin" w:eastAsia="IRNazanin"/>
          <w:color w:val="111111"/>
          <w:sz w:val="28"/>
          <w:sz w:val="28"/>
          <w:szCs w:val="28"/>
          <w:rtl w:val="true"/>
          <w:lang w:bidi="fa-IR"/>
        </w:rPr>
        <w:t>القائلین بأنّ الخروج من الدار الغصبیة</w:t>
      </w:r>
    </w:p>
    <w:p>
      <w:pPr>
        <w:pStyle w:val="BookText"/>
        <w:rPr/>
      </w:pPr>
      <w:r>
        <w:rPr>
          <w:rFonts w:ascii="IRNazanin" w:hAnsi="IRNazanin" w:eastAsia="IRNazanin"/>
          <w:color w:val="111111"/>
          <w:sz w:val="28"/>
          <w:sz w:val="28"/>
          <w:szCs w:val="28"/>
          <w:rtl w:val="true"/>
          <w:lang w:bidi="fa-IR"/>
        </w:rPr>
        <w:t xml:space="preserve">مأمور به و منهی عنه، أو مع ما نسب إلی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Style w:val="FootnoteAnchor"/>
          <w:rtl w:val="true"/>
        </w:rPr>
        <w:footnoteReference w:id="138"/>
      </w:r>
      <w:r>
        <w:rPr>
          <w:rFonts w:ascii="IRNazanin" w:hAnsi="IRNazanin" w:eastAsia="IRNazanin"/>
          <w:color w:val="111111"/>
          <w:sz w:val="28"/>
          <w:sz w:val="28"/>
          <w:szCs w:val="28"/>
          <w:rtl w:val="true"/>
          <w:lang w:bidi="fa-IR"/>
        </w:rPr>
        <w:t>من أنّه مأمور به و منهی عنه بالنهی السابق؟</w:t>
      </w:r>
    </w:p>
    <w:p>
      <w:pPr>
        <w:pStyle w:val="BookText"/>
        <w:rPr/>
      </w:pPr>
      <w:r>
        <w:rPr>
          <w:rFonts w:ascii="IRNazanin" w:hAnsi="IRNazanin" w:eastAsia="IRNazanin"/>
          <w:color w:val="111111"/>
          <w:sz w:val="28"/>
          <w:sz w:val="28"/>
          <w:szCs w:val="28"/>
          <w:rtl w:val="true"/>
          <w:lang w:bidi="fa-IR"/>
        </w:rPr>
        <w:t>قال المحقّق الخراسانی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یمکن القول بکون الخروج مأموراً به و منهیاً عنه؛ لما عرفت من امتناع الاجتماع فیما إذا کان بعنوانین، فضلًا عمّا إذا کان بعنوان واحد، کما فی المقام؛ لأنّ الخروج بعنوانه سبب للتخلّص من الغصب، و هو بنفسه بغیر إذن المالک، فیلزم کون الشی‌ء الواحد واجباً و محرّماً</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أنّه مبنی علی تمامیة تلک الامور و لم یثبت شی‌ء منها؛ لما عرفت من عدم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التصرّف فی مال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بعنوانه، و عدم کون الحرکة الخروجیة مقدّمة له، بل هی مقدّمة للکون خارج البیت، و عدم وجوب مقدّمة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القائل بجواز الاجتماع لا یری فرقاً بین المقام و بین سائر موارد الاجتماع؛ و ذلک لأنّه یری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الخروج من الدار المغصوبة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بعنوانه، لیس بواجب، و لا حرام، فلا یکون موضوعاً لحکم أصلًا، فما یکون موضوعاً للحکم الوجوبی هو مقدّمة الواجب، و قد أشرنا فی محلّه إلی أنّه علی فرض وجوب المقدّمة، لا یکون الواجب المقدّمة بالحمل الشائع</w:t>
      </w:r>
      <w:r>
        <w:rPr>
          <w:rStyle w:val="FootnoteAnchor"/>
          <w:rtl w:val="true"/>
        </w:rPr>
        <w:footnoteReference w:id="140"/>
      </w:r>
      <w:r>
        <w:rPr>
          <w:rFonts w:ascii="IRNazanin" w:hAnsi="IRNazanin" w:eastAsia="IRNazanin"/>
          <w:color w:val="111111"/>
          <w:sz w:val="28"/>
          <w:sz w:val="28"/>
          <w:szCs w:val="28"/>
          <w:rtl w:val="true"/>
          <w:lang w:bidi="fa-IR"/>
        </w:rPr>
        <w:t xml:space="preserve">، بل غایته وجوب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یتوصّل به إلی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یتوقّف علیه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إشکال فی ذلک، و من الواضح أنّ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یتوصّل به إلی ذی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یتوقّف علیه ذو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یجب من جهة وجوب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المعلوم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التخلّص من الغصب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w:t>
      </w:r>
      <w:bookmarkStart w:id="192" w:name="pg12934_164502"/>
    </w:p>
    <w:p>
      <w:pPr>
        <w:pStyle w:val="BookText"/>
        <w:rPr/>
      </w:pPr>
      <w:bookmarkEnd w:id="192"/>
      <w:r>
        <w:rPr>
          <w:rFonts w:ascii="IRNazanin" w:hAnsi="IRNazanin" w:eastAsia="IRNazanin"/>
          <w:color w:val="111111"/>
          <w:sz w:val="28"/>
          <w:sz w:val="28"/>
          <w:szCs w:val="28"/>
          <w:rtl w:val="true"/>
          <w:lang w:bidi="fa-IR"/>
        </w:rPr>
        <w:t xml:space="preserve">غیر ذلک، غیر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فلا یکون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 للحکم الوجوبی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عدم کونه موضوعاً لحکم الحرمة؛ فلأنّ الحرام هو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 فی مال الغیر بغیر 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الواجب هو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یتوصّل به إلی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یتوقّف علیه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الحرام هو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 فی مال الغیر بغیر 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بواجب، و لا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الحرکة الخروجیة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فرض تسلیم هذه الامور السقیمة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وجهین، نظیر سائر موارد الاجتماع، فیترجّح قول أبی هاشم و المحقّق القمّی إن لم نعتبر وجود المندوحة فی باب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اعتبرنا وجود المندوحة فی باب اجتماع الأمر و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لا یلزم طلب المحال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المفروض عن مسألة الاجتماع، و لا بدّ من القول بمقال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کما أشار إلیه المحقّق الخراسانی قدس سره أیضاً؛ لعدم وجود المندوحة هنا، فیلزم طلب المحال؛ ضرورة عدم صحّة تعلّق الطلب و البعث حقیقة بفعل واجب أو ترک کذلک و لو کان بسوء الاختیار</w:t>
      </w:r>
      <w:r>
        <w:rPr>
          <w:rFonts w:eastAsia="IRNazanin" w:cs="IRNazanin"/>
          <w:color w:val="111111"/>
          <w:sz w:val="28"/>
          <w:szCs w:val="28"/>
          <w:rtl w:val="true"/>
          <w:lang w:bidi="fa-IR"/>
        </w:rPr>
        <w:t>.</w:t>
      </w:r>
    </w:p>
    <w:p>
      <w:pPr>
        <w:pStyle w:val="Heading6"/>
        <w:numPr>
          <w:ilvl w:val="5"/>
          <w:numId w:val="1"/>
        </w:numPr>
        <w:rPr/>
      </w:pPr>
      <w:bookmarkStart w:id="193" w:name="__RefHeading___Toc4026155_3224264995"/>
      <w:bookmarkStart w:id="194" w:name="_Toc73"/>
      <w:bookmarkEnd w:id="193"/>
      <w:r>
        <w:rPr>
          <w:rtl w:val="true"/>
        </w:rPr>
        <w:t>حول مقال المحقّق النائینی</w:t>
      </w:r>
      <w:bookmarkEnd w:id="194"/>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المحقّق النائینی قدس سره اختار ما ذهب إلیه شیخنا الأعظم الأنصاری قدس سره و قد أطال فی بیانه، و حاصل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مبنی سائر الأقوال فی المسألة، هو توهّم کون المقام من صغریات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بالاختیار لا ینافی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فمنهم من رأی منافاته للاختیار خطاباً و ملاکاً، و بعضهم یری أنّه غیر منافٍ له لا ملاکاً و لا خطاباً، و ذهب ثالث إلی منافاته له خطاباً لا ملاکاً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فساد هذا التوهّم، و عدم اندراج المقام تحت تلک القاعدة؛ لأنّ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هو کون الخروج ممتنعاً بالاختیار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کون مقدار من الکون الغصبی ممتنعاً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الأوّل، فلأنّه یشترط فی مجری القاعدة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الخروج ممتنعاً، و هذا غیر حاصل فی الفرض؛ للتمکّن من ترکه، لأنّ الذی امتنع علیه هو مقدار من الکون المغصوب الذی یحصل تارة بالخروج، و اخری بالترک، و مجرّد الاضطرار إلی الجامع لا یوجب الاضطرار إلی ما یحصل به، فلا یوجب امتناع 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مورد القاعدة ما إذا کان التکلیف بالممتنع بالنسبة إلی المقدّمة الإعدادیة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یحصل الامتناع بترکها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مشروط بها خطاباً و لا ملاکاً، کالسیر بالنسبة إلی الحجّ؛ لأنّ الحجّ غیر مشروط بالسیر لا خطاباً و لا ملاکاً، فترکه حینئذٍ یوجب امتناع الحجّ علیه فی یوم عرفة، و یکون من الامتناع بالاختیار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الخطاب بالنسبة إلی تلک المقدّمة الإعدادیة، مشروطاً خطاباً و ملاکاً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کالسیر بالنسبة إلی الحجّ لو فرض کون السیر مقدّمة وجوبیة للحجّ؛ بحیث لو کان الشخص فی الحرم و اتفق منه وقوع السیر، یجب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 هذه المقدّمة و إن کان یوجب امتناع الواجب، إلّا أنّه لیس من صغریات تلک القاعدة، و لذا لا یوجب ترک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عقاباً علی الحجّ</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نحن فیه من قبیل الثانی؛ لأنّ الدخول فی الدار الغصبیة، من المقدّمات التی یتوقّف علیها أصل الخطاب بالخروج؛ إذ لا یعقل الخروج إلّا بالدخول، لأنّه موضوع للخروج، و لا موضوع للخروج بدون دخول، فکیف یعقل النهی عنه قبل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یعتبر فی مورد القاعدة أن یکون الفعل الممتنع علیه بالاختیار حال امتناعه، غیر محکوم بحکم یضادّ حکمه السابق علی الامتناع، بل لا بدّ و أن لا یکون محکوماً بحکم، و لو کان محکوماً بحکم لکان هو الحکم السابق علی الامتناع؛ فإنّ الحجّ مثلًا حال امتناعه علی الشخص بترک السیر، إمّا غیر محکوم بحکم أصلًا، أو محکوم بحکم الوجوب، فإذا فرض کون الفعل حال امتناعه محکوماً بحکم یضادّ حکمه السابق علی الامتناع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المقام، حیث إنّ الخروج من الدار الغصبیة ممّا یحکم بلزومه العقل إمّا لکونه أقلّ المحذورین، أو من باب وجوب ردّ المغصوب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من صغریات تلک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علی تقدیر کون الخروج ممتنعاً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أنّ مقداراً من الکون الغصبی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حقّ؛ لأنّه لا محیص من مقدار من الکون الغصبی، سواء مکث فی الدار، أو خرج منها، إلّا أنّ الکون الغصبی المتحقّق فی ضمن الخروج، لا یکون منهیاً عنه بوجهٍ من الوجوه، و لا فی زمان من الأزمنة، بل واجباً فی جمیع الحالات؛ لوجوب ردّ المغصوب إلی صاحبه بالضرورة من الدین</w:t>
      </w:r>
      <w:r>
        <w:rPr>
          <w:rStyle w:val="FootnoteAnchor"/>
          <w:rtl w:val="true"/>
        </w:rPr>
        <w:footnoteReference w:id="141"/>
      </w:r>
      <w:r>
        <w:rPr>
          <w:rFonts w:ascii="IRNazanin" w:hAnsi="IRNazanin" w:eastAsia="IRNazanin"/>
          <w:color w:val="111111"/>
          <w:sz w:val="28"/>
          <w:sz w:val="28"/>
          <w:szCs w:val="28"/>
          <w:rtl w:val="true"/>
          <w:lang w:bidi="fa-IR"/>
        </w:rPr>
        <w:t>، انتهی حاصل کلامه زید فی علوّ مقامه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ما أتعب نفسه الزکیة فیه، بناؤه علی عدم دخول المسألة فی کبری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بالاختیار لا ینافی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 علیه بأُمور غیر خالیة من الإشکال؛ لأنّا نمنع اشتراط حرمة الخروج من الدار المغصوبة شرعاً بالدخول فیها، بل هو حرام مطلقاً و بلا شرط، غایة الأمر یکون الخروج بلا دخول، سالبة بانتفاء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تخصیص مورد القاعدة بما إذا کان الفعل الممتنع علیه بالاختیار، غیر محکوم بحکم یضادّ حکمه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لم یدلّ علیه دلیل؛ إذ لا مانع من کون الخروج واجباً و حراماً بعنوانین؛ لو قلنا بأنّ الامتناع بالاختیار لا ینافی الاختیار خطاباً و ملاکاً، أو یکون فیه ملاک الحرمة فقط؛ لو قلنا بأنّه لا ینافیه ملاکاً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أشرنا آنفاً إلی عدم وجاهة ما ادّعاه من أنّ ردّ المغصوب إلی صاحبه واجب بالضرورة من الدین؛ لما عرفت من عدم الدلیل علی ذلک؛ و أنّ الثابت من الدین هو حرمة التصرّف فی مال الغیر بغیر إذنه و رضاه، نعم یعتبر عند ذلک ردّ المغصوب إلی صاحبه، کما یعتبر وجوب التخلّص من الغصب، و کذا ترک التصرّف فی مال الغیر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العناوین</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یسهّل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القاعدة أجنبیة عمّا نحن فیه، فلا معنی لجعل المسألة من مصادیق القاعدة و عدمه؛ و ذلک لأنّ الحکماء إنّما ذکروا القاعدة ردّاً علی مذهب الأشاعرة القائلین بالجبر، حیث استدلّوا علی مقالهم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الشی‌ء ما لم یجب لم یوجد، و ما لم یمتنع لم ینعدم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فزعموا أنّ الإیجاد و الإعدام لیسا باختیاریین؛ حتّی الأفعال الصادرة منه تعالی، فهو تعالی مجبور فی أفعاله، فیکون فاعلًا موجَباً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اللَّه عمّا یقول الظالمون علوّاً کبیراً</w:t>
      </w:r>
      <w:r>
        <w:rPr>
          <w:rStyle w:val="FootnoteAnchor"/>
          <w:rtl w:val="true"/>
        </w:rPr>
        <w:footnoteReference w:id="142"/>
      </w:r>
      <w:r>
        <w:rPr>
          <w:rFonts w:ascii="IRNazanin" w:hAnsi="IRNazanin" w:eastAsia="IRNazanin"/>
          <w:color w:val="111111"/>
          <w:sz w:val="28"/>
          <w:sz w:val="28"/>
          <w:szCs w:val="28"/>
          <w:rtl w:val="true"/>
          <w:lang w:bidi="fa-IR"/>
        </w:rPr>
        <w:t>، فتصدّی الحکماء لدفع مزعمتهم الفاسدة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الإیجاب بالاختیار لا ینافی الاختیار، کما أنّ الامتناع بالاختیار لا ینافی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أنّ الشی‌ء و إن کان ما دام لم یجب لم یوجد، ما لم یمتنع</w:t>
      </w:r>
    </w:p>
    <w:p>
      <w:pPr>
        <w:pStyle w:val="BookText"/>
        <w:rPr/>
      </w:pPr>
      <w:r>
        <w:rPr>
          <w:rFonts w:ascii="IRNazanin" w:hAnsi="IRNazanin" w:eastAsia="IRNazanin"/>
          <w:color w:val="111111"/>
          <w:sz w:val="28"/>
          <w:sz w:val="28"/>
          <w:szCs w:val="28"/>
          <w:rtl w:val="true"/>
          <w:lang w:bidi="fa-IR"/>
        </w:rPr>
        <w:t>لم ینعدم، و لکنّ هذا الإیجاب أو الامتناع السابقین إنّما هما بالاختیار، و واضح أنّ الإیجاب و الامتناع الاختیاریین لا ینافیان الاختیار، بل یؤکّدانه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الإیجاب السابق علی فعله تعالی باختیاره، لا ینافی اختیاره تعالی؛ و أنّه تعالی فاعل 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الإیجاب بالاختیار کالامتناع بالاختیار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جعل الشی‌ء ممتنعاً بالاختیار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ینافی الاختیار، بل یؤکّده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نحن فیه غیر مربوط بهذه القاعدة؛ لأنّ الامتناع بترک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کترک المسیر إلی الحجّ إلی وقت یمتنع إدراکه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ینافی الاختیار بالضرورة، فمن ترک المسیر إلی الحجّ اختیاراً، یخرج إتیان الحجّ فی الموسم عن اختیاره، و یمتنع تحقّقه منه، فهذا الامتناع ینافی الاختیار مع کونه بالاختیار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وقوع الخلط بین هذه القاعدة العقلیة و بین قاعدة اخری عقلائیة یدخل المقام تحتها؛ و هی أنّ الاضطرار إلی فعل الحرام أو ترک الواجب إذا کان بسوء الاختیار، هل هو عذر عند العقلاء و لدی العقل؛ بحیث لا یصحّ العقاب علیه، أو لیس بعذر و یصحّ العقاب علیه؟</w:t>
      </w:r>
    </w:p>
    <w:p>
      <w:pPr>
        <w:pStyle w:val="BookText"/>
        <w:rPr/>
      </w:pPr>
      <w:r>
        <w:rPr>
          <w:rFonts w:ascii="IRNazanin" w:hAnsi="IRNazanin" w:eastAsia="IRNazanin"/>
          <w:color w:val="111111"/>
          <w:sz w:val="28"/>
          <w:sz w:val="28"/>
          <w:szCs w:val="28"/>
          <w:rtl w:val="true"/>
          <w:lang w:bidi="fa-IR"/>
        </w:rPr>
        <w:t>و الأقوی هو الثانی، فمن ترک المسیر إلی الحجّ بسوء اختیاره حتّی عجز عن إتیان المناسک فی الوقت المقرّر لها، یصحّ عقابه و إن کان ینافی الاختیار، و کذا من جعل نفسه مضطرّاً إلی التصرّف فی مال الغیر بلا 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کالتصرّف الخروجی المضطرّ إلیه بحکم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معذوراً عقلًا، کمن سلب قدرته عمداً علی إنقاذ الغریق</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 المورد الأوّل؛ و هو الحکم التکلیفی لخروج من توسّط الأرض الغصبیة بسوء اختیاره</w:t>
      </w:r>
      <w:r>
        <w:rPr>
          <w:rFonts w:eastAsia="IRNazanin" w:cs="IRNazanin"/>
          <w:color w:val="111111"/>
          <w:sz w:val="28"/>
          <w:szCs w:val="28"/>
          <w:rtl w:val="true"/>
          <w:lang w:bidi="fa-IR"/>
        </w:rPr>
        <w:t>.</w:t>
      </w:r>
      <w:bookmarkStart w:id="195" w:name="pg12934_164507"/>
    </w:p>
    <w:p>
      <w:pPr>
        <w:pStyle w:val="Heading5"/>
        <w:numPr>
          <w:ilvl w:val="4"/>
          <w:numId w:val="1"/>
        </w:numPr>
        <w:rPr/>
      </w:pPr>
      <w:bookmarkStart w:id="196" w:name="__RefHeading___Toc4026157_3224264995"/>
      <w:bookmarkStart w:id="197" w:name="_Toc74"/>
      <w:bookmarkEnd w:id="195"/>
      <w:bookmarkEnd w:id="196"/>
      <w:r>
        <w:rPr>
          <w:rtl w:val="true"/>
        </w:rPr>
        <w:t>المورد الثانی</w:t>
      </w:r>
      <w:r>
        <w:rPr>
          <w:rtl w:val="true"/>
        </w:rPr>
        <w:t xml:space="preserve">: </w:t>
      </w:r>
      <w:r>
        <w:rPr>
          <w:rtl w:val="true"/>
        </w:rPr>
        <w:t>فی حکم الصلاة فی الدار المغصوبة</w:t>
      </w:r>
      <w:bookmarkEnd w:id="197"/>
    </w:p>
    <w:p>
      <w:pPr>
        <w:pStyle w:val="BookText"/>
        <w:rPr/>
      </w:pPr>
      <w:r>
        <w:rPr>
          <w:rFonts w:ascii="IRNazanin" w:hAnsi="IRNazanin" w:eastAsia="IRNazanin"/>
          <w:color w:val="111111"/>
          <w:sz w:val="28"/>
          <w:sz w:val="28"/>
          <w:szCs w:val="28"/>
          <w:rtl w:val="true"/>
          <w:lang w:bidi="fa-IR"/>
        </w:rPr>
        <w:t>و أمّا الحکم الوضعی له فهو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قلنا بجواز الاجتماع، فلا إشکال فی صحّة الصلاة فی الدار المغصوبة بعد تسلیم تعدّد المتعلّقین و تصادقهما علی موضوع واحد؛ و أنّ حیثیة المبغوضیة غیر حیثیة المحبوبیة، و هکذا حیثیة المبعّدیة غیر حیثیة المقرّبیة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الامتناع، فصحّة الصلاة تتوقّف علی إثبات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اشتمال کلّ من متعلّقی الأمر و النهی علی ملاک تامّ؛ و إن کان عنواناً واحداً و حیثیة فاردة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مغلوبیة ملاک الصحّة فی الصلاة بملاک 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دون إثباتهما خرط القتاد؛ لأنّ الأمر الأوّل ممتنع، لعدم إمکان اجتماع المصلحة و المفسدة فی شی‌ء واحد، و بعنوان واحد، و حیثیة فاردة؛ إذ لا یعقل وجود ملاکی البعث و الزجر فی شی‌ء واحد بحیثیة واحدة، فإذا امتنع اجتماع المصلحة و المفسدة فی شی‌ء واحد، فحدیث عدم مغلوبیة ملاک الصحّة فی الصلاة بملاک الغصب لا مورد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لو قلنا بالامتناع لأجل کونه تکلیفاً محالًا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قلنا بالامتناع لأنّه تکلیف بالمحال، فیمکن تصحیح الصلاة و لو مع أقوائیة ملاک النهی من ملاک الأمر؛ لأنّ ملاک الغصب لا یزیل ملاک الأمر فی مقام تعلّق الأحکام بالعناوین، لکونها فی ظرف تعلّق الأحکام، مختلفةً غیر مختلطة، و إنّما امتنع الاجتماع لأُمور 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 المحقّق النائینی قدس سره من تکاسر الملاکین و انکسار ملاک الأمر بملاک النهی</w:t>
      </w:r>
      <w:r>
        <w:rPr>
          <w:rStyle w:val="FootnoteAnchor"/>
          <w:rtl w:val="true"/>
        </w:rPr>
        <w:footnoteReference w:id="143"/>
      </w:r>
      <w:r>
        <w:rPr>
          <w:rFonts w:ascii="IRNazanin" w:hAnsi="IRNazanin" w:eastAsia="IRNazanin"/>
          <w:color w:val="111111"/>
          <w:sz w:val="28"/>
          <w:sz w:val="28"/>
          <w:szCs w:val="28"/>
          <w:rtl w:val="true"/>
          <w:lang w:bidi="fa-IR"/>
        </w:rPr>
        <w:t>، فقد أشرنا إلی أنّه لیس فی المقام کسر و انکسار خارجیان، بل معنی أقوائیة النهی هو أنّ مراعاة المفسدة المترتّبة علی الغصب بترکه، أهمّ فی نظر الشارع من مراعاة مصلحة الصلاة؛ و أنّها ضعیفة بالنسبة إلی مفسدة الغصب، مع أنّها تمام الملاک للصلاة بدون نقص، فحینئذٍ یمکن تصحیح الصلاة بملاکها و إن لم یتعلّق أمر فعلی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شیخنا العلّامة الحائری قدس سره فقد صحّح الصلاة فی الدار الغصبیة علی القول بالامتناع، فقال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صحّة الصلاة فی الدار الغصبیة علی القول بالامتناع؛ لوضوح الفرق بین عبد دخل داراً نهاه مولاه عن دخولها، و بین عبد دخلها مثله، و لکن امتثل أمراً له بالخیاطة مثلًا، فإنّ عقاب الأوّل أکثر من الثانی؛ حیث إنّ الثانی و إن ارتکب المنهی عنه، لکن امتثل أمراً له، دون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التوصّلیات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فی التعبّدیات، کما لو صلّی بدل الخیاطة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اجتماع المحبوبیة الفعلیة مع المبغوضیة الذاتیة فی عنوان واحد؛ فإنّه لو أشرفت زوجة الرجل علی الغرق، فإنقاذ الأجنبی لها بالمباشرة مبغوض بالذات، لکنّه محبوب له فعلًا</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الأمثلة العرفیة التی ذکرها صحیحة، و لکن وقع الخلط فی کلامه قدس سره لأنّ متعلّق الحبّ فی المثال مغایر لمتعلّق البغض؛ لأنّ الحبّ متعلّق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الإنقاذ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البغض متعلّق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مباشرة الأجنبی لزوجته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عنوان آخر، فهناک</w:t>
      </w:r>
    </w:p>
    <w:p>
      <w:pPr>
        <w:pStyle w:val="BookText"/>
        <w:rPr/>
      </w:pPr>
      <w:r>
        <w:rPr>
          <w:rFonts w:ascii="IRNazanin" w:hAnsi="IRNazanin" w:eastAsia="IRNazanin"/>
          <w:color w:val="111111"/>
          <w:sz w:val="28"/>
          <w:sz w:val="28"/>
          <w:szCs w:val="28"/>
          <w:rtl w:val="true"/>
          <w:lang w:bidi="fa-IR"/>
        </w:rPr>
        <w:t>عنوانان متغایران متصادقان علی موضوع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إجمال المقال فی الحکم الوضعی و قد تقدّم شطر من الکلام فیه فی الصلاة فی الدار المغصوبة</w:t>
      </w:r>
      <w:r>
        <w:rPr>
          <w:rStyle w:val="FootnoteAnchor"/>
          <w:rtl w:val="true"/>
        </w:rPr>
        <w:footnoteReference w:id="145"/>
      </w:r>
      <w:r>
        <w:rPr>
          <w:rFonts w:ascii="IRNazanin" w:hAnsi="IRNazanin" w:eastAsia="IRNazanin"/>
          <w:color w:val="111111"/>
          <w:sz w:val="28"/>
          <w:sz w:val="28"/>
          <w:szCs w:val="28"/>
          <w:rtl w:val="true"/>
          <w:lang w:bidi="fa-IR"/>
        </w:rPr>
        <w:t>، و شطر منه مربوط بالفقه؛ و هو الصلاة فی ضیق الوقت و کیفیتها</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النهی علی الفساد</w:t>
      </w:r>
      <w:bookmarkStart w:id="198" w:name="pg12934_164510"/>
    </w:p>
    <w:p>
      <w:pPr>
        <w:pStyle w:val="Heading5"/>
        <w:numPr>
          <w:ilvl w:val="4"/>
          <w:numId w:val="1"/>
        </w:numPr>
        <w:rPr/>
      </w:pPr>
      <w:bookmarkStart w:id="199" w:name="__RefHeading___Toc4026159_3224264995"/>
      <w:bookmarkStart w:id="200" w:name="_Toc75"/>
      <w:bookmarkEnd w:id="198"/>
      <w:bookmarkEnd w:id="199"/>
      <w:r>
        <w:rPr>
          <w:rtl w:val="true"/>
        </w:rPr>
        <w:t>المطلب الأوّل</w:t>
      </w:r>
      <w:r>
        <w:rPr>
          <w:rtl w:val="true"/>
        </w:rPr>
        <w:t xml:space="preserve">: </w:t>
      </w:r>
      <w:r>
        <w:rPr>
          <w:rtl w:val="true"/>
        </w:rPr>
        <w:t>فی عنوان البحث</w:t>
      </w:r>
      <w:bookmarkEnd w:id="200"/>
    </w:p>
    <w:p>
      <w:pPr>
        <w:pStyle w:val="BookText"/>
        <w:rPr/>
      </w:pPr>
      <w:r>
        <w:rPr>
          <w:rFonts w:ascii="IRNazanin" w:hAnsi="IRNazanin" w:eastAsia="IRNazanin"/>
          <w:color w:val="111111"/>
          <w:sz w:val="28"/>
          <w:sz w:val="28"/>
          <w:szCs w:val="28"/>
          <w:rtl w:val="true"/>
          <w:lang w:bidi="fa-IR"/>
        </w:rPr>
        <w:t>اختلف عنوان البحث فی کلمات القوم، فعنون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النهی عن الشی‌ء هل یقتضی فساده، أم لا؟</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 xml:space="preserve">و عنون بعض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النهی إذا تعلّق بشی‌ء، هل یدلّ علی فساده، أم لا؟</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حیث إنّ کلا العنوانین لا یخلوان من المسامحة، غیّرنا عنوان البحث إلی أنّ النهی عن الشی‌ء، هل یکشف عن فساده، أم لا؟ و ذلک لأنّ الظاهر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یکون للشی‌ء نحو تأثیر و سببیة، و من المعلوم أنّ النهی لیست له هذه الشأنیة، إلّا أن یراد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معناه الظاهر فیه</w:t>
      </w:r>
      <w:r>
        <w:rPr>
          <w:rFonts w:eastAsia="IRNazanin" w:cs="IRNazanin"/>
          <w:color w:val="111111"/>
          <w:sz w:val="28"/>
          <w:szCs w:val="28"/>
          <w:rtl w:val="true"/>
          <w:lang w:bidi="fa-IR"/>
        </w:rPr>
        <w:t>.</w:t>
      </w:r>
      <w:bookmarkStart w:id="201" w:name="pg12934_164511"/>
    </w:p>
    <w:p>
      <w:pPr>
        <w:pStyle w:val="BookText"/>
        <w:rPr/>
      </w:pPr>
      <w:bookmarkEnd w:id="201"/>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غیر مؤثّر فی الفساد، و لا علّة له، بل هو إمّا دالّ علیه، أو کاشف عن مبغوضیة المتعلّق التی تنافی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المسامحة فی تعبیر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فلأنّ الظاهر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الدلالة اللفظیة، و قد تقدّم عدم کون الدلالة الالتزامیة من دلالة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سلّم کونها منها فمع هذا یشترط فیها کون اللزوم بیّناً؛ بنحو لو تصوّر الملزوم لزم منه تصوّر اللازم، کالزوجیة بالنسبة إلی الأربعة، و اللزوم فی المقام خفی، و لذا لم یفهمه إلّا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فی الدلالة الالتزامیة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تسلیم کونها من الدلالة اللفظیة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اللزوم الذهنی، فلا تشمل الملازمات العقلیة الخفیة، کما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مدعی الفساد، لا یقتصر فی مقام إثبات مدعاه علی الدلالة اللفظیة، بل یتمسّک بوجوه عقلیة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البحث لیس مقصوراً علی النواهی اللفظیة، بل یجری فیما إذا فهم النهی من دلیل لُبّی، کالإجماع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عنونة البحث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النهی علی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تامّ، إلّا أن یراد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الکشف و لو بنحو اللزوم الخفی، فیرجع إلی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عنونة البحث بما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لفظیاً کان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عبادة أو معاملة، هل یکشف عن الفساد بالکشف الأعمّ من اللفظی و العقلی، أم لا؟</w:t>
      </w:r>
    </w:p>
    <w:p>
      <w:pPr>
        <w:pStyle w:val="Heading5"/>
        <w:numPr>
          <w:ilvl w:val="4"/>
          <w:numId w:val="1"/>
        </w:numPr>
        <w:rPr/>
      </w:pPr>
      <w:bookmarkStart w:id="202" w:name="__RefHeading___Toc4026161_3224264995"/>
      <w:bookmarkStart w:id="203" w:name="_Toc76"/>
      <w:bookmarkEnd w:id="202"/>
      <w:r>
        <w:rPr>
          <w:rtl w:val="true"/>
        </w:rPr>
        <w:t>المطلب الثانی</w:t>
      </w:r>
      <w:r>
        <w:rPr>
          <w:rtl w:val="true"/>
        </w:rPr>
        <w:t xml:space="preserve">: </w:t>
      </w:r>
      <w:r>
        <w:rPr>
          <w:rtl w:val="true"/>
        </w:rPr>
        <w:t>فی أنّ المسألة لیست عقلیة محضة و لا لفظیة کذلک</w:t>
      </w:r>
      <w:bookmarkEnd w:id="203"/>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أنّ المسألة لیست عقلیة محضة، و لا لفظیة محضة، بل هی مرکّبة منهما؛ و إن کان یظهر من بعضهم کونها لفظیة محضة، و من بعض آخر أنّها عقلیة</w:t>
      </w:r>
      <w:bookmarkStart w:id="204" w:name="pg12934_164512"/>
    </w:p>
    <w:p>
      <w:pPr>
        <w:pStyle w:val="BookText"/>
        <w:rPr/>
      </w:pPr>
      <w:bookmarkEnd w:id="204"/>
      <w:r>
        <w:rPr>
          <w:rFonts w:ascii="IRNazanin" w:hAnsi="IRNazanin" w:eastAsia="IRNazanin"/>
          <w:color w:val="111111"/>
          <w:sz w:val="28"/>
          <w:sz w:val="28"/>
          <w:szCs w:val="28"/>
          <w:rtl w:val="true"/>
          <w:lang w:bidi="fa-IR"/>
        </w:rPr>
        <w:t xml:space="preserve">محضة حسبما اقتضاه التحقیق عندهم؛ و ذلک لأنّ انتخاب أحد طرفی المسألة أو أطرافها و اختیاره، غیر ما هو محطّ النزاع عند القوم، فربما یکون المقبول عند شخص مردوداً عند آخر، کما ربما یکون العکس عند ثانٍ، و یکون کلاهما مردودین عند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و کثیراً ما یوجب اختیار أحد طرفی المسألة أو أطرافها فقد البحث علی مختاره و هو کما تری، فلا بدّ لعاقد عنوان البحث من استقراء کلمات القوم فی محطّ البحث و استدلالاتهم، ثمّ عقد عنوان البحث بنحو یشمل شتات 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سبر کلمات القوم و استدلالاتهم، یری بوضوح أنّ البحث عند جمیعهم لم یکن لفظیاً محضاً، و لا عقلیاً کذلک، و لذا استدلّ بعضهم علی الفساد باللفظ، و آخر بالعقل، فالأولی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عنوان البحث بنحو یعمّ کلا المذهبین، و مع ذلک فهذا غیر مهمّ، کما لا یخفی</w:t>
      </w:r>
      <w:r>
        <w:rPr>
          <w:rFonts w:eastAsia="IRNazanin" w:cs="IRNazanin"/>
          <w:color w:val="111111"/>
          <w:sz w:val="28"/>
          <w:szCs w:val="28"/>
          <w:rtl w:val="true"/>
          <w:lang w:bidi="fa-IR"/>
        </w:rPr>
        <w:t>.</w:t>
      </w:r>
    </w:p>
    <w:p>
      <w:pPr>
        <w:pStyle w:val="Heading5"/>
        <w:numPr>
          <w:ilvl w:val="4"/>
          <w:numId w:val="1"/>
        </w:numPr>
        <w:rPr/>
      </w:pPr>
      <w:bookmarkStart w:id="205" w:name="__RefHeading___Toc4026163_3224264995"/>
      <w:bookmarkStart w:id="206" w:name="_Toc77"/>
      <w:bookmarkEnd w:id="205"/>
      <w:r>
        <w:rPr>
          <w:rtl w:val="true"/>
        </w:rPr>
        <w:t>المطلب الثالث</w:t>
      </w:r>
      <w:r>
        <w:rPr>
          <w:rtl w:val="true"/>
        </w:rPr>
        <w:t xml:space="preserve">: </w:t>
      </w:r>
      <w:r>
        <w:rPr>
          <w:rtl w:val="true"/>
        </w:rPr>
        <w:t>فی الفرق بین هذه المسألة و مسألة الاجتماع</w:t>
      </w:r>
      <w:bookmarkEnd w:id="206"/>
    </w:p>
    <w:p>
      <w:pPr>
        <w:pStyle w:val="BookText"/>
        <w:rPr/>
      </w:pPr>
      <w:r>
        <w:rPr>
          <w:rFonts w:ascii="IRNazanin" w:hAnsi="IRNazanin" w:eastAsia="IRNazanin"/>
          <w:color w:val="111111"/>
          <w:sz w:val="28"/>
          <w:sz w:val="28"/>
          <w:szCs w:val="28"/>
          <w:rtl w:val="true"/>
          <w:lang w:bidi="fa-IR"/>
        </w:rPr>
        <w:t>قد تقدّم فی المسألة المتقدّمة بیان الفرق بین مسألة اجتماع الأمر و النهی و هذه المسألة، 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الفرق بینهما بتمام الذات، فراجع</w:t>
      </w:r>
      <w:r>
        <w:rPr>
          <w:rFonts w:eastAsia="IRNazanin" w:cs="IRNazanin"/>
          <w:color w:val="111111"/>
          <w:sz w:val="28"/>
          <w:szCs w:val="28"/>
          <w:rtl w:val="true"/>
          <w:lang w:bidi="fa-IR"/>
        </w:rPr>
        <w:t>.</w:t>
      </w:r>
    </w:p>
    <w:p>
      <w:pPr>
        <w:pStyle w:val="Heading5"/>
        <w:numPr>
          <w:ilvl w:val="4"/>
          <w:numId w:val="1"/>
        </w:numPr>
        <w:rPr/>
      </w:pPr>
      <w:bookmarkStart w:id="207" w:name="__RefHeading___Toc4026165_3224264995"/>
      <w:bookmarkStart w:id="208" w:name="_Toc78"/>
      <w:bookmarkEnd w:id="207"/>
      <w:r>
        <w:rPr>
          <w:rtl w:val="true"/>
        </w:rPr>
        <w:t>المطلب الرابع</w:t>
      </w:r>
      <w:r>
        <w:rPr>
          <w:rtl w:val="true"/>
        </w:rPr>
        <w:t xml:space="preserve">: </w:t>
      </w:r>
      <w:r>
        <w:rPr>
          <w:rtl w:val="true"/>
        </w:rPr>
        <w:t>فی عدم اختصاص الفساد بالفساد الناشئ عن قصور المقتضی</w:t>
      </w:r>
      <w:bookmarkEnd w:id="208"/>
    </w:p>
    <w:p>
      <w:pPr>
        <w:pStyle w:val="BookText"/>
        <w:rPr/>
      </w:pPr>
      <w:r>
        <w:rPr>
          <w:rFonts w:ascii="IRNazanin" w:hAnsi="IRNazanin" w:eastAsia="IRNazanin"/>
          <w:color w:val="111111"/>
          <w:sz w:val="28"/>
          <w:sz w:val="28"/>
          <w:szCs w:val="28"/>
          <w:rtl w:val="true"/>
          <w:lang w:bidi="fa-IR"/>
        </w:rPr>
        <w:t xml:space="preserve">الظاهر تعمیم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المبحوث عنه فی المسألة إلی الفساد الواقعی الناشئ عن قصور فی المصلحة، و الفساد الناشئ عن قصور فی التقرّب به مع عدم قصور فی المصلحة المقتضیة للأمر به واقعاً</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یظهر من المحقّق العراقی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المبحوث عنه فی هذه</w:t>
      </w:r>
    </w:p>
    <w:p>
      <w:pPr>
        <w:pStyle w:val="BookText"/>
        <w:rPr/>
      </w:pPr>
      <w:r>
        <w:rPr>
          <w:rFonts w:ascii="IRNazanin" w:hAnsi="IRNazanin" w:eastAsia="IRNazanin"/>
          <w:color w:val="111111"/>
          <w:sz w:val="28"/>
          <w:sz w:val="28"/>
          <w:szCs w:val="28"/>
          <w:rtl w:val="true"/>
          <w:lang w:bidi="fa-IR"/>
        </w:rPr>
        <w:t>المسألة، هو الفساد الواقعی الناشئ عن قصور فی المصلحة، لا الفساد الناشئ عن قصور فی التقرّب به مع عدم قصوره فی المصلحة المقتضیة للأمر به واقعاً، نظیر النهی المتعلّق بشی‌ء من الأمر بضدّه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تمسّک قدس سره لذلک بالظهور؛ بدعوی ظهور العنوان فی اقتضاء النهی بوجوده الواقعی للفساد، لا المعنی الثانی، إلّا أن تقوم علیه قرینة، و علی هذا یکون هذا البحث راجعاً إلی باب التعارض و التکاذب بین الأدلّة، لا باب التزاحم، فیکون الفرق بین هذه المسألة و مسألة الاجتماع فی غایة الوضوح؛ لکون النزاع هناک فی المتزاحمین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جعلنا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العنوان أعمّ من الفساد التقرّبی، فلا محیص من جعل مسألة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صغریات هذه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توجّه نهی إلی موضوع الأمر فلا نزاع لأحد فی منعه عن التقرّب بمثله، بل لا أمر له حینئذٍ و یکون مبعّداً محضاً بنهیه، فکیف یتقرّب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حینئذٍ لا یبقی مجال للبحث عن هذا الفساد، و هذا شاهد آخر لعدم 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العنوان للفساد التقرّبی، فینحصر الفساد فیه بالفساد الواقعی الناشئ عن قصور فی المقتضی</w:t>
      </w:r>
      <w:r>
        <w:rPr>
          <w:rStyle w:val="FootnoteAnchor"/>
          <w:rtl w:val="true"/>
        </w:rPr>
        <w:footnoteReference w:id="149"/>
      </w:r>
      <w:r>
        <w:rPr>
          <w:rFonts w:ascii="Amiri" w:hAnsi="Amiri" w:eastAsia="Amiri" w:cs="Amiri"/>
          <w:color w:val="111111"/>
          <w:sz w:val="28"/>
          <w:sz w:val="28"/>
          <w:szCs w:val="28"/>
          <w:rtl w:val="true"/>
          <w:lang w:bidi="ar-SA"/>
        </w:rPr>
        <w:t>، انتهی محرّراً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وجه لتخصیص النزاع بالفساد الناشئ عن قصور فی المقتضی بعد عموم البحث بالنسبة إلی النهی التحریمی و التنزیهی؛ لوضوح أنّ تعلّق النهی التنزیهی بشی‌ء، لا یوجب حزازة و منقصة فی جانب المقتضی، کما لا یخفی</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نزاع لأحد فی منعه عن التقرّب بمثله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سدید؛ لأنّ أبا حنیفة و الشیبانی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سیجی‌ء قولهما و ردّهما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صرّحا بأنّ النهی إذا تعلّق بشی‌ء یدلّ علی صحّته</w:t>
      </w:r>
      <w:r>
        <w:rPr>
          <w:rFonts w:eastAsia="IRNazanin" w:cs="IRNazanin"/>
          <w:color w:val="111111"/>
          <w:sz w:val="28"/>
          <w:szCs w:val="28"/>
          <w:rtl w:val="true"/>
          <w:lang w:bidi="fa-IR"/>
        </w:rPr>
        <w:t>.</w:t>
      </w:r>
      <w:bookmarkStart w:id="209" w:name="pg12934_164514"/>
    </w:p>
    <w:p>
      <w:pPr>
        <w:pStyle w:val="Heading5"/>
        <w:numPr>
          <w:ilvl w:val="4"/>
          <w:numId w:val="1"/>
        </w:numPr>
        <w:rPr/>
      </w:pPr>
      <w:bookmarkStart w:id="210" w:name="__RefHeading___Toc4026167_3224264995"/>
      <w:bookmarkStart w:id="211" w:name="_Toc79"/>
      <w:bookmarkEnd w:id="209"/>
      <w:bookmarkEnd w:id="210"/>
      <w:r>
        <w:rPr>
          <w:rtl w:val="true"/>
        </w:rPr>
        <w:t>المطلب الخامس</w:t>
      </w:r>
      <w:r>
        <w:rPr>
          <w:rtl w:val="true"/>
        </w:rPr>
        <w:t xml:space="preserve">: </w:t>
      </w:r>
      <w:r>
        <w:rPr>
          <w:rtl w:val="true"/>
        </w:rPr>
        <w:t>فی کون المسألة مسألة اصولیة</w:t>
      </w:r>
      <w:bookmarkEnd w:id="211"/>
    </w:p>
    <w:p>
      <w:pPr>
        <w:pStyle w:val="BookText"/>
        <w:rPr/>
      </w:pPr>
      <w:r>
        <w:rPr>
          <w:rFonts w:ascii="IRNazanin" w:hAnsi="IRNazanin" w:eastAsia="IRNazanin"/>
          <w:color w:val="111111"/>
          <w:sz w:val="28"/>
          <w:sz w:val="28"/>
          <w:szCs w:val="28"/>
          <w:rtl w:val="true"/>
          <w:lang w:bidi="fa-IR"/>
        </w:rPr>
        <w:t>لا ینبغی الإشکال فی کون المسألة من المسائل الاصولیة؛ لأنّ المناط فی کون المسألة اصولیة هو إمکان وقوعها کبری لاستنتاج الحکم الفرعی الکلّی الآلی، و مسألتنا هذه کذلک، کما لا یخفی</w:t>
      </w:r>
      <w:r>
        <w:rPr>
          <w:rFonts w:eastAsia="IRNazanin" w:cs="IRNazanin"/>
          <w:color w:val="111111"/>
          <w:sz w:val="28"/>
          <w:szCs w:val="28"/>
          <w:rtl w:val="true"/>
          <w:lang w:bidi="fa-IR"/>
        </w:rPr>
        <w:t>.</w:t>
      </w:r>
    </w:p>
    <w:p>
      <w:pPr>
        <w:pStyle w:val="Heading5"/>
        <w:numPr>
          <w:ilvl w:val="4"/>
          <w:numId w:val="1"/>
        </w:numPr>
        <w:rPr/>
      </w:pPr>
      <w:bookmarkStart w:id="212" w:name="__RefHeading___Toc4026169_3224264995"/>
      <w:bookmarkStart w:id="213" w:name="_Toc80"/>
      <w:bookmarkEnd w:id="212"/>
      <w:r>
        <w:rPr>
          <w:rtl w:val="true"/>
        </w:rPr>
        <w:t>المطلب السادس</w:t>
      </w:r>
      <w:r>
        <w:rPr>
          <w:rtl w:val="true"/>
        </w:rPr>
        <w:t xml:space="preserve">: </w:t>
      </w:r>
      <w:r>
        <w:rPr>
          <w:rtl w:val="true"/>
        </w:rPr>
        <w:t>فی أنّ محطّ البحث جمیع النواهی</w:t>
      </w:r>
      <w:bookmarkEnd w:id="213"/>
    </w:p>
    <w:p>
      <w:pPr>
        <w:pStyle w:val="BookText"/>
        <w:rPr/>
      </w:pPr>
      <w:r>
        <w:rPr>
          <w:rFonts w:ascii="IRNazanin" w:hAnsi="IRNazanin" w:eastAsia="IRNazanin"/>
          <w:color w:val="111111"/>
          <w:sz w:val="28"/>
          <w:sz w:val="28"/>
          <w:szCs w:val="28"/>
          <w:rtl w:val="true"/>
          <w:lang w:bidi="fa-IR"/>
        </w:rPr>
        <w:t>الظاهر أنّ محطّ البحث جمیع النواهی؛ سواء کانت نفسیة أو غیریة، أصلیة أو تبعیة، تحریمیة أو تنزیهیة، و لا وجه لتخصیصه ببعضها و إخراج بعضها الآخر عنه بمجرّد أنّه خلاف التحقیق عنده؛ و ذلک لما أشرنا من أنّ انتخاب أمر و ردّ أمر، لا یوجب تخصیص محطّ البحث بما انتخبه و خروج ما ردّه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أفاده المحقّق النائینی قدس سره من خروج النهی التنزیهی عن محطّ البحث؛ بدعوی أنّ النواهی التنزیهیة فی الشریعة، لم تتعلّق بذات العبادة علی وجه یتّحد متعلّق الأمر و النهی؛ لأنّ الرخصة الوضعیة بالنسبة إلی الإتیان بأیّ فرد المستفادة من مطلق الأمر بالطبیعة، لا تنافی النهی التنزیهی المتضمّن للرخصة أیضاً، فالقول بأنّ النهی التنزیهی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کالنهی التحریمی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فی حریم اقتضاء النهی للفساد، ضعیف جدّاً</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مستقیم؛ و ذلک لأنّه لو سلّم أنّ النواهی التنزیهیة فی الشریعة لم تتعلّق بذات العبادة، لکن محطّ النزاع فی المسألة الاصولیة مبنی علی الفرض؛ و أنّه لو تعلّق نهی بذات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تحریمیاً کان أو تنزیهیاً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فالشأن ما ذا؟ سواء کان فی الخارج</w:t>
      </w:r>
      <w:bookmarkStart w:id="214" w:name="pg12934_164515"/>
    </w:p>
    <w:p>
      <w:pPr>
        <w:pStyle w:val="BookText"/>
        <w:rPr/>
      </w:pPr>
      <w:bookmarkEnd w:id="214"/>
      <w:r>
        <w:rPr>
          <w:rFonts w:ascii="IRNazanin" w:hAnsi="IRNazanin" w:eastAsia="IRNazanin"/>
          <w:color w:val="111111"/>
          <w:sz w:val="28"/>
          <w:sz w:val="28"/>
          <w:szCs w:val="28"/>
          <w:rtl w:val="true"/>
          <w:lang w:bidi="fa-IR"/>
        </w:rPr>
        <w:t>نهی کذلک أم لا، و من الواضح أنّه لا فرق فی ذلک بین النهی التنزیهی و التحریمی، نعم لأحد اختیار أنّ النواهی التنزیهیة فی الشریعة، لا تدلّ علی الفساد؛ لأنّها لم تتعلّق بذات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کون أمر خلاف التحقیق عند أحد، لا یوجب خروجه عن محطّ البحث، فدعوی خروج النهی التنزیهی عن محطّ البحث ضعیفة</w:t>
      </w:r>
      <w:r>
        <w:rPr>
          <w:rStyle w:val="FootnoteAnchor"/>
          <w:rtl w:val="true"/>
        </w:rPr>
        <w:footnoteReference w:id="151"/>
      </w:r>
      <w:r>
        <w:rPr>
          <w:rFonts w:ascii="IRNazanin" w:hAnsi="IRNazanin" w:eastAsia="IRNazanin"/>
          <w:color w:val="111111"/>
          <w:sz w:val="28"/>
          <w:sz w:val="28"/>
          <w:szCs w:val="28"/>
          <w:rtl w:val="true"/>
          <w:lang w:bidi="fa-IR"/>
        </w:rPr>
        <w:t>، کما أنّ دعوی خروج النهی الغیری عنه أیضاً کذلک</w:t>
      </w:r>
      <w:r>
        <w:rPr>
          <w:rFonts w:eastAsia="IRNazanin" w:cs="IRNazanin"/>
          <w:color w:val="111111"/>
          <w:sz w:val="28"/>
          <w:szCs w:val="28"/>
          <w:rtl w:val="true"/>
          <w:lang w:bidi="fa-IR"/>
        </w:rPr>
        <w:t>.</w:t>
      </w:r>
    </w:p>
    <w:p>
      <w:pPr>
        <w:pStyle w:val="Heading5"/>
        <w:numPr>
          <w:ilvl w:val="4"/>
          <w:numId w:val="1"/>
        </w:numPr>
        <w:rPr/>
      </w:pPr>
      <w:bookmarkStart w:id="215" w:name="__RefHeading___Toc4026171_3224264995"/>
      <w:bookmarkStart w:id="216" w:name="_Toc81"/>
      <w:bookmarkEnd w:id="215"/>
      <w:r>
        <w:rPr>
          <w:rtl w:val="true"/>
        </w:rPr>
        <w:t>المطلب السابع</w:t>
      </w:r>
      <w:r>
        <w:rPr>
          <w:rtl w:val="true"/>
        </w:rPr>
        <w:t xml:space="preserve">: </w:t>
      </w:r>
      <w:r>
        <w:rPr>
          <w:rtl w:val="true"/>
        </w:rPr>
        <w:t>فی المراد بالعبادة أو المعاملة فی المقام</w:t>
      </w:r>
      <w:bookmarkEnd w:id="216"/>
    </w:p>
    <w:p>
      <w:pPr>
        <w:pStyle w:val="BookText"/>
        <w:rPr/>
      </w:pPr>
      <w:r>
        <w:rPr>
          <w:rFonts w:ascii="IRNazanin" w:hAnsi="IRNazanin" w:eastAsia="IRNazanin"/>
          <w:color w:val="111111"/>
          <w:sz w:val="28"/>
          <w:sz w:val="28"/>
          <w:szCs w:val="28"/>
          <w:rtl w:val="true"/>
          <w:lang w:bidi="fa-IR"/>
        </w:rPr>
        <w:t xml:space="preserve">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المبحوث عنها فی المقام، هو العنوان الکلّی الذی یعتبر فی إتیانه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قطع النظر عن توجّه النهی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التقرّب به، لا إتیانه کیف اتفق، أو کان عنوانه عبادة ذاتاً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القربیات مع قطع النظر عن النهی عنها، فلا یکون المراد منها ما یکون عبادة فعلًا؛ ضرورة أنّ المفروض تعلّق النهی بها، و واضح أنّ ما تعلّق به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ظرف تعلّقه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مرجوحاً، فکیف یکون عبادة فعلیة؟</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ما یتصف بالصحّة تارة، و بالفساد اخری، لا</w:t>
      </w:r>
      <w:bookmarkStart w:id="217" w:name="pg12934_164516"/>
    </w:p>
    <w:p>
      <w:pPr>
        <w:pStyle w:val="BookText"/>
        <w:rPr/>
      </w:pPr>
      <w:bookmarkEnd w:id="217"/>
      <w:r>
        <w:rPr>
          <w:rFonts w:ascii="IRNazanin" w:hAnsi="IRNazanin" w:eastAsia="IRNazanin"/>
          <w:color w:val="111111"/>
          <w:sz w:val="28"/>
          <w:sz w:val="28"/>
          <w:szCs w:val="28"/>
          <w:rtl w:val="true"/>
          <w:lang w:bidi="fa-IR"/>
        </w:rPr>
        <w:t>ما یترتّب علیه الأثر علی وجه، و لا یترتّب علیه علی آخر، و ذلک کالقتل، فإنّه قد لا یترتّب علیه القصاص، کقتل الأب ابنه، و قد یترتّب علیه ذلک، کما إذا صدر من غیره، و لا یتصف بالصحّة و الفساد؛ فإنّ مثله خارج عن محطّ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أسباب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کالید، و الإتلاف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القبیل إذا فرض انفکاک الأثر عنها أحیاناً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عنوان اعتباری عقلائی یقع تارة صحیحاً و یترتّب علیه الأثر، 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فاسداً لا یترتّب علیه الأثر، کالبیع، و الصلح، و نحوهما، لا ما لا یقع فی الخارج إلّا صحیحاً أو فاسداً؛ و إن کان قد لا یترتّب علیه الأثر</w:t>
      </w:r>
      <w:r>
        <w:rPr>
          <w:rFonts w:eastAsia="IRNazanin" w:cs="IRNazanin"/>
          <w:color w:val="111111"/>
          <w:sz w:val="28"/>
          <w:szCs w:val="28"/>
          <w:rtl w:val="true"/>
          <w:lang w:bidi="fa-IR"/>
        </w:rPr>
        <w:t>.</w:t>
      </w:r>
    </w:p>
    <w:p>
      <w:pPr>
        <w:pStyle w:val="Heading5"/>
        <w:numPr>
          <w:ilvl w:val="4"/>
          <w:numId w:val="1"/>
        </w:numPr>
        <w:rPr/>
      </w:pPr>
      <w:bookmarkStart w:id="218" w:name="__RefHeading___Toc4026173_3224264995"/>
      <w:bookmarkStart w:id="219" w:name="_Toc82"/>
      <w:bookmarkEnd w:id="218"/>
      <w:r>
        <w:rPr>
          <w:rtl w:val="true"/>
        </w:rPr>
        <w:t>المطلب الثامن</w:t>
      </w:r>
      <w:r>
        <w:rPr>
          <w:rtl w:val="true"/>
        </w:rPr>
        <w:t xml:space="preserve">: </w:t>
      </w:r>
      <w:r>
        <w:rPr>
          <w:rtl w:val="true"/>
        </w:rPr>
        <w:t>فی حکم مساوقة الصحّة و الفساد للتمام و النقص</w:t>
      </w:r>
      <w:bookmarkEnd w:id="219"/>
    </w:p>
    <w:p>
      <w:pPr>
        <w:pStyle w:val="Heading6"/>
        <w:numPr>
          <w:ilvl w:val="5"/>
          <w:numId w:val="1"/>
        </w:numPr>
        <w:rPr/>
      </w:pPr>
      <w:bookmarkStart w:id="220" w:name="__RefHeading___Toc4026175_3224264995"/>
      <w:bookmarkStart w:id="221" w:name="_Toc83"/>
      <w:bookmarkEnd w:id="220"/>
      <w:r>
        <w:rPr>
          <w:rtl w:val="true"/>
        </w:rPr>
        <w:t>اشارة</w:t>
      </w:r>
      <w:bookmarkEnd w:id="221"/>
    </w:p>
    <w:p>
      <w:pPr>
        <w:pStyle w:val="BookText"/>
        <w:rPr/>
      </w:pPr>
      <w:r>
        <w:rPr>
          <w:rFonts w:ascii="IRNazanin" w:hAnsi="IRNazanin" w:eastAsia="IRNazanin"/>
          <w:color w:val="111111"/>
          <w:sz w:val="28"/>
          <w:sz w:val="28"/>
          <w:szCs w:val="28"/>
          <w:rtl w:val="true"/>
          <w:lang w:bidi="fa-IR"/>
        </w:rPr>
        <w:t>قد اشتهر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الصحّة و الفساد أمران إضافیان مساوقان للتمام و النقص لغة و عرفاً، بینهما تقابل العدم و الملکة، و یعنون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الصحّة، و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الاختلاف فی التعبیر بین الفقیه و المتکلّم لأجل ما هو المهمّ فی نظرهما؛ لأنّ نظر الفقیه حیث یکون فی وجوب الإعادة و القضاء و عدمهما، فسّر الصحّة بإسقاط الإعادة و القضاء، و حیث یکون نظر المتکلّم فی حصول الامتثال الموجب عقلًا لاستحقاق العقوبة، فسّرها بما یوافق الأمر تارة، و بما یوافق الشریعة اخری</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ما فیه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حدیث المساوقة، فقد أشرنا فی مبحث الصحیح و الأعمّ إلی عدم تمامیته، بل أشرنا إلی أنّ الصحّة و الفساد یخالفان التمام و النقص مفهوماً؛ لغة، و عرفاً،</w:t>
      </w:r>
    </w:p>
    <w:p>
      <w:pPr>
        <w:pStyle w:val="BookText"/>
        <w:rPr/>
      </w:pPr>
      <w:r>
        <w:rPr>
          <w:rFonts w:ascii="Amiri" w:hAnsi="Amiri" w:eastAsia="Amiri" w:cs="Amiri"/>
          <w:color w:val="111111"/>
          <w:sz w:val="28"/>
          <w:sz w:val="28"/>
          <w:szCs w:val="28"/>
          <w:rtl w:val="true"/>
          <w:lang w:bidi="ar-SA"/>
        </w:rPr>
        <w:t>و مصداقاً</w:t>
      </w:r>
      <w:r>
        <w:rPr>
          <w:rStyle w:val="FootnoteAnchor"/>
          <w:rtl w:val="true"/>
        </w:rPr>
        <w:footnoteReference w:id="153"/>
      </w:r>
      <w:r>
        <w:rPr>
          <w:rFonts w:ascii="IRNazanin" w:hAnsi="IRNazanin" w:eastAsia="IRNazanin"/>
          <w:color w:val="111111"/>
          <w:sz w:val="28"/>
          <w:sz w:val="28"/>
          <w:szCs w:val="28"/>
          <w:rtl w:val="true"/>
          <w:lang w:bidi="fa-IR"/>
        </w:rPr>
        <w:t xml:space="preserve">لأنّ التمام و النقص عند العرف و العقلاء، یطلقان غالباً فی المرکّب ذی الأجزاء، فإن تمّت أجزاؤه یطلق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کملت مرافقه، و لا یطلق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نقص منه بعض مرافقه یطلق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یطلق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الصحّة و الفساد فغالب استعمالهما عندهم فی الکیفیات و الأحوال، مثل الکیفیات المزاجیّة أو الشبیهة بها، 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بطّیخة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حلوة لم تفسدها المفسدات، و لا یطلق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بطّیخة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بطّیخة 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تعفّنت، و لا یطلق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بطّیخة 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هناک مزاج و کیفیة و طابق المصداق المزاج المتوقّع من الطبیعة،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یطابقه 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فالصحّة و الفساد کیفیتان عارضتان للشی‌ء؛ فإن کانت مطابقة للکیفیة المترقّبة من ذلک الشی‌ء، یطلق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منافرة لمزاجه یطلق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فالفاکهة الفاسدة ما عرضتها کیفیة وجودیة منافرة لمزاجها تتنفّر منها الطبائع غالباً، کما أنّ الفاکهة الصحیحة ما تکون ملائمة لمزاجها تشتاق و تمیل إلیها الطبائع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یکون التقابل بین التمام و النقص، تقابل العدم و الملکة، کما أنّ التقابل بین الصحّة و الفساد تقابل التضادّ، فحدیث مساوقة الصحّة و الفساد للتمام و النقص و کون النسبة بینهما تقابل العدم و الملکة،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لا یبعد أن تکون النسبة بین عنوانی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 من وجه من حیث المورد و المصداق</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ما یقتضیه نظر العرف و اللغة بالنسبة إلی مفهومی الصحّة و الفساد، و التمام و النقص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یمکن تصحیح ما ذکروه من التساوق فی الشریعة، حیث تطلق الصحّة و الفساد فی باب العبادات و المعاملات علی مرکّب ذی أجزاء و شروط، فإذا کملت أجزاء الصلاة و شروطها مثلًا و لم تجامعها الموانع، یطلق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صلاة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أنّه إذا فقد جزء أو شرط لها أو وجد مانع، یطلق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صلاة 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یطلق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عقد البیع، فیطلق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واجداً للأجزاء و الشروط فاقداً للموانع، کما یطلق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فقد معه جزء أو شرط، أو قرن بالمانع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العرف و اللغة، إنّما هو فیما إذا کان هناک مزاج و کیفیة تطابقه أو لا تطابقه، و لم یکن لماهیة الصلاة و البیع کیفیة و مزاج، فإطلاقهم فی العبادات و المعاملات علی المرکّب ذی الأجزاء، لا بدّ إمّا أن یکون بوضع جدید، أو باستعمال مجازی؛ بحیث کثر استعمالهما فیها و شاع إلی أن بلغا حدّ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من البعید دعوی وضع جدید فی ذلک من الشرع؛ حتّی یکون الموضوع له فیهما فی الامور التکوینیة، ما تکون له کیفیة و مزاج، و فی العبادات و المعاملات ما تکون له أجزاء و 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یبعد أن یکون إطلاقهما فی العبادات و المعاملات علی ما یکون له أجزاء و شروط، بنحو من العنایة و علی سبیل المجاز، فاستعملتا فیه کثیراً إلی أن بلغا حدّ الحقیقة</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فدعوی مساوقة الصحّة و الفساد للتمام و النقص، غیر وجیه إلّا فی خصوص العبادات و المعاملات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یکون الصحّة فی الماهیات المخترعة، صفةً لمصداق جامع لکافّة الأجزاء و الشروط، فاقدٍ للموانع، مطابق للمخترع و المجعول،</w:t>
      </w:r>
    </w:p>
    <w:p>
      <w:pPr>
        <w:pStyle w:val="BookText"/>
        <w:rPr/>
      </w:pPr>
      <w:r>
        <w:rPr>
          <w:rFonts w:ascii="IRNazanin" w:hAnsi="IRNazanin" w:eastAsia="IRNazanin"/>
          <w:color w:val="111111"/>
          <w:sz w:val="28"/>
          <w:sz w:val="28"/>
          <w:szCs w:val="28"/>
          <w:rtl w:val="true"/>
          <w:lang w:bidi="fa-IR"/>
        </w:rPr>
        <w:t>و الفساد مقابلها، فینقلب التقابل بینهما من التضادّ إلی تقابل العدم و الملکة؛ لأجل تغیّر معناهما فی العبادات و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لیس کما زعموا من کون الملکة عبارة عن الصحّة، و العدم عبارة عن الفساد، نظیر ما قالوه فی الطهارة و النجاسة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الطهارة أمر وجودی، و النجاسة عدمها عمّا من شأنه أن یکون طاهراً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لعدم تمامیة ما ذکروه فی الموردین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باب النجاسة و الطهارة، فلیس الأمر کما زعموه، بل الأمر بالعکس؛ لأنّ النجاسة أمر وجودی، و الطهارة أمر عدمی؛ و ذلک لأنّ الشی‌ء بخلقته الإلهیة لا یکون قذراً، بل إن لاقته إحدی الأعیان النجسة یصیر قذراً و نجساً، فإن زالت القذارة عنه رجع إلی أصل خلقته، و یصیر طاهراً غیر قذر، و لم یأتِ الشارع الأقدس فی باب الطهارة و النجاسة بشی‌ء من قِبل نفسه علی خلاف ما علیه العقلاء، بل أبقی و أنفذ ما هم علیه، و من المعلوم أنّ الثوب الطاهر مثلًا عندهم هو ما لم یصبه شی‌ء قذر، و إن أصابه قذر فیطلقون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ازیلت منه القذارة رجع الثوب إلی أصله؛ و هو عدم القذارة، فلیست الطهارة أمراً عارضاً علی الثوب، بل القذارة هی التی تعرض علیه، فالنجاسة أمر وجودی، و الطهارة عدمها</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المقام فکذلک؛ فإنّ الصحّة تکون أمراً عدمیاً، و الفساد یکون أمراً وجودیاً؛ لأنّ الصحّة فی الامور التکوینیة، هی عبارة عن کون الشی‌ء علی خلقته الأصلیة و بحسب طبعه الأصلی، فلیست الصحّة أمراً عارضاً علی الشی‌ء، نعم إن عرضه شی‌ء یفسده صار فاسداً، فالصحّة خلوّ الشی‌ء من المفسد، و الفساد طروّ المفسد علی الشی‌ء، مثلًا البطّیخة الصحیحة لا یکون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أصل طبیعة البطّیخة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آخر طارئ علیها، بل بمجرّد خلوّها من المفسدات یطلق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طرأ علیها مفسد یطلق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الفاسدة</w:t>
      </w:r>
      <w:r>
        <w:rPr>
          <w:rFonts w:eastAsia="IRNazanin" w:cs="IRNazanin"/>
          <w:color w:val="111111"/>
          <w:sz w:val="28"/>
          <w:szCs w:val="28"/>
          <w:rtl w:val="true"/>
          <w:lang w:bidi="fa-IR"/>
        </w:rPr>
        <w:t>».</w:t>
      </w:r>
      <w:bookmarkStart w:id="222" w:name="pg12934_164520"/>
    </w:p>
    <w:p>
      <w:pPr>
        <w:pStyle w:val="BookText"/>
        <w:rPr/>
      </w:pPr>
      <w:bookmarkEnd w:id="222"/>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النسبة بین الصحّة و الفساد و کذا بین الطهارة و النجاسة، عدم و ملکة، لکن علی عکس مسلک القوم</w:t>
      </w:r>
      <w:r>
        <w:rPr>
          <w:rFonts w:eastAsia="IRNazanin" w:cs="IRNazanin"/>
          <w:color w:val="111111"/>
          <w:sz w:val="28"/>
          <w:szCs w:val="28"/>
          <w:rtl w:val="true"/>
          <w:lang w:bidi="fa-IR"/>
        </w:rPr>
        <w:t>.</w:t>
      </w:r>
    </w:p>
    <w:p>
      <w:pPr>
        <w:pStyle w:val="Heading6"/>
        <w:numPr>
          <w:ilvl w:val="5"/>
          <w:numId w:val="1"/>
        </w:numPr>
        <w:rPr/>
      </w:pPr>
      <w:bookmarkStart w:id="223" w:name="__RefHeading___Toc4026177_3224264995"/>
      <w:bookmarkStart w:id="224" w:name="_Toc84"/>
      <w:bookmarkEnd w:id="223"/>
      <w:r>
        <w:rPr>
          <w:rtl w:val="true"/>
        </w:rPr>
        <w:t>و أمّا قولهم</w:t>
      </w:r>
      <w:r>
        <w:rPr>
          <w:rtl w:val="true"/>
        </w:rPr>
        <w:t>: «</w:t>
      </w:r>
      <w:r>
        <w:rPr>
          <w:rtl w:val="true"/>
        </w:rPr>
        <w:t>إنّ الصحّة و الفساد أمران إضافیان</w:t>
      </w:r>
      <w:r>
        <w:rPr>
          <w:rtl w:val="true"/>
        </w:rPr>
        <w:t>»</w:t>
      </w:r>
      <w:bookmarkEnd w:id="224"/>
    </w:p>
    <w:p>
      <w:pPr>
        <w:pStyle w:val="BookText"/>
        <w:rPr/>
      </w:pPr>
      <w:r>
        <w:rPr>
          <w:rFonts w:ascii="IRNazanin" w:hAnsi="IRNazanin" w:eastAsia="IRNazanin"/>
          <w:color w:val="111111"/>
          <w:sz w:val="28"/>
          <w:sz w:val="28"/>
          <w:szCs w:val="28"/>
          <w:rtl w:val="true"/>
          <w:lang w:bidi="fa-IR"/>
        </w:rPr>
        <w:t>فلا یخفی عدم تمامیته فی الامور التکوینیة؛ لأنّ معنی کون الصحّة و الفساد فی التکوینیات إضافیین، هو أنّ بطّیخة واحدة بالإضافة إلی شی‌ء صحیحة، و بالإضافة إلی شی‌ء آخر فاسدة، مع أنّ الشی‌ء إذا کان صحیحاً لا یکون فاسداً، و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اعتبار الإضافة إذا کانا بمعنی التمام و النقص؛ لأنّه یمکن اعتبار التمام فی شی‌ء من حیث الأجزاء فقط، و اعتباره ناقصاً بالنسبة إلی الشروط، فیقال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صحیحة من حیث الأجزاء، و فاسدة من حیث الشروط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اطلقت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ارید منهما التمام و النقص، فیمکن لحاظ أمر فی معناهما، فیصحّ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إلی حالات المکلّفین و أصنافهم؛ فإنّ الصلاة مثلًا مع الطهارة الترابیة، صحیحة بالنسبة إلی مکلّف، و فاسدة بالنسبة إلی مکلّف آخر، أو صحیحة فی حالة دون اخری</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العرف و اللغة، إنّما یکون غالباً فی المرکّب ذی الأجزاء، و التقابل بینهما تقابل العدم و الملکة، و أنّ غالب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العرف و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فی صورة وجود مزاج، و التقابل بینهما تقابل التضادّ، و لیسا إضافیین، إلّا أنّهما فی باب العبادات و المعاملات، یستعملان فی معنی التمام و النقص، و یکون التقابل بینهما علی هذا، تقابل العدم و الملکة، لکن علی عکس مزعمة القوم، حیث ذهبوا إلی أنّ الصحّة عبارة عن الملکة، و الفساد عدمها، لما عرفت من أنّ الصحّة أمر عدمی، و الفساد أمر وجودی حسبما فصّلناه، و علی هذا الاستعمال تکون الصحّة و الفساد</w:t>
      </w:r>
      <w:bookmarkStart w:id="225" w:name="pg12934_164521"/>
    </w:p>
    <w:p>
      <w:pPr>
        <w:pStyle w:val="BookText"/>
        <w:rPr/>
      </w:pPr>
      <w:bookmarkEnd w:id="225"/>
      <w:r>
        <w:rPr>
          <w:rFonts w:ascii="IRNazanin" w:hAnsi="IRNazanin" w:eastAsia="IRNazanin"/>
          <w:color w:val="111111"/>
          <w:sz w:val="28"/>
          <w:sz w:val="28"/>
          <w:szCs w:val="28"/>
          <w:rtl w:val="true"/>
          <w:lang w:bidi="fa-IR"/>
        </w:rPr>
        <w:t>أمرین إضافیین بالنسبة إلی الأجزاء و الشروط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اختلاف الأنظار فی صحّة عبادة أو معاملة و عدمها، لا یوجب إضافیتهما؛ لأنّ الأنظار طریق إلی تشخیص الواقع، فکلّ یخطّئ الآخر، فما فی مقال المحقّق الخراسانی قدس سره من إثبات إضافیتهما بذلک</w:t>
      </w:r>
      <w:r>
        <w:rPr>
          <w:rStyle w:val="FootnoteAnchor"/>
          <w:rtl w:val="true"/>
        </w:rPr>
        <w:footnoteReference w:id="154"/>
      </w:r>
      <w:r>
        <w:rPr>
          <w:rFonts w:ascii="IRNazanin" w:hAnsi="IRNazanin" w:eastAsia="IRNazanin"/>
          <w:color w:val="111111"/>
          <w:sz w:val="28"/>
          <w:sz w:val="28"/>
          <w:szCs w:val="28"/>
          <w:rtl w:val="true"/>
          <w:lang w:bidi="fa-IR"/>
        </w:rPr>
        <w:t>، غیر وجیه</w:t>
      </w:r>
      <w:r>
        <w:rPr>
          <w:rFonts w:eastAsia="IRNazanin" w:cs="IRNazanin"/>
          <w:color w:val="111111"/>
          <w:sz w:val="28"/>
          <w:szCs w:val="28"/>
          <w:rtl w:val="true"/>
          <w:lang w:bidi="fa-IR"/>
        </w:rPr>
        <w:t>.</w:t>
      </w:r>
    </w:p>
    <w:p>
      <w:pPr>
        <w:pStyle w:val="Heading5"/>
        <w:numPr>
          <w:ilvl w:val="4"/>
          <w:numId w:val="1"/>
        </w:numPr>
        <w:rPr/>
      </w:pPr>
      <w:bookmarkStart w:id="226" w:name="__RefHeading___Toc4026179_3224264995"/>
      <w:bookmarkStart w:id="227" w:name="_Toc85"/>
      <w:bookmarkEnd w:id="226"/>
      <w:r>
        <w:rPr>
          <w:rtl w:val="true"/>
        </w:rPr>
        <w:t>المطلب التاسع</w:t>
      </w:r>
      <w:r>
        <w:rPr>
          <w:rtl w:val="true"/>
        </w:rPr>
        <w:t xml:space="preserve">: </w:t>
      </w:r>
      <w:r>
        <w:rPr>
          <w:rtl w:val="true"/>
        </w:rPr>
        <w:t>فی عدم مجعولیة الصحّة و الفساد</w:t>
      </w:r>
      <w:bookmarkEnd w:id="227"/>
    </w:p>
    <w:p>
      <w:pPr>
        <w:pStyle w:val="Heading6"/>
        <w:numPr>
          <w:ilvl w:val="5"/>
          <w:numId w:val="1"/>
        </w:numPr>
        <w:rPr/>
      </w:pPr>
      <w:bookmarkStart w:id="228" w:name="__RefHeading___Toc4026181_3224264995"/>
      <w:bookmarkStart w:id="229" w:name="_Toc86"/>
      <w:bookmarkEnd w:id="228"/>
      <w:r>
        <w:rPr>
          <w:rtl w:val="true"/>
        </w:rPr>
        <w:t>اشارة</w:t>
      </w:r>
      <w:bookmarkEnd w:id="229"/>
    </w:p>
    <w:p>
      <w:pPr>
        <w:pStyle w:val="BookText"/>
        <w:rPr/>
      </w:pPr>
      <w:r>
        <w:rPr>
          <w:rFonts w:ascii="IRNazanin" w:hAnsi="IRNazanin" w:eastAsia="IRNazanin"/>
          <w:color w:val="111111"/>
          <w:sz w:val="28"/>
          <w:sz w:val="28"/>
          <w:szCs w:val="28"/>
          <w:rtl w:val="true"/>
          <w:lang w:bidi="fa-IR"/>
        </w:rPr>
        <w:t>هل الصحّة و الفساد مجعولان مطلقاً، أو لا کذلک، أو یفصّل بین المعاملات، فیقال بمجعولیتهما فیها، و بین غیرها فیقال بعدم مجعولیتهما، أو یفصّل بین الظاهری منهما و الواقعی؛ بمجعولیة الظاهری منهما دون الواقعی؟</w:t>
      </w:r>
    </w:p>
    <w:p>
      <w:pPr>
        <w:pStyle w:val="BookText"/>
        <w:rPr/>
      </w:pPr>
      <w:r>
        <w:rPr>
          <w:rFonts w:ascii="IRNazanin" w:hAnsi="IRNazanin" w:eastAsia="IRNazanin"/>
          <w:color w:val="111111"/>
          <w:sz w:val="28"/>
          <w:sz w:val="28"/>
          <w:szCs w:val="28"/>
          <w:rtl w:val="true"/>
          <w:lang w:bidi="fa-IR"/>
        </w:rPr>
        <w:t>وجوه، بل أقوال، یظهر الحال فیها بعد ذکر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قول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الصحیح ما یوجب سقوط الإعادة و القضاء، و الفساد ما لا یوجبهما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المتکلّم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الصحیح ما یوافق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یوافق الشریعة، و الفساد ما لا یوافق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یخالف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اختلافاً فی حقیقة معنی الصحّة و الفساد، بل اختلافهم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التعبیر بلحاظ ما هو المهمّ فی نظرهما و تعریف باللازم، فالصحّة و الفساد عند الجمیع بمعنی واحد، و هما فی الامور التکوینیة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مطابقة الفرد للمزاج المتوقّع من الطبیعة و عدمها، و فی غیرها وصف ینتزع من مطابقة الفرد المأتی به للمأمور به و عدمها، فإن طابق الفرد المأتی به للمأمور به بحسب حاله ینتزع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إلّا فینتزع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العبادات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الحال فی المعاملات؛ لأنّ المعاملة الصحیحة هی التی اتی بها خارجاً</w:t>
      </w:r>
    </w:p>
    <w:p>
      <w:pPr>
        <w:pStyle w:val="BookText"/>
        <w:rPr/>
      </w:pPr>
      <w:r>
        <w:rPr>
          <w:rFonts w:ascii="IRNazanin" w:hAnsi="IRNazanin" w:eastAsia="IRNazanin"/>
          <w:color w:val="111111"/>
          <w:sz w:val="28"/>
          <w:sz w:val="28"/>
          <w:szCs w:val="28"/>
          <w:rtl w:val="true"/>
          <w:lang w:bidi="fa-IR"/>
        </w:rPr>
        <w:t>مطابقاً لما أمضاه الشارع و اعتبره و یترتّب علیها الأثر المترقّب منها، و المعاملة الفاسدة هی التی اتی بها خارجاً و لم تکن مطابقة لما أمضاه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لیس بین الفقیه و المتکلّم اختلاف حقیقی فی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هما فی العبادات و المعاملات بمعنی واحد؛ و هی مطابقة المأتی بها للماهیة المجعولة أو الممضاة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الصحّة و الفساد لیسا من أوصاف الماهیة الکلّیة التی اخترعها الشارع أو أمضاها؛ معاملة کانت أو عبادة؛ بداهة أنّ ما اخترعه الشارع أو أمضاه لا یکاد یتصف بالصحّة و الفساد قبل تحقّقه فی الخارج، و لو قیل ذلک فإنّما هو علی سبیل المسامحة و المجاز، بل أشرنا إلی أنّهما من صفات الفرد و المصداق الخارجی؛ سواء کان مصداقاً للعبادة أو المعاملة المجعولة عند الشارع تأسیساً، أو إمضاءً، و سواء کان مأموراً به بالأمر الواقعی، أو الأمر الظاهری، فإن طابق المصداق و الموجود الخارجی للماهیة المقرّرة فهو صحیح، و إلّا ففاسد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تمهّد لک ما ذکرنا، سهل علیک التفطّن إلی عدم معقولیة جعلهما؛ لأنّهما أمران عقلیان منتزعان من مطابقة المأتی به خارجاً للمخترع أو المأمور به، فإن أتی المکلّف بجمیع ما اعتبره الشارع جزءاً و شرطاً، فمحال أن یجعل الفساد هناک، و هو واضح، کما أنّه یمتنع جعل الصحّة أیضاً؛ و ذلک لأنّ القدرة لا بدّ و أن تتعلّق بأحد طرفی المقدور، فلا بدّ و أن یکون فی مورد یمکن أن یتمشّی منه الجعل و عدمه، فجعل الصحّة عند انتزاع العقل ذلک، یکون من باب جعل ما یکون حاصلًا، کما أنّ جعل الفساد عند ذلک غیر معقول</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یدور دائماً بین امتناع انتزاع الصحّة؛ لو لم یکن المأتی به مطابقاً للمأمور به، و بین امتناع انتزاع الفساد؛ لو کان المأتی به مطابقاً للمأمور به،</w:t>
      </w:r>
      <w:bookmarkStart w:id="230" w:name="pg12934_164523"/>
    </w:p>
    <w:p>
      <w:pPr>
        <w:pStyle w:val="BookText"/>
        <w:rPr/>
      </w:pPr>
      <w:bookmarkEnd w:id="230"/>
      <w:r>
        <w:rPr>
          <w:rFonts w:ascii="IRNazanin" w:hAnsi="IRNazanin" w:eastAsia="IRNazanin"/>
          <w:color w:val="111111"/>
          <w:sz w:val="28"/>
          <w:sz w:val="28"/>
          <w:szCs w:val="28"/>
          <w:rtl w:val="true"/>
          <w:lang w:bidi="fa-IR"/>
        </w:rPr>
        <w:t>فلا یکاد یتطرّق عند ذلک جعل، کما أنّه لا یکاد یتعلّق الجعل التکوینی مثلًا بکون الإنسان واجب الإنسانیة، واجب الناطقیة، ممتنع الفرسیة و الحجریة و نحوها؛ لأنّ الجعل إنّما یتمشّی فی مورد لا تکون فیه إحدی الضرورتین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الوجوب، أو الامتناع، و هذا الأمر کذلک؛ حیث إنّه فی صورة مطابقة المأتی به للمأمور به، یکون انتزاع الصحّة حتمیاً، کما أنّه فی صورة عدم المطابقة یکون انتزاع الفساد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للشارع و المعتبر تضییق الماهیة و توسعتها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فیما ذکرنا بین العبادات و المعاملات، و الامور الواقعیة و الظاهریة، کما لا یخفی</w:t>
      </w:r>
      <w:r>
        <w:rPr>
          <w:rFonts w:eastAsia="IRNazanin" w:cs="IRNazanin"/>
          <w:color w:val="111111"/>
          <w:sz w:val="28"/>
          <w:szCs w:val="28"/>
          <w:rtl w:val="true"/>
          <w:lang w:bidi="fa-IR"/>
        </w:rPr>
        <w:t>.</w:t>
      </w:r>
    </w:p>
    <w:p>
      <w:pPr>
        <w:pStyle w:val="Heading6"/>
        <w:numPr>
          <w:ilvl w:val="5"/>
          <w:numId w:val="1"/>
        </w:numPr>
        <w:rPr/>
      </w:pPr>
      <w:bookmarkStart w:id="231" w:name="__RefHeading___Toc4026183_3224264995"/>
      <w:bookmarkStart w:id="232" w:name="_Toc87"/>
      <w:bookmarkEnd w:id="231"/>
      <w:r>
        <w:rPr>
          <w:rtl w:val="true"/>
        </w:rPr>
        <w:t>حول کلام المحقّق الخراسانی قدس سره فی المقام</w:t>
      </w:r>
      <w:bookmarkEnd w:id="232"/>
    </w:p>
    <w:p>
      <w:pPr>
        <w:pStyle w:val="BookText"/>
        <w:rPr/>
      </w:pPr>
      <w:r>
        <w:rPr>
          <w:rFonts w:ascii="IRNazanin" w:hAnsi="IRNazanin" w:eastAsia="IRNazanin"/>
          <w:color w:val="111111"/>
          <w:sz w:val="28"/>
          <w:sz w:val="28"/>
          <w:szCs w:val="28"/>
          <w:rtl w:val="true"/>
          <w:lang w:bidi="fa-IR"/>
        </w:rPr>
        <w:t>و بما ذکرنا یظهر النظر فیما أفاده المحقّق الخراسانی قدس سره من جهتین؛ لأنّه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الصحّة فی المعاملات، فهی تکون مجعولة حیث کان ترتّب الأثر علی معاملة إنّما هو بجعل الشارع و ترتیبه علیها و لو إمضاءً؛ ضرورة أنّه لو لا جعله لما کان یترتّب علیه، لأصالة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صحّة کلّ معاملة شخصیة و فسادها، لیس إلّا لأجل انطباقها مع ما هو المجعول سبباً و عدمه</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الجهة الاولی، فلأنّه وسّع قدس سره نطاق دائرة الصحّة و الفساد إلی الماهیة الکلّیة، و جعلهما وصفاً لما قبل تحقّقها، مع أنّه قد عرفت أنّهما من صفات الفرد و المصداق الخارجی بلحاظ انتزاع العقل انطباق الماهیة المقرّرة علی المأتی به و عدمه</w:t>
      </w:r>
      <w:r>
        <w:rPr>
          <w:rFonts w:eastAsia="IRNazanin" w:cs="IRNazanin"/>
          <w:color w:val="111111"/>
          <w:sz w:val="28"/>
          <w:szCs w:val="28"/>
          <w:rtl w:val="true"/>
          <w:lang w:bidi="fa-IR"/>
        </w:rPr>
        <w:t>.</w:t>
      </w:r>
      <w:bookmarkStart w:id="233" w:name="pg12934_164524"/>
    </w:p>
    <w:p>
      <w:pPr>
        <w:pStyle w:val="BookText"/>
        <w:rPr/>
      </w:pPr>
      <w:bookmarkEnd w:id="233"/>
      <w:r>
        <w:rPr>
          <w:rFonts w:ascii="IRNazanin" w:hAnsi="IRNazanin" w:eastAsia="IRNazanin"/>
          <w:color w:val="111111"/>
          <w:sz w:val="28"/>
          <w:sz w:val="28"/>
          <w:szCs w:val="28"/>
          <w:rtl w:val="true"/>
          <w:lang w:bidi="fa-IR"/>
        </w:rPr>
        <w:t xml:space="preserve">و من الغریب ما یظهر منه فی هذا التنبیه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الصحّة و الفساد عند المتکلّم، وصفان اعتباریان ینتزعان من مطابقة المأتی به مع المأمور به و عدمها، و أمّا الصحّة عند الفقیه فبمعنی سقوط القضاء و الإعادة، فهی من لوازم الإتیان بالمأمور به بالأمر الواقعی الأوّلی عقلًا</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لأنّ ظاهره اختلاف الصحّة و الفساد عند المتکلّم و الفقیه، مع أنّه صرّح فی هذا التنبیه بأنّهما بصدد إفادة معنی واحد، و لیس بینهما فی حقیقتهما اختلاف، فلاحظ و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یظهر النظر فی الجهة الثانیة؛ لأنّ انطباق الماهیة المخترعة أو الاعتباریة علی الموجود الخارجی و عدمه، أمر عقلی ینتزعه العقل بلحاظ انطباق الماهیة المخترعة أو الاعتباریة علیه و عدمه، فلا یتطرّق الجعل بالنسبة إلیهما</w:t>
      </w:r>
      <w:r>
        <w:rPr>
          <w:rFonts w:eastAsia="IRNazanin" w:cs="IRNazanin"/>
          <w:color w:val="111111"/>
          <w:sz w:val="28"/>
          <w:szCs w:val="28"/>
          <w:rtl w:val="true"/>
          <w:lang w:bidi="fa-IR"/>
        </w:rPr>
        <w:t>.</w:t>
      </w:r>
    </w:p>
    <w:p>
      <w:pPr>
        <w:pStyle w:val="Heading6"/>
        <w:numPr>
          <w:ilvl w:val="5"/>
          <w:numId w:val="1"/>
        </w:numPr>
        <w:rPr/>
      </w:pPr>
      <w:bookmarkStart w:id="234" w:name="__RefHeading___Toc4026185_3224264995"/>
      <w:bookmarkStart w:id="235" w:name="_Toc88"/>
      <w:bookmarkEnd w:id="234"/>
      <w:r>
        <w:rPr>
          <w:rtl w:val="true"/>
        </w:rPr>
        <w:t>توهّم تطرّق الجعل إلی الصحّة و الفساد الظاهریین و دفعه</w:t>
      </w:r>
      <w:bookmarkEnd w:id="235"/>
    </w:p>
    <w:p>
      <w:pPr>
        <w:pStyle w:val="BookText"/>
        <w:rPr/>
      </w:pPr>
      <w:r>
        <w:rPr>
          <w:rFonts w:ascii="IRNazanin" w:hAnsi="IRNazanin" w:eastAsia="IRNazanin"/>
          <w:color w:val="111111"/>
          <w:sz w:val="28"/>
          <w:sz w:val="28"/>
          <w:szCs w:val="28"/>
          <w:rtl w:val="true"/>
          <w:lang w:bidi="fa-IR"/>
        </w:rPr>
        <w:t>قد توهّم تطرّق الجعل إلی الصحّة و الفساد الظاهریین، و لعلّه یظهر من المحقّق الخراسانی قدس سره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سقوط الإعادة و القضاء، ربما یکون مجعولًا و کان الحکم به تخفیفاً و منّة علی العباد، مع ثبوت المقتضی لثبوتهما، کما عرفت فی مسألة الإجزاء، کما ربما یحکم بثبوتهما، فیکون الصحّة و الفساد فیه حکمین مجعولین، لا وصفین انتزاعیین</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 إن کان المقتضی لثبوت الإعادة أو القضاء فی بعض الموارد موجوداً فی حدّ نفسه، و لکن قیام الأمارة علی خلافه یوجب رفع الید عن اقتضاء ذلک، مثلًا الصلاة بلا سورة و إن لم تکن واجدة للمصلحة، لذا فمن أتی بها بلا سورة یلزم علیه</w:t>
      </w:r>
    </w:p>
    <w:p>
      <w:pPr>
        <w:pStyle w:val="BookText"/>
        <w:rPr/>
      </w:pPr>
      <w:r>
        <w:rPr>
          <w:rFonts w:ascii="IRNazanin" w:hAnsi="IRNazanin" w:eastAsia="IRNazanin"/>
          <w:color w:val="111111"/>
          <w:sz w:val="28"/>
          <w:sz w:val="28"/>
          <w:szCs w:val="28"/>
          <w:rtl w:val="true"/>
          <w:lang w:bidi="fa-IR"/>
        </w:rPr>
        <w:t>أن یعیدها أو یقضیها، و لکنّ قیام دلیل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تعاد </w:t>
      </w:r>
      <w:r>
        <w:rPr>
          <w:rFonts w:eastAsia="IRNazanin" w:cs="IRNazanin"/>
          <w:color w:val="111111"/>
          <w:sz w:val="28"/>
          <w:szCs w:val="28"/>
          <w:rtl w:val="true"/>
          <w:lang w:bidi="fa-IR"/>
        </w:rPr>
        <w:t>...»</w:t>
      </w:r>
    </w:p>
    <w:p>
      <w:pPr>
        <w:pStyle w:val="BookText"/>
        <w:rPr/>
      </w:pPr>
      <w:r>
        <w:rPr>
          <w:rStyle w:val="FootnoteAnchor"/>
          <w:rtl w:val="true"/>
        </w:rPr>
        <w:footnoteReference w:id="158"/>
      </w:r>
      <w:r>
        <w:rPr>
          <w:rFonts w:ascii="IRNazanin" w:hAnsi="IRNazanin" w:eastAsia="IRNazanin"/>
          <w:color w:val="111111"/>
          <w:sz w:val="28"/>
          <w:sz w:val="28"/>
          <w:szCs w:val="28"/>
          <w:rtl w:val="true"/>
          <w:lang w:bidi="fa-IR"/>
        </w:rPr>
        <w:t>علی عدم وجوب الإعادة عند ترک السورة سهواً أو نسیاناً أو جهلًا، یقتضی رفع الید عن جزئیة السورة عند طروّ تلک الحالات، و إلّا فلا یکاد یعقل أن تکون الصلاة صحیحة عند ترک السورة مع حفظ جزئیة السورة حتّی حال السهو و النسیان و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قامت عنده الأمارة علی عدم جزئیة السورة مثلًا، أو کان ذلک مقتضی الأصل، فلم یأتِ بها المصلّی فی الصلاة مع اعتبار السورة فیها واقعاً، فلا یوجب ذلک مجعولیة سقوط الإعادة أو القضاء، بل لا بدّ من رفع الید عن جزئیة السورة بنفس قیام الأمارة أو الأصل علی خلافه؛ أی لا بدّ من التصرّف فی منشأ الانتزاع، و إلّا فلا یکاد یعقل انتزاع الصحّة من الصلاة بدون السورة مع اعتبارها فیها فی جمیع الأحوال؛ حتّی عند قیام الأمارة أو الأصل علی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سقوط الإعادة أو القضاء، منتزع من رفع الید عن جزئیة السورة عند قیام الأمارة أو الأصل علی خلافها، فلا معنی لجعل الصحّة الظاهریة بدون تصرّف فی منشأ الانتزاع؛ و لو فی ظرف الشکّ و بحسب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للشارع الحکم بجواز ترتیب آثار الصحّة أو وجوب الإعادة عند الشکّ، و هما و إن کانا قابلین للجعل، و لکنّه غیر جعل الصحّة بنفسها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الظاهر أنّ جواز ذلک أو إیجابه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رفع الید عن الجزئیة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ممکن، و معه یکون الانطباق قهریاً، و لعلّ القائل بالجعل هاهنا خلط بین الأمرین، فتدبّر</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الصحّة و الفساد بمعنی واحد فی جمیع الموارد؛ حتّی فی</w:t>
      </w:r>
      <w:bookmarkStart w:id="236" w:name="pg12934_164526"/>
    </w:p>
    <w:p>
      <w:pPr>
        <w:pStyle w:val="BookText"/>
        <w:rPr/>
      </w:pPr>
      <w:bookmarkEnd w:id="236"/>
      <w:r>
        <w:rPr>
          <w:rFonts w:ascii="IRNazanin" w:hAnsi="IRNazanin" w:eastAsia="IRNazanin"/>
          <w:color w:val="111111"/>
          <w:sz w:val="28"/>
          <w:sz w:val="28"/>
          <w:szCs w:val="28"/>
          <w:rtl w:val="true"/>
          <w:lang w:bidi="fa-IR"/>
        </w:rPr>
        <w:t>الظاهریة منهما، و المراد بهما مطابقة المأتی للمأمور به و عدمها، بداهة أنّ مطابقة المأتی به بالنسبة إلی الحکم الظاهری، هی مثل مطابقة المأتی به للمأمور به بالأمر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إلی الإجزاء عن المأمور به بالأمر الواقعی، فلا بدّ للقائل بالإجزاء من تقیید المأمور به بالأمر الواقعی بعدم قیام الأمارة أو الأصل علی خلافه، فعند ذلک یتطابق المأمور به بالأمر الظاهری مع المأمور به بالأمر الواقعی، فتدبّر</w:t>
      </w:r>
      <w:r>
        <w:rPr>
          <w:rFonts w:eastAsia="IRNazanin" w:cs="IRNazanin"/>
          <w:color w:val="111111"/>
          <w:sz w:val="28"/>
          <w:szCs w:val="28"/>
          <w:rtl w:val="true"/>
          <w:lang w:bidi="fa-IR"/>
        </w:rPr>
        <w:t>.</w:t>
      </w:r>
    </w:p>
    <w:p>
      <w:pPr>
        <w:pStyle w:val="Heading5"/>
        <w:numPr>
          <w:ilvl w:val="4"/>
          <w:numId w:val="1"/>
        </w:numPr>
        <w:rPr/>
      </w:pPr>
      <w:bookmarkStart w:id="237" w:name="__RefHeading___Toc4026187_3224264995"/>
      <w:bookmarkStart w:id="238" w:name="_Toc89"/>
      <w:bookmarkEnd w:id="237"/>
      <w:r>
        <w:rPr>
          <w:rtl w:val="true"/>
        </w:rPr>
        <w:t>المطلب العاشر</w:t>
      </w:r>
      <w:r>
        <w:rPr>
          <w:rtl w:val="true"/>
        </w:rPr>
        <w:t xml:space="preserve">: </w:t>
      </w:r>
      <w:r>
        <w:rPr>
          <w:rtl w:val="true"/>
        </w:rPr>
        <w:t>فی مقتضی الأصل فی المسألة</w:t>
      </w:r>
      <w:bookmarkEnd w:id="238"/>
    </w:p>
    <w:p>
      <w:pPr>
        <w:pStyle w:val="Heading6"/>
        <w:numPr>
          <w:ilvl w:val="5"/>
          <w:numId w:val="1"/>
        </w:numPr>
        <w:rPr/>
      </w:pPr>
      <w:bookmarkStart w:id="239" w:name="__RefHeading___Toc4026189_3224264995"/>
      <w:bookmarkStart w:id="240" w:name="_Toc90"/>
      <w:bookmarkEnd w:id="239"/>
      <w:r>
        <w:rPr>
          <w:rtl w:val="true"/>
        </w:rPr>
        <w:t>اشارة</w:t>
      </w:r>
      <w:bookmarkEnd w:id="240"/>
    </w:p>
    <w:p>
      <w:pPr>
        <w:pStyle w:val="BookText"/>
        <w:rPr/>
      </w:pPr>
      <w:r>
        <w:rPr>
          <w:rFonts w:ascii="IRNazanin" w:hAnsi="IRNazanin" w:eastAsia="IRNazanin"/>
          <w:color w:val="111111"/>
          <w:sz w:val="28"/>
          <w:sz w:val="28"/>
          <w:szCs w:val="28"/>
          <w:rtl w:val="true"/>
          <w:lang w:bidi="fa-IR"/>
        </w:rPr>
        <w:t>لو شکّ فی کون مقتضی النهی الفساد، فهل هناک أصل فی المسألة الاصولیة یعوّل علیه، أم لا؟</w:t>
      </w:r>
    </w:p>
    <w:p>
      <w:pPr>
        <w:pStyle w:val="BookText"/>
        <w:rPr/>
      </w:pPr>
      <w:r>
        <w:rPr>
          <w:rFonts w:ascii="IRNazanin" w:hAnsi="IRNazanin" w:eastAsia="IRNazanin"/>
          <w:color w:val="111111"/>
          <w:sz w:val="28"/>
          <w:sz w:val="28"/>
          <w:szCs w:val="28"/>
          <w:rtl w:val="true"/>
          <w:lang w:bidi="fa-IR"/>
        </w:rPr>
        <w:t>و علی تقدیر العدم یقع الکلام فی أنّ الأصل فی المسألة الفرعیة و الوظیفة فی مقام العمل ما ذا؟</w:t>
      </w:r>
    </w:p>
    <w:p>
      <w:pPr>
        <w:pStyle w:val="BookText"/>
        <w:rPr/>
      </w:pPr>
      <w:r>
        <w:rPr>
          <w:rFonts w:ascii="IRNazanin" w:hAnsi="IRNazanin" w:eastAsia="IRNazanin"/>
          <w:color w:val="111111"/>
          <w:sz w:val="28"/>
          <w:sz w:val="28"/>
          <w:szCs w:val="28"/>
          <w:rtl w:val="true"/>
          <w:lang w:bidi="fa-IR"/>
        </w:rPr>
        <w:t>فالکلام یقع فی موردین</w:t>
      </w:r>
      <w:r>
        <w:rPr>
          <w:rFonts w:eastAsia="IRNazanin" w:cs="IRNazanin"/>
          <w:color w:val="111111"/>
          <w:sz w:val="28"/>
          <w:szCs w:val="28"/>
          <w:rtl w:val="true"/>
          <w:lang w:bidi="fa-IR"/>
        </w:rPr>
        <w:t>:</w:t>
      </w:r>
    </w:p>
    <w:p>
      <w:pPr>
        <w:pStyle w:val="Heading6"/>
        <w:numPr>
          <w:ilvl w:val="5"/>
          <w:numId w:val="1"/>
        </w:numPr>
        <w:rPr/>
      </w:pPr>
      <w:bookmarkStart w:id="241" w:name="__RefHeading___Toc4026191_3224264995"/>
      <w:bookmarkStart w:id="242" w:name="_Toc91"/>
      <w:bookmarkEnd w:id="241"/>
      <w:r>
        <w:rPr>
          <w:rtl w:val="true"/>
        </w:rPr>
        <w:t>المورد الأوّل</w:t>
      </w:r>
      <w:r>
        <w:rPr>
          <w:rtl w:val="true"/>
        </w:rPr>
        <w:t xml:space="preserve">: </w:t>
      </w:r>
      <w:r>
        <w:rPr>
          <w:rtl w:val="true"/>
        </w:rPr>
        <w:t>فی مقتضی الأصل فی المسألة الاصولیة</w:t>
      </w:r>
      <w:bookmarkEnd w:id="242"/>
    </w:p>
    <w:p>
      <w:pPr>
        <w:pStyle w:val="BookText"/>
        <w:rPr/>
      </w:pPr>
      <w:r>
        <w:rPr>
          <w:rFonts w:ascii="IRNazanin" w:hAnsi="IRNazanin" w:eastAsia="IRNazanin"/>
          <w:color w:val="111111"/>
          <w:sz w:val="28"/>
          <w:sz w:val="28"/>
          <w:szCs w:val="28"/>
          <w:rtl w:val="true"/>
          <w:lang w:bidi="fa-IR"/>
        </w:rPr>
        <w:t>لو شککنا فی دلالة النهی أو کشفه عن الفساد، فلا یوجد أصل یعتمد علیه؛ لا فی الملازمة بین النهی و الفساد، و لا فی دلالة النهی و کشفه عن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عدم الملازمة؛ فلعدم العلم بالحالة السابقة، و علی تقدیرها لم یکن موضوعاً ذا أثر؛ سواء قلنا فی باب الملازمات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امور أزلیة علی نحو مساواة زوایا المثلّث الثلاث للزاویتین القائمتین، أو قلنا بأنّها امور لازمة عند تحقّق المتلازمین</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 أزلیة الملازمات فواضح؛ لأنّه لم تکن الملازمة بین النهی و الفساد،</w:t>
      </w:r>
    </w:p>
    <w:p>
      <w:pPr>
        <w:pStyle w:val="BookText"/>
        <w:rPr/>
      </w:pPr>
      <w:r>
        <w:rPr>
          <w:rFonts w:ascii="IRNazanin" w:hAnsi="IRNazanin" w:eastAsia="IRNazanin"/>
          <w:color w:val="111111"/>
          <w:sz w:val="28"/>
          <w:sz w:val="28"/>
          <w:szCs w:val="28"/>
          <w:rtl w:val="true"/>
          <w:lang w:bidi="fa-IR"/>
        </w:rPr>
        <w:t>حالة متیقّنة سابقاً، و لو کانت لها حالة سابقة متیقّنة لما ترتّب علیها الأثر الشرعی، فلا یجری الاستصحاب؛ لعدم کون الملازمة موضوعاً لحکم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بکون الملازمة عند وجود المتلازمین؛ فلأنّ عدم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بالسلب التحصیلی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عدم وجود النهی و إن کان متیقّناً، کما أنّ عدم النهی و الفساد متیقّن، و لکنّ استصحاب اللیس التامّ لإثبات اللیس الناقص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إثبات عدم ملازمة النهی للفساد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مثبتاً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و الفساد و الملازمة بینهما عند عدم النهی، مسلوب بالسلب التامّ، و لکنّ إثبات السلب الناقص للنهی بعد وجوده 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الملازمة لم تکن موضوعاً لحکم شرعی، فلا یجری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الدلالة و الکشف، فقد یتوهّم أنّ اللفظ قبل وضعه لم یکن دالّاً و کاشفاً عن الفساد، فیشکّ فی انقلابه بعد الوضع؛ فی دلالته و کشفه عن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ساقط؛ لأنّه قبل الوضع و إن لم یکن دالّاً و کاشفاً، إلّا أنّه لم یکن إلّا حرفاً مقطّعاً، و عند عروض الترکیب له إمّا وضع لما یستفاد منه الفساد أو لغیره، فلا حالة سابقة له بنحو الکون الناقص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عروض الترکیب لطبیعی اللفظ فی ذهن الواضع، کان قبل الوضع و الدلالة زماناً، أو أنّ الدلالة تحقّقت بعد الوضع زماناً، و إن یدفع ما ذکرنا، فیکون له حالة سابقة، إلّا أنّه لا یکاد یجری الاستصحاب؛ لعدم کونه موضوعاً لذی حکم شرعی، لعدم ترتّب الأثر فی لسان الشرع علی عدم دلالة هذه اللفظة علی الفساد، کما لم یترتّب الأثر علی عدم الملازمة بین هذه اللفظة و الفساد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فی المسألة الاصولیة أصل یعتمد علیه فی صورة الشکّ</w:t>
      </w:r>
      <w:r>
        <w:rPr>
          <w:rFonts w:eastAsia="IRNazanin" w:cs="IRNazanin"/>
          <w:color w:val="111111"/>
          <w:sz w:val="28"/>
          <w:szCs w:val="28"/>
          <w:rtl w:val="true"/>
          <w:lang w:bidi="fa-IR"/>
        </w:rPr>
        <w:t>.</w:t>
      </w:r>
      <w:bookmarkStart w:id="243" w:name="pg12934_164528"/>
    </w:p>
    <w:p>
      <w:pPr>
        <w:pStyle w:val="Heading6"/>
        <w:numPr>
          <w:ilvl w:val="5"/>
          <w:numId w:val="1"/>
        </w:numPr>
        <w:rPr/>
      </w:pPr>
      <w:bookmarkStart w:id="244" w:name="__RefHeading___Toc4026193_3224264995"/>
      <w:bookmarkStart w:id="245" w:name="_Toc92"/>
      <w:bookmarkEnd w:id="243"/>
      <w:bookmarkEnd w:id="244"/>
      <w:r>
        <w:rPr>
          <w:rtl w:val="true"/>
        </w:rPr>
        <w:t>المورد الثانی</w:t>
      </w:r>
      <w:r>
        <w:rPr>
          <w:rtl w:val="true"/>
        </w:rPr>
        <w:t xml:space="preserve">: </w:t>
      </w:r>
      <w:r>
        <w:rPr>
          <w:rtl w:val="true"/>
        </w:rPr>
        <w:t>فی مقتضی الأصل فی المسألة الفرعیة</w:t>
      </w:r>
      <w:bookmarkEnd w:id="245"/>
    </w:p>
    <w:p>
      <w:pPr>
        <w:pStyle w:val="BookText"/>
        <w:rPr/>
      </w:pPr>
      <w:r>
        <w:rPr>
          <w:rFonts w:ascii="IRNazanin" w:hAnsi="IRNazanin" w:eastAsia="IRNazanin"/>
          <w:color w:val="111111"/>
          <w:sz w:val="28"/>
          <w:sz w:val="28"/>
          <w:szCs w:val="28"/>
          <w:rtl w:val="true"/>
          <w:lang w:bidi="fa-IR"/>
        </w:rPr>
        <w:t>لو کان متعلّق النهی المعاملة، فمقتضی الأصل عند الشکّ فی اقتضائه الفساد، عدم ترتّب الأثر علی المعاملة المنهی عنها؛ و عدم انتقال المثمن إلی المشتری، و عدم انتقال الثمن إلی البائع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متعلّق النهی العبادة، فلا بدّ و أن یفرض الکلام فی مورد تعلّق النهی بنفس العبادة أو بجزئها، و شکّ فی اقتضائه فساد متعلّقه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یوجد فی بعض الکلمات من التمسّک بقاعدة الفراغ، أو إرجاع الشکّ إلی الشکّ فی الأقلّ و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أنّه هل تعلّق النهی بذات العبادة، أو بخصوصیة ما، کوقوعها فی مکان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فأجنبی عن المقام؛ لأنّ الکلام لیس فی مانعیة شی‌ء عن الصلاة أو شرطیته لها، بل فی اقتضاء النهی الفساد بعد الفراغ عن تعلّقه بذات العبادة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تعلّق النهی بذات عبادة أو جزئها، و شکّ فی اقتضائه الفساد، فهاهنا فرضان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فإمّا أن یحرز بنحو ما وجود الملاک فی العبادة، کالنهی المتعلّق بها من قِبل الأمر بالضدّ، فإنّ الأمر بالضدّ لو اقتضی النهی عن ضدّه، و لکن لا یکشف هذا النهی عن عدم الملاک فی متعلّقه، بل غایته هو أنّه عند الأمر بالأهمّ یکون المهمّ منهیاً عنه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فحینئذٍ إمّا أن نقول بمقالة الشیخ البهائی</w:t>
      </w:r>
      <w:r>
        <w:rPr>
          <w:rStyle w:val="FootnoteAnchor"/>
          <w:rtl w:val="true"/>
        </w:rPr>
        <w:footnoteReference w:id="159"/>
      </w:r>
      <w:r>
        <w:rPr>
          <w:rFonts w:ascii="IRNazanin" w:hAnsi="IRNazanin" w:eastAsia="IRNazanin"/>
          <w:color w:val="111111"/>
          <w:sz w:val="28"/>
          <w:sz w:val="28"/>
          <w:szCs w:val="28"/>
          <w:rtl w:val="true"/>
          <w:lang w:bidi="fa-IR"/>
        </w:rPr>
        <w:t xml:space="preserve">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w:t>
      </w:r>
      <w:r>
        <w:rPr>
          <w:rStyle w:val="FootnoteAnchor"/>
          <w:rtl w:val="true"/>
        </w:rPr>
        <w:footnoteReference w:id="160"/>
      </w:r>
      <w:bookmarkStart w:id="246" w:name="pg12934_164529"/>
    </w:p>
    <w:p>
      <w:pPr>
        <w:pStyle w:val="BookText"/>
        <w:rPr/>
      </w:pPr>
      <w:bookmarkEnd w:id="246"/>
      <w:r>
        <w:rPr>
          <w:rFonts w:ascii="IRNazanin" w:hAnsi="IRNazanin" w:eastAsia="IRNazanin"/>
          <w:color w:val="111111"/>
          <w:sz w:val="28"/>
          <w:sz w:val="28"/>
          <w:szCs w:val="28"/>
          <w:rtl w:val="true"/>
          <w:lang w:bidi="fa-IR"/>
        </w:rPr>
        <w:t>و غیرهما 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یعتبر فی صحّة العبادة وجود الأمر؛ و أنّ عدم الأمر یکفی فی فساد العبادة، فحیث إنّها عند تعلّق النهی بها لا یکون هناک أمر، تقع 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نقول بکفایة وجود الملاک فی صحّة العبادة، فیکون مرجع الشکّ إلی مانعیة النهی عن صحّة الصلاة و عدمها، فالشکّ فی الحقیقة فی الأقلّ و الأکثر و فی مانعیة النهی عن العبادة بعد تعلّقه بها، و هذا مجری البراءة، أو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واضح بین المقام و المقام السابق الذی أبطلنا فیه التمسّک بالبراءة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لا یحرز الملاک و نشکّ فی تحقّقه، فالأصل یقتضی الفساد؛ لأنّ المصحّح للعبادة إمّا الملاک، أو الأمر، و الأمر لا یجتمع مع النهی فی عنوان واحد، و مع عدمه لا طریق لإحراز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الأصل فی المسألة الفرعیة لو تعلّق النهی بالعبادة، صحّتها علی بعض التقادیر، و فسادها علی بعض آخر</w:t>
      </w:r>
      <w:r>
        <w:rPr>
          <w:rFonts w:eastAsia="IRNazanin" w:cs="IRNazanin"/>
          <w:color w:val="111111"/>
          <w:sz w:val="28"/>
          <w:szCs w:val="28"/>
          <w:rtl w:val="true"/>
          <w:lang w:bidi="fa-IR"/>
        </w:rPr>
        <w:t>.</w:t>
      </w:r>
    </w:p>
    <w:p>
      <w:pPr>
        <w:pStyle w:val="Heading3"/>
        <w:numPr>
          <w:ilvl w:val="2"/>
          <w:numId w:val="1"/>
        </w:numPr>
        <w:rPr/>
      </w:pPr>
      <w:bookmarkStart w:id="247" w:name="__RefHeading___Toc4026195_3224264995"/>
      <w:bookmarkStart w:id="248" w:name="_Toc93"/>
      <w:bookmarkEnd w:id="247"/>
      <w:r>
        <w:rPr>
          <w:rtl w:val="true"/>
        </w:rPr>
        <w:t>المبحث الرابع فی أنّ النهی عن الشی‌ء هل یکشف عن فساده، أم لا</w:t>
      </w:r>
      <w:bookmarkEnd w:id="248"/>
    </w:p>
    <w:p>
      <w:pPr>
        <w:pStyle w:val="Heading4"/>
        <w:numPr>
          <w:ilvl w:val="3"/>
          <w:numId w:val="1"/>
        </w:numPr>
        <w:rPr/>
      </w:pPr>
      <w:bookmarkStart w:id="249" w:name="__RefHeading___Toc4026197_3224264995"/>
      <w:bookmarkStart w:id="250" w:name="_Toc94"/>
      <w:bookmarkEnd w:id="249"/>
      <w:r>
        <w:rPr>
          <w:rtl w:val="true"/>
        </w:rPr>
        <w:t>اشارة</w:t>
      </w:r>
      <w:bookmarkEnd w:id="250"/>
    </w:p>
    <w:p>
      <w:pPr>
        <w:pStyle w:val="BookText"/>
        <w:rPr/>
      </w:pPr>
      <w:r>
        <w:rPr>
          <w:rFonts w:ascii="IRNazanin" w:hAnsi="IRNazanin" w:eastAsia="IRNazanin"/>
          <w:color w:val="111111"/>
          <w:sz w:val="28"/>
          <w:sz w:val="28"/>
          <w:szCs w:val="28"/>
          <w:rtl w:val="true"/>
          <w:lang w:bidi="fa-IR"/>
        </w:rPr>
        <w:t>المبحث الرابع فی أنّ النهی عن الشی‌ء هل یکشف عن فساده، أم لا</w:t>
      </w:r>
      <w:r>
        <w:rPr>
          <w:rStyle w:val="FootnoteAnchor"/>
          <w:rtl w:val="true"/>
        </w:rPr>
        <w:footnoteReference w:id="161"/>
      </w:r>
    </w:p>
    <w:p>
      <w:pPr>
        <w:pStyle w:val="Heading4"/>
        <w:numPr>
          <w:ilvl w:val="3"/>
          <w:numId w:val="1"/>
        </w:numPr>
        <w:rPr/>
      </w:pPr>
      <w:bookmarkStart w:id="251" w:name="__RefHeading___Toc4026199_3224264995"/>
      <w:bookmarkStart w:id="252" w:name="_Toc95"/>
      <w:bookmarkEnd w:id="251"/>
      <w:r>
        <w:rPr>
          <w:rtl w:val="true"/>
        </w:rPr>
        <w:t>و قبل الشروع فی المقصود نقدّم مطالب لها دخالة تامّة فی تنقیحه</w:t>
      </w:r>
      <w:r>
        <w:rPr>
          <w:rtl w:val="true"/>
        </w:rPr>
        <w:t>:</w:t>
      </w:r>
      <w:bookmarkEnd w:id="252"/>
    </w:p>
    <w:p>
      <w:pPr>
        <w:pStyle w:val="Heading4"/>
        <w:numPr>
          <w:ilvl w:val="3"/>
          <w:numId w:val="1"/>
        </w:numPr>
        <w:rPr/>
      </w:pPr>
      <w:bookmarkStart w:id="253" w:name="__RefHeading___Toc4026201_3224264995"/>
      <w:bookmarkStart w:id="254" w:name="_Toc96"/>
      <w:bookmarkEnd w:id="253"/>
      <w:r>
        <w:rPr>
          <w:rtl w:val="true"/>
        </w:rPr>
        <w:t>التحقیق فی هذه المسألة</w:t>
      </w:r>
      <w:bookmarkEnd w:id="254"/>
    </w:p>
    <w:p>
      <w:pPr>
        <w:pStyle w:val="Heading5"/>
        <w:numPr>
          <w:ilvl w:val="4"/>
          <w:numId w:val="1"/>
        </w:numPr>
        <w:rPr/>
      </w:pPr>
      <w:bookmarkStart w:id="255" w:name="__RefHeading___Toc4026203_3224264995"/>
      <w:bookmarkStart w:id="256" w:name="_Toc97"/>
      <w:bookmarkEnd w:id="255"/>
      <w:r>
        <w:rPr>
          <w:rtl w:val="true"/>
        </w:rPr>
        <w:t>اشارة</w:t>
      </w:r>
      <w:bookmarkEnd w:id="256"/>
    </w:p>
    <w:p>
      <w:pPr>
        <w:pStyle w:val="BookText"/>
        <w:rPr/>
      </w:pPr>
      <w:r>
        <w:rPr>
          <w:rFonts w:ascii="IRNazanin" w:hAnsi="IRNazanin" w:eastAsia="IRNazanin"/>
          <w:color w:val="111111"/>
          <w:sz w:val="28"/>
          <w:sz w:val="28"/>
          <w:szCs w:val="28"/>
          <w:rtl w:val="true"/>
          <w:lang w:bidi="fa-IR"/>
        </w:rPr>
        <w:t>إذا عرفت هذه المطالب فالکلام یقع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إذا تعلّق نهی بمعاملة أو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تعلّق بذاتها، أو بجزئها، أو شرطها، أو وصفها اللازم أو المفارق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یقتضی فساد المتعلّق، أم لا؟</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لو اقتضی فساد الجزء أو الشرط، فهل یقتضی ذلک فساد الکلّ و المشروط، أم لا؟ فالکلام یقع فی مقامین</w:t>
      </w:r>
      <w:r>
        <w:rPr>
          <w:rFonts w:eastAsia="IRNazanin" w:cs="IRNazanin"/>
          <w:color w:val="111111"/>
          <w:sz w:val="28"/>
          <w:szCs w:val="28"/>
          <w:rtl w:val="true"/>
          <w:lang w:bidi="fa-IR"/>
        </w:rPr>
        <w:t>:</w:t>
      </w:r>
      <w:bookmarkStart w:id="257" w:name="pg12934_164530"/>
    </w:p>
    <w:p>
      <w:pPr>
        <w:pStyle w:val="Heading5"/>
        <w:numPr>
          <w:ilvl w:val="4"/>
          <w:numId w:val="1"/>
        </w:numPr>
        <w:rPr/>
      </w:pPr>
      <w:bookmarkStart w:id="258" w:name="__RefHeading___Toc4026205_3224264995"/>
      <w:bookmarkStart w:id="259" w:name="_Toc98"/>
      <w:bookmarkEnd w:id="257"/>
      <w:bookmarkEnd w:id="258"/>
      <w:r>
        <w:rPr>
          <w:rtl w:val="true"/>
        </w:rPr>
        <w:t>المقام الأوّل فی اقتضاء النهی فساد متعلّقه و عدمه</w:t>
      </w:r>
      <w:bookmarkEnd w:id="259"/>
    </w:p>
    <w:p>
      <w:pPr>
        <w:pStyle w:val="Heading6"/>
        <w:numPr>
          <w:ilvl w:val="5"/>
          <w:numId w:val="1"/>
        </w:numPr>
        <w:rPr/>
      </w:pPr>
      <w:bookmarkStart w:id="260" w:name="__RefHeading___Toc4026207_3224264995"/>
      <w:bookmarkStart w:id="261" w:name="_Toc99"/>
      <w:bookmarkEnd w:id="260"/>
      <w:r>
        <w:rPr>
          <w:rtl w:val="true"/>
        </w:rPr>
        <w:t>اشارة</w:t>
      </w:r>
      <w:bookmarkEnd w:id="261"/>
    </w:p>
    <w:p>
      <w:pPr>
        <w:pStyle w:val="BookText"/>
        <w:rPr/>
      </w:pPr>
      <w:r>
        <w:rPr>
          <w:rFonts w:ascii="IRNazanin" w:hAnsi="IRNazanin" w:eastAsia="IRNazanin"/>
          <w:color w:val="111111"/>
          <w:sz w:val="28"/>
          <w:sz w:val="28"/>
          <w:szCs w:val="28"/>
          <w:rtl w:val="true"/>
          <w:lang w:bidi="fa-IR"/>
        </w:rPr>
        <w:t>و الکلام فیه یقع فی مبحثین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لم یحرز کون النهی المتعلّق بالعبادة أو المعاملة تحریمیاً أو تنزیهیاً، أو إرشادیاً،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لو احرز کون النهی واحداً منها</w:t>
      </w:r>
      <w:r>
        <w:rPr>
          <w:rFonts w:eastAsia="IRNazanin" w:cs="IRNazanin"/>
          <w:color w:val="111111"/>
          <w:sz w:val="28"/>
          <w:szCs w:val="28"/>
          <w:rtl w:val="true"/>
          <w:lang w:bidi="fa-IR"/>
        </w:rPr>
        <w:t>.</w:t>
      </w:r>
    </w:p>
    <w:p>
      <w:pPr>
        <w:pStyle w:val="Heading6"/>
        <w:numPr>
          <w:ilvl w:val="5"/>
          <w:numId w:val="1"/>
        </w:numPr>
        <w:rPr/>
      </w:pPr>
      <w:bookmarkStart w:id="262" w:name="__RefHeading___Toc4026209_3224264995"/>
      <w:bookmarkStart w:id="263" w:name="_Toc100"/>
      <w:bookmarkEnd w:id="262"/>
      <w:r>
        <w:rPr>
          <w:rtl w:val="true"/>
        </w:rPr>
        <w:t>المبحث الأوّل</w:t>
      </w:r>
      <w:r>
        <w:rPr>
          <w:rtl w:val="true"/>
        </w:rPr>
        <w:t xml:space="preserve">: </w:t>
      </w:r>
      <w:r>
        <w:rPr>
          <w:rtl w:val="true"/>
        </w:rPr>
        <w:t>فیما إذا لم یحرز حال النهی فی المقام</w:t>
      </w:r>
      <w:bookmarkEnd w:id="263"/>
    </w:p>
    <w:p>
      <w:pPr>
        <w:pStyle w:val="Heading6"/>
        <w:numPr>
          <w:ilvl w:val="5"/>
          <w:numId w:val="1"/>
        </w:numPr>
        <w:rPr/>
      </w:pPr>
      <w:bookmarkStart w:id="264" w:name="__RefHeading___Toc4026211_3224264995"/>
      <w:bookmarkStart w:id="265" w:name="_Toc101"/>
      <w:bookmarkEnd w:id="264"/>
      <w:r>
        <w:rPr>
          <w:rtl w:val="true"/>
        </w:rPr>
        <w:t>اشارة</w:t>
      </w:r>
      <w:bookmarkEnd w:id="265"/>
    </w:p>
    <w:p>
      <w:pPr>
        <w:pStyle w:val="BookText"/>
        <w:rPr/>
      </w:pPr>
      <w:r>
        <w:rPr>
          <w:rFonts w:ascii="IRNazanin" w:hAnsi="IRNazanin" w:eastAsia="IRNazanin"/>
          <w:color w:val="111111"/>
          <w:sz w:val="28"/>
          <w:sz w:val="28"/>
          <w:szCs w:val="28"/>
          <w:rtl w:val="true"/>
          <w:lang w:bidi="fa-IR"/>
        </w:rPr>
        <w:t>و الکلام فی هذا المبحث یقع فی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الکشف و الاستظهار؛ بمعنی أنّه إذا تعلّق نهی بمعاملة أو عبادة و لم تحرز أنّه من أیّ قسم منها، فهل یمکن استکشاف الفساد أم لا؟</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لو لم یستکشف الفساد من تعلّق النهی، هل تقع صحیحة أم لا؟</w:t>
      </w:r>
    </w:p>
    <w:p>
      <w:pPr>
        <w:pStyle w:val="Heading6"/>
        <w:numPr>
          <w:ilvl w:val="5"/>
          <w:numId w:val="1"/>
        </w:numPr>
        <w:rPr/>
      </w:pPr>
      <w:bookmarkStart w:id="266" w:name="__RefHeading___Toc4026213_3224264995"/>
      <w:bookmarkStart w:id="267" w:name="_Toc102"/>
      <w:bookmarkEnd w:id="266"/>
      <w:r>
        <w:rPr>
          <w:rtl w:val="true"/>
        </w:rPr>
        <w:t>الجهة الاولی</w:t>
      </w:r>
      <w:r>
        <w:rPr>
          <w:rtl w:val="true"/>
        </w:rPr>
        <w:t xml:space="preserve">: </w:t>
      </w:r>
      <w:r>
        <w:rPr>
          <w:rtl w:val="true"/>
        </w:rPr>
        <w:t>فی حکم المعاملة و العبادة</w:t>
      </w:r>
      <w:bookmarkEnd w:id="267"/>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تعلّق النهی بمعاملة، و لم یحرز کون النهی تحریمیاً أو تنزیهیاً، مولویاً أو إرشادیاً، نفسیاً أو غیریاً، فلا ینبغی الإشکال فی أنّه لو خلّیت عن القرائن الصارفة، یکون ظاهراً فی الإرشاد إلی الفساد و عدم ترتّب الأثر المترقّب منها، فالنهی عن بیع المصحف من الکافر مثلًا معناه الإرشاد إلی عدم وقوعه، لا تحریم السبب بحیث یحرم التلفّظ بألفاظ البیع، و لا تحریم الاعتبار العقلائی أو الشرعی؛</w:t>
      </w:r>
    </w:p>
    <w:p>
      <w:pPr>
        <w:pStyle w:val="BookText"/>
        <w:rPr/>
      </w:pPr>
      <w:r>
        <w:rPr>
          <w:rFonts w:ascii="IRNazanin" w:hAnsi="IRNazanin" w:eastAsia="IRNazanin"/>
          <w:color w:val="111111"/>
          <w:sz w:val="28"/>
          <w:sz w:val="28"/>
          <w:szCs w:val="28"/>
          <w:rtl w:val="true"/>
          <w:lang w:bidi="fa-IR"/>
        </w:rPr>
        <w:t>و ذلک لأنّه یکون هنا امور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إیقاع المعاملة، و هو فعل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النقل و الانتقال بحسب الشرع، أو بحسب الاعتبار العقلائی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الأثر المترقّب من المعاملة من حیث ترتیب الأثر لکلّ من البائع و المشتری علی ما صار بیدهما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النهی عن 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کالنهی عن بیع المصحف من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بدواً أحد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یرجع إلی ذات المعاملة و إیجادها، فیکون إیقاع المعاملة و التلفّظ بألفاظ البیع محرّماً ذاتیاً، نظیر حرمة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یرجع إلی العنوان الذی یعتبره الشرع و العقلاء؛ أی النقل و الانتقال المسبّبین عن ألفاظ البیع، فیکون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المصحف من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النهی عن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یعتبره الشرع و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یرجع إلی ترتّب الآثار المترقّبة علی المعاملة، حتّی یکون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المصحف من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ترتّب آثار الملکیة علی الثمن و المثمن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سبیل إلی الاحتمال الأوّل و تحریم السبب؛ لأنّ الأسباب آلات لتحقّق المسبّبات، و لا نفسیة لها حتّی یتعلّق بها النهی؛ أی لا تکون منظوراً إلیها حتّی یتعلّق بها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بُعد تعلّق النهی و الحرمة بالتلفّظ بألفاظ 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سبیل إلی الاحتمال الثانی؛ و هو رجوع النهی إلی الاعتبار الشرعی أو العقلائی، لأنّه لم یکن تحت اختیار المکلّف، و لا هو من أفعاله، فلا یعقل توجّه التکلیف إلیه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فیبقی الاحتمال الأخیر؛ و هو ترتّب الآثار المترقّبة من المعاملة، و هذا المعنی</w:t>
      </w:r>
    </w:p>
    <w:p>
      <w:pPr>
        <w:pStyle w:val="BookText"/>
        <w:rPr/>
      </w:pPr>
      <w:r>
        <w:rPr>
          <w:rFonts w:ascii="IRNazanin" w:hAnsi="IRNazanin" w:eastAsia="IRNazanin"/>
          <w:color w:val="111111"/>
          <w:sz w:val="28"/>
          <w:sz w:val="28"/>
          <w:szCs w:val="28"/>
          <w:rtl w:val="true"/>
          <w:lang w:bidi="fa-IR"/>
        </w:rPr>
        <w:t>هو الظاهر من النهی؛ فإنّ ظاهر النهی عن أشیاء لا تکون مطلوبات نفسیة عند العرف و العقلاء، إنّما هو للتوسّل بها إلی أمر آخر، کما فیما نحن فیه؛ لأنّ ألفاظ المعاملة عند العرف و العقلاء، إنّما هی للتوسّل بها إلی النقل و الانتقال؛ بداهة أنّ إیقاع المعاملة حیث یکون لأجل الآثار المترتّبة علیها، و تکون الأسباب آلات صرفة، لا یفهم العرف من النهی عنها إلّا ذلک، فالمتبادر من النهی عن بیع المصحف من الکافر مثلًا مع قطع النظر عن القرائن الصارفة، هو الإرشاد إلی الفساد، و عدم صحّة البیع منه، فالنهی عن الإیقاع بلحاظ عدم الوقوع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الحال فیما لو نهی عن جزئیة شی‌ء فی المعاملة أو شرطیته لها، یکون المتبادر منه الإرشاد إلی فساد المعاملة بذلک الجزء أو الشرط، کما هو الشأن فی الأمر بإتیان جزء أو شرط فی المعاملة، فإنّ المتبادر من اعتبار العربیة أو تقدّم الإیجاب علی القبول فی عقد البیع مثلًا، هو اعتبار العربیة أو تقدّم الإیجاب علی القبول فی النقل و الانتقال؛ بحیث لو لم یکونا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اوقع العقد بالفارسیة، أو تقدّم القبول علی الإیجاب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هناک نقل و انتقال و لا یستفاد وجوبهما نفساً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استفادة الحرمة النفسیة لإیقاع المعاملة من النهی، و توهّم أنّه کاستفادة حرمة ترتیب الآثار من النهی المتعلّق بها، مدفوعان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أشرنا آنفاً من أنّها آلات صرفة؛ لا تکون منظوراً إلیها حتّی یتعلّق النهی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بُعد تعلّق النهی و الحرمة بالتلفّظ بألفاظ 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ارید بذلک وقوع النقل و الانتقال، لکنّه یحرم علیه ترتیب آثار الملکیة مثلًا،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وجه معقول لذلک عند العرف و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 خلاف المرتکز فی الأذهان</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ارید عدم وقوع النقل و الانتقال، فیکون التصرّف فی مال الغیر محرّماً</w:t>
      </w:r>
      <w:bookmarkStart w:id="268" w:name="pg12934_164533"/>
    </w:p>
    <w:p>
      <w:pPr>
        <w:pStyle w:val="BookText"/>
        <w:rPr/>
      </w:pPr>
      <w:bookmarkEnd w:id="268"/>
      <w:r>
        <w:rPr>
          <w:rFonts w:ascii="IRNazanin" w:hAnsi="IRNazanin" w:eastAsia="IRNazanin"/>
          <w:color w:val="111111"/>
          <w:sz w:val="28"/>
          <w:sz w:val="28"/>
          <w:szCs w:val="28"/>
          <w:rtl w:val="true"/>
          <w:lang w:bidi="fa-IR"/>
        </w:rPr>
        <w:t>لا یحتاج إلی تعلّق النهی بها، فلا بدّ من حمل النهی علی الإرشاد إلی الفساد؛ و أنّ النهی عن الإیقاع لأجل عدم الوقوع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النهی المتعلّق بالمعاملة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النهی المتعلّق بعبادة إذا لم یحرز کونه من أیّ قسم، فلا یبعد أن یکون النهی عن العبادة، أیضاً إرشاداً إلی الفساد عند عدم القرینة، و قد اعترف القوم بذلک فی الأجزاء و الشروط، و السرّ فی ذلک هو أنّ نظر المکلّفین بالنسبة إلی التکالیف المتوجّهة إلیهم غالباً، هو إتیانها بنحو یسقط عنهم التکالیف؛ بحیث لا تجب علیهم الإعادة فی الوقت، و القضاء خارجه، فإذا ورد من الشرع النهی عن عبادة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کالنهی عن صلاة الأعرابی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یتبادر إلی أذهانهم أنّ الإتیان بتلک الصلاة غیر مشروع، کما أنّه لو نهی عن الصلاة فی وبر ما لا یؤکل لحمه، یکون ظاهره أنّ الصلاة المأمور بها لا تتحقّق بهذه الکیفیة، و لا یترتّب علیها الأثر المتوقّع؛ و هو سقوط الإعادة فی الوقت، و القضاء خارجه، و سقوط الأمر لأجل الأمن من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المتعلّق بصنفٍ خاصّ من الصلاة کصلاة الأعرابی مثلًا، أو فی حال خاصّ کالصلاة فی أیّام الإقراء، أو فی مکان خاصّ کالحمّام، أو بکیفیة خاصّةٍ، لو لم تکن هناک قرینة للزم حمل تلک النواهی علی الإرشاد إلی الفساد، کما هو الشأن فی الأوامر الواردة فی الأجزاء و الشروط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ممّا ذکرنا فی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تعلّق النهی بمعاملة أو عبادة، و لم یحرز کون النهی من أیّ الأقسام، فالظاهر فی مقام الدلالة کونه إرشاداً إلی فساد متعلّقها</w:t>
      </w:r>
      <w:r>
        <w:rPr>
          <w:rFonts w:eastAsia="IRNazanin" w:cs="IRNazanin"/>
          <w:color w:val="111111"/>
          <w:sz w:val="28"/>
          <w:szCs w:val="28"/>
          <w:rtl w:val="true"/>
          <w:lang w:bidi="fa-IR"/>
        </w:rPr>
        <w:t>.</w:t>
      </w:r>
    </w:p>
    <w:p>
      <w:pPr>
        <w:pStyle w:val="Heading6"/>
        <w:numPr>
          <w:ilvl w:val="5"/>
          <w:numId w:val="1"/>
        </w:numPr>
        <w:rPr/>
      </w:pPr>
      <w:bookmarkStart w:id="269" w:name="__RefHeading___Toc4026215_3224264995"/>
      <w:bookmarkStart w:id="270" w:name="_Toc103"/>
      <w:bookmarkEnd w:id="269"/>
      <w:r>
        <w:rPr>
          <w:rtl w:val="true"/>
        </w:rPr>
        <w:t>الجهة الثانیة</w:t>
      </w:r>
      <w:r>
        <w:rPr>
          <w:rtl w:val="true"/>
        </w:rPr>
        <w:t xml:space="preserve">: </w:t>
      </w:r>
      <w:r>
        <w:rPr>
          <w:rtl w:val="true"/>
        </w:rPr>
        <w:t>فی حکم المتعلّق مع عدم کشف فساده من النهی</w:t>
      </w:r>
      <w:bookmarkEnd w:id="270"/>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لم نفهم من تعلّق النهی الکذائی بمعاملة أو عبادة کونه إرشاداً إلی فساد متعلّقه و لا غیره، هل یحکم العقل بصحّة المعاملة أو العبادة أم لا؟</w:t>
      </w:r>
      <w:bookmarkStart w:id="271" w:name="pg12934_164534"/>
    </w:p>
    <w:p>
      <w:pPr>
        <w:pStyle w:val="BookText"/>
        <w:rPr/>
      </w:pPr>
      <w:bookmarkEnd w:id="271"/>
      <w:r>
        <w:rPr>
          <w:rFonts w:ascii="IRNazanin" w:hAnsi="IRNazanin" w:eastAsia="IRNazanin"/>
          <w:color w:val="111111"/>
          <w:sz w:val="28"/>
          <w:sz w:val="28"/>
          <w:szCs w:val="28"/>
          <w:rtl w:val="true"/>
          <w:lang w:bidi="fa-IR"/>
        </w:rPr>
        <w:t>فقد أشرنا إلی ما هو مقتضی الأصل فی المسألة الاصولیة و المسألة الفرعیة فی المطلب السابع، فلاحظ</w:t>
      </w:r>
      <w:r>
        <w:rPr>
          <w:rFonts w:eastAsia="IRNazanin" w:cs="IRNazanin"/>
          <w:color w:val="111111"/>
          <w:sz w:val="28"/>
          <w:szCs w:val="28"/>
          <w:rtl w:val="true"/>
          <w:lang w:bidi="fa-IR"/>
        </w:rPr>
        <w:t>.</w:t>
      </w:r>
    </w:p>
    <w:p>
      <w:pPr>
        <w:pStyle w:val="Heading6"/>
        <w:numPr>
          <w:ilvl w:val="5"/>
          <w:numId w:val="1"/>
        </w:numPr>
        <w:rPr/>
      </w:pPr>
      <w:bookmarkStart w:id="272" w:name="__RefHeading___Toc4026217_3224264995"/>
      <w:bookmarkStart w:id="273" w:name="_Toc104"/>
      <w:bookmarkEnd w:id="272"/>
      <w:r>
        <w:rPr>
          <w:rtl w:val="true"/>
        </w:rPr>
        <w:t>المبحث الثانی</w:t>
      </w:r>
      <w:r>
        <w:rPr>
          <w:rtl w:val="true"/>
        </w:rPr>
        <w:t xml:space="preserve">: </w:t>
      </w:r>
      <w:r>
        <w:rPr>
          <w:rtl w:val="true"/>
        </w:rPr>
        <w:t>فیما إذا احرز حال النهی فی المقام</w:t>
      </w:r>
      <w:bookmarkEnd w:id="273"/>
    </w:p>
    <w:p>
      <w:pPr>
        <w:pStyle w:val="Heading6"/>
        <w:numPr>
          <w:ilvl w:val="5"/>
          <w:numId w:val="1"/>
        </w:numPr>
        <w:rPr/>
      </w:pPr>
      <w:bookmarkStart w:id="274" w:name="__RefHeading___Toc4026219_3224264995"/>
      <w:bookmarkStart w:id="275" w:name="_Toc105"/>
      <w:bookmarkEnd w:id="274"/>
      <w:r>
        <w:rPr>
          <w:rtl w:val="true"/>
        </w:rPr>
        <w:t>اشارة</w:t>
      </w:r>
      <w:bookmarkEnd w:id="275"/>
    </w:p>
    <w:p>
      <w:pPr>
        <w:pStyle w:val="BookText"/>
        <w:rPr/>
      </w:pPr>
      <w:r>
        <w:rPr>
          <w:rFonts w:ascii="IRNazanin" w:hAnsi="IRNazanin" w:eastAsia="IRNazanin"/>
          <w:color w:val="111111"/>
          <w:sz w:val="28"/>
          <w:sz w:val="28"/>
          <w:szCs w:val="28"/>
          <w:rtl w:val="true"/>
          <w:lang w:bidi="fa-IR"/>
        </w:rPr>
        <w:t>لو احرز کون النهی المتعلّق بالعبادة أو المعاملة، إرشادیاً أو تحریمیاً، نفسیاً، أو تنزیهیاً، أو غیر ذلک، فیقع الکلام أیضاً فی 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النهی المتعلّق بالعبادة، 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النهی المتعلّق بالمعاملة</w:t>
      </w:r>
      <w:r>
        <w:rPr>
          <w:rFonts w:eastAsia="IRNazanin" w:cs="IRNazanin"/>
          <w:color w:val="111111"/>
          <w:sz w:val="28"/>
          <w:szCs w:val="28"/>
          <w:rtl w:val="true"/>
          <w:lang w:bidi="fa-IR"/>
        </w:rPr>
        <w:t>.</w:t>
      </w:r>
    </w:p>
    <w:p>
      <w:pPr>
        <w:pStyle w:val="Heading6"/>
        <w:numPr>
          <w:ilvl w:val="5"/>
          <w:numId w:val="1"/>
        </w:numPr>
        <w:rPr/>
      </w:pPr>
      <w:bookmarkStart w:id="276" w:name="__RefHeading___Toc4026221_3224264995"/>
      <w:bookmarkStart w:id="277" w:name="_Toc106"/>
      <w:bookmarkEnd w:id="276"/>
      <w:r>
        <w:rPr>
          <w:rtl w:val="true"/>
        </w:rPr>
        <w:t>الجهة الاولی</w:t>
      </w:r>
      <w:r>
        <w:rPr>
          <w:rtl w:val="true"/>
        </w:rPr>
        <w:t xml:space="preserve">: </w:t>
      </w:r>
      <w:r>
        <w:rPr>
          <w:rtl w:val="true"/>
        </w:rPr>
        <w:t>فی حکم النهی المتعلّق بالعبادة</w:t>
      </w:r>
      <w:bookmarkEnd w:id="277"/>
    </w:p>
    <w:p>
      <w:pPr>
        <w:pStyle w:val="BookText"/>
        <w:rPr/>
      </w:pPr>
      <w:r>
        <w:rPr>
          <w:rFonts w:ascii="IRNazanin" w:hAnsi="IRNazanin" w:eastAsia="IRNazanin"/>
          <w:color w:val="111111"/>
          <w:sz w:val="28"/>
          <w:sz w:val="28"/>
          <w:szCs w:val="28"/>
          <w:rtl w:val="true"/>
          <w:lang w:bidi="fa-IR"/>
        </w:rPr>
        <w:t>لو تعلّق النهی بالعبادة و احرز کون النهی للإرشاد إلی الفساد، فلا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لا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اقتضاء النهی الإرشادی للفساد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احرز کون النهی تحریمیاً نفسیاً، فتصدّی شیخنا العلّامة الحائری قدس سره لتصحیح العبادة المنهی عنها بإرجاع النهی إلی خصوصیة العبادة، کما هو الشأن فی مسألة اجتماع الأمر و النهی، و قد أتعب نفسه الزکیة فی ذلک، و حاصل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تعلّق النهی بأمر خارج عن الصلاة؛ قیاساً للمقام علی مسألة اجتماع الأمر و النهی، فکما أنّه فی مسألة الاجتماع یصحّ القول بإمکان اتحاد عنوان المبغوض مع عنوان المقرّب، فکذا فی المقام من دون تفاوت، فإنّ أصل الصلاة شی‌ء، و خصوصیة إیقاعها فی مکان شی‌ء آخر مفهوماً و إن کانا متحدین فی الخارج، فالعمل المشتمل علی الخصوصیة، موجب للقرب من حیث ذات العمل و إن کان إیجاده فی تلک الخصوصیة مبغوضاً للمولی</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ذکره خارج عن محطّ البحث؛ لأنّ محطّ البحث هو فیما إذا تعلّق النهی النفسی التحریمی بذات العبادة، لا بأمر خارج عنها، فمرکز الأمر و النهی فی هذه المسألة واحد، بخلافه فی مسألة الاجتماع، فإنّ مرکز تعلّق أحدهما غیر الآخر و إن اتحدا خارجاً، و علیه فلو تعلّق النهی النفسی التحریمی بعبادة، فلا ینبغی الإشکال فی أنّه یقتضی فسادها؛ لأنّ صحّة العبادة إمّا لأجل موافقتها للأمر، أو الشریعة، و بتعلّق النهی بها یکشف عن مبغوضیة فعلیة ذاتیة فی متعلّقه، و من الواضح عدم صلاحیة ما هو المبغوض ذاتاً للتقرّب به مع وحدة الحیثیة، فتقع 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احرز کون النهی تنزیهیاً نفسیاً، فالأمر کذلک؛ لأنّ بقاء النهی علی تنزیهیته و دلالته علی مرجوحیة متعلّقه، لا یجتمع مع الصحّة؛ فإنّه إذا کان الشی‌ء مرجوحاً و مکروهاً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بالمعنی المصطلح للکراهة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محبوباً، کما لا یکون مبغوضاً، و قد عرفت مصحّح عبادیة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احرز کون النهی تنزیهیاً، فلا یکاد یفرّق فی حکم العقل بینه و بین النهی التحریمی فی دلالته علی الفساد؛ حیث إنّ النهی التنزیهی یدلّ علی مرجوحیة متعلّقه و مطلوبیة ترکه، و لا یصلح المرجوح لأن یتقرّب به العبد إلی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لم نقل برجوع النهی التنزیهی إلی أقلّیة الثواب، و أمّا إن قلنا برجوعه إلیها کما لعلّه کذلک بالنظر العرفی؛ بلحاظ أنّ الکراهة بما أنّها کراهة، لا تمنع عن إیجاد متعلّقها، فإذا تعلّقت ببعض أفراد العبادة الواجبة، تصیر إرشاداً إلی کون هذا الفرد أقلّ ثواباً من غیره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النهی التنزیهی حیث یکون متضمّناً للرخصة فی الفعل، فالعرف یؤوّله إلی ما یمکن معه فرض الصحّة، کالإرشاد إلی أنّ هذا الفرد أقلّ ثواباً من الغیر،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هذا یکون خارجاً عن محطّ البحث؛ لأنّ المفروض کون النهی التنزیهی متعلّقاً بذات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العبادة لا تجتمع مع النهی بقسمیه، مدفوع بما أشرنا إلیه من أنّ 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لو لا النهی تکون صالحة للتقرّب بها و أن یُتعبَّد بها، لا العبادة الفعلیة، فتجتمع العبادة مع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یتوجّه إشکال أنّ النهی التنزیهی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بمعناه الاصطلاحی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یکون مقتضاه ترخیص الشارع بالتعبّد، فکیف یمکن الترخیص فی التعبّد بأمر مرجوح؟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هذا إلّا الترخیص بالتشریع؟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یندفع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الترخیص حیثی مفاده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لنهی الشارع تنزیهیاً، حرمة ذاتیة من جهة تعلّق هذا النهی، و لا ینافی الحرمة من قبل التشریع أو غیره،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احرز کون النهی مقدّمیاً، غیریاً أو تبعیاً، أو هما معاً، کما إذا قلنا بأنّ ترک الضدّ واجب من باب المقدّمة، أو قلنا بأنّ الأمر بالشی‌ء یقتضی النهی عن ضدّه، فالأمر بإزالة النجاسة عن المسجد و إن جامعه نهی عن الصلاة بالأمر المقدّمی أو التبعی، إلّا أنّه لا یقتضی فسادها؛ لأنّ النهی الغیری أو التبعی لا یکشف عن مفسدة و مبغوضیة متعلّقه، فعند تعلّق النهی بالصلاة یکون ملاک الصلاة باقیاً، و لا تکون مبغوضة ذاتاً، و غایة ما هناک هو الالتزام بترکها لأجل ترک ضدّه، فمع القول بکفایة الملاک فی صحّة العبادة، یصحّ التقرّب بالمنهی عنه بالنهی الغیری أو التبعی</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لتوضیح أنّ النهی الغیری لا یکشف عن فساد متعلّقه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الأمر الغیری لا یکشف عن مصلحة فی متعلّقه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أشرف ولد عزیز علی المولی و أخ له علی الغرق، فتری أنّه یتوجّه أوّلًا إلی ولده و یأمر عبده بإنقاذه، و ینهی عبده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القادر علی إنقاذهما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إنقاذ أخیه، مع أنّ نهیه لیس لعدم المصلحة فی إنقاذ أخیه، بل لأقوائیة مصلحة إنقاذ ولده العزیز و صرف القدرة إلی ما یکون أقوی و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متعلّق النهی الغیری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الحال فی الأمر الغیری؛ لأنّ الأمر بسلوک طریق لإتیان واجب لا یکشف عن مصلحة فی متعلّقه، بل ربما یکون مبغوضاً فی حدّ نفسه، إلّا أنّه للوصول إلی الواجب یکون مأموراً به</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تعلّق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غیریاً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بالعبادة، و بإتیانه الفعل المنهی عنه یکون متجرّیاً، فیکون الفاعل بذلک بعیداً عن ساحة المولی، فلا یصلح التقرّب به، فمقتضی تعلّق النهی الغیری هو فساد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الفاعل إنّما هو لترک الضدّ الأهمّ، لا لفعل المهمّ، فلیس فی فعله تجرٍّ؛ ضرورة أنّ التجرّی علی المولی فی المثال المعروف، إنّما هو بترک الإزالة المأمور بها، لا بفعل الصلاة، بل لا ارتباط له بها، و إلّا یلزم القول ببطلان صلاة من تجرّأ و أفسد صومه، مع أنّه واضح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انطباق الأمر الغیری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ترک الأهمّ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الأمر الوجودی، قد عرفت حاله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أنّه لو سلّم أنّ العصیان یتحقّق بنفس إتیان المهمّ،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دلیل</w:t>
      </w:r>
      <w:bookmarkStart w:id="278" w:name="pg12934_164538"/>
    </w:p>
    <w:p>
      <w:pPr>
        <w:pStyle w:val="BookText"/>
        <w:rPr/>
      </w:pPr>
      <w:bookmarkEnd w:id="278"/>
      <w:r>
        <w:rPr>
          <w:rFonts w:ascii="IRNazanin" w:hAnsi="IRNazanin" w:eastAsia="IRNazanin"/>
          <w:color w:val="111111"/>
          <w:sz w:val="28"/>
          <w:sz w:val="28"/>
          <w:szCs w:val="28"/>
          <w:rtl w:val="true"/>
          <w:lang w:bidi="fa-IR"/>
        </w:rPr>
        <w:t>علی أنّ التجرّی موجب للفساد؛ لأنّ الجرأة و الجسارة عنوان لا یکاد تسری مبغوضیته إلی نفس الفعل، و کون العبد بعیداً عن ساحة المولی بجرأته لا یوجب البعد بعمله، بل بجرأته و جسارته، و هو عنوان آخر لا تسری المبغوضیة منه إلی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حال إحراز النهی المتعلّق بالعبادة</w:t>
      </w:r>
      <w:r>
        <w:rPr>
          <w:rFonts w:eastAsia="IRNazanin" w:cs="IRNazanin"/>
          <w:color w:val="111111"/>
          <w:sz w:val="28"/>
          <w:szCs w:val="28"/>
          <w:rtl w:val="true"/>
          <w:lang w:bidi="fa-IR"/>
        </w:rPr>
        <w:t>.</w:t>
      </w:r>
    </w:p>
    <w:p>
      <w:pPr>
        <w:pStyle w:val="Heading6"/>
        <w:numPr>
          <w:ilvl w:val="5"/>
          <w:numId w:val="1"/>
        </w:numPr>
        <w:rPr/>
      </w:pPr>
      <w:bookmarkStart w:id="279" w:name="__RefHeading___Toc4026223_3224264995"/>
      <w:bookmarkStart w:id="280" w:name="_Toc107"/>
      <w:bookmarkEnd w:id="279"/>
      <w:r>
        <w:rPr>
          <w:rtl w:val="true"/>
        </w:rPr>
        <w:t>الجهة الثانیة</w:t>
      </w:r>
      <w:r>
        <w:rPr>
          <w:rtl w:val="true"/>
        </w:rPr>
        <w:t xml:space="preserve">: </w:t>
      </w:r>
      <w:r>
        <w:rPr>
          <w:rtl w:val="true"/>
        </w:rPr>
        <w:t>فی حکم النهی المتعلّق بالمعاملة</w:t>
      </w:r>
      <w:bookmarkEnd w:id="280"/>
    </w:p>
    <w:p>
      <w:pPr>
        <w:pStyle w:val="Heading6"/>
        <w:numPr>
          <w:ilvl w:val="5"/>
          <w:numId w:val="1"/>
        </w:numPr>
        <w:rPr/>
      </w:pPr>
      <w:bookmarkStart w:id="281" w:name="__RefHeading___Toc4026225_3224264995"/>
      <w:bookmarkStart w:id="282" w:name="_Toc108"/>
      <w:bookmarkEnd w:id="281"/>
      <w:r>
        <w:rPr>
          <w:rtl w:val="true"/>
        </w:rPr>
        <w:t>اشارة</w:t>
      </w:r>
      <w:bookmarkEnd w:id="282"/>
    </w:p>
    <w:p>
      <w:pPr>
        <w:pStyle w:val="BookText"/>
        <w:rPr/>
      </w:pPr>
      <w:r>
        <w:rPr>
          <w:rFonts w:ascii="IRNazanin" w:hAnsi="IRNazanin" w:eastAsia="IRNazanin"/>
          <w:color w:val="111111"/>
          <w:sz w:val="28"/>
          <w:sz w:val="28"/>
          <w:szCs w:val="28"/>
          <w:rtl w:val="true"/>
          <w:lang w:bidi="fa-IR"/>
        </w:rPr>
        <w:t>ینبغی قبل ذکر حالات النهی المتعلّق بالمعاملة، الإشارة إلی ما أفاده المحقّق النائینی قدس سره فی المقام و وجه ضعفه؛ ثمّ تعقیبه بما ینفع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المتعلّق بالمعاملة إذا کان تحریمیاً، فتارة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یتعلّق بالسبب، 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بالمسبّب، 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بالآثار المترتّبة علی المسبّب، کالتصرّف فی الثمن و المثمن، و غیر ذلک من الآثار المترتّبة علی 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التعبیر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من مسامحة؛ لأنّه لیس باب العقود و الإیقاعات باب الأسباب و المسبّبات، بل هی من باب الإیجادیات، و الإیجاب و القبول بمنزلة الآلة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تعلّق النهی بالسبب، تعلّقه بالإیجاد بمعناه المصدری، و یکون المنهی عنه إیجاد المعاملة و إنشاءها و الاشتغال بها، کالبیع وقت النداء، حیث إنّ المحرّم الاشتغال بالبیع وقت النداء، لا النقل و الانتقال</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المراد من تعلّقه بالمسبّب، تعلّقه بالموجد بمعناه الاسم المصدری، و یکون المحرّم و المبغوض هو المنشأ و النقل و الانتقال، کبیع المصحف من الکافر، حیث إنّ المبغوض نقل المصحف من الکافر، لا إنشاء النقل، و مبغوضیة الإنشاء لمکان ما یستتبعه من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تعلّق النهی بالمعاملة بالمعنی المصدری، فهو لا یقتضی الفساد؛ لعدم الملازمة بین حرمة الإیجاد و مبغوضیة الموجد و عدم تحقّقه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تعلّق النهی بالمعاملة بالمعنی الاسم المصدری، فیقتضی الفساد؛ لخروج المنشأ حینئذٍ عن تحت سلطانه، و لا قدرة علیه فی عالم التشریع، و المانع الشرعی کالمانع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و النهی الشرعیان، موجبان لخروج متعلّقهما عن سلطنة المکلّف، و یکون فی عالم التشریع مقهوراً علی الفعل أو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کان أخذ الاجرة علی الواجبات غیر النظامیة حراماً؛ لخروج الفعل بالإیجاب الشرعی عن تحت قدرته و سلطانه، فلا یمکنه تملیکه إلی الغیر لیأخذ الاجرة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الواجبات النظامیة حیث تعلّق الإیجاب بالمعنی المصدری، فیجوز أخذ الاجرة علی عمله، فإذا تعلّق النهی بنفس العمل، فإنّه یخرج عن تحت سلطانه، و یکون النهی مخصّصاً لعموم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تعلّق النهی بنفس المنشأ، و أمّا إذا تعلّق بآثاره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ثمن العذرة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الکلب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یکشف أیضاً إنّاً عن عدم ترتّب المنشأ و عدم تحقّقه</w:t>
      </w:r>
      <w:r>
        <w:rPr>
          <w:rStyle w:val="FootnoteAnchor"/>
          <w:rtl w:val="true"/>
        </w:rPr>
        <w:footnoteReference w:id="164"/>
      </w:r>
      <w:r>
        <w:rPr>
          <w:rFonts w:ascii="Amiri" w:hAnsi="Amiri" w:eastAsia="Amiri" w:cs="Amiri"/>
          <w:color w:val="111111"/>
          <w:sz w:val="28"/>
          <w:sz w:val="28"/>
          <w:szCs w:val="28"/>
          <w:rtl w:val="true"/>
          <w:lang w:bidi="ar-SA"/>
        </w:rPr>
        <w:t>، انتهی ملخّصاً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فی أنّ وجوب شی‌ء أو حرمته، لا یوجب سلب السلطنة التکوینیة و المقهوریة التکوینیة، بل غایة ما یقتضیانه هی أنّه بوجوب الشی‌ء علی المکلّف، لا یجوز ترکه، کما أنّه بحرمة شی‌ء علیه لا یجوز فعله، و حینئذٍ فلو ارید بسلب السلطنة و المقهوریة هو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معنی لهما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عبارة</w:t>
      </w:r>
    </w:p>
    <w:p>
      <w:pPr>
        <w:pStyle w:val="BookText"/>
        <w:rPr/>
      </w:pPr>
      <w:r>
        <w:rPr>
          <w:rFonts w:ascii="IRNazanin" w:hAnsi="IRNazanin" w:eastAsia="IRNazanin"/>
          <w:color w:val="111111"/>
          <w:sz w:val="28"/>
          <w:sz w:val="28"/>
          <w:szCs w:val="28"/>
          <w:rtl w:val="true"/>
          <w:lang w:bidi="fa-IR"/>
        </w:rPr>
        <w:t>اخری عن الوجوب و الحرمة، فتعلیل عدم جواز أخذ الاجرة بذلک مصادرة؛ لأنّ المدّعی هو أنّه إذا وجب شی‌ء علی المکلّف، لا یجوز أخذ الاجرة علیه، و یوجب فساده، و دلیله هو أنّه بوجوب شی‌ء علیه یلزم أحد الطرفین، و لا یجوز الآخر، فتسلب القدرة و إمکان الترک، و یقهر علی الفعل، و من المعلوم أنّ سلب القدرة تشریعاً عبارة اخری عن وجوبه، و هو أوّل الکلام، فیکون مصادرة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نحن فیه یکون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إذا حرمت المعاملة بالمعنی الاسم المصدری، فمقتضاه فساد المعاملة، و دلیله هو أنّ حرمتها توجب خروجها عن تحت سلطانه، و یسلب عنه إمکان الفعل، و من المعلوم أنّه عبارة اخری عن الحرمة، و هی أوّل الکلام، فتکون مصادرة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أنّ المانع الشرعی کالمانع العقلی؛ و أنّه بوجوب شی‌ء أو حرمته یسلب إمکان الفعل أو الترک، لتوجّه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وجه للتفرقة و القول بالفساد لو تعلّق النهی بالمعنی الاسم المصدری، و القول بعدم الفساد لو تعلّق النهی بالمعنی المصدری؛ لأنّه بوجوبه أو حرمته بالمعنی المصدری، أیضاً تسلب القدرة فی عالم التشریع، کما تسلب بتعلّقه بالمعنی الاسم المصدری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فلنعد إلی موضوع البحث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یتبادر منهما فی التکوینیات؛ بحیث تکون المعاملة السببیة لها نحو تأثیر مثل الأسباب التکوینیة، حتّی یقال فی جواب من أشکل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المعاملة غیر مقدورة للشخص، فکیف یصحّ تعلّق النهی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المعاملة المسبّبیة مقدورة للشخص بلحاظ القدرة علی سببها، کما یقال ذلک و یصحّ فی الأسباب التکوینیة</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کون تلک الألفاظ موضوعة لاعتبار العقلاء الممضی لدی الشرع، فمن أنشأ التملیک للغیر بعوض مع ما یعتبرونه بشرط لحوق القبول،</w:t>
      </w:r>
    </w:p>
    <w:p>
      <w:pPr>
        <w:pStyle w:val="BookText"/>
        <w:rPr/>
      </w:pPr>
      <w:r>
        <w:rPr>
          <w:rFonts w:ascii="IRNazanin" w:hAnsi="IRNazanin" w:eastAsia="IRNazanin"/>
          <w:color w:val="111111"/>
          <w:sz w:val="28"/>
          <w:sz w:val="28"/>
          <w:szCs w:val="28"/>
          <w:rtl w:val="true"/>
          <w:lang w:bidi="fa-IR"/>
        </w:rPr>
        <w:t>یعتبرون عند ذلک تملّک القابل للعرض و المتاع، و تملّک الموجب للثمن، فلم یکن فی البین فعل تسبیبی حتّی یقال بعدم کونه تحت 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یکون تحت اختیاره بمعنی آخر؛ بلحاظ إیجاده ما هو موضوع اعتبار العقلاء، فیمکن تعلّق النهی بالمسبّب بلحاظ إیجاد الشخص ما یکون موضوعاً لاعتبار المبغوض عندهم، فیکون النهی عنه بنحو من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تمهّد لک ما ذکرنا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النهی المتعلّق بالمعاملة یتصوّر علی أنحاء، بعضها خارج عن موضوع تعلّق النهی بالمعاملة، و لکن نشیر إلیه أیضاً إیضاحاً للمقال؛ و ذلک لأنّ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یتعلّق بألفاظ المعاملة، لا بما هی سبب للنقل و الانتقال، بل بما أنّها ألفاظ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یتعلّق بها بما أنّها أسباب و آلات خاصّة للنقل و الانتقال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یتعلّق بالمسبّب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یتعلّق بالتسبّب بهذا السبب الخاصّ، فلا یکون السبب مبغوضاً، کما أنّ المسبّب لم یکن مبغوضاً، بل التسبّب بهذا السبب، کالظهار، فإنّ مفارقة الزوجة لیس مبغوضاً فی الجملة، إلّا أنّ التوسّل بالظهار مبغوض فی نظر الشارع، و لعلّه یمکن إرجاعه بنحو إلی السبب بما هو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یتعلّق بأنحاء التصرّفات التی تترتّب علی المعاملة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المتعلّق بألفاظ المعاملة بما أنّها ألفاظ خاصّة، خارج عن موضوع تعلّق النهی بالمعاملة، کما أنّ النهی المتعلّق بأنحاء التصرّفات أیضاً خارج؛ لکونه نهیاً عن الآثار، لا عن المعاملة نفسها، فلو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فعل تسبیبی للشخص فمعنی النهی عنه النهی عن إیجاد المبادلة خارجاً، و أمّا علی ما ذکرناه</w:t>
      </w:r>
      <w:bookmarkStart w:id="283" w:name="pg12934_164542"/>
    </w:p>
    <w:p>
      <w:pPr>
        <w:pStyle w:val="BookText"/>
        <w:rPr/>
      </w:pPr>
      <w:bookmarkEnd w:id="283"/>
      <w:r>
        <w:rPr>
          <w:rFonts w:ascii="IRNazanin" w:hAnsi="IRNazanin" w:eastAsia="IRNazanin"/>
          <w:color w:val="111111"/>
          <w:sz w:val="28"/>
          <w:sz w:val="28"/>
          <w:szCs w:val="28"/>
          <w:rtl w:val="true"/>
          <w:lang w:bidi="fa-IR"/>
        </w:rPr>
        <w:t>فمعناه النهی عن الإنشاء بهذه الألفاظ؛ لمبغوضیة حصول التملیک و التملّک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تمهّد لک ما ذکرنا، فالکلام یقع فی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إذا علم کون متعلّق النهی التحریمی أو الإرشادی، أو التنزیهی أو الغیری و التبعی، واحداً من هاتیک الأنحاء الخمسة؛ أی کونه السبب بما هو سبب، أو التسبّب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لم یحرز کون متعلّق النهی أیّ واحد من الأنحاء الخمسة، بأن لم یعلم کون متعلّق النهی التحریمی مثلًا السبب بما هو سبب، أو المسبّب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الخمسة</w:t>
      </w:r>
      <w:r>
        <w:rPr>
          <w:rFonts w:eastAsia="IRNazanin" w:cs="IRNazanin"/>
          <w:color w:val="111111"/>
          <w:sz w:val="28"/>
          <w:szCs w:val="28"/>
          <w:rtl w:val="true"/>
          <w:lang w:bidi="fa-IR"/>
        </w:rPr>
        <w:t>.</w:t>
      </w:r>
    </w:p>
    <w:p>
      <w:pPr>
        <w:pStyle w:val="Heading6"/>
        <w:numPr>
          <w:ilvl w:val="5"/>
          <w:numId w:val="1"/>
        </w:numPr>
        <w:rPr/>
      </w:pPr>
      <w:bookmarkStart w:id="284" w:name="__RefHeading___Toc4026227_3224264995"/>
      <w:bookmarkStart w:id="285" w:name="_Toc109"/>
      <w:bookmarkEnd w:id="284"/>
      <w:r>
        <w:rPr>
          <w:rtl w:val="true"/>
        </w:rPr>
        <w:t>المورد الأوّل</w:t>
      </w:r>
      <w:r>
        <w:rPr>
          <w:rtl w:val="true"/>
        </w:rPr>
        <w:t xml:space="preserve">: </w:t>
      </w:r>
      <w:r>
        <w:rPr>
          <w:rtl w:val="true"/>
        </w:rPr>
        <w:t>ما إذا احرز متعلّق النهی</w:t>
      </w:r>
      <w:bookmarkEnd w:id="285"/>
    </w:p>
    <w:p>
      <w:pPr>
        <w:pStyle w:val="BookText"/>
        <w:rPr/>
      </w:pPr>
      <w:r>
        <w:rPr>
          <w:rFonts w:ascii="IRNazanin" w:hAnsi="IRNazanin" w:eastAsia="IRNazanin"/>
          <w:color w:val="111111"/>
          <w:sz w:val="28"/>
          <w:sz w:val="28"/>
          <w:szCs w:val="28"/>
          <w:rtl w:val="true"/>
          <w:lang w:bidi="fa-IR"/>
        </w:rPr>
        <w:t>لو کان النهی تنزیهیاً أو غیریاً، لما اقتضی النهی الفساد مطلقاً؛ سواء کان المتعلّق السبب بما هو سبب، أو المسبّب، أو غیرهما، و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لا إشکال فی أنّه إذا کان النهی إرشاداً إلی الفساد، لاقتضی فساد المعاملة، سواء تعلّق النهی بالسبب، أو بالمسبّب، أو بالتسبّب، أو بترتیب الآثار</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کان النهی تحریمیاً، فإن علم کون المتعلّق ألفاظ المعاملة، أو السبب بما هو سبب أو المسبّب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التسبّب لو کان قسماً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ملازمة بین النهی و الفساد عقلًا؛ بداهة أنّه من الممکن عقلًا مبغوضیة التکلّم بلفظ، أو سببیة شی‌ء لشی‌ء، أو التسبّب بشی‌ء، أو حصول المسبّب، مع وقوع تلک الامور خارجاً، و ذلک کسببیة آلة الحیازة الغصبیة لحصول الملک، فإنّ الملکیة تحصل بتلک الآلة مع مبغوضیة التسبّب بها عند الشارع، و کتملّک الکافر للمسلم، فإنّه یمکن أن یصیر الکافر مالکاً للمسلم، و لکنّه یجبر علی بیعه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ملازمة عقلًا بین مبغوضیة تلک الامور و وقوعها خارجاً</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یقع الکلام فی أنّه هل یلازمه عقلائیاً؛ بمعنی أنّه هل یفهم العرف و العقلاء ملازمة بین النهی و عدم وقوعها، أم لا؟</w:t>
      </w:r>
    </w:p>
    <w:p>
      <w:pPr>
        <w:pStyle w:val="BookText"/>
        <w:rPr/>
      </w:pPr>
      <w:r>
        <w:rPr>
          <w:rFonts w:ascii="IRNazanin" w:hAnsi="IRNazanin" w:eastAsia="IRNazanin"/>
          <w:color w:val="111111"/>
          <w:sz w:val="28"/>
          <w:sz w:val="28"/>
          <w:szCs w:val="28"/>
          <w:rtl w:val="true"/>
          <w:lang w:bidi="fa-IR"/>
        </w:rPr>
        <w:t>قال الشیخ الأعظم قدس سره فی مورد تعلّق النهی بالمسبّب</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قلنا بأنّ لهذه الألفاظ سببیةً عقلیةً لوقوع المطلوب منها، و الشارع کشف عنها، فالباب باب واقعیة؛ مجهولة عندنا، معلومة عند اللَّه، فلا یدلّ النهی علی الفساد؛ لأنّ الصحّة و الفساد علی هذا أمر واقعی لا تناله ید الجعل، و حیث إنّ مملوکیة المسلم للکافر مبغوضة مثلًا یجبر الکافر علی إخراج المسلم من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قلنا بأنّ تسبّبها بجعل من الشارع، فلا بدّ من القول بدلالة النهی علی الفساد؛ لأنّ من البعید فی الغایة جعل السبب فیما إذا کان وجود المسبّب مبغوضاً</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فالشیخ قدس سره مفصّل بین کون الأسباب مجعولة، فیدلّ النهی علی الفساد، و بین کونها أسباباً عقلیة فلا تکشف عن الفساد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تمّ ما أفاده قدس سره فلا فرق فی ذلک بین تعلّق النهی بالمسبّب، أو بالسبب،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سببیة هذه الألفاظ عقلیة، فالنهی عنها لا یکشف عن فسادها، و أمّا لو کانت مجعولات شرعیة فیبعد جعل السببیة لها مع مبغوضیتها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التردید فی کلامه قدس سره بکلا شقّیه غیر وجیه؛ لعدم کون المعاملات الدارجة بین العقلاء، اموراً عقلیة و حقائق لم یطلعوا علیها، بل هی امور عقلائیة اعتبروها حسب احتیاجاتهم و ارتباطات بعضهم مع بعض، و من القریب عدم وجود جمیع هذه المعاملات الدارجة فی القرون السابقة، بل کان لهم بعضها فی حیاتهم البسیطة، فکلّما کثرت الارتباطات و الاحتیاجات حدثت معاملات لم تکن دارجة، أ لا تری أنّ معاملة التأمین حدثت فی عصرنا هذا، و لم یکن لها قبل عصرنا منها عین و لا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ظهر عدم کونها مجعولات شرعیة، بحیث یکون للشارع فیها تعبّد و جعل، بل هی امور عقلائیة دارجة بینهم أمضی الشارع ما هم علیه فیها بزیادة جزء أو شرط، أو نقصهما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المعاملات الدارجة لم تکن أسباباً عقلیة، و لا شرعیة، و إنّما هی امور عقلائیة ممضاة فی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إذا تعلّق نهی بمعاملة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تعلّق بالسبب، أو بالمسبّب، أو بالتسبّب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المعلوم أنّه لا ملازمة بین النهی و الفساد؛ لأنّک عرفت أنّه من الممکن مبغوضیة التسبّب بسبب خاصّ، أو نفس التسبّب، مع تحقّقه خارجاً، کالحیازة بالآلة المغصوبة، فإنّه تتحقّق الحیازة بها، یترتّب علیها الآثار الوضعیة، مع حرمة استعمالها، و کالظهار، فإنّه مع مبغوضیته یحصل به الفراق، و کذا یمکن أن یکون المسبّب مبغوضاً مع حصوله، کبیع المسلم و القرآن من الکافر، فیجبر الکافر علی بیعهما</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ملازمة عقلًا و لا عقلائیاً بین تعلّق النهی التحریمی بألفاظ المعاملة بما هی ألفاظ، أو بما هی أسباب، أو بالتسبّب بها، أو بالمسبّب، و بین الفساد</w:t>
      </w:r>
      <w:r>
        <w:rPr>
          <w:rFonts w:eastAsia="IRNazanin" w:cs="IRNazanin"/>
          <w:color w:val="111111"/>
          <w:sz w:val="28"/>
          <w:szCs w:val="28"/>
          <w:rtl w:val="true"/>
          <w:lang w:bidi="fa-IR"/>
        </w:rPr>
        <w:t>.</w:t>
      </w:r>
      <w:bookmarkStart w:id="286" w:name="pg12934_164545"/>
    </w:p>
    <w:p>
      <w:pPr>
        <w:pStyle w:val="BookText"/>
        <w:rPr/>
      </w:pPr>
      <w:bookmarkEnd w:id="286"/>
      <w:r>
        <w:rPr>
          <w:rFonts w:ascii="IRNazanin" w:hAnsi="IRNazanin" w:eastAsia="IRNazanin"/>
          <w:color w:val="111111"/>
          <w:sz w:val="28"/>
          <w:sz w:val="28"/>
          <w:szCs w:val="28"/>
          <w:rtl w:val="true"/>
          <w:lang w:bidi="fa-IR"/>
        </w:rPr>
        <w:t>نعم، لو تعلّق النهی بمعاملة لأجل مبغوضیة ترتّب الآثار المطلوبة علیها، فلا إشکال فی دلالته علی الفساد؛ لأنّ حرمة ترتّب الآثار علی معاملة، مساوقة لفسادها عرفاً، کما لا یخفی</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احرز تعلّق النهی بأحد العناوین المذکورة</w:t>
      </w:r>
      <w:r>
        <w:rPr>
          <w:rFonts w:eastAsia="IRNazanin" w:cs="IRNazanin"/>
          <w:color w:val="111111"/>
          <w:sz w:val="28"/>
          <w:szCs w:val="28"/>
          <w:rtl w:val="true"/>
          <w:lang w:bidi="fa-IR"/>
        </w:rPr>
        <w:t>.</w:t>
      </w:r>
    </w:p>
    <w:p>
      <w:pPr>
        <w:pStyle w:val="Heading6"/>
        <w:numPr>
          <w:ilvl w:val="5"/>
          <w:numId w:val="1"/>
        </w:numPr>
        <w:rPr/>
      </w:pPr>
      <w:bookmarkStart w:id="287" w:name="__RefHeading___Toc4026229_3224264995"/>
      <w:bookmarkStart w:id="288" w:name="_Toc110"/>
      <w:bookmarkEnd w:id="287"/>
      <w:r>
        <w:rPr>
          <w:rtl w:val="true"/>
        </w:rPr>
        <w:t>المورد الثانی</w:t>
      </w:r>
      <w:r>
        <w:rPr>
          <w:rtl w:val="true"/>
        </w:rPr>
        <w:t xml:space="preserve">: </w:t>
      </w:r>
      <w:r>
        <w:rPr>
          <w:rtl w:val="true"/>
        </w:rPr>
        <w:t>فیما إذا لم یحرز متعلّق النهی</w:t>
      </w:r>
      <w:bookmarkEnd w:id="288"/>
    </w:p>
    <w:p>
      <w:pPr>
        <w:pStyle w:val="BookText"/>
        <w:rPr/>
      </w:pPr>
      <w:r>
        <w:rPr>
          <w:rFonts w:ascii="IRNazanin" w:hAnsi="IRNazanin" w:eastAsia="IRNazanin"/>
          <w:color w:val="111111"/>
          <w:sz w:val="28"/>
          <w:sz w:val="28"/>
          <w:szCs w:val="28"/>
          <w:rtl w:val="true"/>
          <w:lang w:bidi="fa-IR"/>
        </w:rPr>
        <w:t>إذا لم یحرز کون متعلّق النهی التحریمی السبب بما هو ألفاظ خاصّة، أو به بما أنّه سبب، أو بالتسبّب به، أو بالمسبّب، أو ترتیب الآثار، و لم تکن قرینة علی واحد منها، فقد استظهر الشیخ الأعظم قدس سره من نفس تعلّق النهی بمعاملة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تعلّق النهی بنفس صدور الفعل المباشری؛ و هو السبب 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إنّما یصحّ لو کانت ألفاظ المعاملات، ممّا ینظر إلیها، و قد أشرنا إلی أنّها ممّا یتوسّل بها، و تکون منظوراً بها، و سیظهر لک جلیّاً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ذکر قول أبی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عناوین المعاملات و أسبابها عند العرف و العقلاء، امور توصّلیة، و لا ینقدح فی ذهنهم من النهی عن معاملة حرمة التلفّظ بها بما أنّها ألفاظ خاصّة، أو التسبیب بها، فالنهی یدور بین تعلّقه بالمسبّب بما هو مسبّب، و بین تعلّقه بالآثار المطلوبة منها، فما اختاره الشیخ قدس سره أبعد الاحتمالات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استظهر من النهی المتعلّق بالمعاملة، أنّ الغرض هو الزجر عنها بلحاظ آثارها المطلوبة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معنی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تبع ما لیس عندک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ترتّب آثار الملکیة علیها، فیستفید منه العرف و العقلاء الفساد، و لکن إن استفید منه مبغوضیة المسبّب فلا یدلّ علی الفساد</w:t>
      </w:r>
      <w:r>
        <w:rPr>
          <w:rFonts w:eastAsia="IRNazanin" w:cs="IRNazanin"/>
          <w:color w:val="111111"/>
          <w:sz w:val="28"/>
          <w:szCs w:val="28"/>
          <w:rtl w:val="true"/>
          <w:lang w:bidi="fa-IR"/>
        </w:rPr>
        <w:t>.</w:t>
      </w:r>
      <w:bookmarkStart w:id="289" w:name="pg12934_164546"/>
    </w:p>
    <w:p>
      <w:pPr>
        <w:pStyle w:val="Heading6"/>
        <w:numPr>
          <w:ilvl w:val="5"/>
          <w:numId w:val="1"/>
        </w:numPr>
        <w:rPr/>
      </w:pPr>
      <w:bookmarkStart w:id="290" w:name="__RefHeading___Toc4026231_3224264995"/>
      <w:bookmarkStart w:id="291" w:name="_Toc111"/>
      <w:bookmarkEnd w:id="289"/>
      <w:bookmarkEnd w:id="290"/>
      <w:r>
        <w:rPr>
          <w:rtl w:val="true"/>
        </w:rPr>
        <w:t>الروایات التی یستدلّ بها علی فساد المعاملة المنهی عنها</w:t>
      </w:r>
      <w:bookmarkEnd w:id="291"/>
    </w:p>
    <w:p>
      <w:pPr>
        <w:pStyle w:val="Heading6"/>
        <w:numPr>
          <w:ilvl w:val="5"/>
          <w:numId w:val="1"/>
        </w:numPr>
        <w:rPr/>
      </w:pPr>
      <w:bookmarkStart w:id="292" w:name="__RefHeading___Toc4026233_3224264995"/>
      <w:bookmarkStart w:id="293" w:name="_Toc112"/>
      <w:bookmarkEnd w:id="292"/>
      <w:r>
        <w:rPr>
          <w:rtl w:val="true"/>
        </w:rPr>
        <w:t>اشارة</w:t>
      </w:r>
      <w:bookmarkEnd w:id="293"/>
    </w:p>
    <w:p>
      <w:pPr>
        <w:pStyle w:val="BookText"/>
        <w:rPr/>
      </w:pPr>
      <w:r>
        <w:rPr>
          <w:rFonts w:ascii="Amiri" w:hAnsi="Amiri" w:eastAsia="Amiri" w:cs="Amiri"/>
          <w:color w:val="111111"/>
          <w:sz w:val="28"/>
          <w:sz w:val="28"/>
          <w:szCs w:val="28"/>
          <w:rtl w:val="true"/>
          <w:lang w:bidi="ar-SA"/>
        </w:rPr>
        <w:t>ربما یستدلّ</w:t>
      </w:r>
      <w:r>
        <w:rPr>
          <w:rStyle w:val="FootnoteAnchor"/>
          <w:rtl w:val="true"/>
        </w:rPr>
        <w:footnoteReference w:id="169"/>
      </w:r>
      <w:r>
        <w:rPr>
          <w:rFonts w:ascii="IRNazanin" w:hAnsi="IRNazanin" w:eastAsia="IRNazanin"/>
          <w:color w:val="111111"/>
          <w:sz w:val="28"/>
          <w:sz w:val="28"/>
          <w:szCs w:val="28"/>
          <w:rtl w:val="true"/>
          <w:lang w:bidi="fa-IR"/>
        </w:rPr>
        <w:t>بروایات علی دلالة النهی المتعلّق بعنوان المعاملة، علی الفساد شرعاً و إن لم یستلزمه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صحیحة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مملوک تزوّج بغیر إذن سیّده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ذاک إلی سیّده؛ إن شاء أجازه، و إن شاء 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أصلحک اللَّه، إنّ الحکم بن عتیبة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إبراهیم النخعی و أصحابهما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أصل النکاح فاسد، و لا تحلّ إجازة السیّد له، فقال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لم یعصِ اللَّه، إنّما عصی سیّده، فإذا أجازه فهو له جائز</w:t>
      </w:r>
      <w:r>
        <w:rPr>
          <w:rFonts w:eastAsia="IRNazanin" w:cs="IRNazanin"/>
          <w:color w:val="111111"/>
          <w:sz w:val="28"/>
          <w:szCs w:val="28"/>
          <w:rtl w:val="true"/>
          <w:lang w:bidi="fa-IR"/>
        </w:rPr>
        <w:t>»</w:t>
      </w:r>
    </w:p>
    <w:p>
      <w:pPr>
        <w:pStyle w:val="BookText"/>
        <w:rPr/>
      </w:pP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اخری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تزوّج عبده بغیر إذنه، فدخل بها، ثمّ اطّلع علی ذلک مولاه،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ذاک لمولاه؛ إن شاء فرّق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فی أصل النکاح کان عاصیاً؟ فقال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أتی شیئاً حلالًا، فلیس بعاصٍ للَّه، إنّما عصی سیّده و لم یعصِ اللَّه، إنّ ذلک لیس کإتیان ما حرّم اللَّه علیه من نکاح فی عدّة و أشباهه</w:t>
      </w:r>
      <w:r>
        <w:rPr>
          <w:rFonts w:eastAsia="IRNazanin" w:cs="IRNazanin"/>
          <w:color w:val="111111"/>
          <w:sz w:val="28"/>
          <w:szCs w:val="28"/>
          <w:rtl w:val="true"/>
          <w:lang w:bidi="fa-IR"/>
        </w:rPr>
        <w:t>»</w:t>
      </w:r>
    </w:p>
    <w:p>
      <w:pPr>
        <w:pStyle w:val="BookText"/>
        <w:rPr/>
      </w:pP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صحیحة منصور بن حازم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مملوک تزوّج بغیر إذن مولاه، أ عاصٍ للَّه؟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عاصٍ لمولاه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هو؟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أزعم أنّه حرام، و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یفعل إلّا بإذن مولاه</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تقریب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الشیخ الأعظم قدس سره</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مفهوم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یعصِ اللَّه، و إنّما عصی سیّده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أنّه فی مورد عصیان اللَّه تعالی یقع فاسداً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تعمیم الاستدلال لفساد مطلق المعاملات، إنّما هو بإلغاء خصوصیة النکاحیة فی الحکم، فیستفاد منها أنّ کلّ معاملة لو کانت معصیة للَّه تعالی و ممّا نهی عنها، تکون باطلة، و قد نفی الإمام الصغری؛ و أنّه لم یعصِ اللَّه، و إنّما عصی 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استشکل</w:t>
      </w:r>
      <w:r>
        <w:rPr>
          <w:rStyle w:val="FootnoteAnchor"/>
          <w:rtl w:val="true"/>
        </w:rPr>
        <w:footnoteReference w:id="174"/>
      </w:r>
      <w:r>
        <w:rPr>
          <w:rFonts w:ascii="IRNazanin" w:hAnsi="IRNazanin" w:eastAsia="IRNazanin"/>
          <w:color w:val="111111"/>
          <w:sz w:val="28"/>
          <w:sz w:val="28"/>
          <w:szCs w:val="28"/>
          <w:rtl w:val="true"/>
          <w:lang w:bidi="fa-IR"/>
        </w:rPr>
        <w:t>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عصیان المولی یستلزم عصیان اللَّه تعالی، فنکاح العبد بلا إذن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أنّه مخالفة لمولاه و عصیان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للَّه تعالی؛ لحرمة مخالفته شرعاً؛ فکیف قال الإمام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عصی سیّده، و لم یعصِ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القوم فی حیص و بیص، فذهبوا یمیناً و شمالًا فی التفصّی عن الإشکال، و لکن لم یأتوا بشی‌ء مقنع غیر مخالف للظاهر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تنقیح الکلام فی ذلک یستدعی التکلّم فی موقفین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مفاد الروایات؛ و أنّه هل یستفاد منها بطلان المعاملة المنهی عنها، أم لا؟</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کیف یکون نکاح العبد بلا إذن مولاه، عصیاناً لمولاه دون عصیان اللَّه، مع أنّ عصیان مولاه لا ینفکّ عن عصیان اللَّه تعالی؟</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الموقف الأوّل، فقد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الظاهر من العصیان</w:t>
      </w:r>
    </w:p>
    <w:p>
      <w:pPr>
        <w:pStyle w:val="BookText"/>
        <w:rPr/>
      </w:pP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بقرینة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الإتیان بما لم یمض أو لم یرضَ بصحّته، فتکون بصدد بیان الحکم الوضعی من حیث الصحّة و الفساد، فمعنی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یعصِ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یأتِ بنکاح لم یمضه اللَّه، بل أتی بنکاح لم یمضه سیّده علی تقدیر عدم الإجازة</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مناسبة المقام، خلاف ما ادّعاه قدس سره لأنّه یظهر من قوله علیه السلام فی ذیل الروایة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لیس کإتیانه ما حرّم اللَّه علیه من نکاح فی عدّة و أشباهه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بصدد إفادة الحرمة التکلیفیة لعصیان اللَّه؛ لأنّ الظاهر من الروایات حرمة النکاح فی العدّة و قد عدّ من المحرّمات فی روایةٍ النکاح فی العدّة، و الوطء یوم رمضان</w:t>
      </w:r>
      <w:r>
        <w:rPr>
          <w:rStyle w:val="FootnoteAnchor"/>
          <w:rtl w:val="true"/>
        </w:rPr>
        <w:footnoteReference w:id="176"/>
      </w:r>
      <w:r>
        <w:rPr>
          <w:rFonts w:ascii="IRNazanin" w:hAnsi="IRNazanin" w:eastAsia="IRNazanin"/>
          <w:color w:val="111111"/>
          <w:sz w:val="28"/>
          <w:sz w:val="28"/>
          <w:szCs w:val="28"/>
          <w:rtl w:val="true"/>
          <w:lang w:bidi="fa-IR"/>
        </w:rPr>
        <w:t>، فمقتضی المقابلة أنّ نکاح العبد بلا إذن مولاه لو کان معصیة و مخالفة تکلیفیة 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کان ذلک فی النکاح فی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لاقتضی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کم فرق بین التعبیر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إذا خولف الحکم الوضعی یصحّ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یکاد یصحّ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ظاهر العصیان هو المخالفة التکلیفیة، فتری أنّ لسان التعبیر فی الروایات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أنّه لا یکون للسیّد حکم وضعی یخالفه العبد؛ لأنّ المقرّر فی محلّه أنّه لا بدّ و أن تکون أفعاله المتعارفة بإذن سیّده، و لا یجوز مخالفته، و مخالفة السیّد عند العرف و العقلاء لیست إلّا بخروج العبد عن زیّ العبودیة</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ذکرنا یندفع توهّم کون العصیان مخالفة للحکم الوضعی؛ بدعوی أنّ العبد کما أنّه بمخالفته لسیّده یکون عاصیاً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متصرّفاً فی سلطان مولاه بلا 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فکذلک من خالفه تعالی یکون متصرّفاً فی سلطانه تعالی بلا إذنه، و العبد هنا لم یتصرّف فی سلطان اللَّه تعالی، و إنّما تصرّف فی سلطان مولاه، فلا یقع فاسداً، فکلّما کان تصرّفاً فی سلطانه تعالی یقع فاسداً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أنّه لو فرض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المخالفة الوضعیة أحیاناً، إلّا أنّه لیس مختصّاً بالخروج عن السلطنة، بل یشمل مخالفة التکلیفی، بل یکون ذلک من أوضح مصادیق العصیان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الروایات هو أنّه فیما إذا تعلّق نهی تکلیفی بمعاملة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کالنکاح فی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فساد متعلّقه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لا یتنافی مع ما ذکرناه من عدم الملازمة بین النهی و المبغوضیة و الفساد؛ و ذلک لأنّ ما ذکرناه هناک هو أنّه لو خلّی و طبعه، لا یکون بین النهی و الفساد ملازمة عقلیة أو عقلائیة، و لا ینافی ذلک دلالته علی الفساد بالدلیل، و الروایات هنا دلّت علی أنّ النهی التحریمی یوجب الفساد، فهذا علی خلاف القاعدة، و لا مانع من الالتزام به لدلالة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الموقف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 ظاهر الروایات أنّ نکاح العبد بلا إذن مولاه، عصیان لمولاه، لا للَّه سبحانه، مع أنّه ینبغی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عند عصیان مولاه یکون عصی اللَّه، مع زیادة؛ و هی عصیان مولاه، فما الجواب؟ فوقع القوم فی حیص و بیص</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الشی‌ء إمّا أن یکون عصیاناً للَّه تعالی بنفسه، کشرب الخمر، أو یکون عصیاناً له تعالی بتوسّط عصیان الغیر، و ظاهر الروایات هو أنّه إذا کان عصیان اللَّه تعالی بنفسه فهو فاسد، و لا تصحّحه إجازة الغیر، و أمّا فی الثانی فلا یقتضی الفساد؛ لأنّ الحقّ راجع إلی الغیر، فله إسقاط حقّه و إجازة المعاملة،</w:t>
      </w:r>
    </w:p>
    <w:p>
      <w:pPr>
        <w:pStyle w:val="BookText"/>
        <w:rPr/>
      </w:pPr>
      <w:r>
        <w:rPr>
          <w:rFonts w:ascii="IRNazanin" w:hAnsi="IRNazanin" w:eastAsia="IRNazanin"/>
          <w:color w:val="111111"/>
          <w:sz w:val="28"/>
          <w:sz w:val="28"/>
          <w:szCs w:val="28"/>
          <w:rtl w:val="true"/>
          <w:lang w:bidi="fa-IR"/>
        </w:rPr>
        <w:t>و النکاح فی مفروض المسألة لم یکن بنفسه عصیاناً للَّه تعالی، و إنّما صار عصیاناً له تعالی بواسطة تضییع حقّ مولاه، فمعنی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یعصِ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أنّه لیس نکاح العبد بلا إذن مولاه، ممّا لم یشرّعه تعالی بنوعه، کالنکاح فی العدّة، بل ممّا شرّعه اللَّه تعالی بنوعه، و لکن نهی عن بعض أفراده لخصوصیة فیه</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 ما افید أنّه إذا تعلّق النهی بقسم من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کنکاح العبد بلا إذن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لاقتضی فساده، و هو کما تری،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یقتضیه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حسبما أشرنا إلیه غیر مرّة فی نظائر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بدّ من ملاحظة العنوان الذی یتعلّق به الخطاب و التکلیف، و یدقّق النظر فیه؛ حتّی لا یتجاوز التکلیف المتعلّق بعنوان إلی عنوان آخر و إن اتحد معه خارجاً، و لذا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نذر صلاة اللیل لا تصیر صلاة اللیل واجبة بالنذر، بل هی باقیة علی استحبابها، و إنّما الواجب هو عنوان الوفاء بالنذر، و لزوم إتیان صلاة اللیل إنّما هو باعتبار کونها مصداقاً بعنوان الوفاء بالنذر</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المقام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الواجب علی العبد من اللَّه تعالی، إطاعة مولاه و حرمة مخالفته و عصیانه، و تزویج العبد بدون إذن سیّده و إن کان بوجوده الخارجی مصداقاً للمخالفة، لکنّه لم یکن ما فعله بما هو تزویج منهیاً عنه شرعاً بل کان مأموراً به بالأمر الاستحبابی بأصل الشرع، و غایة ما تکون هی مخالفة مولاه؛ حیث إنّه تصرّف فی سلطانه بارتکابه أمراً مهمّاً، فهو بارتکابه التزویج بدون إذن مولاه عاصٍ لمولاه، لا عاصٍ للَّه تعالی، نعم بعد صدق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مخالفة مولاه و عصیانه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ینطبق علیه عصیان اللَّه تعالی، لکن لا باعتبار ذات النکاح، بل لأجل عصیان المولی و مخالفته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الشارع لعبده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أطع مولاک و لا تخالفه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الواجب و الحرام علی العبد إطاعة مولاه و حرمة مخالفته، فإذا أمره مولاه بإتیان الماء مثلًا أو نهاه عن النکاح، لا یصیر إتیان الماء و لا النکاح بعنوانهما من الواجبات الشرعیة و محرّماتها؛ بداهة أنّهما من المباحات أو المستحبّات، و الواجب أو الحرام علی العبد فی الشریعة هو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إطاعة المولی و عصیانه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غایة ما یکون هی أنّ ما أتی به عصیان أو إطاعة لمولاه، فنکاح العبد بغیر إذن مولاه یکون عصیاناً لمولاه، و لیس عصیاناً للَّه تعالی فی أصل النکاح،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هو عصی اللَّه فی مخالفة سیّده و عصیانه، و مجرّد انطباق عنوان عرضی علی موضوع، لا یوجب سرایة الحکم المعلّق علی العنوان علیه، و لذا فبعد قول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فی أصل النکاح کان عاصیاً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أتی شیئاً حلالًا، و لیس بعاصٍ للَّه، إنّما عصی سیّده و لم یعصِ اللَّه، إنّ ذلک لیس کإتیان ما حرّم اللَّه علیه من نکاح فی عدّة و أشباهه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فی مسألة الاجتماع، أنّ انطباق عنوان عرضی محرّم علی شی‌ء حلال بالذات، لما یوجب حرمته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النکاح المحرّم فی الفرض لیس إیجاد العبد ألفاظ النکاح و التلفّظ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من حیث أنّه فعل من أفعاله و أنّه تصرّف فی سلطنة مولاه؛ بداهة أنّه لا یمکن التفوّه بذلک؛ لأنّه ظلم فی حقّ العبد، تعالی اللَّه عنه علوّاً کبیراً، بل المراد عنوان التزویج المسمّی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التزویج بعنوانه لیس عصیان اللَّه تعالی، بل ممّا أحلّه اللَّه و أباحه بل استحبّه، نعم ینطبق علیه عنوان مخالفة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فتزویج العبد بلا إذن مولاه ینطبق علیه عنوانان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عنوان النکاح، و ثانیهما عنوان مخالفة مولاه، 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حرّمه اللَّه علی العبد هو عنوان مخالفة مولاه، لا عنوان النکاح، فتزویج العبد لیس معصیة اللَّه تعالی ذاتاً، و إن کان من حیث اتصاف عنوان مخالفة مولاه علیه مستلزم لمعصیته تعالی، فالمصداق المفروض مصداق لعنوان ذاتی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مشروع تعلّق به الأمر الاستحبابی؛ و عنوان عرضی، و هو عنوان مخالفة المولی، و مجرّد انطباق العنوان الثانی علی النکاح عرضاً لا یوجب حرمته؛ لما تقدّم أنّه لا یسری الحکم المتعلّق بعنوان إلی ما یقارنه أو یتحد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 العبد خارجاً و إن کان ینطبق علیه عنوان مخالفة مولاه و یکون عصیاناً لسیّده، و لکن لم یکن ممّا حرّمه اللَّه علیه بعنوانه؛ لأنّ ما حرّمه اللَّه علی العبد هو عنوان مخالفة المولی لا النکاح، و انطباق عنوان المخالفة علی مصداق محلّل ذاتی لا یوجب حرمته؛ لعدم تجاوز النهی عن عنوان إلی عنوان آخر یقارنه أو یتحد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تعلّق النذر مثلًا بنافلة اللیل فإنّ تعلّق النذر بها لا یوجب سرایة الوجوب إلیها حتی تصیر صلاة اللیل واجبة علیه، بل صلاة اللیل بعد النذر باقیة علی الاستحباب؛ و ذلک لأنّ النذر تعلّق بعنوان الوفاء بالنذر، و الأمر الاستحبابی تعلّق بذات صلاة اللیل، و ینطبق عنوان الوفاء بالنذر عرضاً علی نافلة اللیل، فلا تصیر صلاة اللیل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الروایات شواهد صدق علی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زرارة فی الروایة الثانیة</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فی أصل</w:t>
      </w:r>
    </w:p>
    <w:p>
      <w:pPr>
        <w:pStyle w:val="BookText"/>
        <w:rPr/>
      </w:pPr>
      <w:r>
        <w:rPr>
          <w:rFonts w:ascii="Amiri" w:hAnsi="Amiri" w:eastAsia="Amiri" w:cs="Amiri"/>
          <w:color w:val="111111"/>
          <w:sz w:val="28"/>
          <w:sz w:val="28"/>
          <w:szCs w:val="28"/>
          <w:rtl w:val="true"/>
          <w:lang w:bidi="ar-SA"/>
        </w:rPr>
        <w:t>النکاح کان عاصیاً؟ فقال أبو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أتی شیئاً حلالًا، و لیس بعاصٍ للَّه، إنّما عصی سیّده</w:t>
      </w:r>
      <w:r>
        <w:rPr>
          <w:rFonts w:eastAsia="Amiri" w:cs="Amiri" w:ascii="Amiri" w:hAnsi="Amiri"/>
          <w:color w:val="111111"/>
          <w:sz w:val="28"/>
          <w:szCs w:val="28"/>
          <w:rtl w:val="true"/>
          <w:lang w:bidi="ar-SA"/>
        </w:rPr>
        <w:t>»</w:t>
      </w:r>
    </w:p>
    <w:p>
      <w:pPr>
        <w:pStyle w:val="BookText"/>
        <w:rPr/>
      </w:pPr>
      <w:r>
        <w:rPr>
          <w:rStyle w:val="FootnoteAnchor"/>
          <w:rtl w:val="true"/>
        </w:rPr>
        <w:footnoteReference w:id="178"/>
      </w:r>
      <w:r>
        <w:rPr>
          <w:rFonts w:ascii="IRNazanin" w:hAnsi="IRNazanin" w:eastAsia="IRNazanin"/>
          <w:color w:val="111111"/>
          <w:sz w:val="28"/>
          <w:sz w:val="28"/>
          <w:szCs w:val="28"/>
          <w:rtl w:val="true"/>
          <w:lang w:bidi="fa-IR"/>
        </w:rPr>
        <w:t>، فتری أنّه علیه السلام صرّح بأنّ أصل النکاح شی‌ء حلال، و لیس بمعصیة اللَّه تعالی، و مع ذلک عصی سیّده؛ أی فی النکاح، فالتزویج عصیان للسیّد، و مخالفة السیّد عصیان للَّه، و هی بعنوانها غیر النکاح و إن اتحدت معه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تعلیله علیه السلام فی ذیل الروایة الثانیة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ذلک لیس کإتیان ما حرّم اللَّه علیه من نکاح فی عدّة و أشباهه</w:t>
      </w:r>
      <w:r>
        <w:rPr>
          <w:rFonts w:eastAsia="Amiri" w:cs="Amiri" w:ascii="Amiri" w:hAnsi="Amiri"/>
          <w:color w:val="111111"/>
          <w:sz w:val="28"/>
          <w:szCs w:val="28"/>
          <w:rtl w:val="true"/>
          <w:lang w:bidi="ar-SA"/>
        </w:rPr>
        <w:t>»</w:t>
      </w:r>
    </w:p>
    <w:p>
      <w:pPr>
        <w:pStyle w:val="BookText"/>
        <w:rPr/>
      </w:pPr>
      <w:r>
        <w:rPr>
          <w:rStyle w:val="FootnoteAnchor"/>
          <w:rtl w:val="true"/>
        </w:rPr>
        <w:footnoteReference w:id="179"/>
      </w:r>
      <w:r>
        <w:rPr>
          <w:rFonts w:ascii="IRNazanin" w:hAnsi="IRNazanin" w:eastAsia="IRNazanin"/>
          <w:color w:val="111111"/>
          <w:sz w:val="28"/>
          <w:sz w:val="28"/>
          <w:szCs w:val="28"/>
          <w:rtl w:val="true"/>
          <w:lang w:bidi="fa-IR"/>
        </w:rPr>
        <w:t>ممّا تعلّقت الحرمة فیه بعنوانها، حیث فرّق علیه السلام بین نکاح العبد، و بین تعلّق النهی بنفس الطبیعة بعنوانها، و لیس ذلک إلّا لما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صحیحة منصور بن حازم المتقدّمة</w:t>
      </w:r>
      <w:r>
        <w:rPr>
          <w:rStyle w:val="FootnoteAnchor"/>
          <w:rtl w:val="true"/>
        </w:rPr>
        <w:footnoteReference w:id="180"/>
      </w:r>
      <w:r>
        <w:rPr>
          <w:rFonts w:ascii="IRNazanin" w:hAnsi="IRNazanin" w:eastAsia="IRNazanin"/>
          <w:color w:val="111111"/>
          <w:sz w:val="28"/>
          <w:sz w:val="28"/>
          <w:szCs w:val="28"/>
          <w:rtl w:val="true"/>
          <w:lang w:bidi="fa-IR"/>
        </w:rPr>
        <w:t xml:space="preserve">، حیث صرّح علیه السلام بعدم حرمة التزویج، و مع ذلک نهاه عن إتیانه بلا إذن مولاه، و لیس له وجه إلّا ما تقدّم من أنّ النکاح لیس بحرام، و لکن ینطبق علیه عنوان آخر محرّم؛ و هو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مخالفة المولی</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ممّا ذکرنا بطوله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الروایات، أنّه لو کان عمل العبد مخالفاً للمولی و عصیاناً له، و کان ذلک العمل صحیحاً فی أصل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کنکاح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یقع فاسداً، بل یکون منوطاً بإجازة مولاه، و أمّا إذا کان العمل فی أصل الشریعة منهیاً عنه کالنکاح فی العدّة، فالنهی عنه یکشف عن فساده، فتدبّر</w:t>
      </w:r>
      <w:r>
        <w:rPr>
          <w:rFonts w:eastAsia="IRNazanin" w:cs="IRNazanin"/>
          <w:color w:val="111111"/>
          <w:sz w:val="28"/>
          <w:szCs w:val="28"/>
          <w:rtl w:val="true"/>
          <w:lang w:bidi="fa-IR"/>
        </w:rPr>
        <w:t>.</w:t>
      </w:r>
      <w:bookmarkStart w:id="294" w:name="pg12934_164554"/>
    </w:p>
    <w:p>
      <w:pPr>
        <w:pStyle w:val="Heading6"/>
        <w:numPr>
          <w:ilvl w:val="5"/>
          <w:numId w:val="1"/>
        </w:numPr>
        <w:rPr/>
      </w:pPr>
      <w:bookmarkStart w:id="295" w:name="__RefHeading___Toc4026235_3224264995"/>
      <w:bookmarkStart w:id="296" w:name="_Toc113"/>
      <w:bookmarkEnd w:id="294"/>
      <w:bookmarkEnd w:id="295"/>
      <w:r>
        <w:rPr>
          <w:rtl w:val="true"/>
        </w:rPr>
        <w:t>حول دعوی أبی حنیفة و الشیبانی دلالة النهی علی الصحّة</w:t>
      </w:r>
      <w:bookmarkEnd w:id="296"/>
    </w:p>
    <w:p>
      <w:pPr>
        <w:pStyle w:val="BookText"/>
        <w:rPr/>
      </w:pPr>
      <w:r>
        <w:rPr>
          <w:rFonts w:ascii="IRNazanin" w:hAnsi="IRNazanin" w:eastAsia="IRNazanin"/>
          <w:color w:val="111111"/>
          <w:sz w:val="28"/>
          <w:sz w:val="28"/>
          <w:szCs w:val="28"/>
          <w:rtl w:val="true"/>
          <w:lang w:bidi="fa-IR"/>
        </w:rPr>
        <w:t>حکی عن أبی حنیفة و تلمیذه محمّد بن الحسن الشیبانی</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عن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معاملة کان أو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الصحّة</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مطارح الأنظار</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السطر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النهی عبارة عن المنع و الزجر عن إیجاد شی‌ء فی الخارج، فلا بدّ و أن یکون متعلّقه مقدوراً للمکلّف، و إلّا إذا لم یکن تحت اختیاره فلا یکاد یتعلّق به النهی، لأنّه متروک قهراً، کما لا یصحّ تعلّق الأمر إلّا بما یکون مقدوراً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و النهی یردان علی أحد طرفی المقدور؛ من الفعل أو الترک، فلو اقتضی النهی فساد متعلّقه، لاقتضی سلب قدرة المکلّف، و عند ذلک یکون متروکاً قهراً لا یحتاج إلی النهی، فالنهی عن شی‌ء یلازم عقلًا صحّة تحقّق متعلّقه؛ و أنّه ممّا یمکن تحقّقه، و إلّا لما کان لتعلّق النهی به وجه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حکم تکلیفی لا یتعلّق إلّا بما هو مقدور للمکلّف؛ بحیث یکون کلّ من طرفی الفعل و الترک تحت قدرته، و علی هذا فمتعلّق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کمتعلّق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و أن یکون مقدوراً، و لذا لا یمکن النهی عن الطیران فی الهواء؛ لعدم قدرة المکلّف علیه، و لا یکون متعلّق النهی مقدوراً إلّا إذا کان بجمیع أجزائه و شروطه مقدوراً له، کما هو الشأن فی متعلّق الأمر، فلو خالف المکلّف و أتی بالمنهی عنه بجمیع أجزائه و شروطه، لترتّب علیه الأثر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ظاهر استدلالهما، یدلّ علی أنّ مرادهما إثبات الملازمة العقلیة بین النهی و الصحّة، لا الدلالة العرفیة اللفظیة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الظاهر أنّ مرادهما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التحریمی المولوی، لا النهی الإرشادی؛ بقرینة أخذ القدرة فی المتعلّق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ینافی هذا ما ذکرناه من ظهور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یحرز کونه من أیّ قسم من النواهی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الإرشاد إلی متعلّقه؛ عبادة کان أو 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مقالهما هو أنّه فی النهی المحرز کونه تحریمیاً إذا تعلّق بعبادة أو معاملة فلازم ذلک عقلًا صحّة متعلّقه، و لا ینافی هذا ما ذکرناه من ظهور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یحرز کونه من أیّ قسم من النواهی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الإرشاد إلی متعلّقه؛ عبادة کانت أو 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فحاصل مقالهما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إذا تعلّق نهی تحریمی مولوی بعبادة أو معاملة، فلازمه العقلی صحّة متعلّقه و کونه مقدوراً للمکلّف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عن مقالهما بوجوه کلّها خارجة عن موضوع بحثهما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الخراسانی قدس سره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التحقیق أنّ دلالة النهی علی الفساد إنّما تکون، إذا کان النهی عن المعاملة بمعنی النهی عن المسبّب أو التسبیب، و أمّا إذا کان النهی عن السبب فلا، و علّل قدس سره ذلک بأنّه إذا تعلّق النهی بالمسبّب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کالنهی عن بیع المصحف من الکافر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قادراً علی التکلیف، لما صحّ النهی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المسبّب دائر بین الوجود و العدم، فإن لم یکن قادراً علیه لم یکد یتعلّق به النهی</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لو تعلّق النهی بالتسبیب بالسبب، کالظهار، فإنّ التسبّب به إلی التفریق بین الزوجین مبغوض، بخلاف التسبّب بالطلاق، فإذا لم یترتّب الفراق علی الظهار</w:t>
      </w:r>
    </w:p>
    <w:p>
      <w:pPr>
        <w:pStyle w:val="BookText"/>
        <w:rPr/>
      </w:pPr>
      <w:r>
        <w:rPr>
          <w:rFonts w:ascii="IRNazanin" w:hAnsi="IRNazanin" w:eastAsia="IRNazanin"/>
          <w:color w:val="111111"/>
          <w:sz w:val="28"/>
          <w:sz w:val="28"/>
          <w:szCs w:val="28"/>
          <w:rtl w:val="true"/>
          <w:lang w:bidi="fa-IR"/>
        </w:rPr>
        <w:t>کان النهی عن الظهار لغواً، فلا محیص من دلالة النهی عن المعاملة فی الموردین علی کونها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تعلّق النهی بالسبب لا بما هو سبب فعلی، بل بذات السبب بما أنّه ألفاظ خاصّة، فلا یدلّ النهی علی الصحّة؛ لأنّ ألفاظ المعاملة قد تقع صحیحة، و قد تقع 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المنهی عنه علی هذا، إیجاد ذات السبب مع قطع النظر عن سببیته و تأثیره فی المسبّب، و هو مقدور له و إن لم یترتّب علیه الأثر</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مورد نظر أبی حنیفة و الشیبانی، المعاملة العقلائیة الدارجة التی یتوقّع ترتّب المسبّب علیها لو لا نهی الشارع عنها، لا نفس السبب بما هو فعل مباشری؛ لعدم کون ألفاظ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معاملةً حتّی تکون متعلّقة للنهی، فلیس المحقّق الخراسانی مفصّلًا بین تعلّق النهی بسبب المعاملة، فلا یقتضی الصحّة، و بین تعلّقه بالمسبّب أو التسبّب بالسبب، فیقتضی الصحّة، فهو قدس سره فی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مصدّق بمقالهما فی تعلّق النهی بالمعاملة،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المحقّق الأصفهانی قدس سره و حاصل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تعلّق النهی بذات العقد الإنشائی</w:t>
      </w:r>
      <w:r>
        <w:rPr>
          <w:rStyle w:val="FootnoteAnchor"/>
          <w:rtl w:val="true"/>
        </w:rPr>
        <w:footnoteReference w:id="184"/>
      </w:r>
      <w:r>
        <w:rPr>
          <w:rFonts w:ascii="IRNazanin" w:hAnsi="IRNazanin" w:eastAsia="IRNazanin"/>
          <w:color w:val="111111"/>
          <w:sz w:val="28"/>
          <w:sz w:val="28"/>
          <w:szCs w:val="28"/>
          <w:rtl w:val="true"/>
          <w:lang w:bidi="fa-IR"/>
        </w:rPr>
        <w:t>، و إن کان مقتضاه مقدوریته للمکلّف بذاته، إلّا أنّه لا ربط له بمقدوریته من حیث هو مؤثّر فعلی، فتعلّق النهی بذات العقد الإنشائی، لا یلازم صحّته و نفوذه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تعلّق النهی بالإیجاد السببی للملکیة الذی هو عین وجود الملکیة</w:t>
      </w:r>
    </w:p>
    <w:p>
      <w:pPr>
        <w:pStyle w:val="BookText"/>
        <w:rPr/>
      </w:pPr>
      <w:r>
        <w:rPr>
          <w:rFonts w:ascii="IRNazanin" w:hAnsi="IRNazanin" w:eastAsia="IRNazanin"/>
          <w:color w:val="111111"/>
          <w:sz w:val="28"/>
          <w:sz w:val="28"/>
          <w:szCs w:val="28"/>
          <w:rtl w:val="true"/>
          <w:lang w:bidi="fa-IR"/>
        </w:rPr>
        <w:t>بالذات و غیره بالاعتبار، فالنهی و إن دلّ علی مقدوریته من حیث هو مؤثّر فعلی، و لکن أمر الملکیة دائر بین الوجود و العدم، فلا یتصف بالصحّة؛ لأنّ وجود الملکیة لیس أثراً حتّی یتصف بلحاظه بالصحّة؛ لما عرفت من حدیث العینیة، و الشی‌ء لا یکون أثراً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الأحکام المترتّبة علی الملکیة فنسبتها إلیها نسبة الحکم إلی الموضوع، لا نسبة المسبّب إلی السبب لیتصف بلحاظه بالصحّة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یکون تحت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إیجاد الملکیة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 دائر بین الوجود و العدم، لا یتصف بالصحّة و الفساد؛ لأنّ وجودها لیس أثراً له، بل هو نفسه، و ما لا یکون تحت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الأحکام و الآثار المترتّبة علی الملکیة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یتصف بالصحّة، إلّا أنّ نسبتها إلیها نسبة الحکم إلی الموضوع، لا نسبة المسبّب إلی سببه لیتصف بلحاظه بالنفوذ و الصحّة، فقول أبی حنیفة و الشیبانی ساقط علی جمیع التقادیر</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یتوجّه علی ما ذکره أوّلًا، ما توجّه علی استاذه المحقّق الخراسانی قدس سره و هو أنّ مورد نظرهما المعاملة العقلائیة؛ أی العقد المتوقّع ترتّب الأثر و المسبّب علیه لو لا نهی الشارع عنه، لا نفس السبب بما أنّه فعل مباشری، فما أورده أوّلًا خارج عن محطّ نظرهما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نظرهما لیس إلی اتصاف إیجاد الملکیة بالصحّة حتّی یورد علیهما ما ذکره، بل المراد أنّ النهی حیث یدلّ علی مقدوریة متعلّقه، فالنهی یتعلّق بما تکون له سببیة فعلیة؛ و هی إیجاد المعاملة السببیة بما هی سبب، و من المعلوم أنّها تتصف بالصحّة و الفساد،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 تعلّق النهی بإیجاد الملکیة، فلا محالة یکون إیجادها مقدوراً له، کما اعترف قدس سره به أیضاً، و هو کاشف عن صحّة المعاملة، لا عن صحّة الإیجاد حتّی یقال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لا یتّصف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أورده المحقّق النائینی قدس سره علی مقالهما فی المعاملة، فقال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متعلّق النهی فی المعاملة، المبادلة التی یتعاطاها العرف و ما هی بیدهم، لا المبادلة الصحیحة و الواقعیة، و من المعلوم أنّ المبادلة العرفیة مقدورة للمکلّف و لو بعد النهی الشرعی، کما هو المشاهد، فإنّ بائع الخمر مع علمه بالفساد و النهی الشرعی، یبیع الخمر حقیقة و بقصد المبادلة، کما یقصد ذلک عند عدم علمه بالفساد، بل مع علمه بالصحّة، و کذا سائر المبادلات العرفیة المنهی عنها، فإنّ جمیعها مقدورة و ممّا یتعلّق بها القصد حقیقة، و النهی الشرعی یوجب فسادها؛ أی عدم تحقّقها خارجاً شرعاً و إن تحقّقت عرفاً، فدعوی أنّ النهی عن المعاملة یقتضی الصحّة، ضعیفة جدّاً</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قدس سره صحیح لو کان نظرهما فی متعلّق النهی عن المعاملة، المبادلة بالمعنی الأعمّ، و أمّا إن أرادا أنّ متعلّق النهی المعاملة الواقعیة الشرعیة؛ و أنّ ألفاظ المعاملات لها نحو سببیة للمبادلات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بدعوی أنّ النهی عمّا لم تکن له سببیة فعلیة للمعاملة، لا معنی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فالنهی عنها یقتضی صحّتها، و الظاهر أنّ محطّ نظرهما هو الثانی، فما أفاده قدس سره تأویل لمقالهما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ذکروه فی ردّ مقال أبی حنیفة و الشیبانی، کأنّه خارج عمّا هما بصدده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أن یقال بصحّة مقالهما فی المعاملة؛ و أنّ النهی عن المعاملة یدلّ علی الصحّة بعد إحراز کون النهی نهیاً تکلیفیاً عن المعاملة الواقعیة الاعتباریة، لا إرشادیاً، و إلّا فظهوره فی الفساد لا ینبغی أن ینکر</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کلّه بالنسبة إلی مقال أبی حنیفة و الشیبانی فی النهی المتعلّق بالمعاملة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النهی المتعلّق بالعبادة، فلا محصّل لمقالهما؛ و ذلک لأنّه یعتبر فی العبادة أن لا یکون المأتی به منهیاً عنه و مبغوضاً، و واضح أنّه بمجرّد النهی عن عبادة یستکشف مبغوضیتها، و عدم الأمر بها، و عدم الملاک فیها؛ لعدم صحّة تعلّق الأمر و النهی بشی‌ء واحد، و لا یکاد یمکن أن یکون شی‌ء واحد حاملًا لملاک الصحّة و الفساد، فنفس تعلّق النهی بعبادة یسلب القدرة عن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فلیکن متعلّق العبادة العبادَة الفعلیة، کما استظهر ذلک فی تعلّق النهی بالمعاملة، و حینئذٍ فالنهی عنها یقتضی صحّتها؛ للملازمة العقلیة المدّعاة فی تعلّق النهی بالمعاملة</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تعلّق النهی بالمعاملة أو العبادة، کان ظاهراً فی کون متعلّقه المعاملة الفعلیة و العبادة الفعلیة، و لا یصار إلی خلاف ذلک مهما أمکن إلّا إذا کان دلیل</w:t>
      </w:r>
    </w:p>
    <w:p>
      <w:pPr>
        <w:pStyle w:val="BookText"/>
        <w:rPr/>
      </w:pPr>
      <w:r>
        <w:rPr>
          <w:rFonts w:ascii="IRNazanin" w:hAnsi="IRNazanin" w:eastAsia="IRNazanin"/>
          <w:color w:val="111111"/>
          <w:sz w:val="28"/>
          <w:sz w:val="28"/>
          <w:szCs w:val="28"/>
          <w:rtl w:val="true"/>
          <w:lang w:bidi="fa-IR"/>
        </w:rPr>
        <w:t>علی عدم إمکان إرادة الفعلیة منهما، فعند ذلک ترفع الید عن هذا الظهور، و من الواضح أنّه لا دلیل و لا موجب لارتکاب خلاف الظاهر فی تعلّق النهی بالمعاملة بعد إمکان إرادة المعاملة الفعلیة، کما أشرنا إلیه، و أمّا فی العبادة فیمتنع تعلّق النهی بما یکون عبادة فعلیة؛ ضرورة امتناع کون شی‌ء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بحیثیة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محبوباً و مبغوضاً، ذا صلاح و فساد، کما لا یخفی، و حیث إنّه لا یمکن إنکار الملازمة الفعلیة بین النهی و صحّة تحقّق متعلّقه، فلا بدّ من تأویل العبادة الواقعة فی متعلّق النهی؛ بأن یراد بها ما تکون عبادة لو لا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اقتضاء النهی صحّة متعلّقه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یتمّ فی النهی المتعلّق بالمعاملة، و أمّا النهی المتعلّق بالعبادة فلا، بل یقتضی الفساد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 المقام الأوّل؛ أی مقتضی تعلّق النهی بأقسامه بذات المعاملة، أو العبادة، أو بجزئهما، أو بشرطهما، أو بوصفهما</w:t>
      </w:r>
      <w:r>
        <w:rPr>
          <w:rFonts w:eastAsia="IRNazanin" w:cs="IRNazanin"/>
          <w:color w:val="111111"/>
          <w:sz w:val="28"/>
          <w:szCs w:val="28"/>
          <w:rtl w:val="true"/>
          <w:lang w:bidi="fa-IR"/>
        </w:rPr>
        <w:t>.</w:t>
      </w:r>
      <w:bookmarkStart w:id="297" w:name="pg12934_164561"/>
    </w:p>
    <w:p>
      <w:pPr>
        <w:pStyle w:val="Heading5"/>
        <w:numPr>
          <w:ilvl w:val="4"/>
          <w:numId w:val="1"/>
        </w:numPr>
        <w:rPr/>
      </w:pPr>
      <w:bookmarkStart w:id="298" w:name="__RefHeading___Toc4026237_3224264995"/>
      <w:bookmarkStart w:id="299" w:name="_Toc114"/>
      <w:bookmarkEnd w:id="297"/>
      <w:bookmarkEnd w:id="298"/>
      <w:r>
        <w:rPr>
          <w:rtl w:val="true"/>
        </w:rPr>
        <w:t>المقام الثانی فی حکم نفس العبادة إذا تعلّق النهی بجزئها أو شرطها أو وصفها</w:t>
      </w:r>
      <w:bookmarkEnd w:id="299"/>
    </w:p>
    <w:p>
      <w:pPr>
        <w:pStyle w:val="Heading6"/>
        <w:numPr>
          <w:ilvl w:val="5"/>
          <w:numId w:val="1"/>
        </w:numPr>
        <w:rPr/>
      </w:pPr>
      <w:bookmarkStart w:id="300" w:name="__RefHeading___Toc4026239_3224264995"/>
      <w:bookmarkStart w:id="301" w:name="_Toc115"/>
      <w:bookmarkEnd w:id="300"/>
      <w:r>
        <w:rPr>
          <w:rtl w:val="true"/>
        </w:rPr>
        <w:t>اشارة</w:t>
      </w:r>
      <w:bookmarkEnd w:id="301"/>
    </w:p>
    <w:p>
      <w:pPr>
        <w:pStyle w:val="BookText"/>
        <w:rPr/>
      </w:pPr>
      <w:r>
        <w:rPr>
          <w:rFonts w:ascii="IRNazanin" w:hAnsi="IRNazanin" w:eastAsia="IRNazanin"/>
          <w:color w:val="111111"/>
          <w:sz w:val="28"/>
          <w:sz w:val="28"/>
          <w:szCs w:val="28"/>
          <w:rtl w:val="true"/>
          <w:lang w:bidi="fa-IR"/>
        </w:rPr>
        <w:t>إذا تعلّق النهی بجزء العبادة</w:t>
      </w:r>
      <w:r>
        <w:rPr>
          <w:rStyle w:val="FootnoteAnchor"/>
          <w:rtl w:val="true"/>
        </w:rPr>
        <w:footnoteReference w:id="188"/>
      </w:r>
      <w:r>
        <w:rPr>
          <w:rFonts w:ascii="IRNazanin" w:hAnsi="IRNazanin" w:eastAsia="IRNazanin"/>
          <w:color w:val="111111"/>
          <w:sz w:val="28"/>
          <w:sz w:val="28"/>
          <w:szCs w:val="28"/>
          <w:rtl w:val="true"/>
          <w:lang w:bidi="fa-IR"/>
        </w:rPr>
        <w:t>أو بشرطها أو بوصفها اللازم أو المفارق و اقتضی فساده، فهل یقتضی ذلک فساد الکلّ، أو المشروط، أو الموصوف، أم لا، بل غایة ذلک فساد جزء العبادة، أو شرطها، أو وصفها فقط؟</w:t>
      </w:r>
    </w:p>
    <w:p>
      <w:pPr>
        <w:pStyle w:val="BookText"/>
        <w:rPr/>
      </w:pPr>
      <w:r>
        <w:rPr>
          <w:rFonts w:ascii="IRNazanin" w:hAnsi="IRNazanin" w:eastAsia="IRNazanin"/>
          <w:color w:val="111111"/>
          <w:sz w:val="28"/>
          <w:sz w:val="28"/>
          <w:szCs w:val="28"/>
          <w:rtl w:val="true"/>
          <w:lang w:bidi="fa-IR"/>
        </w:rPr>
        <w:t>و 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محطّ البحث ما لو احرز کون النهی تحریمیاً، لا مجرّد تعلّق النهی المشکوک فی کونه تحریمیاً أو احرز کونه للإرشاد إلی مانعیته، فإنّه علیه لا ینبغی الإشکال فی فساد العبادة،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محطّ البحث اقتضاء الفساد من حیثیة تعلّق النهی بالجزء أو الشرط أو الوصف و مبغوضیته، لا من الحیثیات الاخر، مثل تحقّق الزیادة فی المکتوبة، أو کون الزائد المحرّم من کلام الآدمی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ممّا لسنا بصدده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یظهر من بعضهم من أنّ الجزء المنهی عنه مثلًا کلام آدمی، فیوجب إتیانه زیادة فی المکتوبة و فسادها، فخارج عن محطّ البحث عجالة</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محطّ البحث ما لو تعلّق نهی تحریمی بجزء عبادی أو شرطه أو وصفه اللازم أو المفارق، فهل یقتضی مجرّد المبغوضیة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مبغوضیة العبادة و فسادها، أم لا؟</w:t>
      </w:r>
      <w:bookmarkStart w:id="302" w:name="pg12934_164562"/>
    </w:p>
    <w:p>
      <w:pPr>
        <w:pStyle w:val="Heading6"/>
        <w:numPr>
          <w:ilvl w:val="5"/>
          <w:numId w:val="1"/>
        </w:numPr>
        <w:rPr/>
      </w:pPr>
      <w:bookmarkStart w:id="303" w:name="__RefHeading___Toc4026241_3224264995"/>
      <w:bookmarkStart w:id="304" w:name="_Toc116"/>
      <w:bookmarkEnd w:id="302"/>
      <w:bookmarkEnd w:id="303"/>
      <w:r>
        <w:rPr>
          <w:rtl w:val="true"/>
        </w:rPr>
        <w:t>حکم تعلّق النهی بالجزء</w:t>
      </w:r>
      <w:bookmarkEnd w:id="304"/>
    </w:p>
    <w:p>
      <w:pPr>
        <w:pStyle w:val="BookText"/>
        <w:rPr/>
      </w:pPr>
      <w:r>
        <w:rPr>
          <w:rFonts w:ascii="IRNazanin" w:hAnsi="IRNazanin" w:eastAsia="IRNazanin"/>
          <w:color w:val="111111"/>
          <w:sz w:val="28"/>
          <w:sz w:val="28"/>
          <w:szCs w:val="28"/>
          <w:rtl w:val="true"/>
          <w:lang w:bidi="fa-IR"/>
        </w:rPr>
        <w:t>إذا تمهّد لک محطّ البحث، فلعلّ عدم اقتضاء الفساد من القضایا التی قیاساتها معها؛ ضرورة أنّ النهی إذا تعلّق بجزء الصلاة مثلًا، فلا یکاد یحکی إلّا عن مبغوضیة متعلّقه، لا الإرشاد إلی مانعیته، و المفروض أنّه لم تکن جهة اخری محطّاً للبحث، کالزیادة فی المکتوبة، أو النقصان فیها، و واضح أنّ مجرّد إتیان شی‌ء مبغوض لیس جزءاً للصلاة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 تعلّق النهی به، و إلّا یکون جزءاً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فسادها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مبغوضیة جزء العبادة، توجب فساد نفس الجزء لا الکلّ، و لا تسری إلیه، و لو کان قابل التدارک یأتی به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اکتفی بالجزء العبادی المنهی عنه، لأوجب فساد الکلّ و بطلانه؛ لأجل عدم الإتیان بالجزء، لا لأجل مبغوضیة الکلّ بسبب تعلّق النهی بجزئه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المحقّق النائینی قدس سره فی اقتضائه الفساد، خارج عن محطّ الکلام، لأنّه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النهی عن جزء هو تقیید العبادة بما عدا ذلک الجزء، و لا محالة تکون بالنسبة إلیه بشرط لا، و نفس اعتبار العبادة بشرط لا عن شی‌ء، یقتضی فساد العبادة الواجدة لذلک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الإتیان بالجزء المنهی عنه، زیادة فی المکتوبة، فتشمله أدلّة الزیادة، فتفسد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کلام آدمی، أو کلام غیر قرآنی، أو غیر جائز، فیقتضی الفساد</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bookmarkStart w:id="305" w:name="pg12934_164563"/>
    </w:p>
    <w:p>
      <w:pPr>
        <w:pStyle w:val="BookText"/>
        <w:rPr/>
      </w:pPr>
      <w:bookmarkEnd w:id="305"/>
      <w:r>
        <w:rPr>
          <w:rFonts w:ascii="IRNazanin" w:hAnsi="IRNazanin" w:eastAsia="IRNazanin"/>
          <w:color w:val="111111"/>
          <w:sz w:val="28"/>
          <w:sz w:val="28"/>
          <w:szCs w:val="28"/>
          <w:rtl w:val="true"/>
          <w:lang w:bidi="fa-IR"/>
        </w:rPr>
        <w:t>حیث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مبغوضیة الجزء یوجب مبغوضیة الکلّ، و هو یجری و إن لم یکن هناک دلیل علی تقیید العبادة بعدمه، أو عدم مبطلیة الزیادة، و عدم مبطلیة کلام الآدمی، أو الکلام غیر القرآنی، و غیر الذکر الجائز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کنّا نحن و أدلّة تحریم قراءة سور العزائم فی الصلاة فقط، و لم یکن دلیل یستفاد منه تقیید الصلاة بعدمها، و لا مبطلیة الزیادة فی الصلاة، و لا علی مبطلیة کلام الآدمی، أو الکلام غیر القرآنی و غیر الذکر الجائز، فهل مجرّد إتیانها مع إتیان الصلاة بتمام أجزائها و شروطها یوجب بطلانها، أم لا؟ و واضح أنّه بمجرّد ذلک لا یقتضی الفساد، بل غایة ما هناک هو أنّه أتی بالعبادة مع شی‌ء مبغوض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الجزء، و الأمر فیه واضح کما أشرنا</w:t>
      </w:r>
      <w:r>
        <w:rPr>
          <w:rFonts w:eastAsia="IRNazanin" w:cs="IRNazanin"/>
          <w:color w:val="111111"/>
          <w:sz w:val="28"/>
          <w:szCs w:val="28"/>
          <w:rtl w:val="true"/>
          <w:lang w:bidi="fa-IR"/>
        </w:rPr>
        <w:t>.</w:t>
      </w:r>
    </w:p>
    <w:p>
      <w:pPr>
        <w:pStyle w:val="Heading6"/>
        <w:numPr>
          <w:ilvl w:val="5"/>
          <w:numId w:val="1"/>
        </w:numPr>
        <w:rPr/>
      </w:pPr>
      <w:bookmarkStart w:id="306" w:name="__RefHeading___Toc4026243_3224264995"/>
      <w:bookmarkStart w:id="307" w:name="_Toc117"/>
      <w:bookmarkEnd w:id="306"/>
      <w:r>
        <w:rPr>
          <w:rtl w:val="true"/>
        </w:rPr>
        <w:t>حکم تعلّق النهی بالوصف</w:t>
      </w:r>
      <w:bookmarkEnd w:id="307"/>
    </w:p>
    <w:p>
      <w:pPr>
        <w:pStyle w:val="BookText"/>
        <w:rPr/>
      </w:pPr>
      <w:r>
        <w:rPr>
          <w:rFonts w:ascii="IRNazanin" w:hAnsi="IRNazanin" w:eastAsia="IRNazanin"/>
          <w:color w:val="111111"/>
          <w:sz w:val="28"/>
          <w:sz w:val="28"/>
          <w:szCs w:val="28"/>
          <w:rtl w:val="true"/>
          <w:lang w:bidi="fa-IR"/>
        </w:rPr>
        <w:t>و أمّا الوصف فهو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لازم، و وصف غیر لازم، و المراد بالوصف اللازم، هو ما لا یمکن انفکاکه عن موصوفه فی هذا الموضوع، کالجهریة فی هذه القراءة، لا ما لا یمکن الانفکاک عن موصوفه أصلًا فی جمیع الحالات؛ لامتناع تعلّق الأمر بشی‌ء و النهی عن لازمه غیر المنفکّ عنه، و المراد بالوصف غیر اللازم ما یقابله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وقع الوصف اللازم معرکة للآراء، فقال المحقّق الأصفهانی قدس سره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أنّ الجهر و الإخفات، شدّة و ضعف فی الکیف المسموع، فإذن إمّا نقول بالتشکیک فی الماهیات و الجواهر، کما کان فی الأعراض، أم لا، فإن قلنا بوقوع التشکیک فی الذاتیات، و قلنا بأنّ المراتب أنواع متباینة، فالنهی المتعلّق بالإجهار مثلًا، متعلّق بالماهیة النوعیة؛ بناءً علی اتحاد الجنس و الفصل فی الوجود،</w:t>
      </w:r>
    </w:p>
    <w:p>
      <w:pPr>
        <w:pStyle w:val="BookText"/>
        <w:rPr/>
      </w:pPr>
      <w:r>
        <w:rPr>
          <w:rFonts w:ascii="IRNazanin" w:hAnsi="IRNazanin" w:eastAsia="IRNazanin"/>
          <w:color w:val="111111"/>
          <w:sz w:val="28"/>
          <w:sz w:val="28"/>
          <w:szCs w:val="28"/>
          <w:rtl w:val="true"/>
          <w:lang w:bidi="fa-IR"/>
        </w:rPr>
        <w:t>کما هو التحقیق؛ لأنّ شدّة الشی‌ء فی الوجود و الخارج، لیست إلّا نفس الشی‌ء، فالنهی المتعلّق بأحدهما عین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قلنا بأنّ الجنس و الفصل فی الخارج متعدّدان، و الترکیب بینهما انضمامی، فالنهی المتعلّق بالإجهار لیس نهیاً عن العبادة؛ و هی القراءة نفسها، بل عمّا ینضمّ إلیها فی الوجود، و لیس الکلام فی عدم سرایة الحرمة، بل فی دخوله فی محلّ النزاع؛ و هو النهی عن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التحقیق کون النهی متعلّقاً بالعبادة؛ لأنّ الأعراض بسائط، و لا تعدّد لجنسها و فصلها فی الوجود، و إنّما یتمّ ذلک فی الأنواع الجوهریة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الشدّة و الضعف دائماً فی الوجود، لا فی الماهیة، و حیث إنّ الأعراض و الکیفیات بسائط خارجیة، و وجود الشدّة فی البیاض مثلًا إنّما هو فی ذاته و نفسه، لا شی‌ء آخر، فالإجهار و أصل القراءة لم یکونا فی الخارج کالوصف و موصوفه، بل هویة خارجیة له عرض عریض؛ مع الشدید شدید، و مع الضعیف ضعیف، فالنهی عن الإجهار نهی عن 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قلنا بأنّ الشدّة و الضعف عارضان للوجود أو الماهیة، فیمکن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النهی عن أحدهما غیر الآخر، و لکنّه خلاف التحقیق</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أیّ تقدیر یکون النهی عن الإجهار، نهیاً عن القراءة؛ سواء قلنا بأنّ الشدّة و الضعف فی الماهیات، أو فی الوجود، و سواء قلنا بأنّ الشدّة و الضعف نوعان، أو نوع واحد؛ لأنّ الشدّة فی البیاض مثلًا شدّة فی نفس البیاض، فکیف یکون أمراً آخر وراء البیاض قائماً به؟</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انتهی کلامه مع 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النهی المتعلّق بشی‌ء، هل هو نهی عن الشی‌ء الآخر، أم لا؟ 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المقرّب هل یکون مبعّداً و بالعکس، أم لا؟ و الکلام هنا فی الأمر الأوّل لا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ولیته قدس سره ذکر هذا الکلام فی مسألة کون شی‌ء واحد مقرّباً و مبعّداً؛ و ذلک لأنّا ذکرنا أنّ الأوامر و النواهی لا تتعلّق بالخارج، بل تتعلّق بالعناوین، و الخارج ظرف السقوط لا الثبوت، فلو کان هناک عنوانان متغایران مفهوماً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اتحدا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تعلّق الأمر بأحدهما، و النهی عن الآخر، و لا یلزم من مجرّد اتحادهما خارجاً سرایة الحکم المتعلّق بأحدهما إلی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لنا عنوانین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عنوان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مع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الإجهار بها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منهما غیر الآخر مفهوماً، و من الممکن أن تکون القراءة فی الصلاة محبوبةً، و مع ذلک یکون الجهر بها فی الصلاة مبغوضاً؛ فیأمر بأحدهما، و ینهی عن الآخر؛ و إن اتحدا خارجاً، فحدیث الاتحاد الخارجی لا یهمّ فیما هو المهمّ فی المقام؛ و هو عدم سرایة الحکم المتعلّق بأحدهما إلی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البسیط الخارجی لا یعقل أن تنطبق علیه عناوین کثیرة، مدفوع بالنقض بالواجب تعالی و بغیره من البسائط؛ فإنّه تعالی مع کونه بسیطاً فی غایة البساطة، تنطبق علیه عناوین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تعلّق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مع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النهی تعلّق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الإجهار بالقراءة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عنوانان متغایران و إن اتحدا خارجاً، و لا یکاد یسری النهی المتعلّق بأحدهما إلی الآخر، و لا یلزم من مبغوضیة أحدهما مبغوضیة الآخر</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الجهر و الإخفات من أقسام الصوت، و الصوت من مقولة الکیف المسموع، و لکن اتّکاؤه علی مقاطع الفم لیس صوتاً، فلیس من المقولة، بل من</w:t>
      </w:r>
      <w:bookmarkStart w:id="308" w:name="pg12934_164566"/>
    </w:p>
    <w:p>
      <w:pPr>
        <w:pStyle w:val="BookText"/>
        <w:rPr/>
      </w:pPr>
      <w:bookmarkEnd w:id="308"/>
      <w:r>
        <w:rPr>
          <w:rFonts w:ascii="IRNazanin" w:hAnsi="IRNazanin" w:eastAsia="IRNazanin"/>
          <w:color w:val="111111"/>
          <w:sz w:val="28"/>
          <w:sz w:val="28"/>
          <w:szCs w:val="28"/>
          <w:rtl w:val="true"/>
          <w:lang w:bidi="fa-IR"/>
        </w:rPr>
        <w:t>الامور الاعتباریة المجعولة، لا من المقولات و الحقائق، و إلّا لما کانت دلالتها مرهونة بالوضع، و لما کان مرکّباً؛ لکون المقولات بسائط، مع أنّ التالی بقسمیه باطل، فیکشف بطلان المقدّم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الوجدان أصدق شاهد علی صحّة التفکیک بین أصل الکلام، و تکیّفه بالجهر و الإخفات، فیمکن أن یکون أصل الکلام محبوباً، و لکنّ الإجهار أو الإخفات به مبغوضاً، فمتعلّق أحدهما غیر الآخر و إن اتحدا خارجاً، فإذا تعلّق النهی بنفس الإجهار، و کانت إضافته إلی القراءة من قبیل زیادة الحدّ علی المحدود، فیکون الإجهار بالقراءة منهیاً عنه مبغوضاً، مع أنّ أصل القراءة محبوب و مأمور به، فلا یکاد یسری الحکم المتعلّق بأحدهما إلی الآخر و إن اتحدا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تمهّد لک ما ذکرنا فی الوصف اللازم و أنّ الحدیث فیه من قبیل اجتماع الأمر و النهی، یسهل علیک الأمر فی الوصف غیر اللازم، فلاحظ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الجزء و الوصف بقسمیه</w:t>
      </w:r>
      <w:r>
        <w:rPr>
          <w:rFonts w:eastAsia="IRNazanin" w:cs="IRNazanin"/>
          <w:color w:val="111111"/>
          <w:sz w:val="28"/>
          <w:szCs w:val="28"/>
          <w:rtl w:val="true"/>
          <w:lang w:bidi="fa-IR"/>
        </w:rPr>
        <w:t>.</w:t>
      </w:r>
    </w:p>
    <w:p>
      <w:pPr>
        <w:pStyle w:val="Heading6"/>
        <w:numPr>
          <w:ilvl w:val="5"/>
          <w:numId w:val="1"/>
        </w:numPr>
        <w:rPr/>
      </w:pPr>
      <w:bookmarkStart w:id="309" w:name="__RefHeading___Toc4026245_3224264995"/>
      <w:bookmarkStart w:id="310" w:name="_Toc118"/>
      <w:bookmarkEnd w:id="309"/>
      <w:r>
        <w:rPr>
          <w:rtl w:val="true"/>
        </w:rPr>
        <w:t>حکم تعلّق النهی بالشرط</w:t>
      </w:r>
      <w:bookmarkEnd w:id="310"/>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الشرط، فهو کما لو تعلّق الأمر بالصلاة متستّراً، و تعلّق النهی بالتستّر فی الصلاة بوجه خاصّ، أو شی‌ء خاصّ</w:t>
      </w:r>
      <w:r>
        <w:rPr>
          <w:rStyle w:val="FootnoteAnchor"/>
          <w:rtl w:val="true"/>
        </w:rPr>
        <w:footnoteReference w:id="191"/>
      </w:r>
      <w:r>
        <w:rPr>
          <w:rFonts w:ascii="IRNazanin" w:hAnsi="IRNazanin" w:eastAsia="IRNazanin"/>
          <w:color w:val="111111"/>
          <w:sz w:val="28"/>
          <w:sz w:val="28"/>
          <w:szCs w:val="28"/>
          <w:rtl w:val="true"/>
          <w:lang w:bidi="fa-IR"/>
        </w:rPr>
        <w:t>، کالتستّر بوبر ما لا یؤکل لحمه؛ بحیث یکون التستّر الکذائی مبغوضاً، لا مطلقاً، و غایة ما یقتضیه النهی مبغوضیة الشرط و التستّر الکذائی، لا المشروط به، و مبغوضیة التستّر بنحو خاصّ أو بصنف خاصّ، لا تلازم مبغوضیة الصلاة أو الصلاة متستّراً، بل لا تنافی محبوبیة الصلاة متستّراً؛ فإنّ التقیید بالتستّر المأخوذ فیها أمر عقلی، و لیس کالأجزاء، فیمکن أن یتقرّب</w:t>
      </w:r>
    </w:p>
    <w:p>
      <w:pPr>
        <w:pStyle w:val="BookText"/>
        <w:rPr/>
      </w:pPr>
      <w:r>
        <w:rPr>
          <w:rFonts w:ascii="IRNazanin" w:hAnsi="IRNazanin" w:eastAsia="IRNazanin"/>
          <w:color w:val="111111"/>
          <w:sz w:val="28"/>
          <w:sz w:val="28"/>
          <w:szCs w:val="28"/>
          <w:rtl w:val="true"/>
          <w:lang w:bidi="fa-IR"/>
        </w:rPr>
        <w:t>بالصلاة مع التستّر بستر منهی عنه، و لا یلزم اجتماع الأمر و النهی و لا المبغوض و المحبوب فی شی‌ء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قیل بأنّ الأمر بالمتقیّد بقید ینبسط علی نفس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حکمه حکم الجزء،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بأنّ فساد الشرط یوجب فساد المشروط به، خروج عن محطّ البحث؛ لما عرفت من أنّ البحث فی الفساد من ناحیة النهی عن الشرط، کما هو الشأن فی النهی عن الجزء، و لا ینافی هذا الفساد من ناحیة اخری، کما هو الشأن فی النهی عن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محطّ البحث ما لو احرز کون النهی تحریمیاً تعلّق بجزء عبادی، أو بوصفها لازماً کان أو مفارقاً، أو شرطها، فإذا احرز کون النهی للإرشاد إلی الفساد، فهو خارج عن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ما ذکرنا کلّه بحسب ما یقتضیه حکم العقل لو خلّینا و حکمه، دون مقام الاستظهار من الأدلّة، إذ قد یمکن استظهار المانعیة من تعلّق النهی بالجزء أو الشرط أو الوصف؛ فیثبت الفساد، و اللَّه العالم بأحکامه</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فیما یتعلّق بالنواهی</w:t>
      </w:r>
      <w:r>
        <w:rPr>
          <w:rFonts w:eastAsia="IRNazanin" w:cs="IRNazanin"/>
          <w:color w:val="111111"/>
          <w:sz w:val="28"/>
          <w:szCs w:val="28"/>
          <w:rtl w:val="true"/>
          <w:lang w:bidi="fa-IR"/>
        </w:rPr>
        <w:t>.</w:t>
      </w:r>
      <w:bookmarkStart w:id="311" w:name="pg12934_164568"/>
    </w:p>
    <w:p>
      <w:pPr>
        <w:pStyle w:val="Heading2"/>
        <w:numPr>
          <w:ilvl w:val="1"/>
          <w:numId w:val="1"/>
        </w:numPr>
        <w:rPr/>
      </w:pPr>
      <w:bookmarkStart w:id="312" w:name="__RefHeading___Toc4026247_3224264995"/>
      <w:bookmarkStart w:id="313" w:name="_Toc119"/>
      <w:bookmarkEnd w:id="311"/>
      <w:bookmarkEnd w:id="312"/>
      <w:r>
        <w:rPr>
          <w:rtl w:val="true"/>
        </w:rPr>
        <w:t>المقصد الثالث فی المفهوم</w:t>
      </w:r>
      <w:bookmarkEnd w:id="313"/>
    </w:p>
    <w:p>
      <w:pPr>
        <w:pStyle w:val="Heading3"/>
        <w:numPr>
          <w:ilvl w:val="2"/>
          <w:numId w:val="1"/>
        </w:numPr>
        <w:rPr/>
      </w:pPr>
      <w:bookmarkStart w:id="314" w:name="__RefHeading___Toc4026249_3224264995"/>
      <w:bookmarkStart w:id="315" w:name="_Toc120"/>
      <w:bookmarkEnd w:id="314"/>
      <w:r>
        <w:rPr>
          <w:rtl w:val="true"/>
        </w:rPr>
        <w:t>اشارة</w:t>
      </w:r>
      <w:bookmarkEnd w:id="315"/>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مقدّمة و مباحث</w:t>
      </w:r>
      <w:r>
        <w:rPr>
          <w:rFonts w:eastAsia="IRNazanin" w:cs="IRNazanin"/>
          <w:color w:val="111111"/>
          <w:sz w:val="28"/>
          <w:szCs w:val="28"/>
          <w:rtl w:val="true"/>
          <w:lang w:bidi="fa-IR"/>
        </w:rPr>
        <w:t>:</w:t>
      </w:r>
      <w:bookmarkStart w:id="316" w:name="pg12934_164570"/>
    </w:p>
    <w:p>
      <w:pPr>
        <w:pStyle w:val="Heading3"/>
        <w:numPr>
          <w:ilvl w:val="2"/>
          <w:numId w:val="1"/>
        </w:numPr>
        <w:rPr/>
      </w:pPr>
      <w:bookmarkStart w:id="317" w:name="__RefHeading___Toc4026251_3224264995"/>
      <w:bookmarkStart w:id="318" w:name="_Toc121"/>
      <w:bookmarkEnd w:id="316"/>
      <w:bookmarkEnd w:id="317"/>
      <w:r>
        <w:rPr>
          <w:rtl w:val="true"/>
        </w:rPr>
        <w:t>المقدّمة</w:t>
      </w:r>
      <w:bookmarkEnd w:id="318"/>
    </w:p>
    <w:p>
      <w:pPr>
        <w:pStyle w:val="Heading4"/>
        <w:numPr>
          <w:ilvl w:val="3"/>
          <w:numId w:val="1"/>
        </w:numPr>
        <w:rPr/>
      </w:pPr>
      <w:bookmarkStart w:id="319" w:name="__RefHeading___Toc4026253_3224264995"/>
      <w:bookmarkStart w:id="320" w:name="_Toc122"/>
      <w:bookmarkEnd w:id="319"/>
      <w:r>
        <w:rPr>
          <w:rtl w:val="true"/>
        </w:rPr>
        <w:t>اشارة</w:t>
      </w:r>
      <w:bookmarkEnd w:id="320"/>
    </w:p>
    <w:p>
      <w:pPr>
        <w:pStyle w:val="BookText"/>
        <w:rPr/>
      </w:pPr>
      <w:r>
        <w:rPr>
          <w:rFonts w:ascii="IRNazanin" w:hAnsi="IRNazanin" w:eastAsia="IRNazanin"/>
          <w:color w:val="111111"/>
          <w:sz w:val="28"/>
          <w:sz w:val="28"/>
          <w:szCs w:val="28"/>
          <w:rtl w:val="true"/>
          <w:lang w:bidi="fa-IR"/>
        </w:rPr>
        <w:t>و فیها امور</w:t>
      </w:r>
      <w:r>
        <w:rPr>
          <w:rFonts w:eastAsia="IRNazanin" w:cs="IRNazanin"/>
          <w:color w:val="111111"/>
          <w:sz w:val="28"/>
          <w:szCs w:val="28"/>
          <w:rtl w:val="true"/>
          <w:lang w:bidi="fa-IR"/>
        </w:rPr>
        <w:t>:</w:t>
      </w:r>
    </w:p>
    <w:p>
      <w:pPr>
        <w:pStyle w:val="Heading4"/>
        <w:numPr>
          <w:ilvl w:val="3"/>
          <w:numId w:val="1"/>
        </w:numPr>
        <w:rPr/>
      </w:pPr>
      <w:bookmarkStart w:id="321" w:name="__RefHeading___Toc4026255_3224264995"/>
      <w:bookmarkStart w:id="322" w:name="_Toc123"/>
      <w:bookmarkEnd w:id="321"/>
      <w:r>
        <w:rPr>
          <w:rtl w:val="true"/>
        </w:rPr>
        <w:t>الأمر الأوّل</w:t>
      </w:r>
      <w:r>
        <w:rPr>
          <w:rtl w:val="true"/>
        </w:rPr>
        <w:t xml:space="preserve">: </w:t>
      </w:r>
      <w:r>
        <w:rPr>
          <w:rtl w:val="true"/>
        </w:rPr>
        <w:t>فی تعریف المفهوم</w:t>
      </w:r>
      <w:bookmarkEnd w:id="322"/>
    </w:p>
    <w:p>
      <w:pPr>
        <w:pStyle w:val="Heading5"/>
        <w:numPr>
          <w:ilvl w:val="4"/>
          <w:numId w:val="1"/>
        </w:numPr>
        <w:rPr/>
      </w:pPr>
      <w:bookmarkStart w:id="323" w:name="__RefHeading___Toc4026257_3224264995"/>
      <w:bookmarkStart w:id="324" w:name="_Toc124"/>
      <w:bookmarkEnd w:id="323"/>
      <w:r>
        <w:rPr>
          <w:rtl w:val="true"/>
        </w:rPr>
        <w:t>اشارة</w:t>
      </w:r>
      <w:bookmarkEnd w:id="324"/>
    </w:p>
    <w:p>
      <w:pPr>
        <w:pStyle w:val="BookText"/>
        <w:rPr/>
      </w:pPr>
      <w:r>
        <w:rPr>
          <w:rFonts w:ascii="IRNazanin" w:hAnsi="IRNazanin" w:eastAsia="IRNazanin"/>
          <w:color w:val="111111"/>
          <w:sz w:val="28"/>
          <w:sz w:val="28"/>
          <w:szCs w:val="28"/>
          <w:rtl w:val="true"/>
          <w:lang w:bidi="fa-IR"/>
        </w:rPr>
        <w:t>قبل الشروع فی تعریف المفهوم، ینبغی الإشارة إلی طرق استفادته حتّی یلاحظ إمکان أن یعرّف بتعریف واحد یجمع شتات المسالک فی استفادة المفهوم، و عدمه بل لا بدّ و أن یعرّف بأزید من تعریف واحد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یظهر من بعض من تمسّک لإثبات المفهوم بالتبادر</w:t>
      </w:r>
      <w:r>
        <w:rPr>
          <w:rStyle w:val="FootnoteAnchor"/>
          <w:rtl w:val="true"/>
        </w:rPr>
        <w:footnoteReference w:id="192"/>
      </w:r>
      <w:r>
        <w:rPr>
          <w:rFonts w:ascii="IRNazanin" w:hAnsi="IRNazanin" w:eastAsia="IRNazanin"/>
          <w:color w:val="111111"/>
          <w:sz w:val="28"/>
          <w:sz w:val="28"/>
          <w:szCs w:val="28"/>
          <w:rtl w:val="true"/>
          <w:lang w:bidi="fa-IR"/>
        </w:rPr>
        <w:t>و نحوه، أنّه بصدد إثبات المفهوم من طریق الدلالة اللفظیة الالتزامیة، کما أنّه یظهر من بعض آخر أنّه من دلالة الفعل</w:t>
      </w:r>
      <w:r>
        <w:rPr>
          <w:rStyle w:val="FootnoteAnchor"/>
          <w:rtl w:val="true"/>
        </w:rPr>
        <w:footnoteReference w:id="193"/>
      </w:r>
      <w:r>
        <w:rPr>
          <w:rFonts w:ascii="IRNazanin" w:hAnsi="IRNazanin" w:eastAsia="IRNazanin"/>
          <w:color w:val="111111"/>
          <w:sz w:val="28"/>
          <w:sz w:val="28"/>
          <w:szCs w:val="28"/>
          <w:rtl w:val="true"/>
          <w:lang w:bidi="fa-IR"/>
        </w:rPr>
        <w:t>، نظیر ما ذکرناه فی مصبّ الإطلاق،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عرفت الفرق بین العامّ و المطلق؛ فإنّ دلالة العامّ علی السریان و الشمول بدالّ لفظی، و أمّا المطلق فلیس کذلک، بل متی جعلت الطبیعة اللابشرط موضوعاً للحکم، یحتجّ العقلاء بعضهم علی بعض، فیقال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مقتضی إطلاق الشرط مثلًا و عدم تقییده بکلمة الواو أو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 المولی فی مقام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الشرط علّة تامّة</w:t>
      </w:r>
      <w:bookmarkStart w:id="325" w:name="pg12934_164571"/>
    </w:p>
    <w:p>
      <w:pPr>
        <w:pStyle w:val="BookText"/>
        <w:rPr/>
      </w:pPr>
      <w:bookmarkEnd w:id="325"/>
      <w:r>
        <w:rPr>
          <w:rFonts w:ascii="IRNazanin" w:hAnsi="IRNazanin" w:eastAsia="IRNazanin"/>
          <w:color w:val="111111"/>
          <w:sz w:val="28"/>
          <w:sz w:val="28"/>
          <w:szCs w:val="28"/>
          <w:rtl w:val="true"/>
          <w:lang w:bidi="fa-IR"/>
        </w:rPr>
        <w:t xml:space="preserve">منحصرة لترتّب الجزاء، و إلّا فلو کان له شریک أو بدیل، لوجب أن یقرنه بکلمة الواو، أو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فالمشارب فی استفادة المفهوم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أن یُفصّل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استفادة المفهوم من بعض الجمل، إنّما یکون بالدلالة الالتزامیة، کما فی الجملة المتضمّنة للفظة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الاستثنائیة، نحو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 فی بعضها الآخر من دلالة الفعل و مقدّمات الحکمة، کدلالة الجملة الشرطیة، فلا یصحّ تعریف المفهوم بنحو ینطبق علی خصوص الدلالة اللفظیة، أو علی نحو ینطبق علی خصوص ما یستفاد من مقدّمات الحکمة، بل لا بدّ من تعریفه بنحو ینطبق علی کلا القسمین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لعلّه یمکن تعریفه بنحو ینطبق علی القسمین؛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المفهوم عبارة عن قضیة غیر مذکورة مستفادة من القضیة المذکورة عند فرض انتفاء بعض قیود الکلام، و بینهما تقابل السلب و الإیجاب بحسب الحکم</w:t>
      </w:r>
      <w:r>
        <w:rPr>
          <w:rFonts w:eastAsia="IRNazanin" w:cs="IRNazanin"/>
          <w:color w:val="111111"/>
          <w:sz w:val="28"/>
          <w:szCs w:val="28"/>
          <w:rtl w:val="true"/>
          <w:lang w:bidi="fa-IR"/>
        </w:rPr>
        <w:t>.</w:t>
      </w:r>
    </w:p>
    <w:p>
      <w:pPr>
        <w:pStyle w:val="Heading5"/>
        <w:numPr>
          <w:ilvl w:val="4"/>
          <w:numId w:val="1"/>
        </w:numPr>
        <w:rPr/>
      </w:pPr>
      <w:bookmarkStart w:id="326" w:name="__RefHeading___Toc4026259_3224264995"/>
      <w:bookmarkStart w:id="327" w:name="_Toc125"/>
      <w:bookmarkEnd w:id="326"/>
      <w:r>
        <w:rPr>
          <w:rtl w:val="true"/>
        </w:rPr>
        <w:t>کلام المحقّق النائینی قدس سره فی المقام و نقده</w:t>
      </w:r>
      <w:bookmarkEnd w:id="327"/>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المحقّق النائینی قدس سره مقدّمة طویلة فی المراد من المفهوم بنحو لا تخلو من إشکال، فقال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ما یشارکه فی أصل معناه، کالمدلول، و المعنی، و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المدرک العقلانی الذی یدرکه العقل عند الالتفات إلی الشی‌ء؛ لأنّ لکلّ شی‌ء وجوداً عقلانیاً علی طبق وجوده الخارجی؛ سواء کان من المادّیات أو المجرّدات، و سواء کان کلّیاً أو جزئیاً، و ذلک المدرک العقلانی یکون بسیطاً غیر مرکّب من المادّة و الصورة؛ لأنّهما تکونان من شئون الوجود الخارجی، فالوجود العقلانی مجرّد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المفهوم کما یکون فی المفردات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کمفهوم زید، و عمرو، و إنسان، و 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فکذلک یکون فی الجمل الترکیبیة،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لبساطة المدرک العقلانی، لا یکون للدلالة التضمّنیة أساس و إن کانت مشهورة فی الألسن، بل الدلالة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مطابقیة، أو التزامیة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تنحصران فی الألفاظ المفردة، بل کما یکون فی الألفاظ المفردة معنی مطابقی و التزامی، فکذلک للجمل الترکیبیة، کما لا ینحصر تقسیم اللازم البیّن إلی الأخصّ و الأعمّ بالمعنی الأفرادی، بل یجری فی المعنی الترکیبی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اللازم بالمعنی الأعمّ مطلقاً، لا یکون من المدالیل اللفظیة؛ لأنّ اللفظ لا یدلّ علیه، و لا ینتقل الذهن إلیه بواسطة اللفظ، بل یحتاج إلی مقدّمة عقلیة، و من هنا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مسألة مقدّمة الواجب و مسألة الضدّ، لیستا من المباحث اللفظیة؛ لتوقّف اللزوم فیهما علی توسیط حکم العقل و لو سلّم کون اللازم الأعمّ من الدلالة اللفظیة، و لکنّه لیس من المنطوق، و لا من المفهوم المبحوث عنه فی المقام؛ لأنّ المراد بالمنطوق ما دلّت علیه الجملة الترکیبیة بالدلالة المطابقیة، و المراد من المفهوم ما دلّت علیه الجملة الترکیبیة بالدلالة الالتزامیة بالمعنی الأخصّ، فما لم یکن منهما لا یکون من المنطوق و المفهوم</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ما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ینقضی تعجّبی من قوله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المدرکات بسائط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الضرورة قاضیة بأنّا نتصوّر الإنسان و له إجزاء عقلیة، و مجرّد نفی کون الشی‌ء ذا مادّة و صورة خارجیتین، لا یوجب کون الشی‌ء بسیطاً، و إنّما یوجب ذلک إذا انتفت المادّة و الصورة العقلیتان أیضاً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الماهیة النوعیة الإنسانیة مثلًا، مرکّبة من 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الفصل؛ و هو الناطق، و مع ذلک فهما متحدان خارجاً؛ و موجودان بوجود واحد،</w:t>
      </w:r>
      <w:bookmarkStart w:id="328" w:name="pg12934_164573"/>
    </w:p>
    <w:p>
      <w:pPr>
        <w:pStyle w:val="BookText"/>
        <w:rPr/>
      </w:pPr>
      <w:bookmarkEnd w:id="328"/>
      <w:r>
        <w:rPr>
          <w:rFonts w:ascii="IRNazanin" w:hAnsi="IRNazanin" w:eastAsia="IRNazanin"/>
          <w:color w:val="111111"/>
          <w:sz w:val="28"/>
          <w:sz w:val="28"/>
          <w:szCs w:val="28"/>
          <w:rtl w:val="true"/>
          <w:lang w:bidi="fa-IR"/>
        </w:rPr>
        <w:t>فعلی هذا لا سبیل إلی إنکار الدلالة التضمّنیة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کونها دلالة لفظیة أو دلالة المعنی علی المعنی، کلام آخر، و قد أشرنا إلی أنّ الحقّ 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کالدلالة الالتزامیة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دلالة المعنی علی المعنی، لا دلالة اللفظ علی المعنی؛ ضرورة أنّ الدلالة اللفظیة هی دلالة اللفظ علی ما وضع له، و واضح أنّ اللفظ لم یوضع بإزاء جزء المعنی أو لازمه، إلّا أنّه بلحاظ تصوّر المعنی الموضوع له، ربما ینتقل الذهن منه إلی جزئه، کما ربما ینتقل إلی لازمه، و لعلّه سیوافیک بعض الکلام فیه إن شاء اللَّه، فارتقب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هنا من کون المفهوم عبارة عن الدلالة اللفظیة الالتزامیة، لا یلائم ما أفاده من عدم إمکان استفادة العلّیة المنحصرة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العمدة فی استفادة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اللفظ، و لو استفید فإنّما هو من ناحیة مقدّمات الحکمة؛ من جهة أنّه لا بدّ للمولی الحکیم الذی هو فی مقام البیان، من تقیید إطلاق الشرط بکلمة الواو، أو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لیعلم أنّ الشرط لیس علّة منحصرة، و حیث لم یقیّده بقید، یستفاد منه أنّ الشرط علّة منحصرة تامّة؛ سبقه أو قارنه شی‌ء آخر، أم لا، فتدبّر</w:t>
      </w:r>
      <w:r>
        <w:rPr>
          <w:rFonts w:eastAsia="IRNazanin" w:cs="IRNazanin"/>
          <w:color w:val="111111"/>
          <w:sz w:val="28"/>
          <w:szCs w:val="28"/>
          <w:rtl w:val="true"/>
          <w:lang w:bidi="fa-IR"/>
        </w:rPr>
        <w:t>.</w:t>
      </w:r>
    </w:p>
    <w:p>
      <w:pPr>
        <w:pStyle w:val="Heading5"/>
        <w:numPr>
          <w:ilvl w:val="4"/>
          <w:numId w:val="1"/>
        </w:numPr>
        <w:rPr/>
      </w:pPr>
      <w:bookmarkStart w:id="329" w:name="__RefHeading___Toc4026261_3224264995"/>
      <w:bookmarkStart w:id="330" w:name="_Toc126"/>
      <w:bookmarkEnd w:id="329"/>
      <w:r>
        <w:rPr>
          <w:rtl w:val="true"/>
        </w:rPr>
        <w:t>حول ما نسبه بعض الأعاظم إلی قدماء الأصحاب فی المقام</w:t>
      </w:r>
      <w:bookmarkEnd w:id="330"/>
    </w:p>
    <w:p>
      <w:pPr>
        <w:pStyle w:val="BookText"/>
        <w:rPr/>
      </w:pPr>
      <w:r>
        <w:rPr>
          <w:rFonts w:ascii="Amiri" w:hAnsi="Amiri" w:eastAsia="Amiri" w:cs="Amiri"/>
          <w:color w:val="111111"/>
          <w:sz w:val="28"/>
          <w:sz w:val="28"/>
          <w:szCs w:val="28"/>
          <w:rtl w:val="true"/>
          <w:lang w:bidi="ar-SA"/>
        </w:rPr>
        <w:t>ثمّ إنّه نسب بعض الأعاظم دام ظلّه</w:t>
      </w:r>
      <w:r>
        <w:rPr>
          <w:rStyle w:val="FootnoteAnchor"/>
          <w:rtl w:val="true"/>
        </w:rPr>
        <w:footnoteReference w:id="195"/>
      </w:r>
      <w:r>
        <w:rPr>
          <w:rFonts w:ascii="IRNazanin" w:hAnsi="IRNazanin" w:eastAsia="IRNazanin"/>
          <w:color w:val="111111"/>
          <w:sz w:val="28"/>
          <w:sz w:val="28"/>
          <w:szCs w:val="28"/>
          <w:rtl w:val="true"/>
          <w:lang w:bidi="fa-IR"/>
        </w:rPr>
        <w:t>إلی قدماء الأصحاب أمرین</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یرون حال جمیع المفاهیم واحداً من غیر فرق بین الشرط و غیره؛ فإنّ المفهوم عندهم مستفاد من وجود القید فی الکلام، فکلّما اخذ قید فی الکلام فیستفاد منه انتفاء الحکم عند عدم القید، مثلًا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w:t>
      </w:r>
    </w:p>
    <w:p>
      <w:pPr>
        <w:pStyle w:val="BookText"/>
        <w:rPr/>
      </w:pPr>
      <w:r>
        <w:rPr>
          <w:rFonts w:ascii="IRNazanin" w:hAnsi="IRNazanin" w:eastAsia="IRNazanin"/>
          <w:color w:val="111111"/>
          <w:sz w:val="28"/>
          <w:sz w:val="28"/>
          <w:szCs w:val="28"/>
          <w:rtl w:val="true"/>
          <w:lang w:bidi="fa-IR"/>
        </w:rPr>
        <w:t>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منه انتفاء الإکرام عند عدم مجی‌ء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لا یرون المفهوم من دلالة الألفاظ، کما یراه المتأخّرون، بل یرونه من دلالة الفعل، حیث استقرّ بناء العقلاء علی حمل کلام کلّ متکلّم ملتفت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له من الخصوصیات، و بما أنّه فعل اختیاری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دخالته فی المطلوب و الحکم الذی سیق الکلام لأجله، فینتفی الحکم بانتفائه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القدماء أنّ المفهوم یستفاد من وجود القید فی الکلام؛ و أنّ الظاهر من إتیان القید فی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أنّه فعل اختیاری للمتکلّم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دخالته فی الموضوع؛ و أنّه مع انتفاء القید ینتفی الحکم، فتکون دلالته علی المفهوم بغیر الدلالة اللفظیة الالتزامیة، کما هو کذلک عند المتأخّرین</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المساعدة علی ما نسبه إلیهم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ضعف ما نسبه إلیهم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استفادة المفهوم من وجود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فلمنافاته کلام السیّد المرتضی قدس سره الذی هو من رؤساء المذهب، فإنّه قال فی مقام نفی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حکی عنه</w:t>
      </w:r>
      <w:r>
        <w:rPr>
          <w:rStyle w:val="FootnoteAnchor"/>
          <w:rtl w:val="true"/>
        </w:rPr>
        <w:footnoteReference w:id="19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مجرّد أخذ قید فی الکلام، لا یوجب انحصار الحکم به؛ بحیث ینافیه لو تخلّفه قید آخر، و إن یدلّ علی توقّف الحکم به</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 xml:space="preserve">، فیکون نزاع السیّد قدس سره مع غیره القائل بالمفهوم، هو فی استفادة الانحصار من القید و عدمه؛ بعد الاتفاق علی کونه دخیلًا فی ترتّب الحکم علیه، فلیس النزاع فی أنّه بمجرّد أخذ قید فی الحکم، هل یستفاد منه انتفاء الحکم عند عدمه، أم لا؟ و لم یکن هو المفهوم؛ لأنّ المراد بالمفهوم حکم إثباتی أو حکم سلبی لموضوع اخذ فی المنطوق، فمفهوم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جاءک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أنّه إن لم یجئک زید فلا تکرمه، فعدم الحکم عند عدم القید، لم یکن من باب المفهوم عندهم، و لذا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المفهوم حکم فی غیر محلّ النطق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قبال المنطوق الذی هو حکم فی محلّ النطق، و لذا یخصّص أو یقیّد العامّ أو المطلق بمفهوم القضیة، بل ربما یقع التعارض بین المفهوم و المنطوق، کما إذا کان بینهما عموم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أرَ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استفادة المفهوم هی بارتفاع الحکم عند ارتفاع الوصف و القید؛ هذا کلام الحاجبی 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المنطوق ما دلّ علیه اللفظ فی محلّ النطق، و المفهوم ما دلّ علیه اللفظ لا فی محلّ النطق</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و هو کالصریح فی أنّ استفادة المفهوم لیست بارتفاع صرف وجود القید، بل بدلالة اللفظ لا فی محلّ النطق، بل ممّا یستفاد بدلالة لفظیة أو 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 یظهر ضعف ما نسبه دام ظلّه إلیهم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الظاهر من إتیان القید بما أنّه فعل اختیاری للمتکلّم، دخالته فی الموضوع، فینتفی الحکم بانتفائه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الضعف ما عرفت من أنّ الحاجبی عرّف المفهوم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دلّ علیه اللفظ لا فی محلّ النطق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کلام السیّد المرتضی قدس سره أصدق شاهد علی ما ذکرنا، حیث قال فی قبال القائلین بالمفهوم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مجرّد ذکر القید فی الکلام، لا یدلّ علی عدم جواز تخلّف قید آخر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قدس سره بصدد بیان عدم دلالة أخذ القید علی الحصر، خلافاً للقائلین بالمفهوم، حیث یدّعون أنّ القید یدلّ علی الحصر</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محطّ البحث عند القدماء فی المفهوم، هو فی دلالة اللفظ، کما یرشدک إلیه تعریف الحاجبی،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ما دلّ علیه اللفظ لا فی محلّ النطق</w:t>
      </w:r>
      <w:r>
        <w:rPr>
          <w:rFonts w:eastAsia="IRNazanin" w:cs="IRNazanin"/>
          <w:color w:val="111111"/>
          <w:sz w:val="28"/>
          <w:szCs w:val="28"/>
          <w:rtl w:val="true"/>
          <w:lang w:bidi="fa-IR"/>
        </w:rPr>
        <w:t>»</w:t>
      </w:r>
      <w:bookmarkStart w:id="331" w:name="pg12934_164576"/>
    </w:p>
    <w:p>
      <w:pPr>
        <w:pStyle w:val="BookText"/>
        <w:rPr/>
      </w:pPr>
      <w:bookmarkEnd w:id="331"/>
      <w:r>
        <w:rPr>
          <w:rFonts w:ascii="IRNazanin" w:hAnsi="IRNazanin" w:eastAsia="IRNazanin"/>
          <w:color w:val="111111"/>
          <w:sz w:val="28"/>
          <w:sz w:val="28"/>
          <w:szCs w:val="28"/>
          <w:rtl w:val="true"/>
          <w:lang w:bidi="fa-IR"/>
        </w:rPr>
        <w:t>و أمّا عند المتأخّرین کالمحقّق الخراسانی قدس سره فعرّفه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 حکم غیر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حکم لغیر مذکور</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نسبه دام ظلّه إلی القدماء محلّ منع، مع أنّه ظاهر الفساد فی حدّ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ما ذکرنا، فیمکن تعریف المفهوم بما عرّفه به المحقّق الخراسانی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حکم غیر مذکور</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قضیة غیر منطوق بها مستفادة من قضیة منطوق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تطبیق هذا التعریف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المشارب و المسالک فی المفهوم، کما لا یخفی، فتدبّر</w:t>
      </w:r>
      <w:r>
        <w:rPr>
          <w:rFonts w:eastAsia="IRNazanin" w:cs="IRNazanin"/>
          <w:color w:val="111111"/>
          <w:sz w:val="28"/>
          <w:szCs w:val="28"/>
          <w:rtl w:val="true"/>
          <w:lang w:bidi="fa-IR"/>
        </w:rPr>
        <w:t>.</w:t>
      </w:r>
    </w:p>
    <w:p>
      <w:pPr>
        <w:pStyle w:val="Heading4"/>
        <w:numPr>
          <w:ilvl w:val="3"/>
          <w:numId w:val="1"/>
        </w:numPr>
        <w:rPr/>
      </w:pPr>
      <w:bookmarkStart w:id="332" w:name="__RefHeading___Toc4026263_3224264995"/>
      <w:bookmarkStart w:id="333" w:name="_Toc127"/>
      <w:bookmarkEnd w:id="332"/>
      <w:r>
        <w:rPr>
          <w:rtl w:val="true"/>
        </w:rPr>
        <w:t>الأمر الثانی</w:t>
      </w:r>
      <w:r>
        <w:rPr>
          <w:rtl w:val="true"/>
        </w:rPr>
        <w:t xml:space="preserve">: </w:t>
      </w:r>
      <w:r>
        <w:rPr>
          <w:rtl w:val="true"/>
        </w:rPr>
        <w:t>فی أنّ المفهوم هل هو من صفات الدلالة أو المدلول؟</w:t>
      </w:r>
      <w:bookmarkEnd w:id="333"/>
    </w:p>
    <w:p>
      <w:pPr>
        <w:pStyle w:val="BookText"/>
        <w:rPr/>
      </w:pPr>
      <w:r>
        <w:rPr>
          <w:rFonts w:ascii="IRNazanin" w:hAnsi="IRNazanin" w:eastAsia="IRNazanin"/>
          <w:color w:val="111111"/>
          <w:sz w:val="28"/>
          <w:sz w:val="28"/>
          <w:szCs w:val="28"/>
          <w:rtl w:val="true"/>
          <w:lang w:bidi="fa-IR"/>
        </w:rPr>
        <w:t>لا یبعد أن یکون المفهوم وصفاً لکلّ من الدلالة أو المدلول بالاعتبار و الإضافة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اعتبر أنّ الدلالة قد تکون فی محلّ النطق و قد لا تکون کذلک، فالدلالة علی المعنی المطابقی دلالة منطوقیة، کما أنّ الدلالة علی المعنی الالتزامی دلالة مفهومیة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اعتبر أنّ المدلول قد یکون من محلّ النطق و اخری لا من محلّ النطق، فیکون المفهوم من مدالیل اللفظ، و هو الذی یفهم لا من محلّ النطق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المدلول إمّا منطوق یفهم من محلّ النطق، أو مفهوم یفهم لا من محلّ النطق</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تترتّب علیه ثمرة، فالبحث حوله غیر مهمّ؛ و إن کان الأنسب بالاعتبار کونه صفة للمدلول، کما لا یخفی</w:t>
      </w:r>
      <w:r>
        <w:rPr>
          <w:rFonts w:eastAsia="IRNazanin" w:cs="IRNazanin"/>
          <w:color w:val="111111"/>
          <w:sz w:val="28"/>
          <w:szCs w:val="28"/>
          <w:rtl w:val="true"/>
          <w:lang w:bidi="fa-IR"/>
        </w:rPr>
        <w:t>.</w:t>
      </w:r>
      <w:bookmarkStart w:id="334" w:name="pg12934_164577"/>
    </w:p>
    <w:p>
      <w:pPr>
        <w:pStyle w:val="Heading4"/>
        <w:numPr>
          <w:ilvl w:val="3"/>
          <w:numId w:val="1"/>
        </w:numPr>
        <w:rPr/>
      </w:pPr>
      <w:bookmarkStart w:id="335" w:name="__RefHeading___Toc4026265_3224264995"/>
      <w:bookmarkStart w:id="336" w:name="_Toc128"/>
      <w:bookmarkEnd w:id="334"/>
      <w:bookmarkEnd w:id="335"/>
      <w:r>
        <w:rPr>
          <w:rtl w:val="true"/>
        </w:rPr>
        <w:t>الأمر الثالث</w:t>
      </w:r>
      <w:r>
        <w:rPr>
          <w:rtl w:val="true"/>
        </w:rPr>
        <w:t xml:space="preserve">: </w:t>
      </w:r>
      <w:r>
        <w:rPr>
          <w:rtl w:val="true"/>
        </w:rPr>
        <w:t>فی أنّ النزاع فی المفهوم صغروی أو کبروی</w:t>
      </w:r>
      <w:bookmarkEnd w:id="336"/>
    </w:p>
    <w:p>
      <w:pPr>
        <w:pStyle w:val="BookText"/>
        <w:rPr/>
      </w:pPr>
      <w:r>
        <w:rPr>
          <w:rFonts w:ascii="IRNazanin" w:hAnsi="IRNazanin" w:eastAsia="IRNazanin"/>
          <w:color w:val="111111"/>
          <w:sz w:val="28"/>
          <w:sz w:val="28"/>
          <w:szCs w:val="28"/>
          <w:rtl w:val="true"/>
          <w:lang w:bidi="fa-IR"/>
        </w:rPr>
        <w:t>هل النزاع فی بحث المفهوم فی وجود المفهوم و عدمه، أو أنّه یبحث فی حجّیته و عدمها بعد الفراغ عن وجوده؟</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النزاع بینهم فی المفهوم صغروی أو کبروی، أو أنّه فرق بین مسلک القدماء و المتأخّرین، فعلی مسلک المتأخّرین صغروی، و علی مسلک القدماء فکبروی؟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یظهر من بعض الأعاظم دام ظلّه</w:t>
      </w:r>
      <w:r>
        <w:rPr>
          <w:rStyle w:val="FootnoteAnchor"/>
          <w:rtl w:val="true"/>
        </w:rPr>
        <w:footnoteReference w:id="202"/>
      </w:r>
      <w:r>
        <w:rPr>
          <w:rFonts w:ascii="IRNazanin" w:hAnsi="IRNazanin" w:eastAsia="IRNazanin"/>
          <w:color w:val="111111"/>
          <w:sz w:val="28"/>
          <w:sz w:val="28"/>
          <w:szCs w:val="28"/>
          <w:rtl w:val="true"/>
          <w:lang w:bidi="fa-IR"/>
        </w:rPr>
        <w:t>التفصیل؛ و أنّ النزاع علی مسلک المتأخّرین صغروی؛ لأنّه فی ثبوت المفهوم و عدمه، مع الاتفاق علی حجّیته علی فرض الثبوت، و أمّا علی مسلک القدماء فکبروی؛ أی فی حجّیته علی تقدیر الثبوت، لأنّ نزاعهم إنّما هو بعد اتفاقهم علی دخالة القیود المأخوذة فی الکلام فی المقصود الذی سیق الکلام لأجله؛ و ذلک لأنّ المفهوم لمّا لم یکن عندهم فی محلّ النطق و لیس من المدلولات اللفظیة، فیقع النزاع فی أنّه هل یصحّ الاحتجاج به، أو لا یصحّ ذلک لعدم التنطّق به؟ فإذا قیل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یفهم منه أنّه إذا لم یجئه لا یجب إکرامه، و لکن لا یصحّ الاحتجاج علی المتکلّم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بأنّک قلت کذا، و إذا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فائدة القید؟ فله أن یعتذر بأعذار</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ما فیه؛ لعدم استقامة النقل، بل النزاع علی مسلک القدماء أیضاً صغروی؛ لأنّ القائل بالمفهوم منهم یدّعی أنّ إتیان القید فی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أنّه فعل اختیاری للمتکلّم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دخالته فی موضوع الحکم، و مع عدمه لا ینوب شی‌ء</w:t>
      </w:r>
    </w:p>
    <w:p>
      <w:pPr>
        <w:pStyle w:val="BookText"/>
        <w:rPr/>
      </w:pPr>
      <w:r>
        <w:rPr>
          <w:rFonts w:ascii="IRNazanin" w:hAnsi="IRNazanin" w:eastAsia="IRNazanin"/>
          <w:color w:val="111111"/>
          <w:sz w:val="28"/>
          <w:sz w:val="28"/>
          <w:szCs w:val="28"/>
          <w:rtl w:val="true"/>
          <w:lang w:bidi="fa-IR"/>
        </w:rPr>
        <w:t>منابه، و منکر المفهوم منهم ینکر هذه الدلالة، لا حجّیتها بعد تسلیم دلالتها، و لذا قال السیّد المرتضی قدس سره المنکر للمفهوم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غایة ما یقتضیه أخذ القید، هی دخالته فی توقّف الحکم علیه، لا عدم دخالة قید آخر مقامه</w:t>
      </w:r>
      <w:r>
        <w:rPr>
          <w:rStyle w:val="FootnoteAnchor"/>
          <w:rtl w:val="true"/>
        </w:rPr>
        <w:footnoteReference w:id="204"/>
      </w:r>
      <w:r>
        <w:rPr>
          <w:rFonts w:ascii="IRNazanin" w:hAnsi="IRNazanin" w:eastAsia="IRNazanin"/>
          <w:color w:val="111111"/>
          <w:sz w:val="28"/>
          <w:sz w:val="28"/>
          <w:szCs w:val="28"/>
          <w:rtl w:val="true"/>
          <w:lang w:bidi="fa-IR"/>
        </w:rPr>
        <w:t>، فهو ینکر المفهوم، لا حجّیته بعد 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کلامه قدس سره أنّ القائل بالمفهوم یدّعی دلالة الکلام علی عدم نیابة قید آخر مناب القید المذکور فی الکلام، فیظهر أنّ مسلک القدماء فی أخذ المفهوم، هو عین مسلک المتأخّرین؛ و هو أنّه هل ینوب قید آخر مناب القید المأخوذ فی الکلام، أم لا؟ فالقائل بالمفهوم یری عدم نیابة قید آخر مکانه، و المنکر للمفهوم یراه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نقول من 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استفادة المفهوم إمّا من اللفظ، أو من مقدّمات الحکمة و دلالة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استفید من اللفظ و کان لازماً بیّناً بالمعنی الأخصّ للّفظ، فمن الواضح أنّه کما یصحّ الاحتجاج بظاهر اللفظ، فکذلک یصحّ الاحتجاج بلازمه البیّن، و من المستبعد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من الغریب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 أحد من القدماء بحجّیة ظاهر اللفظ و ینازع فی حجّیة لازمه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استفید المفهوم من مقدّمات الحکمة و من دلالة الفعل، فإن أمکن إثبات أنّ ما اخذ موضوعاً فی کلامه علّة منحصرة لترتّب الحکم علیه، فیستفاد المفهوم عند ذلک، فلا وجه معقول بعد ذلک للنزاع فی حجّیته، و شأن قدماء الأصحاب أجلّ من ذلک، و مقال السیّد الأجلّ المنکر للمفهوم الذی ذکرناه، شاهد صدق علی ما ذکرنا، فلاحظ</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النزاع بین القدماء و المتأخّرین فی أنّه هل للکلام مفهوم، أم لا؟ فإن</w:t>
      </w:r>
      <w:bookmarkStart w:id="337" w:name="pg12934_164579"/>
    </w:p>
    <w:p>
      <w:pPr>
        <w:pStyle w:val="BookText"/>
        <w:rPr/>
      </w:pPr>
      <w:bookmarkEnd w:id="337"/>
      <w:r>
        <w:rPr>
          <w:rFonts w:ascii="IRNazanin" w:hAnsi="IRNazanin" w:eastAsia="IRNazanin"/>
          <w:color w:val="111111"/>
          <w:sz w:val="28"/>
          <w:sz w:val="28"/>
          <w:szCs w:val="28"/>
          <w:rtl w:val="true"/>
          <w:lang w:bidi="fa-IR"/>
        </w:rPr>
        <w:t>کان له مفهوم فحجّیته غیر متنازع فیها، فمسلک القدماء عین مسلک المتأخّرین، فالنزاع فی المفهوم صغروی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کلّه لا یترتّب علی هذا البحث ثمرة، فالبحث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کالبحث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مهمّ</w:t>
      </w:r>
      <w:r>
        <w:rPr>
          <w:rFonts w:eastAsia="IRNazanin" w:cs="IRNazanin"/>
          <w:color w:val="111111"/>
          <w:sz w:val="28"/>
          <w:szCs w:val="28"/>
          <w:rtl w:val="true"/>
          <w:lang w:bidi="fa-IR"/>
        </w:rPr>
        <w:t>.</w:t>
      </w:r>
    </w:p>
    <w:p>
      <w:pPr>
        <w:pStyle w:val="Heading4"/>
        <w:numPr>
          <w:ilvl w:val="3"/>
          <w:numId w:val="1"/>
        </w:numPr>
        <w:rPr/>
      </w:pPr>
      <w:bookmarkStart w:id="338" w:name="__RefHeading___Toc4026267_3224264995"/>
      <w:bookmarkStart w:id="339" w:name="_Toc129"/>
      <w:bookmarkEnd w:id="338"/>
      <w:r>
        <w:rPr>
          <w:rtl w:val="true"/>
        </w:rPr>
        <w:t>الأمر الرابع</w:t>
      </w:r>
      <w:r>
        <w:rPr>
          <w:rtl w:val="true"/>
        </w:rPr>
        <w:t xml:space="preserve">: </w:t>
      </w:r>
      <w:r>
        <w:rPr>
          <w:rtl w:val="true"/>
        </w:rPr>
        <w:t>فی المراد من المفهوم</w:t>
      </w:r>
      <w:bookmarkEnd w:id="339"/>
    </w:p>
    <w:p>
      <w:pPr>
        <w:pStyle w:val="BookText"/>
        <w:rPr/>
      </w:pPr>
      <w:r>
        <w:rPr>
          <w:rFonts w:ascii="IRNazanin" w:hAnsi="IRNazanin" w:eastAsia="IRNazanin"/>
          <w:color w:val="111111"/>
          <w:sz w:val="28"/>
          <w:sz w:val="28"/>
          <w:szCs w:val="28"/>
          <w:rtl w:val="true"/>
          <w:lang w:bidi="fa-IR"/>
        </w:rPr>
        <w:t>مراد القائل بالمفهوم هو انتفاء سنخ الحکم عن الموضوع بانتفاء قیده، فمعنی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إذا بلغ قدر کرّ لم ینجّسه شی‌ء</w:t>
      </w:r>
      <w:r>
        <w:rPr>
          <w:rFonts w:eastAsia="IRNazanin" w:cs="IRNazanin"/>
          <w:color w:val="111111"/>
          <w:sz w:val="28"/>
          <w:szCs w:val="28"/>
          <w:rtl w:val="true"/>
          <w:lang w:bidi="fa-IR"/>
        </w:rPr>
        <w:t>»</w:t>
      </w:r>
    </w:p>
    <w:p>
      <w:pPr>
        <w:pStyle w:val="BookText"/>
        <w:rPr/>
      </w:pPr>
      <w:r>
        <w:rPr>
          <w:rStyle w:val="FootnoteAnchor"/>
          <w:rtl w:val="true"/>
        </w:rPr>
        <w:footnoteReference w:id="205"/>
      </w:r>
      <w:r>
        <w:rPr>
          <w:rFonts w:ascii="IRNazanin" w:hAnsi="IRNazanin" w:eastAsia="IRNazanin"/>
          <w:color w:val="111111"/>
          <w:sz w:val="28"/>
          <w:sz w:val="28"/>
          <w:szCs w:val="28"/>
          <w:rtl w:val="true"/>
          <w:lang w:bidi="fa-IR"/>
        </w:rPr>
        <w:t>عدم تنجّس الماء البالغ حدّ الکر، و مفهومه انتفاء الحکم عن الماء الذی دون ذلک، فیعارض ما دلّ علی عدم تنجّس الماء الجاری الذی دون الکرّ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القائل بمفهوم القضیة الشرطیة مثلًا، هو أنّها تدلّ علی انتفاء سنخ الحکم بانتفاء الشرط؛ بحیث لا یخلفه شی‌ء آخر، فمجرّد انتفاء الحکم بانتفاء الشرط لا یکون مفهوماً، کما لا یکون انتفاء الحکم بانتفاء الموضوع رأساً مفهوماً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القضیة الشرطیة مثلًا، کما تدلّ علی الثبوت عند الثبوت إمّا باللفظ أو بالإطلاق، فکذلک تدلّ علی انتفاء سنخ الجزاء عند انتفاء الشرط، فلا یکون مفهوم القضیة التحریمیة إثبات قضیة موجبة، بل هو الحکم بانتفاء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یتمّ هذا فی بعض الموارد، کما إذا علم من الخارج دوران الأمر بین الوجوب و الحرمة، فبانتفاء الحرمة یثبت الوجوب، فتدبّر</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عرفت ما ذکرنا و ما هو موضوع البحث فی المفهوم، فحان حین التعرّض للقضایا التی یقال بدلالتها علی المفهوم، و الکلام فیها یقع فی طیّ مباحث</w:t>
      </w:r>
      <w:r>
        <w:rPr>
          <w:rFonts w:eastAsia="IRNazanin" w:cs="IRNazanin"/>
          <w:color w:val="111111"/>
          <w:sz w:val="28"/>
          <w:szCs w:val="28"/>
          <w:rtl w:val="true"/>
          <w:lang w:bidi="fa-IR"/>
        </w:rPr>
        <w:t>:</w:t>
      </w:r>
      <w:bookmarkStart w:id="340" w:name="pg12934_164580"/>
    </w:p>
    <w:p>
      <w:pPr>
        <w:pStyle w:val="Heading3"/>
        <w:numPr>
          <w:ilvl w:val="2"/>
          <w:numId w:val="1"/>
        </w:numPr>
        <w:rPr/>
      </w:pPr>
      <w:bookmarkStart w:id="341" w:name="__RefHeading___Toc4026269_3224264995"/>
      <w:bookmarkStart w:id="342" w:name="_Toc130"/>
      <w:bookmarkEnd w:id="340"/>
      <w:bookmarkEnd w:id="341"/>
      <w:r>
        <w:rPr>
          <w:rtl w:val="true"/>
        </w:rPr>
        <w:t>المبحث الأوّل فی مفهوم الشرط</w:t>
      </w:r>
      <w:bookmarkEnd w:id="342"/>
    </w:p>
    <w:p>
      <w:pPr>
        <w:pStyle w:val="Heading4"/>
        <w:numPr>
          <w:ilvl w:val="3"/>
          <w:numId w:val="1"/>
        </w:numPr>
        <w:rPr/>
      </w:pPr>
      <w:bookmarkStart w:id="343" w:name="__RefHeading___Toc4026271_3224264995"/>
      <w:bookmarkStart w:id="344" w:name="_Toc131"/>
      <w:bookmarkEnd w:id="343"/>
      <w:r>
        <w:rPr>
          <w:rtl w:val="true"/>
        </w:rPr>
        <w:t>اشارة</w:t>
      </w:r>
      <w:bookmarkEnd w:id="344"/>
    </w:p>
    <w:p>
      <w:pPr>
        <w:pStyle w:val="BookText"/>
        <w:rPr/>
      </w:pPr>
      <w:r>
        <w:rPr>
          <w:rFonts w:ascii="IRNazanin" w:hAnsi="IRNazanin" w:eastAsia="IRNazanin"/>
          <w:color w:val="111111"/>
          <w:sz w:val="28"/>
          <w:sz w:val="28"/>
          <w:szCs w:val="28"/>
          <w:rtl w:val="true"/>
          <w:lang w:bidi="fa-IR"/>
        </w:rPr>
        <w:t>هل تدلّ القضیة الشرطیة علی المفهوم فیما لو خلّیت و طبعها و خلت عن القرینة، أم لا؟</w:t>
      </w:r>
    </w:p>
    <w:p>
      <w:pPr>
        <w:pStyle w:val="BookText"/>
        <w:rPr/>
      </w:pPr>
      <w:r>
        <w:rPr>
          <w:rFonts w:ascii="IRNazanin" w:hAnsi="IRNazanin" w:eastAsia="IRNazanin"/>
          <w:color w:val="111111"/>
          <w:sz w:val="28"/>
          <w:sz w:val="28"/>
          <w:szCs w:val="28"/>
          <w:rtl w:val="true"/>
          <w:lang w:bidi="fa-IR"/>
        </w:rPr>
        <w:t>قال بعض الأعاظم دام ظلّه</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استفادة المفهوم فی جمیع القیود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الشرط، و الوصف،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القدماء بملاک واحد؛ و هو أنّهما لیست بدلالة اللفظ، بل بظهور الفعل الصادر من المتکلّم فی أنّه دخیل فی المطلوب، فلا یجب البحث عن کلّ واحد من القیود فی فصل مستقلّ، کما عملته أیدی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ما أفاده دام ظلّه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لا ریب فی توقّف استفادة المعنی من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یصحّ الاحتجاج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طیّ مراحل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کون المتکلّم لاغیاً فی کلامه و هازلًا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التلفّظ به لغرض الإفادة بما هو الظاهر منه، لا للتمرین علی التلفّظ به، أو إلقائه تقیّة و نحوهما</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المتکفّل لهذین الأمرین لیس هو اللفظ، بل بناء العقلاء، فإنّه قد استقرّ علی</w:t>
      </w:r>
    </w:p>
    <w:p>
      <w:pPr>
        <w:pStyle w:val="BookText"/>
        <w:rPr/>
      </w:pPr>
      <w:r>
        <w:rPr>
          <w:rFonts w:ascii="IRNazanin" w:hAnsi="IRNazanin" w:eastAsia="IRNazanin"/>
          <w:color w:val="111111"/>
          <w:sz w:val="28"/>
          <w:sz w:val="28"/>
          <w:szCs w:val="28"/>
          <w:rtl w:val="true"/>
          <w:lang w:bidi="fa-IR"/>
        </w:rPr>
        <w:t>صدور فعل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اللفظ الصادر منه؛ لأنّه من جملة أفعاله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لغایته الطبیعیة التی تقصد منه عادة، و لا یعتنون باحتمال صدوره لغواً أو جزافاً، و لا باحتمال صدوره لغیر ما هو غایة له نوعاً، و حیث إنّ الغایة العادیة للتلفّظ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أنّه فعل، لا بما أنّه لفظ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إفادة المعنی، فلا محالة یحکم المستمع للّفظ قبل اطلاعه علی المعنی المقصود منه، بأنّ التکلّم به لغایة و فائدة؛ و هی إفادة المعنی؛ أیّ شی‌ء کان، و هذا البناء من العقلاء کما یکون ثابتاً فی مجموع الکلام، کذلک یکون فی أبعاضه، فتحمل الخصوصیات المذکورة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الشرط، أو الوصف، أو غیرهما بما أنّها أفعال صادرة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کونها لغرض الإفادة و الدخالة فی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فبعد ثبوت الأمرین و عدم إجمال اللفظ تصل النوبة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حجّیة الظهور؛ لاحتمال أنّه استعمله فی غیر معناه الحقیقی، و غیر معناه الظاهر فیه، و هنا أصل عقلائی یثبت حجّیة الظهور</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الغایة المنظورة من نفس الکلام حکایته عن معناه، و الغایة المنظورة من ذکر خصوصیاته دخالتها فی المطلوب، و من هنا یثبت المفهوم، فإذا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حکم العقلاء بدخالة مجی‌ء زید فی وجوب إکرامه؛ بتقریب أنّه لو لم یکن دخیلًا فی الحکم، لما ذکره المولی، و کذلک إن ذکر الوصف فی کلامه یحکمون بدخالته فی الحکم بالتقریب المذکور، و هکذا سائر الخصوصیات، و الملاک فیهما واحد، و هذا هو النکتة الوحیدة فی دخالة القضایا برمّتها علی المفهوم عند القدماء</w:t>
      </w:r>
      <w:r>
        <w:rPr>
          <w:rStyle w:val="FootnoteAnchor"/>
          <w:rtl w:val="true"/>
        </w:rPr>
        <w:footnoteReference w:id="207"/>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قد ذکرنا آنفاً</w:t>
      </w:r>
      <w:r>
        <w:rPr>
          <w:rStyle w:val="FootnoteAnchor"/>
          <w:rtl w:val="true"/>
        </w:rPr>
        <w:footnoteReference w:id="209"/>
      </w:r>
      <w:r>
        <w:rPr>
          <w:rFonts w:ascii="IRNazanin" w:hAnsi="IRNazanin" w:eastAsia="IRNazanin"/>
          <w:color w:val="111111"/>
          <w:sz w:val="28"/>
          <w:sz w:val="28"/>
          <w:szCs w:val="28"/>
          <w:rtl w:val="true"/>
          <w:lang w:bidi="fa-IR"/>
        </w:rPr>
        <w:t>کلام السیّد المرتضی قدس سره الذی هو من کبار القدماء، و هو بمرأی منک، و قد صرّح فیه بأنّ استفادة المفهوم إنّما هی لأجل استفادة الانحصار من القید، لا مجرّد دخالة القید فی ثبوت الحکم، و لذا أورد قدس سره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یمکن استفادة الانحصار من ذکر القید، بل غایة ما یقتضیه أخذ القید هی تأثیر القید فی تعلیق الحکم علیه، و مجرّد ذلک لا یثبت المفهوم إلّا إذا أمکن استفادة عدم قرین له؛ أی عدم تخلّف قید آخر مقامه، و التقریب المذکور لا یکاد یمکن إفادة هذا المعنی، فلا ینبغی إسناد أمر واضح البطلان إلی أکابر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احرز إطلاق فی المقام و أنّ الحکم ینحصر مع هذا القید، فیمکن استفادة المفهوم، و لکن دون إثباته خرط القتاد، و لذا قال السیّد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یمکن استفادة الانحصار و عدم تخلّف قید آخر مقامه من مجرّد أخذ القید، بل غایته تأثیره فی تعلیق الحکم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أحطت بما ذکرنا، تعرف عدم وجاهة ما ذکره المحقّق الخراسانی قدس سره ردّاً علی مقال السیّد قدس سره و 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إمکان نیابة بعض الشروط عن بعض فی مقام الثبوت و الواقع و إن کان ممّا لا ینکر، إلّا أنّ القائل بالمفهوم ینکر ذلک فی مقام الإثبات؛ بدعوی دلالة القضیة الشرطیة مثلًا علی عدمه، فمجرّد احتمال التخلّف ثبوتاً لا یضرّ ما لم یکن بحسب القواعد اللفظیة راجحاً أو مساویاً، و لیس فیما أفاده ما یثبت ذلک أصلًا</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لا رافع لهذا الاحتمال إلّا من ناحیة إطلاق الشرط، أو الجزاء، أو أداة</w:t>
      </w:r>
      <w:bookmarkStart w:id="345" w:name="pg12934_164583"/>
    </w:p>
    <w:p>
      <w:pPr>
        <w:pStyle w:val="BookText"/>
        <w:rPr/>
      </w:pPr>
      <w:bookmarkEnd w:id="345"/>
      <w:r>
        <w:rPr>
          <w:rFonts w:ascii="IRNazanin" w:hAnsi="IRNazanin" w:eastAsia="IRNazanin"/>
          <w:color w:val="111111"/>
          <w:sz w:val="28"/>
          <w:sz w:val="28"/>
          <w:szCs w:val="28"/>
          <w:rtl w:val="true"/>
          <w:lang w:bidi="fa-IR"/>
        </w:rPr>
        <w:t>الشرط؛ حسبما تشبّث به المتأخّرون لإثبات المفهوم، و سیظهر لک جلیاً إن شاء اللَّه عدم اقتضاء شی‌ء منها لنفی هذا الاحتمال، و إجماله أنّ غایة ما یقتضیه کون المتکلّم فی مقام البیان، هی بیان جمیع ما له دخل فی موضوع حکمه، و إلّا لأخلّ بغرضه، مثلًا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لوصف العدالة دخالة فی لزوم الإکرام، لکان مخلّا بغرضه، فمقتضی الإطلاق کون ما اخذ تمام الموضوع لترتّب الحکم علیه، فلا تکون هناک حالة منتظرة لترتّبه علیه، و أمّا نفی تخلّف قید آخر مقامه الذی یبتنی علیه أساس المفهوم، فأجنبی عن مقتضی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لمثبت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إثبات دخالة القید فی ترتّب الحکم علیه و علّیته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کونه علّة منحصرة له، و إطلاق مقام البیان أجنبی عن ذلک، بل غایة ما یقتضیه دخالته فی الحکم الشخصی؛ بحیث لو لم یکن القید لما کان ذاک الحکم، و أمّا نفی سنخ الحکم فلا</w:t>
      </w:r>
      <w:r>
        <w:rPr>
          <w:rFonts w:eastAsia="IRNazanin" w:cs="IRNazanin"/>
          <w:color w:val="111111"/>
          <w:sz w:val="28"/>
          <w:szCs w:val="28"/>
          <w:rtl w:val="true"/>
          <w:lang w:bidi="fa-IR"/>
        </w:rPr>
        <w:t>.</w:t>
      </w:r>
    </w:p>
    <w:p>
      <w:pPr>
        <w:pStyle w:val="Heading4"/>
        <w:numPr>
          <w:ilvl w:val="3"/>
          <w:numId w:val="1"/>
        </w:numPr>
        <w:rPr/>
      </w:pPr>
      <w:bookmarkStart w:id="346" w:name="__RefHeading___Toc4026273_3224264995"/>
      <w:bookmarkStart w:id="347" w:name="_Toc132"/>
      <w:bookmarkEnd w:id="346"/>
      <w:r>
        <w:rPr>
          <w:rtl w:val="true"/>
        </w:rPr>
        <w:t>الوجوه التی یستدلّ بها لإثبات العلّیة المنحصرة من القضیة الشرطیة</w:t>
      </w:r>
      <w:bookmarkEnd w:id="347"/>
    </w:p>
    <w:p>
      <w:pPr>
        <w:pStyle w:val="BookText"/>
        <w:rPr/>
      </w:pPr>
      <w:r>
        <w:rPr>
          <w:rFonts w:ascii="IRNazanin" w:hAnsi="IRNazanin" w:eastAsia="IRNazanin"/>
          <w:color w:val="111111"/>
          <w:sz w:val="28"/>
          <w:sz w:val="28"/>
          <w:szCs w:val="28"/>
          <w:rtl w:val="true"/>
          <w:lang w:bidi="fa-IR"/>
        </w:rPr>
        <w:t>إذا عرفت ما ذکرنا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یتمسّک لإثبات العلّیة المنحصرة من القضیة الشرطیة بوجوه، کالتبادر، و الانصراف، و إطلاق أداة الشرط، أو إطلاق نفس الشرط، أو إطلاق نفس الجزاء، أو بعض الوجوه العقلیة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لکنّها کلّها مخدوشة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التبادر و الانصراف، فیغنینا عن التعرّض لهما و لردّهما ما أفاده المحقّق الخراسانی قدس سره</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و أمّا دعوی الدلالة بانصراف إطلاق العلاقة اللزومیة إلی ما هو أکمل أفرادها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اللزوم بین العلّة المنحصرة و معلولها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ففاسدة جدّاً؛ لعدم کون الأکملیة موجبة للانصراف إلی الأکمل، لا سیّما مع کثرة الاستعمال فی غیره، کما لا یکاد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منع کون اللزوم بینهما أکمل ممّا لم تکن العلّة بمنحصرة؛ فإنّ الانحصار لا یوجب أن یکون ذات الربط الخاصّ الذی لا بدّ منه فی تأثیر العلّة فی معلولها، آکد و 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 کلامه زید فی علوّ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المقرّر حفظه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غیره، فلیراجع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إطلاق أداة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فی تقریبه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کما یتمسّک بإطلاق الأمر فیما إذا شکّ فی واجب أنّه نفسی أو غیری، أو أنّه تعیینی أو تخییری، أو عینی أو کفائی؛ لإثبات کونه نفسیاً تعیینیاً عینیاً، فکذلک هنا لو شکّ فی کون أداة الشرط لإفادة مطلق اللزوم أو العلّیة، و العلّیة المنحصرة، فمقتضی الإطلاق کونها للعلّة المنحصرة</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 إلیه</w:t>
      </w:r>
      <w:r>
        <w:rPr>
          <w:rStyle w:val="FootnoteAnchor"/>
          <w:rtl w:val="true"/>
        </w:rPr>
        <w:footnoteReference w:id="212"/>
      </w:r>
      <w:r>
        <w:rPr>
          <w:rFonts w:ascii="IRNazanin" w:hAnsi="IRNazanin" w:eastAsia="IRNazanin"/>
          <w:color w:val="111111"/>
          <w:sz w:val="28"/>
          <w:sz w:val="28"/>
          <w:szCs w:val="28"/>
          <w:rtl w:val="true"/>
          <w:lang w:bidi="fa-IR"/>
        </w:rPr>
        <w:t>عند حمل الواجب علی النفسی التعیینی العینی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قلنا بکون الوضع فی الحروف و منها الهیئة عامّاً، و الموضوع له عامّاً، کما یراه المحقّق الخراسانی قدس سره</w:t>
      </w:r>
      <w:r>
        <w:rPr>
          <w:rStyle w:val="FootnoteAnchor"/>
          <w:rtl w:val="true"/>
        </w:rPr>
        <w:footnoteReference w:id="213"/>
      </w:r>
      <w:r>
        <w:rPr>
          <w:rFonts w:ascii="IRNazanin" w:hAnsi="IRNazanin" w:eastAsia="IRNazanin"/>
          <w:color w:val="111111"/>
          <w:sz w:val="28"/>
          <w:sz w:val="28"/>
          <w:szCs w:val="28"/>
          <w:rtl w:val="true"/>
          <w:lang w:bidi="fa-IR"/>
        </w:rPr>
        <w:t>فمقتضی مقدّمات الحکمة إثبات الجامع بین النفسیة و الغیریة مثلًا، لا النفسیة، و لا الغیریة؛ لأنّ کلّاً منهما قسم من الواجب، و لا یصیر القسم قسماً</w:t>
      </w:r>
    </w:p>
    <w:p>
      <w:pPr>
        <w:pStyle w:val="BookText"/>
        <w:rPr/>
      </w:pPr>
      <w:r>
        <w:rPr>
          <w:rFonts w:ascii="IRNazanin" w:hAnsi="IRNazanin" w:eastAsia="IRNazanin"/>
          <w:color w:val="111111"/>
          <w:sz w:val="28"/>
          <w:sz w:val="28"/>
          <w:szCs w:val="28"/>
          <w:rtl w:val="true"/>
          <w:lang w:bidi="fa-IR"/>
        </w:rPr>
        <w:t>إلّا بضمّ قید للمقسم، و إلّا لاتحد المقسم و القسم، فلا یقتضی الإطلاق النفسیة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إن قلنا بکون الوضع فی الحروف عامّاً، و الموضوع له خاصّاً؛ لأنّ غایة ما یقتضیه الإطلاق هی إثبات الجامع، و أمّا إثبات خصوص النفسیة أو الغیریة، فیحتاج إلی دلیل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إن قلنا بکون الوضع و الموضوع له فیها خاصّاً، فلا یتمّ شی‌ء منها؛ لکونها علی هذا جزئیاً، و هو غیر قابل للتقیید، و کلّ ما لا یقبل التقیید لا یقبل 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ممّا ذکرناه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علی تقدیر الوضع و الموضوع له فی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عامّاً، فمقتضی جریان المقدّمات استفادة أصل الترتّب العلّی الجامع بین الترتّب علی نحو الانحصار و غیره، و أمّا استفادة العلّیة المنحصرة أو غیرها، فلا بدّ من التشبّث بذیل دلیل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یقتضیه الإطلاق هو أصل الترتّب الجامع بین أنحاء الترتّبات، لا الترتّب بنحو العلّیة المنحصرة الذی بلحاظ اشتماله علی خصوصیة زائدة علی أصل الترتّب، صار قسماً علی 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ما لو قلنا بکون الوضع عامّاً و الموضوع له خاصّاً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قلنا بکون الوضع و الموضوع له خاصّین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کسائر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سبیل لجریان المقدّمات، کما أشرنا إلیه، فوزان جریان مقدّمات الحکمة وجوداً و عدماً و اقتضاء فی المقام، وزان جریانها فی إثبات النفسیة و العینیّة و التعیینیة، و لا فرق بینهما فی ذلک</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أبدی المحقّق الخراسانی قدس سره</w:t>
      </w:r>
      <w:r>
        <w:rPr>
          <w:rStyle w:val="FootnoteAnchor"/>
          <w:rtl w:val="true"/>
        </w:rPr>
        <w:footnoteReference w:id="214"/>
      </w:r>
      <w:r>
        <w:rPr>
          <w:rFonts w:ascii="IRNazanin" w:hAnsi="IRNazanin" w:eastAsia="IRNazanin"/>
          <w:color w:val="111111"/>
          <w:sz w:val="28"/>
          <w:sz w:val="28"/>
          <w:szCs w:val="28"/>
          <w:rtl w:val="true"/>
          <w:lang w:bidi="fa-IR"/>
        </w:rPr>
        <w:t>فرقاً بینهما؛ بأنّ الواجب النفسی هو</w:t>
      </w:r>
    </w:p>
    <w:p>
      <w:pPr>
        <w:pStyle w:val="BookText"/>
        <w:rPr/>
      </w:pPr>
      <w:r>
        <w:rPr>
          <w:rFonts w:ascii="IRNazanin" w:hAnsi="IRNazanin" w:eastAsia="IRNazanin"/>
          <w:color w:val="111111"/>
          <w:sz w:val="28"/>
          <w:sz w:val="28"/>
          <w:szCs w:val="28"/>
          <w:rtl w:val="true"/>
          <w:lang w:bidi="fa-IR"/>
        </w:rPr>
        <w:t>الواجب علی کلّ حال، بخلاف الواجب الغیری، فإنّه الواجب علی تقدیر دون تقدیر، فیحتاج بیانه إلی مئونة التقیید بما إذا وجب الغیر، فیکون الإطلاق فی الصیغة مع مقدّمات الحکمة، محمولًا علی النفسی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النفسیة لیست قیداً وجودیاً حتّی یحتاج إلی البیان، بل هی أمر عدمی؛ أعنی عدم وجوبه لشی‌ء آخر، فیمکن إثباته بإطلاق صیغة الأمر، بخلاف الوجوب الغیری، فإنّه محتاج إلی بیان وجوب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اللزوم و الترتّب بنحو الترتّب علی العلّة المنحصرة، ضرورة أنّ کلّ واحد من أنحاء اللزوم و الترتّب، محتاج فی تعیینه إلی قرینة مثل الآخر بلا تفاوت أصلًا،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العلّیة المنحصرة خصوصیة قبال سائر الخصوصیات، و نسبة الإطلاق إلی جمیع الخصوصیات واحدة من دون مرجّح لخصوص العلّة المنحصرة، فلا یمکن إثباتها بالإطلاق، فظهر الفرق بینها و بین الوجوب النفسی</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غیر وجیه؛ لجریان عین ما ذکره قدس سره هناک هنا أیضاً؛ و ذلک لأنّ غایة ما تقتضیه علّیة الشرط للجزاء، هی ترتّب الجزاء علیه، و لا یستفاد منه الانحصار؛ لأنّه لو کانت العلّة منحصرة فمقتضاها ترتّب الجزاء علیه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جمیع الأحوال، و لا یکاد یقتضیه العلّیة غیر المنحصرة، فکلّ منهما مشتمل علی خصوصیة زائدة علی أصل الترتّب الذی هو المقسم، فکما أنّ کلّاً منهما یمتاز عن الآخر بقید یخصّه، فکذلک یمتازان عن المقسم، و إلّا لاتحد القسم مع المقسم، فلا فرق بین المقام و مسألة النفسیة و الغیریة، فتأمّل</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إطلاق الشرط نفسه، فتقریبه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أشار إلیه المحقّق الخراسانی قدس سره</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لم یکن بمنحصر یلزم علی المتکلّم تقییده؛ ضرورة أنّه لو قارنه أو سبقه الآخر لما أثّر وحده، مع أنّ مقتضی إطلاقه أنّه یؤثّر کذلک مطلقاً، مثلًا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إذا بلغ قدر کرّ لم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 مقام بیان تمام مراده، فکما أنّ مقتضی إطلاق الکرّیة کونها تمام الموضوع للاعتصام من دون دخالة قید فیه، و إلّا فلو کان للقید دخالة فیه لأخلّ بغرضه، فکذلک مقتضاه نفی قرین له؛ لأنّه لو لم تکن الکرّیة مؤثّرة عند سبق شی‌ء علیه أو مقارن له، لما کان لذکر الکرّیة فقط وجه، فإطلاق الکرّیة کما ینفی مشارکة غیره فی ترتّب أثر الاعتصام علیه، فکذلک ینفی بدلیة الغیر إیّاه، فالکرّیة تمام المؤثّر للاعتصام؛ سبقه أو قارنه شی‌ء آخر،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الجواب عن هذا التقریب و التقریب الذی تمسّک به المحقّق النائینی قدس سره لإثبات إطلاق الجزاء، مشترکان فی بعض الجهات، فنذکر أوّلًا ما أفاده المحقّق النائینی قدس سره ثمّ نعقّبهما بما هو الحقّ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قدس سره فی تضعیف هذا التقریب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التقریب الذی ذکر لإطلاق الشرط غیر مستقیم، بل أجنبی عن مسألة استظهار المفهوم للقضیة الشرطیة؛ و ذلک لأنّ مقدّمات الحکمة إنّما تجری فی المجعولات الشرعیة، و العلّیة و السببیة من الامور التکوینیة غیر القابلة للجعل، و المجعول إنّما هو المسبّب علی تقدیر وجود سببه، کما مرّ مراراً، فلا معنی للتمسّک بإطلاق الشرط لإثبات کونه علّة منحصرة</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غایة ما تدلّ علیه القضیة الشرطیة، هی الترتّب بین الجزاء</w:t>
      </w:r>
    </w:p>
    <w:p>
      <w:pPr>
        <w:pStyle w:val="BookText"/>
        <w:rPr/>
      </w:pPr>
      <w:r>
        <w:rPr>
          <w:rFonts w:ascii="IRNazanin" w:hAnsi="IRNazanin" w:eastAsia="IRNazanin"/>
          <w:color w:val="111111"/>
          <w:sz w:val="28"/>
          <w:sz w:val="28"/>
          <w:szCs w:val="28"/>
          <w:rtl w:val="true"/>
          <w:lang w:bidi="fa-IR"/>
        </w:rPr>
        <w:t>و الشرط، و لا یتفاوت الحال فیه بین کون الشرط علّة منحصرة، أو غیر منحصرة، أو متلازمین؛ لأنّ ترتّب الجزاء علی الشرط علی نسق واحد فی الجمیع، بل لو فرضت دلالة القضیة الشرطیة علی کون الجزاء معلولًا للشرط، فلا یکاد تقتضی مقدّمات الحکمة انحصار الشرط فی العلّیة المنحصرة؛ لأنّ استناد المعلول إلی علّته المنحصرة و غیر المنحصرة، علی نسق واحد، کما لا یخفی</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ورد قدس سره فی بیان ما یحتاج إلیه استظهار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مقدّمات الحکمة إنّما تجری فی ناحیة الجزاء؛ بتقریب أنّ الجزاء منوط بالشرط بنحو من الإناطة، فإذا کان المولی فی مقام البیان و أطلق الجزاء بالنسبة إلی الشرط، فمقتضاه أنّ الجزاء یتوقّف علی ذلک الشرط فقط؛ من دون أن یشارکه شرط آخر، أو ینوب عنه، و بعد ذلک لا ینبغی التوقّف فی ثبوت المفهوم للقضیة الشرطیة التی یتوقّف الجزاء فیها علی الشرط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المعلوم هو کون المولی فی مقام البیان من جهة إناطة الجزاء بالشرط، دون سائر الجهات و القیود، فاسدة؛ لأنّه لو بنی علی ذلک لا نسدّ باب التمسّک بالإطلاقات فی جمیع المقامات، إذ ما من مورد إلّا و یمکن فیه هذه الدعوی</w:t>
      </w:r>
      <w:r>
        <w:rPr>
          <w:rStyle w:val="FootnoteAnchor"/>
          <w:rtl w:val="true"/>
        </w:rPr>
        <w:footnoteReference w:id="218"/>
      </w:r>
      <w:r>
        <w:rPr>
          <w:rFonts w:ascii="Amiri" w:hAnsi="Amiri" w:eastAsia="Amiri" w:cs="Amiri"/>
          <w:color w:val="111111"/>
          <w:sz w:val="28"/>
          <w:sz w:val="28"/>
          <w:szCs w:val="28"/>
          <w:rtl w:val="true"/>
          <w:lang w:bidi="ar-SA"/>
        </w:rPr>
        <w:t>، انتهی کلامه ملخّصاً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التقریب الذی اختاره قدس سره لاستفادة المفهوم من ناحیة إطلاق الجزاء، هو بعینه ما ذُکِر فی استفادة المفهوم من الإطلاق فی ناحیة الشرط، و قد ردّه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غایة ما یقتضیه إطلاق الشرط، هی علّیة الشرط للجزاء، و لا فرق</w:t>
      </w:r>
    </w:p>
    <w:p>
      <w:pPr>
        <w:pStyle w:val="BookText"/>
        <w:rPr/>
      </w:pPr>
      <w:r>
        <w:rPr>
          <w:rFonts w:ascii="IRNazanin" w:hAnsi="IRNazanin" w:eastAsia="IRNazanin"/>
          <w:color w:val="111111"/>
          <w:sz w:val="28"/>
          <w:sz w:val="28"/>
          <w:szCs w:val="28"/>
          <w:rtl w:val="true"/>
          <w:lang w:bidi="fa-IR"/>
        </w:rPr>
        <w:t>فی ذلک بین کونه علّة منحصرة، أو غیرها، فلا تقتضی المقدّمات انحصار الشرط فی العلّیة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اقتباساً من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فرق فی ترتّب الجزاء علی الشرط بین کون الشرط علّة منحصرة لترتّب الجزاء، و بین غیرها، فکما أنّه یترتّب الجزاء إذا کان الشرط منحصراً، فکذلک عند عدم الانحصار؛ و ذلک لأنّه إذا لم یفترق حال الشرط فی علّیته للجزاء بین کونه علّة منحصرة و غیره، فکذلک لا یفرّق فی معلولیة الجزاء للمنحصرة و غیرها، فکما اعترف قدس سره بأنّه لا تقتضی المقدّمات انحصار الشرط فی العلّیة، فکذلک لا تقتضی المقدّمات فی الجزاء، ترتّبه علی ذلک الشرط فقط</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ما أورده قدس سره أوّلًا علی استفادة المفهوم من ناحیة إطلاق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العلّیة و السببیة من الامور التکوینیة غیر القابلة للجعل، و مقدّمات الحکمة إنّما تجری فی المجعولات الشرعیة،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سلّم کون السببیة و العلّیة غیر قابلتین للجعل، و لکنّ هذا لا یهمّ فیما نحن بصدده؛ لأنّ القائل بإطلاق الشرط لا یرید إثبات الجعل للشرط، بل یرید إثبات موضوعیته للحکم، مثلًا إذا قال الشارع الأقدس</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ظاهرت فأعتق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أوجب عتق الرقبة بالظهار و جعلها موضوعاً لحکمه، مع أنّه لم تکن الرقبة و لا العتق مجعولین شرعاً، فمعنی علّیة الشرط للجزاء، هو أنّه تمام الموضوع لترتّب الجزاء علیه، فلا یکون لترتّبه علیه حالة منتظرة، فلو شکّ فی اعتبار قید فی الرقبة ینفی بالإطلاق، أ لا تری أنّه إذا کان المخبر فی مقام البیان فقال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طلعت الشمس وجد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 هذه الجملة الخبریة، أنّ</w:t>
      </w:r>
    </w:p>
    <w:p>
      <w:pPr>
        <w:pStyle w:val="BookText"/>
        <w:rPr/>
      </w:pPr>
      <w:r>
        <w:rPr>
          <w:rFonts w:ascii="IRNazanin" w:hAnsi="IRNazanin" w:eastAsia="IRNazanin"/>
          <w:color w:val="111111"/>
          <w:sz w:val="28"/>
          <w:sz w:val="28"/>
          <w:szCs w:val="28"/>
          <w:rtl w:val="true"/>
          <w:lang w:bidi="fa-IR"/>
        </w:rPr>
        <w:t>طلوع الشمس علّة تامّة تکوینیة لوجود النهار، و إلّا فلو کان لشی‌ء آخر دخالة فیه فلا بدّ و أن یأخذه، مع أنّه لم یکن طلوع الشمس و لا وجود النهار، من الامور المجعولة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مجعولیة السببیة و العلّیة شی‌ء، و کون شی‌ء موضوعاً لحکم أو تمام الموضوع له، شی‌ء آخر، فلو قلنا بعدم الجعل فیهما فمع ذلک لا سبیل إلی إنکار أنّه إذا اخذ شی‌ء بلا قید موضوعاً لحکم، و کان فی مقام البیان، و شکّ فی دخالة قید فیه، فحینئذٍ یمکن نفیه بالإطلاق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 الجواب عن عدم استفادة المفهوم من إطلاق الشرط و لا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أنّ الإطلاق المبحوث عنه فی المقام هو الإطلاق المقامی، و هو الذی یحتجّ به العقلاء بعضهم علی بعض فیما إذا کان المتکلّم فی مقام بیان مراده، فعند ذلک إذا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إذا بلغ قدر کرّ لم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یحتجّ العقلاء بمجرّد أخذ الماء البالغ حدّ الکرّ موضوعاً للاعتصام من دون تقییده بقید، علی أنّ ذات الماء البالغ حدّ الکرّ، تمام الموضوع لعدم الانفعال، و أنّه لیست له حالة منتظرة للاعتصام، و إلّا لأخلّ بغرضه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العالم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یستفاد منه أنّ تمام الموضوع لوجوب الإکرام ذات متصفة بصفتی العلم و العدالة، و لا حالة منتظرة فی تعلّق الوجوب به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کما یجری فی الجمل الإنشائیة، یجری فی الجمل الخبریة أیضاً، فإنّه إذا أخبر شخص بأنّ الشمس مضیئة، یستفاد منه أنّ تمام الموضوع للإضاءة عند المخبر هو ذات الشمس، لا هی مع شی‌ء آخر، و إلّا فلو کان لشی‌ء آخر مدخلیة فی الإضاءة، لعدّه العرف کاذباً فی إخباره، و لکن مع ذلک لا یکاد یستفاد من تلک الجملة أنّ غیر الشمس لیس بمضی‌ء فی العالم، و أنّ الإضاءة منحصرة فی الشمس، و لعمر الحقّ، إنّ هذا فی الجمل الخبریة بمکان من الوضوح</w:t>
      </w:r>
      <w:r>
        <w:rPr>
          <w:rFonts w:eastAsia="IRNazanin" w:cs="IRNazanin"/>
          <w:color w:val="111111"/>
          <w:sz w:val="28"/>
          <w:szCs w:val="28"/>
          <w:rtl w:val="true"/>
          <w:lang w:bidi="fa-IR"/>
        </w:rPr>
        <w:t>.</w:t>
      </w:r>
      <w:bookmarkStart w:id="348" w:name="pg12934_164591"/>
    </w:p>
    <w:p>
      <w:pPr>
        <w:pStyle w:val="BookText"/>
        <w:rPr/>
      </w:pPr>
      <w:bookmarkEnd w:id="348"/>
      <w:r>
        <w:rPr>
          <w:rFonts w:ascii="IRNazanin" w:hAnsi="IRNazanin" w:eastAsia="IRNazanin"/>
          <w:color w:val="111111"/>
          <w:sz w:val="28"/>
          <w:sz w:val="28"/>
          <w:szCs w:val="28"/>
          <w:rtl w:val="true"/>
          <w:lang w:bidi="fa-IR"/>
        </w:rPr>
        <w:t>و أمّا فی الجمل الإنشائیة و فی الجملة الشرطیة أیضاً؛ لأنّه 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الماء قدر کرٍّ لم ینجّسه شی‌ء و کان بصدد بیان موضوع حکمه فیستفاد منه أنّ نفس الکرّیة تمام الموضوع للحکم بعدم الانفعال و لم تکن بعد تحقّقه حالة منتظرة لترتّب الحکم علیه، و أمّا استفادة أنّ المولی لاحظ علّیته حال الانفراد أو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سبقه شی‌ء أو قارنه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لأنّ تلک الامور تعرض للموضوع فی وجوده الخارجی، و الحکم إنّما یوضع علی الطبیعة و العنوان بحیال نفسه، و لم یکن متعرضاً لکیفیة الاستناد فی الوجود، فما ظنّک بمزاحماته فی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إطلاق مقام البیان لیس بأزید من کون ما أخذه موضوعاً لحکمه تمام الموضوع لحکمه، و أمّا نفی مؤثّریة غیره إذا سبقه أو قارنه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حدیث نقض الغرض لو کانت هناک علّة اخری، غیر مرتبط بما نحن فیه، و غیر 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لو استفید نفی تخلّف الغیر و نیابته منابه بمجرّد ذلک، یلزم أن یکون للوصف مفهوم، مع أنّه قدس سره لا یلتزم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مقتضی الإطلاق فی بابی الشرط و الجزاء، نفی نیابة الغیر فی التأثیر حتّی تثبت العلّیة المنحصرة، بل غایة ما یقتضیه نفی الشریک، فتدبّر</w:t>
      </w:r>
      <w:r>
        <w:rPr>
          <w:rFonts w:eastAsia="IRNazanin" w:cs="IRNazanin"/>
          <w:color w:val="111111"/>
          <w:sz w:val="28"/>
          <w:szCs w:val="28"/>
          <w:rtl w:val="true"/>
          <w:lang w:bidi="fa-IR"/>
        </w:rPr>
        <w:t>.</w:t>
      </w:r>
    </w:p>
    <w:p>
      <w:pPr>
        <w:pStyle w:val="Heading4"/>
        <w:numPr>
          <w:ilvl w:val="3"/>
          <w:numId w:val="1"/>
        </w:numPr>
        <w:rPr/>
      </w:pPr>
      <w:bookmarkStart w:id="349" w:name="__RefHeading___Toc4026275_3224264995"/>
      <w:bookmarkStart w:id="350" w:name="_Toc133"/>
      <w:bookmarkEnd w:id="349"/>
      <w:r>
        <w:rPr>
          <w:rtl w:val="true"/>
        </w:rPr>
        <w:t>توجیهان عقلیان لاستفادة المفهوم و دفعهما</w:t>
      </w:r>
      <w:bookmarkEnd w:id="350"/>
    </w:p>
    <w:p>
      <w:pPr>
        <w:pStyle w:val="BookText"/>
        <w:rPr/>
      </w:pPr>
      <w:r>
        <w:rPr>
          <w:rFonts w:ascii="IRNazanin" w:hAnsi="IRNazanin" w:eastAsia="IRNazanin"/>
          <w:color w:val="111111"/>
          <w:sz w:val="28"/>
          <w:sz w:val="28"/>
          <w:szCs w:val="28"/>
          <w:rtl w:val="true"/>
          <w:lang w:bidi="fa-IR"/>
        </w:rPr>
        <w:t>و أمّا الوجه العقلی لاستفادة المفهوم، فنذکر منه تقریبین</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التقریب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المحقّق العراقی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مرکز البحث فی المفهوم و مآله إلی أنّ الظاهر من القضیة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تعلیقیة کانت، أم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کونها فی مقام تعلیق سنخ الحکم أو شخصه؛ بعد الفراغ عن ظهور الشرط فی</w:t>
      </w:r>
    </w:p>
    <w:p>
      <w:pPr>
        <w:pStyle w:val="BookText"/>
        <w:rPr/>
      </w:pPr>
      <w:r>
        <w:rPr>
          <w:rFonts w:ascii="IRNazanin" w:hAnsi="IRNazanin" w:eastAsia="IRNazanin"/>
          <w:color w:val="111111"/>
          <w:sz w:val="28"/>
          <w:sz w:val="28"/>
          <w:szCs w:val="28"/>
          <w:rtl w:val="true"/>
          <w:lang w:bidi="fa-IR"/>
        </w:rPr>
        <w:t>الانحصار و لو من جهة ظهور دخل خصوصیة العنوان المأخوذ فی حیّز الخطاب فی ترتّب الحکم علیه؛ جزاء أو غیره، سنخاً أو شخصاً، و حینئذٍ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طبع القضیة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باقتضاء 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إلّا ترتّب الحکم مهملة علی موضوعه؛ أی لا یقتضی بنفسه نفی الحکم عن غیر مورده، فلا یکون له 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إذا کانت فی البین جهة زائدة علی ربط الحکم بموضوعه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القضیة الشرطیة؛ من حیث اقتضاء أداة الشرط ربط الحکم بشرطه زائداً علی ربطه بموضوعه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القضیة من هذه الجهة التی هی خارجة عن مدلولها، لا تقتضی إهمال الجزاء، بل مقتضی مقدّمات الحکمة تعلیق إطلاق حکمه الملازم لتجریده عن هذه الجهة، فیبقی حیث الإضافة إلی الموضوع علی طبعه الأوّلی فی القضایا الظاهرة نوعاً فی أنّ ترتّب الحکم علی موضوعه مهملة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ظهور القضایا نوعاً فی إهمال المحمول بالنسبة إلی موضوعه، مانع عن الأخذ بأصالة الإطلاق فی مثله، و لکن لا یمنع ذلک عن الأخذ بأصالة الإطلاق فی سائر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بهذه العنایة أیضاً نقول بالمفهوم فی الغایة و أداة الحصر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التوصیف، فحیث إنّه من شئون الموضوع، و کانت نسبة الحکم إلیه کنسبته إلی ذات موضوعه، لذا صار منشأً للتشکیک فی أصالة الإطلاق من حیث إضافة الحکم إلیه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العاری عن جمیع هذه الامور کالألقاب فلیس لها مفهوم، و لا یکون أحد یدّعیه هنا إلّا فی مورد قیام قرینة شخصیة خارجیة، ککونه فی مقام التحدید و أمثاله</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فیما أفاده قدس سره مواقع للنظر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یظهر منه من أنّ مقتضی ظهور الکلام، هو أنّ العنوان المأخوذ فی موضوع الحکم، تمام الموضوع لترتّب الحکم علیه، مع أنّه لا یکاد یثبت ظهور الکلام ذلک، بل المثبت له إنّما هو الإطلاق و مقدّمات الحکمة، و لذا لو لم نحرز کونه فی مقام البیان لما أمکن استفادة کونه تمام الموضوع لترتّب الحکم علیه،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یظهر منه أیضاً من استفادة الانحصار من ظهور الکلام، و قد أشرنا آنفاً إلی عدم إمکان استفادة موضوعیته للحکم من ظهور اللفظ، فما ظنّک باستفادة الانحصار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غایة ما تقتضیه مقدّمات الحکمة أنّ العنوان المأخوذ فی لسان الدلیل، هو تمام الموضوع لترتّب الحکم علیه، و لا یکاد یستفاد منها انحصاره فیه، و قد أوضحنا الأمر فی ذلک آنفاً عند الحدیث عن عدم استفادة الانحصار من إطلاق الشرط أو الجزاء،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یستفاد منه من أنّ طبع القضیة وقوع القضایا فیها إهمال، و لعلّ منشأ ما ذکره هو توهّم جعل الأحکام علی موضوعاتها بالمعنی الحرفی، و کأنّه لم یتفطّن لصور جعل الأحکام علی موضوعاتها بالمعنی الاسمی،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الکلب نجس؛ لا یتوضّأ بسؤره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الخمر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فیهما عنوان اسمی لنفس الکلب أو الخمر، لا لشخصهما، فلا إهمال فیهما،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ما ذکره قدس سره ثبوت المفهوم فی مثل تلک القضایا التی القیت بالمعنی الاسمی مع أنّ الأمر لیس کذلک، و لم یلتزم قدس سره به؛ فإنّ غایة ما یستفاد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الکلب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أنّ عنوان الکلبیة تمام الموضوع للنجاسة، و أمّا انحصار النجاسة فیه فدون إثباته خرط القتاد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قدس سره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غیر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الشرطیة، و الغایة، و الحصر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p>
    <w:p>
      <w:pPr>
        <w:pStyle w:val="BookText"/>
        <w:rPr/>
      </w:pPr>
      <w:r>
        <w:rPr>
          <w:rFonts w:ascii="IRNazanin" w:hAnsi="IRNazanin" w:eastAsia="IRNazanin"/>
          <w:color w:val="111111"/>
          <w:sz w:val="28"/>
          <w:sz w:val="28"/>
          <w:szCs w:val="28"/>
          <w:rtl w:val="true"/>
          <w:lang w:bidi="fa-IR"/>
        </w:rPr>
        <w:t>إنّه لم یتعلّق فیها سنخ الحکم فلم یکن لها مفهوم، و أمّا فی الثلاثة فلاشتمال القضیة علی عنایة زائدة، فیستفاد منها تعلیق سنخ الحکم، فلها 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الملاک کلّ الملاک عنده فی استفادة المفهوم، هو تعلیق سنخ الحکم، و لازم ذلک ثبوت المفهوم فی کلّ قضیة علّق فیها سنخ الحکم؛ سواء کانت القضیة من الأقسام الثلاثة، أو غیرها، و لم یلتزم به قدس سره مثلًا لا إهمال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عَلَیْکُمُ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 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ذلک، و لم یتعلّق شخص الحکم، بل تعلّق سنخ الحرمة، أو النجاسة، أو الاعتصام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سلّم أنّ فی نوع القضایا إهمالًا، و تکون فی قوّة الجزئیة، و لم یکن لمقام البیان دخالة فی ذلک، فما معنی استفادة المفهوم لو کانت جهة 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الظاهر من لفظة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الشرطیة مثلًا هو تعلیق الجزاء علی الشرط؛ و أنّها واسطة ثبوت الحکم للموضوع، و لا دلالة لها علی کون ما علّق علیه هو سنخ الحکم أو شخصه، و لیس مقتضی إطلاق مقام البیان إلّا کون الارتباط غیر مرهون بزمان دون زمان، فلا یکاد یستفاد منه أیضاً أنّ المعلّق سنخ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استفادة تعلیق سنخ الحکم لا شخصه من ظهور لفظة أداة الشرط أو مقدّمات الحکمة، غیر صحیح کما لا یخفی</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مرکز البحث فی المفهوم هو کون الخطاب المعلّق سنخ الحکم أو شخصه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ظاهره أنّه قدس سره بصدد تعیین محلّ النزاع عند القوم، و لم أجد أحداً منهم إلی الآن عقد البحث کذلک؛ و قال بالمفهوم بمجرّد کون الخطاب المعلّق سنخ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محلّ النزاع بین المنکر و مثبته فی صورة کون الخطاب المعلّق سنخ الحکم، و لکن قال جمیعهم إنّ استفادة المفهوم إنّما هی من ناحیة العلّیة المنحصرة، فتدبّر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أشار إلیه المحقّق الأصفهانی قدس سره</w:t>
      </w:r>
      <w:r>
        <w:rPr>
          <w:rStyle w:val="FootnoteAnchor"/>
          <w:rtl w:val="true"/>
        </w:rPr>
        <w:footnoteReference w:id="221"/>
      </w:r>
      <w:r>
        <w:rPr>
          <w:rFonts w:ascii="IRNazanin" w:hAnsi="IRNazanin" w:eastAsia="IRNazanin"/>
          <w:color w:val="111111"/>
          <w:sz w:val="28"/>
          <w:sz w:val="28"/>
          <w:szCs w:val="28"/>
          <w:rtl w:val="true"/>
          <w:lang w:bidi="fa-IR"/>
        </w:rPr>
        <w:t>و بعض الأعاظم دام ظلّه</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نهایة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أخذ عنوان تلو حرف الشرط، هو أنّ التالی معلّق علی ذاک العنوان بخصوصه، لا علیه و علی شی‌ء آخر علی نحو الاشتراک؛ حتّی یکون التالی مستنداً إلی الجامع، و هو خلاف التعلیق، و إلّا یلزم صدور الواحد من الکثیر، مثلًا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أنّ المجی‌ء تمام العلّة لوجوب الإکرام، و لازم ذلک الانحصار بخصوصه، لا بما أنّه مصداق للجامع بینه و بین أمر آخر؛ لأنّه لو لم یکن المجی‌ء علّة منحصرة یلزم أن یکون وجوب الإکرام مستنداً إلی الجامع بین المجیئیة و غیرها، و هو خلاف ظاهر القضیة الشرطیة، حیث إنّها تقتضی ترتّب التالی علی المقدّم بعنوانه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العلّیة و المعلولیة التکوینیتین غیر باب موضوعیة شی‌ء للحکم؛ لوضوح أنّ الموضوع لم یکن موجداً لحکمه و مؤثّراً فیه، بل غایة ما هناک جعل شی‌ء بحسب الظاهر موضوعاً للحکم، فحدیث المؤثّریة ساقط، فلا مورد لجریان قاعدة الواحد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التشریع بالتکوین أورث اشتباهات، منها جریان قاعدة الواحد فیه، لما أشرنا من عدم کون العلّیة و المعلولیة فی التشریع علی حذو العلّیة و المعلولیة التکوینیة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صدور أحدهما عن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یتوهّم جریان قاعدة الواحد، بل المراد موضوعیته للحکم، و یجوز بالبداهة دخالة کلّ واحد من الماء</w:t>
      </w:r>
      <w:bookmarkStart w:id="351" w:name="pg12934_164596"/>
    </w:p>
    <w:p>
      <w:pPr>
        <w:pStyle w:val="BookText"/>
        <w:rPr/>
      </w:pPr>
      <w:bookmarkEnd w:id="351"/>
      <w:r>
        <w:rPr>
          <w:rFonts w:ascii="IRNazanin" w:hAnsi="IRNazanin" w:eastAsia="IRNazanin"/>
          <w:color w:val="111111"/>
          <w:sz w:val="28"/>
          <w:sz w:val="28"/>
          <w:szCs w:val="28"/>
          <w:rtl w:val="true"/>
          <w:lang w:bidi="fa-IR"/>
        </w:rPr>
        <w:t>الجاری و الکرّ و ماء المطر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بعناوینها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عدم الانفعال بمجرّد ملاقاة النجس، کما هو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حدیث المؤثّریة فی باب العلل التشریعیة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مجری القاعدة إنّما هو فی الواحد البسیط الذی لا تشوبه شائبة الترکیب أصلًا؛ لا خارجاً، و لا ذهناً، و لا وهماً، کما هو مقرّر فی محلّه، لا فی مطلق 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أغمضنا عن ذلک کلّه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الباب باب الدلالة اللفظیة و الاستظهار العرفی، و المتّبع فیه هو الفهم العرفی، لا التدقیقات الفلسفیة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ینقضی تعجّبی کیف تفوّه المحقّق الأصفهانی قدس سره مع تضلّعه فی المعقول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 لو اجتمع اثنان یکون المؤثّر الجامع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لم یکن للجامع وجود فی الخارج حتّی یکون مؤثّراً فی شی‌ء، بل له وجود عقلائی اعتباری،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مفهوم الجملة 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أشرنا إلی أنّه لا یصحّ و لا یمکن استفادة المفهوم من نفس الجملة الشرطیة لو خلّیت و نفسها، و لکن هذا لا ینافی استفادة المفهوم منها لو احتفّت بقرینة حالیة أو سیاقیة و نحوهما، کما لا یبعد دعوی ذلک فی أکثر الجمل الشرطیة المشتملة علی الحکم، فتدبّر</w:t>
      </w:r>
      <w:r>
        <w:rPr>
          <w:rFonts w:eastAsia="IRNazanin" w:cs="IRNazanin"/>
          <w:color w:val="111111"/>
          <w:sz w:val="28"/>
          <w:szCs w:val="28"/>
          <w:rtl w:val="true"/>
          <w:lang w:bidi="fa-IR"/>
        </w:rPr>
        <w:t>.</w:t>
      </w:r>
    </w:p>
    <w:p>
      <w:pPr>
        <w:pStyle w:val="Heading4"/>
        <w:numPr>
          <w:ilvl w:val="3"/>
          <w:numId w:val="1"/>
        </w:numPr>
        <w:rPr/>
      </w:pPr>
      <w:bookmarkStart w:id="352" w:name="__RefHeading___Toc4026277_3224264995"/>
      <w:bookmarkStart w:id="353" w:name="_Toc134"/>
      <w:bookmarkEnd w:id="352"/>
      <w:r>
        <w:rPr>
          <w:rtl w:val="true"/>
        </w:rPr>
        <w:t>بقیت امور ینبغی التنبیه علیها</w:t>
      </w:r>
      <w:r>
        <w:rPr>
          <w:rtl w:val="true"/>
        </w:rPr>
        <w:t>:</w:t>
      </w:r>
      <w:bookmarkEnd w:id="353"/>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54" w:name="__RefHeading___Toc4026279_3224264995"/>
      <w:bookmarkStart w:id="355" w:name="_Toc135"/>
      <w:bookmarkEnd w:id="354"/>
      <w:r>
        <w:rPr>
          <w:rtl w:val="true"/>
        </w:rPr>
        <w:t>اشارة</w:t>
      </w:r>
      <w:bookmarkStart w:id="356" w:name="pg12934_164597"/>
      <w:bookmarkEnd w:id="355"/>
    </w:p>
    <w:p>
      <w:pPr>
        <w:pStyle w:val="Heading5"/>
        <w:numPr>
          <w:ilvl w:val="4"/>
          <w:numId w:val="1"/>
        </w:numPr>
        <w:rPr/>
      </w:pPr>
      <w:bookmarkStart w:id="357" w:name="__RefHeading___Toc4026281_3224264995"/>
      <w:bookmarkStart w:id="358" w:name="_Toc136"/>
      <w:bookmarkEnd w:id="356"/>
      <w:bookmarkEnd w:id="357"/>
      <w:r>
        <w:rPr>
          <w:rtl w:val="true"/>
        </w:rPr>
        <w:t>الأمر الأوّل فی شمول محلّ النزاع لما إذا کان الجزاء معنی حرفیاً</w:t>
      </w:r>
      <w:bookmarkEnd w:id="358"/>
    </w:p>
    <w:p>
      <w:pPr>
        <w:pStyle w:val="Heading6"/>
        <w:numPr>
          <w:ilvl w:val="5"/>
          <w:numId w:val="1"/>
        </w:numPr>
        <w:rPr/>
      </w:pPr>
      <w:bookmarkStart w:id="359" w:name="__RefHeading___Toc4026283_3224264995"/>
      <w:bookmarkStart w:id="360" w:name="_Toc137"/>
      <w:bookmarkEnd w:id="359"/>
      <w:r>
        <w:rPr>
          <w:rtl w:val="true"/>
        </w:rPr>
        <w:t>اشارة</w:t>
      </w:r>
      <w:bookmarkEnd w:id="360"/>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محطّ النزاع فی المفهوم إنّما هو بعد الفراغ عن کون المجعول فی القضیة سنخ الحکم، کما إذا وقع المعنی الاسمی محمولًا فی القضیة، کقوله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إذا بلغ قدر کرّ لم ینجّسه شی‌ء</w:t>
      </w:r>
      <w:r>
        <w:rPr>
          <w:rFonts w:eastAsia="IRNazanin" w:cs="IRNazanin"/>
          <w:color w:val="111111"/>
          <w:sz w:val="28"/>
          <w:szCs w:val="28"/>
          <w:rtl w:val="true"/>
          <w:lang w:bidi="fa-IR"/>
        </w:rPr>
        <w:t>»</w:t>
      </w:r>
    </w:p>
    <w:p>
      <w:pPr>
        <w:pStyle w:val="BookText"/>
        <w:rPr/>
      </w:pPr>
      <w:r>
        <w:rPr>
          <w:rStyle w:val="FootnoteAnchor"/>
          <w:rtl w:val="true"/>
        </w:rPr>
        <w:footnoteReference w:id="223"/>
      </w:r>
      <w:r>
        <w:rPr>
          <w:rFonts w:ascii="IRNazanin" w:hAnsi="IRNazanin" w:eastAsia="IRNazanin"/>
          <w:color w:val="111111"/>
          <w:sz w:val="28"/>
          <w:sz w:val="28"/>
          <w:szCs w:val="28"/>
          <w:rtl w:val="true"/>
          <w:lang w:bidi="fa-IR"/>
        </w:rPr>
        <w:t>، و أمّا إذا کان المجعول فیها حکماً جزئیاً علی 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وقف مالًا علی أولاده الذکور، أو أولاده العدول، أو إن کانوا عدولًا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عقیماً أو کان له أولاد غیر عدول، فالحکم الشخصی و إن کان ینتفی، و لکنّ ذلک لیس لأجل المفهوم، بل لأجل انتفاء الموضوع أو قیده و شرطه، و انتفاء الحکم عند ذلک عقلی؛ قیل بالمفهوم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لأجل ذلک صار المحمول الذی هو معنی اسمی فی القضیة، محطّاً للنزاع بلا منازع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المحمول فیها معنی حرفیاً کهیئة الأمر أو النهی، فقد صار دخوله فی محطّ النزاع محلّاً للإشکال؛ لأنّ المعنی الحرفی جزئی، فإذا جعل محمولًا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من قبیل تعلیق شخص الحکم علی موضوعه، لا سنخ الحکم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هیئة الأمر مثلًا موضوعة لإیقاع البعث، و هو معنی جزئی بمنزلة إشارة الأخرس، فإذا جعلت محمولًا فی قضیة فلا یکاد یستفاد منها المفهوم؛ لأنّه إنّما یتطرّق فیما إذا کان المجعول فی القضیة الملفوظة سنخ الحکم</w:t>
      </w:r>
      <w:bookmarkStart w:id="361" w:name="pg12934_164598"/>
    </w:p>
    <w:p>
      <w:pPr>
        <w:pStyle w:val="BookText"/>
        <w:rPr/>
      </w:pPr>
      <w:bookmarkEnd w:id="361"/>
      <w:r>
        <w:rPr>
          <w:rFonts w:ascii="IRNazanin" w:hAnsi="IRNazanin" w:eastAsia="IRNazanin"/>
          <w:color w:val="111111"/>
          <w:sz w:val="28"/>
          <w:sz w:val="28"/>
          <w:szCs w:val="28"/>
          <w:rtl w:val="true"/>
          <w:lang w:bidi="fa-IR"/>
        </w:rPr>
        <w:t>لا شخصه، و انتفاء شخص الحکم أو الإنشاء الخاصّ بانتفاء بعض القیود،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تخلّص عن الإشکال بوجوه</w:t>
      </w:r>
      <w:r>
        <w:rPr>
          <w:rFonts w:eastAsia="IRNazanin" w:cs="IRNazanin"/>
          <w:color w:val="111111"/>
          <w:sz w:val="28"/>
          <w:szCs w:val="28"/>
          <w:rtl w:val="true"/>
          <w:lang w:bidi="fa-IR"/>
        </w:rPr>
        <w:t>:</w:t>
      </w:r>
    </w:p>
    <w:p>
      <w:pPr>
        <w:pStyle w:val="Heading6"/>
        <w:numPr>
          <w:ilvl w:val="5"/>
          <w:numId w:val="1"/>
        </w:numPr>
        <w:rPr/>
      </w:pPr>
      <w:bookmarkStart w:id="362" w:name="__RefHeading___Toc4026285_3224264995"/>
      <w:bookmarkStart w:id="363" w:name="_Toc138"/>
      <w:bookmarkEnd w:id="362"/>
      <w:r>
        <w:rPr>
          <w:rtl w:val="true"/>
        </w:rPr>
        <w:t>الوجه الأوّل</w:t>
      </w:r>
      <w:r>
        <w:rPr>
          <w:rtl w:val="true"/>
        </w:rPr>
        <w:t>:</w:t>
      </w:r>
      <w:bookmarkEnd w:id="363"/>
    </w:p>
    <w:p>
      <w:pPr>
        <w:pStyle w:val="BookText"/>
        <w:rPr/>
      </w:pPr>
      <w:r>
        <w:rPr>
          <w:rFonts w:ascii="IRNazanin" w:hAnsi="IRNazanin" w:eastAsia="IRNazanin"/>
          <w:color w:val="111111"/>
          <w:sz w:val="28"/>
          <w:sz w:val="28"/>
          <w:szCs w:val="28"/>
          <w:rtl w:val="true"/>
          <w:lang w:bidi="fa-IR"/>
        </w:rPr>
        <w:t>ما تخلّص به القائل بکون الوضع و الموضوع له فی الحروف عامّین، کالمحقّق الخراسانی قدس سره</w:t>
      </w:r>
      <w:r>
        <w:rPr>
          <w:rStyle w:val="FootnoteAnchor"/>
          <w:rtl w:val="true"/>
        </w:rPr>
        <w:footnoteReference w:id="224"/>
      </w:r>
      <w:r>
        <w:rPr>
          <w:rFonts w:ascii="IRNazanin" w:hAnsi="IRNazanin" w:eastAsia="IRNazanin"/>
          <w:color w:val="111111"/>
          <w:sz w:val="28"/>
          <w:sz w:val="28"/>
          <w:szCs w:val="28"/>
          <w:rtl w:val="true"/>
          <w:lang w:bidi="fa-IR"/>
        </w:rPr>
        <w:t>و من وافقه علی ذلک، و حاصل ما أفاده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أنّه لا فرق بین إفادة المعنی بالاسم و بالحرف، ففی کلیهما یکون الموضوع له عامّاً و کلّیاً، و الفرق بینهما إنّما هو فی خصوصیة الاستعمال، حیث إنّه لوحظت خصوصیة استعمال المعنی الاسمی بنحو الاستقلال، بخلاف المعنی الحرفی، فإنّه لوحظت فیه بنحو الآلیة و الحالیة لغیره، و علیه فالمعلّق علی الشرط إنّما هو نفس الوجوب الذی هو مفاد الصیغة و معناها، و أمّا الشخص و الخصوصیة الناشئة من قبل استعمالها فیه، فلا یکاد تکون من خصوصیات معناها المستعملة فیه، کما لا تکون الخصوصیة الحاصلة من قبل الإخبار به من خصوصیات ما اخذ و استعمل فیه إخباراً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یکون المخبر به المعلّق علی الشرط، خاصّاً بالخصوصیات الناشئة من قبل الإخبار به،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فیجب إکرامه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إکرامه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المنشأ بالطبیعة المعلّق علیه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قدس سره حکی عن الشیخ الأعظم الأنصاری أعلی اللَّه مقامه أنّه لم یقم دلیل علی کون الموضوع له فی الإنشاء عامّاً؛ لو لم نقل بقیام الدلیل علی خلافه؛ لکون الخصوصیات بأنفسها مستفادة من الألفاظ، فتعجّب قدس سره من کلامه أعلی اللَّه مقامه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لعمری لا یکاد ینقضی تعجّبی کیف تجعل خصوصیات الإنشاء من خصوصیات</w:t>
      </w:r>
      <w:bookmarkStart w:id="364" w:name="pg12934_164599"/>
    </w:p>
    <w:p>
      <w:pPr>
        <w:pStyle w:val="BookText"/>
        <w:rPr/>
      </w:pPr>
      <w:bookmarkEnd w:id="364"/>
      <w:r>
        <w:rPr>
          <w:rFonts w:ascii="IRNazanin" w:hAnsi="IRNazanin" w:eastAsia="IRNazanin"/>
          <w:color w:val="111111"/>
          <w:sz w:val="28"/>
          <w:sz w:val="28"/>
          <w:szCs w:val="28"/>
          <w:rtl w:val="true"/>
          <w:lang w:bidi="fa-IR"/>
        </w:rPr>
        <w:t>المستعمل فیه، مع 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کخصوصیات الإخبار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ناشئة من الاستعمال</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تعجّبه قدس سره فی غیر محلّه، بل إنّما التعجّب من تعجّبه؛ بداهة أنّ المعنی المستفاد من هیئة الأمر، هو المعنی المستفاد من الإشارة، فکما أنّ الإشارة لا تفید مفهوم البعث، بل تفید ما یکون بعثاً بالحمل الشائع، فکذلک هیئة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أشار الرجل بیده مثلًا، لا یفهم منه مفهوم کلّی البعث، بل غایة ما هناک إیقاع البعث، و هو معنی جزئی، کما هو واضح، فکذلک هیئة الأمر لا یفهم منها أزید ممّا یفهم من الإشارة، و الفرق بینهما إنّما هو من جهة أنّ استفادة ذلک من الهیئة بالوضع، دون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المنشأ بالألفاظ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المنشأ أمراً اعتباریاً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إیجاد معنی اعتباری، نظیر إشارة الأخرس، فکما أنّه بالإشارة یوقع البعث أو الزجر الجزئیین، فکذلک بهیئة الأمر أو النهی یُنشئ و یوجد البعث أو الزجر الاعتباریین، لا المفهوم الکلّی منهما، و لعلّه واضح بأدنی تأمّل، فعلی هذا یکون الموضوع له فی الهیئات و المعانی الحرفیة خاصّاً، کما أفاده الشیخ الأعظم أعلی اللَّه مقامه</w:t>
      </w:r>
      <w:r>
        <w:rPr>
          <w:rStyle w:val="FootnoteAnchor"/>
          <w:rtl w:val="true"/>
        </w:rPr>
        <w:footnoteReference w:id="226"/>
      </w:r>
      <w:r>
        <w:rPr>
          <w:rFonts w:ascii="IRNazanin" w:hAnsi="IRNazanin" w:eastAsia="IRNazanin"/>
          <w:color w:val="111111"/>
          <w:sz w:val="28"/>
          <w:sz w:val="28"/>
          <w:szCs w:val="28"/>
          <w:rtl w:val="true"/>
          <w:lang w:bidi="fa-IR"/>
        </w:rPr>
        <w:t>، فلیت شعری لأیّ شی‌ء تعجّب المحقّق الخراسانی قدس سره من الشیخ الأعظم أعلی اللَّه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تخلّص به المحقّق الخراسانی قدس سره من الإشکال غیر وجیه</w:t>
      </w:r>
      <w:r>
        <w:rPr>
          <w:rFonts w:eastAsia="IRNazanin" w:cs="IRNazanin"/>
          <w:color w:val="111111"/>
          <w:sz w:val="28"/>
          <w:szCs w:val="28"/>
          <w:rtl w:val="true"/>
          <w:lang w:bidi="fa-IR"/>
        </w:rPr>
        <w:t>.</w:t>
      </w:r>
    </w:p>
    <w:p>
      <w:pPr>
        <w:pStyle w:val="Heading6"/>
        <w:numPr>
          <w:ilvl w:val="5"/>
          <w:numId w:val="1"/>
        </w:numPr>
        <w:rPr/>
      </w:pPr>
      <w:bookmarkStart w:id="365" w:name="__RefHeading___Toc4026287_3224264995"/>
      <w:bookmarkStart w:id="366" w:name="_Toc139"/>
      <w:bookmarkEnd w:id="365"/>
      <w:r>
        <w:rPr>
          <w:rtl w:val="true"/>
        </w:rPr>
        <w:t>الوجه الثانی</w:t>
      </w:r>
      <w:r>
        <w:rPr>
          <w:rtl w:val="true"/>
        </w:rPr>
        <w:t>:</w:t>
      </w:r>
      <w:bookmarkEnd w:id="366"/>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تخلّص به المحقّق النائینی قدس سره و قد صرّح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التوهّم أو الإشکال لا یبتنی علی کون الوضع فی الحروف خاصّاً، و لا الجواب مبنی علی کون الوضع فیها عامّاً، بل لو قلنا بأنّ الوضع فیها عامّ فیتوجّه الإشکال أیضاً؛ لأنّ</w:t>
      </w:r>
    </w:p>
    <w:p>
      <w:pPr>
        <w:pStyle w:val="BookText"/>
        <w:rPr/>
      </w:pPr>
      <w:r>
        <w:rPr>
          <w:rFonts w:ascii="IRNazanin" w:hAnsi="IRNazanin" w:eastAsia="IRNazanin"/>
          <w:color w:val="111111"/>
          <w:sz w:val="28"/>
          <w:sz w:val="28"/>
          <w:szCs w:val="28"/>
          <w:rtl w:val="true"/>
          <w:lang w:bidi="fa-IR"/>
        </w:rPr>
        <w:t>الإشکال من جهة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أنّه یعتبر فی التقیید و التعلیق أن یلاحظ الشی‌ء معنی اسمیاً، و المعنی الحرفی غیر قابل للتقیید و التعلیق، فالجواب لا بدّ و أن یکون من جهة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التقیید یرجع إلی المحمول المنتسب؛ أی للمحمول فی رتبة الانتساب، فالمعلّق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الجزاء بصورة الإخبار،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یجب إکرامه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بصورة الإنشاء،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فی المعنی الحرفی، بل فی المعنی الاسمی؛ و هو وجوب الإکرام، و هو الذی ینتفی بانتفاء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الاصول</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قرّر الجواب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أجود التقریرات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یتحد مع التقریب الأوّل لُبّاً، و یختلف عنه تأدیة، و لعلّ ما فیه أحسن ممّا فی سابقه،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المعلّق فی القضیة لیس هو مفاد الهیئة؛ لأنّه معنی حرفی و ملحوظ آلی، بل المعلّق فی القضیة هی نتیجة القضیة المذکورة فی الجزاء؛ أی المادّة المنتسبة، فالمعلّق فی الحقیقة الحکم العارض للمادّة، کوجوب الصلاة 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 الوقت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فینتفی هو بانتفاء شرطه</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 ما ذکرناه مفصّلًا فی المعانی الحرفیة</w:t>
      </w:r>
      <w:r>
        <w:rPr>
          <w:rStyle w:val="FootnoteAnchor"/>
          <w:rtl w:val="true"/>
        </w:rPr>
        <w:footnoteReference w:id="229"/>
      </w:r>
      <w:r>
        <w:rPr>
          <w:rFonts w:ascii="IRNazanin" w:hAnsi="IRNazanin" w:eastAsia="IRNazanin"/>
          <w:color w:val="111111"/>
          <w:sz w:val="28"/>
          <w:sz w:val="28"/>
          <w:szCs w:val="28"/>
          <w:rtl w:val="true"/>
          <w:lang w:bidi="fa-IR"/>
        </w:rPr>
        <w:t>، و إجماله أنّ المعانی الحرفیة قابلة للتقیید، و ملتفت إلیها، بل أکثر القیود التی تقع فی الکلام و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خبریة کانت أم إنشائیة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هی فی المعانی الحرفیة، مثلًا القیود التی 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زید عمراً، أمام الأمیر، یوم الجمعة، ضرباً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ترجع إلی المعنی الحرفی</w:t>
      </w:r>
      <w:r>
        <w:rPr>
          <w:rFonts w:eastAsia="IRNazanin" w:cs="IRNazanin"/>
          <w:color w:val="111111"/>
          <w:sz w:val="28"/>
          <w:szCs w:val="28"/>
          <w:rtl w:val="true"/>
          <w:lang w:bidi="fa-IR"/>
        </w:rPr>
        <w:t>.</w:t>
      </w:r>
      <w:bookmarkStart w:id="367" w:name="pg12934_164601"/>
    </w:p>
    <w:p>
      <w:pPr>
        <w:pStyle w:val="BookText"/>
        <w:rPr/>
      </w:pPr>
      <w:bookmarkEnd w:id="367"/>
      <w:r>
        <w:rPr>
          <w:rFonts w:ascii="IRNazanin" w:hAnsi="IRNazanin" w:eastAsia="IRNazanin"/>
          <w:color w:val="111111"/>
          <w:sz w:val="28"/>
          <w:sz w:val="28"/>
          <w:szCs w:val="28"/>
          <w:rtl w:val="true"/>
          <w:lang w:bidi="fa-IR"/>
        </w:rPr>
        <w:t>نعم، المعنی الحرفی لا یقع موضوعاً فی القضیة، و لا محمولًا لها؛ و ذلک بلحاظ أنّ المعنی الحرفی سنخ معنی ربطی غیر مستقلّ فی التحقّق و الوجود، لذا یأبی عن جعله موضوعاً أو محمولًا، و مقتضی ذلک عدم تعلّق اللحاظ الاستقلالی بالمعنی الحرفی، و لکنّ ذلک لا یوجب عدم إمکان تقییده؛ بداهة أنّ التقیید کما یمکن أن یکون فی المعنی الملحوظ مستقلّاً، فکذلک یمکن أن یکون فی المعنی الملحوظ تبعاً و آلة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لها مادّة و هیئة، و کلّ منهما موضوع لمعنی غیر ما للآخر؛ لأنّ المادّة تدلّ علی طبیعة الإکرام، و الهیئة تدلّ علی البعث إلیها، فهناک دالّان و مدلولان، و کلّ منهما یدلّ علی معناه مستقلّاً غیر مربوط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دلالة کلّ منهما فی ضمن الآخر؛ لأنّه لا یمکن التنطق بکلّ واحد منهما مستقلّاً، فکما أنّ الهیئة فی ضمن المادّة تدلّ علی المعنی، فکذلک المادّة فی ضمن الهیئة تدلّ علی المعنی، فعند استعمال صیغة الأمر یلاحظ و یستعمل کلّ من الهیئة و المادّة فی معناهما، و إلّا فلو لم یستعملا یلزم کون التنطّق بهیئة الأمر لقلقة اللسان، و هو کما تری واضح البطلان، فما أفاده قدس سره من عدم إمکان تقیید المعنی الحرفی، 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المتبادر عند العرف و العقلاء من القضیة 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علّیة الشرط للجزاء، فلم یکن هنا مقام التقیید حتّی یحتاج فی تصحیحه إلی إرجاع التقیید إلی المحمول المنتسب و غیره، و لا وجه لصرف الکلام عن ظاهره العرفی و ارتکاب ما یکون خلاف الظاهر،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المعلّق هو نتیجة القضیة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به أنّها قبل صیرورتها نتیجة معلّقة، فلازمه أن یکون التقیید فی المعنی الحرفی، و إن کان بعد ذلک فلا مجال للتقیید، فتأمّل</w:t>
      </w:r>
      <w:r>
        <w:rPr>
          <w:rFonts w:eastAsia="IRNazanin" w:cs="IRNazanin"/>
          <w:color w:val="111111"/>
          <w:sz w:val="28"/>
          <w:szCs w:val="28"/>
          <w:rtl w:val="true"/>
          <w:lang w:bidi="fa-IR"/>
        </w:rPr>
        <w:t>.</w:t>
      </w:r>
    </w:p>
    <w:p>
      <w:pPr>
        <w:pStyle w:val="Heading6"/>
        <w:numPr>
          <w:ilvl w:val="5"/>
          <w:numId w:val="1"/>
        </w:numPr>
        <w:rPr/>
      </w:pPr>
      <w:bookmarkStart w:id="368" w:name="__RefHeading___Toc4026289_3224264995"/>
      <w:bookmarkStart w:id="369" w:name="_Toc140"/>
      <w:bookmarkEnd w:id="368"/>
      <w:r>
        <w:rPr>
          <w:rtl w:val="true"/>
        </w:rPr>
        <w:t>الوجه الثالث</w:t>
      </w:r>
      <w:r>
        <w:rPr>
          <w:rtl w:val="true"/>
        </w:rPr>
        <w:t>:</w:t>
      </w:r>
      <w:bookmarkEnd w:id="369"/>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تخلّصنا به عن الإشکال، و هو جارٍ فی مطلق القضایا</w:t>
      </w:r>
    </w:p>
    <w:p>
      <w:pPr>
        <w:pStyle w:val="BookText"/>
        <w:rPr/>
      </w:pPr>
      <w:r>
        <w:rPr>
          <w:rFonts w:ascii="IRNazanin" w:hAnsi="IRNazanin" w:eastAsia="IRNazanin"/>
          <w:color w:val="111111"/>
          <w:sz w:val="28"/>
          <w:sz w:val="28"/>
          <w:szCs w:val="28"/>
          <w:rtl w:val="true"/>
          <w:lang w:bidi="fa-IR"/>
        </w:rPr>
        <w:t>إخباریة کانت أم إنشائیة،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فی أنّه إذا القیت جملة خبریة،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طلعت الشمس وجد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منها أنّ بین طلوع الشمس و وجود النهار، مناسبةً و رابطة واقعیة أخبر عنها المخبر، و لم یقل أحد بأنّ هنا إخبارین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الإخبار بالتلازم بین الشرط و الجزاء،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الإخبار بأنّ النهار موجود، بل غایة ما یفهم العرف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ببابک فاختبرهم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علّیة طلوع الشمس لوجود النهار، و حیث إنّه متوقّف علیه ثبوتاً فأراد المخبر الإخبار عمّا هو الثابت، فإذن الجملة الخبریة إخبار عمّا هو الثابت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فبعد ما عرفت الأمر فی الجمل الخبریة، فیمکن دعوی ذلک فی القضایا الإنشائیة غیر التعلیقیة أیضاً؛ و ذلک لما تقرّر فی محلّه من أنّ الواجبات الشرعیة ألطاف فی الواجبات العقلیة</w:t>
      </w:r>
      <w:r>
        <w:rPr>
          <w:rStyle w:val="FootnoteAnchor"/>
          <w:rtl w:val="true"/>
        </w:rPr>
        <w:footnoteReference w:id="230"/>
      </w:r>
      <w:r>
        <w:rPr>
          <w:rFonts w:ascii="IRNazanin" w:hAnsi="IRNazanin" w:eastAsia="IRNazanin"/>
          <w:color w:val="111111"/>
          <w:sz w:val="28"/>
          <w:sz w:val="28"/>
          <w:szCs w:val="28"/>
          <w:rtl w:val="true"/>
          <w:lang w:bidi="fa-IR"/>
        </w:rPr>
        <w:t>، فللواجب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کالصلاة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الواقع و نفس الأمر، اقتضاء للوجوب و مصلحة ملزمة؛ بحیث لو اطلعنا علیها لحکمت عقولنا بلزوم إتیانها، فإذن ایجاب الشارع الأقدس الصلاة و أمره بإتیانها بقوله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لتحصیل المصلحة التی تکون فیها، و هکذا الحال فی القضایا الإنشائیة التعلیقیة؛ لأنّ المعلّق فیها فی ظاهر القضیة و إن کان تعلیق الإنشاء و البعث إلی الشرط، و هو یوهم علّیة الشرط لإنشاء البعث، و لکنّ المتبادر عند العرف و العقلاء من ذلک، هو أنّ المناسبة و الارتباط الواقعی بین حیثیة مادّة الجزاء و الشرط، أوجب إخبار المتکلّم عنها، مثلًا إذا قال المولی لعبده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یفهم العرف و العقلاء من ذلک، أنّ التناسب الواقعی بین المجی‌ء و الإکرام،</w:t>
      </w:r>
    </w:p>
    <w:p>
      <w:pPr>
        <w:pStyle w:val="BookText"/>
        <w:rPr/>
      </w:pPr>
      <w:r>
        <w:rPr>
          <w:rFonts w:ascii="IRNazanin" w:hAnsi="IRNazanin" w:eastAsia="IRNazanin"/>
          <w:color w:val="111111"/>
          <w:sz w:val="28"/>
          <w:sz w:val="28"/>
          <w:szCs w:val="28"/>
          <w:rtl w:val="true"/>
          <w:lang w:bidi="fa-IR"/>
        </w:rPr>
        <w:t>دعا المولی لإیجاب الإکرام عند تحقّق المجی‌ء، فالإیجاب متفرّع علی الثابت الواقعی، و إلّا کان التفریع لغواً و جزافاً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مورد تعلّق حکم بشرط، یفهم منه العرف و العقلاء أنّ بین طبیعی ذاک الحکم و ذلک الشرط، ملازمةً و ارتباطاً واقعیاً ألجأ المولی للتوصّل إلیها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تلک الاستفادة بین جعل ذلک و التعبیر عنها بالمعنی الاسمی، و بین إنشائها بالهیئة و المعنی الحرفی؛ فإنّه و إن کان ظاهر القضیة ترتّب البعث علی الشرط، إلّا أنّ المرتکز عند العرف و العقلاء من ذلک وجود المناسبة بین الشرط و مادّة الجزاء، فیکون بعینها عنواناً مشیراً و آلة للتوصّل بها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لو تمّ فی مورد استفادة العلّیة المنحصرة من الشرط، لتمّت استفادة المفهوم من القضیة الشرطیة و إن کان الجزاء بصیغة الأمر أو النهی</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الهیئة و إن کانت دالّة علی البعث الحرفی، و لکن تناسب الحکم و الموضوع یوجب إلغاء الخصوصیة عرفاً، و یجعل الشرط علّة منحصرة لنفس الوجوب و طبیعیه، فبانتفائه ینتفی طبیعی الوجوب و سنخه، فتدبّر</w:t>
      </w:r>
      <w:r>
        <w:rPr>
          <w:rFonts w:eastAsia="IRNazanin" w:cs="IRNazanin"/>
          <w:color w:val="111111"/>
          <w:sz w:val="28"/>
          <w:szCs w:val="28"/>
          <w:rtl w:val="true"/>
          <w:lang w:bidi="fa-IR"/>
        </w:rPr>
        <w:t>.</w:t>
      </w:r>
      <w:bookmarkStart w:id="370" w:name="pg12934_164604"/>
    </w:p>
    <w:p>
      <w:pPr>
        <w:pStyle w:val="Heading5"/>
        <w:numPr>
          <w:ilvl w:val="4"/>
          <w:numId w:val="1"/>
        </w:numPr>
        <w:rPr/>
      </w:pPr>
      <w:bookmarkStart w:id="371" w:name="__RefHeading___Toc4026291_3224264995"/>
      <w:bookmarkStart w:id="372" w:name="_Toc141"/>
      <w:bookmarkEnd w:id="370"/>
      <w:bookmarkEnd w:id="371"/>
      <w:r>
        <w:rPr>
          <w:rtl w:val="true"/>
        </w:rPr>
        <w:t>الأمر الثانی فی تعدّد الشرط و اتحاد الجزاء</w:t>
      </w:r>
      <w:bookmarkEnd w:id="372"/>
    </w:p>
    <w:p>
      <w:pPr>
        <w:pStyle w:val="Heading6"/>
        <w:numPr>
          <w:ilvl w:val="5"/>
          <w:numId w:val="1"/>
        </w:numPr>
        <w:rPr/>
      </w:pPr>
      <w:bookmarkStart w:id="373" w:name="__RefHeading___Toc4026293_3224264995"/>
      <w:bookmarkStart w:id="374" w:name="_Toc142"/>
      <w:bookmarkEnd w:id="373"/>
      <w:r>
        <w:rPr>
          <w:rtl w:val="true"/>
        </w:rPr>
        <w:t>اشارة</w:t>
      </w:r>
      <w:bookmarkEnd w:id="374"/>
    </w:p>
    <w:p>
      <w:pPr>
        <w:pStyle w:val="BookText"/>
        <w:rPr/>
      </w:pPr>
      <w:r>
        <w:rPr>
          <w:rFonts w:ascii="IRNazanin" w:hAnsi="IRNazanin" w:eastAsia="IRNazanin"/>
          <w:color w:val="111111"/>
          <w:sz w:val="28"/>
          <w:sz w:val="28"/>
          <w:szCs w:val="28"/>
          <w:rtl w:val="true"/>
          <w:lang w:bidi="fa-IR"/>
        </w:rPr>
        <w:t xml:space="preserve">إذا تعدّد الشرط و اتحد الجزاء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خفی الأذان فقصّر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خفی الجدران فقصّر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فبناء علی ظهور الجملة الشرطیة فی المفهوم، یقع التعارض بینهما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تنقیح البحث فی ذلک یستدعی التکلّم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التعارض بینهما أوّلًا و بالذات، هل هو بین المنطوقین بلحاظ أنّ کلّ واحدة من الجملتین تدلّ علی الانحصار، فلا یمکن صدقهما معاً، أو بین مفهوم إحداهما و منطوق الاخری؛ بلحاظ أنّ مفهوم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خفی الجدران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لم یخف الجدران فلا تقصّر حتّی و إن خفی الأذان، و یدلّ منطوق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خفی الأذان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خفاء الأذان موجب للقصر، فالتعارض بین مفهوم الأوّل و منطوق الثانی؟</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علاج التعارض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العلاج المبحوث عنه هنا، إنّما هو فی إمکان الجمع العقلائی بینهما و عدمه، لا العلاج المبحوث عنه فی باب التعادل و الترجیح الذی یکون فیما إذا اختلف الدلیلان و لم یمکن الجمع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لم یمکن الجمع بینهما فی المقام فتدخل فی موضوع مسألة التعارض، فلا بدّ عند ذلک من ملاحظة مرجّحات تلک المسألة فتدبّر</w:t>
      </w:r>
      <w:r>
        <w:rPr>
          <w:rFonts w:eastAsia="IRNazanin" w:cs="IRNazanin"/>
          <w:color w:val="111111"/>
          <w:sz w:val="28"/>
          <w:szCs w:val="28"/>
          <w:rtl w:val="true"/>
          <w:lang w:bidi="fa-IR"/>
        </w:rPr>
        <w:t>.</w:t>
      </w:r>
    </w:p>
    <w:p>
      <w:pPr>
        <w:pStyle w:val="Heading6"/>
        <w:numPr>
          <w:ilvl w:val="5"/>
          <w:numId w:val="1"/>
        </w:numPr>
        <w:rPr/>
      </w:pPr>
      <w:bookmarkStart w:id="375" w:name="__RefHeading___Toc4026295_3224264995"/>
      <w:bookmarkStart w:id="376" w:name="_Toc143"/>
      <w:bookmarkEnd w:id="375"/>
      <w:r>
        <w:rPr>
          <w:rtl w:val="true"/>
        </w:rPr>
        <w:t>المقام الأوّل</w:t>
      </w:r>
      <w:r>
        <w:rPr>
          <w:rtl w:val="true"/>
        </w:rPr>
        <w:t xml:space="preserve">: </w:t>
      </w:r>
      <w:r>
        <w:rPr>
          <w:rtl w:val="true"/>
        </w:rPr>
        <w:t>فی أنّ التعارض أوّلًا و بالذات بین المنطوقین</w:t>
      </w:r>
      <w:bookmarkEnd w:id="376"/>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استفادة المفهوم من الجملة الشرطیة، حیث لم تکن ممحّضة بالدلالة الوضعیة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مطابقة أو التزاماً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الدلالة العقلیة، و لذا تری أنّ القائلین بالمفهوم ربما</w:t>
      </w:r>
    </w:p>
    <w:p>
      <w:pPr>
        <w:pStyle w:val="BookText"/>
        <w:rPr/>
      </w:pPr>
      <w:r>
        <w:rPr>
          <w:rFonts w:ascii="IRNazanin" w:hAnsi="IRNazanin" w:eastAsia="IRNazanin"/>
          <w:color w:val="111111"/>
          <w:sz w:val="28"/>
          <w:sz w:val="28"/>
          <w:szCs w:val="28"/>
          <w:rtl w:val="true"/>
          <w:lang w:bidi="fa-IR"/>
        </w:rPr>
        <w:t>یستدلّون لذلک بالتبادر و الانصراف، کما ربما یستدلّون لذلک بالإطلاق و مقدّمات الحکمة، فینبغی البحث علی جمیع المبانی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استفید المفهوم من التبادر و وضع الجملة الشرطیة للعلّة المنحصرة، فیکون معنی الجملتین أنّ العلّة المنحصرة لقصر الصلاة خفاء الأذان، و العلّة المنحصرة لقصر الصلاة خفاء الجدران، و من الواضح أنّه لو عرضناهما علی العرف و العقلاء، لرأوا التنافی بین منطوقیهما من دون توجّه و التفات إلی مفهومیهما؛ ضرورة أنّ حصر العلّیة فی شی‌ء ینافی إثباتها لشی‌ء آخر، فضلًا عن حصرها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قلنا بأنّ استفادة العلّیة المنحصرة و المفهوم من الانصراف، یکون التعارض بین الجملتین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و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المنطوقین أیضاً؛ لأنّ کلّاً من الجملتین بمنزلة التصریح بالعلّیة المنحصرة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استفید الانحصار و المفهوم من الإطلاق و مقدّمات الحکمة، فإنّه یقع التعارض بین أصالتی الإطلاق فی الجملتین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المفهوم لم یکد یکون بین الجملتین تعارض، فلم یکن التعارض أوّلًا و بالذات بین المنطوقین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العرف و العقلاء قبل التفاتهم إلی مفهوم الجملتین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التنافی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ینقدح فی ذهنهم التنافی بین منطوقی الجملتین بمجرّد انحصار العلّیة فی شی‌ء فی إحدی الجملتین، و انحصارها فی شی‌ء آخر فی الجملة الاخری، و یرون بطلان الجمع بین کون العلّیة المنحصرة لقصر الصلاة خفاء الأذان مثلًا، مع إثبات العلّیة لخفاء الجدران، فضلًا عن حصرها فیه، و یرون أنّ المتکلّم بهما جمع بین المتناقضین</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أبیت عن ذلک، فمع ذلک لا یمکنک إنکار مخالفة اجتماع انحصار العلّیة فی شی‌ء، مع انحصارها فی شی‌ء آخر، فالإخبار بهما إخبار عن المحال</w:t>
      </w:r>
      <w:r>
        <w:rPr>
          <w:rFonts w:eastAsia="IRNazanin" w:cs="IRNazanin"/>
          <w:color w:val="111111"/>
          <w:sz w:val="28"/>
          <w:szCs w:val="28"/>
          <w:rtl w:val="true"/>
          <w:lang w:bidi="fa-IR"/>
        </w:rPr>
        <w:t>.</w:t>
      </w:r>
      <w:bookmarkStart w:id="377" w:name="pg12934_164606"/>
    </w:p>
    <w:p>
      <w:pPr>
        <w:pStyle w:val="BookText"/>
        <w:rPr/>
      </w:pPr>
      <w:bookmarkEnd w:id="377"/>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جمیع المبانی فی أخذ المفهوم، یکون التعارض أوّلًا و بالذات بین المنطوقین، و بتبع ذلک یقع التعارض بین منطوق إحداهما و مفهوم الاخری، فتدبّر</w:t>
      </w:r>
      <w:r>
        <w:rPr>
          <w:rFonts w:eastAsia="IRNazanin" w:cs="IRNazanin"/>
          <w:color w:val="111111"/>
          <w:sz w:val="28"/>
          <w:szCs w:val="28"/>
          <w:rtl w:val="true"/>
          <w:lang w:bidi="fa-IR"/>
        </w:rPr>
        <w:t>.</w:t>
      </w:r>
    </w:p>
    <w:p>
      <w:pPr>
        <w:pStyle w:val="Heading6"/>
        <w:numPr>
          <w:ilvl w:val="5"/>
          <w:numId w:val="1"/>
        </w:numPr>
        <w:rPr/>
      </w:pPr>
      <w:bookmarkStart w:id="378" w:name="__RefHeading___Toc4026297_3224264995"/>
      <w:bookmarkStart w:id="379" w:name="_Toc144"/>
      <w:bookmarkEnd w:id="378"/>
      <w:r>
        <w:rPr>
          <w:rtl w:val="true"/>
        </w:rPr>
        <w:t>المقام الثانی</w:t>
      </w:r>
      <w:r>
        <w:rPr>
          <w:rtl w:val="true"/>
        </w:rPr>
        <w:t xml:space="preserve">: </w:t>
      </w:r>
      <w:r>
        <w:rPr>
          <w:rtl w:val="true"/>
        </w:rPr>
        <w:t>فی علاج التعارض بین الجملتین</w:t>
      </w:r>
      <w:bookmarkEnd w:id="379"/>
    </w:p>
    <w:p>
      <w:pPr>
        <w:pStyle w:val="Heading6"/>
        <w:numPr>
          <w:ilvl w:val="5"/>
          <w:numId w:val="1"/>
        </w:numPr>
        <w:rPr/>
      </w:pPr>
      <w:bookmarkStart w:id="380" w:name="__RefHeading___Toc4026299_3224264995"/>
      <w:bookmarkStart w:id="381" w:name="_Toc145"/>
      <w:bookmarkEnd w:id="380"/>
      <w:r>
        <w:rPr>
          <w:rtl w:val="true"/>
        </w:rPr>
        <w:t>اشارة</w:t>
      </w:r>
      <w:bookmarkEnd w:id="381"/>
    </w:p>
    <w:p>
      <w:pPr>
        <w:pStyle w:val="BookText"/>
        <w:rPr/>
      </w:pPr>
      <w:r>
        <w:rPr>
          <w:rFonts w:ascii="IRNazanin" w:hAnsi="IRNazanin" w:eastAsia="IRNazanin"/>
          <w:color w:val="111111"/>
          <w:sz w:val="28"/>
          <w:sz w:val="28"/>
          <w:szCs w:val="28"/>
          <w:rtl w:val="true"/>
          <w:lang w:bidi="fa-IR"/>
        </w:rPr>
        <w:t>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تختلف کیفیة ذلک باختلاف المشارب فی استفادة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استفید ذلک من ناحیة وضع الجملة الشرطیة للعلّیة المنحصرة، فتتعارض أصالة الحقیقة فی کلّ منهما مع أصالة الحقیقة فی الاخری، و حیث إنّه لا ترجیح لإحداهما علی الاخری، تتساقط أصالة الحقیقة من الجملتین، و یحصل الإجمال فی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حملهما علی العلّیة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لکونها أقرب المجازات إلی المعنی الحقیقی و العلّیة المنحصرة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فغیر وجیه؛ لأنّ باب الاستعمال غیر رهین بأقربیة شی‌ء لشی‌ء واقعاً، لأنّ المعتبر فی ذلک الانس الذهنی و الفهم العقلائی الراجع إلی الاستظهار العرفی و مأنوسیة الاستعمال، فربما تکون غیر العلّة التامّة أظهر منها فی مقام الاستظهار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فی بعض الموارد ظهور فی العلّیة التامّة فیتّبع، فإن رجع مقال مدّعی الأقربیة إلی هذا فهو، و إلّا فغیر سدید، کما أشرنا، فتدبّر</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لم نقل بوضع الجملة الشرطیة للعلّیة المنحصرة، بل وضعت للعلّة التامّة، إلّا أنّها تکون منصرفة إلی العلّة المنحصرة، فیقع التعارض بین الانصرافین، و ظاهر أنّ الانصراف متأخّر عن استعمال اللفظ فی معناه الموضوع له، لا قبله حتّی یکون الاستعمال مجازیاً، فاللفظ مستعمل فی معناه الحقیقی، و غایة ما یقتضیه الانصراف کون المراد الجدّی قسماً منها؛ و هو العلّیة المنحصرة، و هذه حجّة لو لا ابتلاؤه بالمعارض، و بعد تعارض الانصرافین لا یمکن ثبوت إرادة ما انصرف إلیه</w:t>
      </w:r>
    </w:p>
    <w:p>
      <w:pPr>
        <w:pStyle w:val="BookText"/>
        <w:rPr/>
      </w:pPr>
      <w:r>
        <w:rPr>
          <w:rFonts w:ascii="IRNazanin" w:hAnsi="IRNazanin" w:eastAsia="IRNazanin"/>
          <w:color w:val="111111"/>
          <w:sz w:val="28"/>
          <w:sz w:val="28"/>
          <w:szCs w:val="28"/>
          <w:rtl w:val="true"/>
          <w:lang w:bidi="fa-IR"/>
        </w:rPr>
        <w:t>جدّاً فی کلّ من الجملتین، فیتساقط الانصرافان، فتبقی أصالة الحقیقة فی کلّ منهما محکّمة، و مقتضاها کون کلّ من خفاء الأذان و خفاء الجدران، علّة تامّة لقصر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بکون شی‌ء علّة تامّة فی المقام، لیس ما هو المصطلح علیه عند أرباب المعقول، بل المراد هو کون الشی‌ء تمام الموضوع لترتّب الحکم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تمهّد لک ما ذکرنا فیما إذا کانت الجملة موضوعة للعلّة التامّة و انصرفت إلی العلّة المنحصرة، یسهل لک الأمر لو قیل بوضع الجملة الشرطیة لمطلق الترتّب بین الشرط و الجزاء، أو بوضعها لمطلق الترتّب بینهما، و لکن قیل بانصرافها إلی العلّة المنحصرة، فلا یحتاج إلی البیان،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استفید المفهوم من ناحیة الإطلاق و مقدّمات الحکمة، فلا یخلو إمّا أن یقال باستفادة العلّیة التامّة من ناحیة وضع اللفظ، و استفادة الانحصار من ناحیة الإطلاق، أو یقال بأنّ استفادة کلّ من العلّیة التامّة و الانحصار من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القول الأوّل، حیث إنّ حجّیة أصالة الإطلاق من باب ظهور الفعل و کشفه عن تعلّق الإرادة بهما، فإن جرت فی المقام أصالة الإطلاق فیهما فی حدّ نفسها، فیقع التعارض بین أصالتی الإطلاق فی الجملتین، فتقع أصالة الحقیقة فیهما بلا مزاحم فیؤخذ بها، و مقتضاه کون کلّ من خفاء الجدران و الأذان علّة تامّة لترتّب القصر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أبیت عن جریان أصالة الإطلاق فیهما فی المقام، فلا یضرّ ذلک بالأخذ بأصالة الحقیقة فیهما، کما لا یخفی فتدبّر</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إذا کانت استفادة کلّ من العلّیة التامّة و الانحصار من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فمقتضی أصالة الإطلاق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خفی الأذان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الشریک؛ و أنّ خفاء الأذان تمام الموضوع لقصر الصلاة، کما أنّ مقتضی أصالة الانحصار فیه نفی</w:t>
      </w:r>
    </w:p>
    <w:p>
      <w:pPr>
        <w:pStyle w:val="BookText"/>
        <w:rPr/>
      </w:pPr>
      <w:r>
        <w:rPr>
          <w:rFonts w:ascii="IRNazanin" w:hAnsi="IRNazanin" w:eastAsia="IRNazanin"/>
          <w:color w:val="111111"/>
          <w:sz w:val="28"/>
          <w:sz w:val="28"/>
          <w:szCs w:val="28"/>
          <w:rtl w:val="true"/>
          <w:lang w:bidi="fa-IR"/>
        </w:rPr>
        <w:t>البدیل؛ و أنّه لا یخلف خفاء الأذان شی‌ءٌ فی قصر الصلاة، فبعد ورود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خفی الجدران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إجمالًا بطروّ القید علی الجملة الاولی، و لکن یحتمل أن یکون خفاء الجدران قیداً لخفاء الأذان، و مقتضاه إثبات الشریک له، فیکون خفاء الجدران جزءاً للموضوع، أو عدلًا له، و مقتضاه إثبات العدل له، و بعد قیام العلم الإجمالی یقع التعارض بین أصالة الإطلاق من جانب نفی الشریک، و من جانب نفی البدیل، و حیث إنّه لا ترجیح لأحدهما فیرجع إلی الاصول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یقال بانحلال 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بورود قید إمّا علی الإطلاق من ناحیة نفی الشریک، و إمّا علیه من ناحیة نفی البدیل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العلم التفصیلی بعدم انحصار العلّة؛ إمّا لأجل تقیید الإطلاق من ناحیة البدیل، و إمّا لأجل تقییده من ناحیة نفی الشریک الرافع لموضوع الإطلاق من ناحیة البدیل، فیشکّ فی تقیید الإطلاق من ناحیة الشریک بدواً، فیتمسّک بأصالة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القید إمّا وارد علی الإطلاق المثبت للانحصار، أو الإطلاق المفید للاستقلال، و علی التقدیرین یکون الانحصار منفیاً إمّا لتعلّق القید به، أو بموضوعه، فینحلّ العلم الإجمالی إلی العلم التفصیلی بعدم الانحصار إمّا لأجل تقیید الإطلاق من جهة البدیل، أو لأجل تقییده من جهة الشریک، فیرتفع موضوع الإطلاق من جهة البدیل، و إلی شکّ بدوی فی تقیید الإطلاق من جهة الشریک، فیتمسّک بأصالة الإطلاق فی ذلک</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لانحلال العلم الإجمالی ضابطاً لا ینطبق علی ما نحن فیه، و قد أشرنا إلیه سابقاً</w:t>
      </w:r>
      <w:r>
        <w:rPr>
          <w:rStyle w:val="FootnoteAnchor"/>
          <w:rtl w:val="true"/>
        </w:rPr>
        <w:footnoteReference w:id="231"/>
      </w:r>
      <w:r>
        <w:rPr>
          <w:rFonts w:ascii="Amiri" w:hAnsi="Amiri" w:eastAsia="Amiri" w:cs="Amiri"/>
          <w:color w:val="111111"/>
          <w:sz w:val="28"/>
          <w:sz w:val="28"/>
          <w:szCs w:val="28"/>
          <w:rtl w:val="true"/>
          <w:lang w:bidi="ar-SA"/>
        </w:rPr>
        <w:t>، و سیجی‌ء التعرّض له إن شاء اللَّه مفصّلًا، و حاصله صیرورة</w:t>
      </w:r>
    </w:p>
    <w:p>
      <w:pPr>
        <w:pStyle w:val="BookText"/>
        <w:rPr/>
      </w:pPr>
      <w:r>
        <w:rPr>
          <w:rFonts w:ascii="IRNazanin" w:hAnsi="IRNazanin" w:eastAsia="IRNazanin"/>
          <w:color w:val="111111"/>
          <w:sz w:val="28"/>
          <w:sz w:val="28"/>
          <w:szCs w:val="28"/>
          <w:rtl w:val="true"/>
          <w:lang w:bidi="fa-IR"/>
        </w:rPr>
        <w:t>العلم الإجمالی عند التحلیل و فی الواقع، علماً تفصیلیاً و شکّاً بدویاً؛ بحیث یزول العلم الإجمالی و یتبدّل إلی العلم التفصیلی و الشکّ البدوی، کما فی الأقلّ و الأکثر الاستقلالیین، کالدین المردّد بین عشرة دراهم أو ثلاثین مثلًا، فعند التوجّه البدوی إلی الدین یحصل له العلم الإجمالی بدین مردّد بین عشرة دراهم و ثلاثین، و لکن بعد التأمّل ینحلّ هذا العلم الإجمالی و یتبدّل إلی العلم التفصیلی باشتغال ذمّته بعشرة دراهم و الشکّ البدوی باشتغاله بعشرین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الضابط فی انحلال العلم الإجمالی هو زواله؛ بحیث تخرج الأطراف عن کونها أطرافاً للعلم، و تکون فی الحقیقة علماً تفصیلیاً انضمّ إلیه شکّ بدوی، و علیه فإن کان العلم الإجمالی فی مورد باقیاً بحاله، و تولّد منه علم تفصیلی، فلا یکاد یعقل انحلال العلم الإجمالی به؛ لأنّ العلم التفصیلی متولّد من العلم الإجمالی قائم به، و دائر مداره، و من آثاره، و محال أن یرفع الأثر مؤثّره؛ لاستلزامه رفع الشی‌ء نفسه، و رفع الأثر مؤثّره، و کلاهما محالان، فلا بدّ عند ذلک من الرجوع إلی قواعد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عرفت الضابط فی انحلال العلم الإجمالی و عدمه، فما نحن فیه من قبیل الثانی؛ لأنّ العلم التفصیلی بعدم الانحصار، متولّد من العلم الإجمالی بطروّ القید؛ إمّا علی الإطلاق المثبت للانحصار، أو علی الإطلاق المفید للاستقلال قائماً به و من آثاره، فلا یعقل حفظ العلم التفصیلی إلّا ببقاء العلم الإجمالی، فکیف یمکن أن یکون رافعاً و موجباً لانحلال العلم الإجمالی به؟</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إنّ کلّاً من العلمین الإجمالیین تعلّق بعنوان غیر ما تعلّق به الآخر، فیکون حجّة بالنسبة إلی مؤدّاه،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فی المقام إشکالات تعرّض لها و لردّها المحقّق النائینی قدس سره و قد کفانا قدس سره مئونة التعرّض لها و لردّها</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ظهور الشرط فی کونه علّة تامّة، أقوی من ظهوره فی الانحصار؛ فإنّ دلالة القضیة الشرطیة علی استناد الجزاء إلی الشرط إنّما یکون بالنصوصیة، بخلاف ظهورها فی الانحصار، فإنّه إنّما یکون بالإطلاق، فلا بدّ من رفع الید عن ظهوره فی الانحصار و القول بکفایة أحد الشرطین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أصل استناد الجزاء إلی الشرط إنّما یکون بالإطلاق؛ إذ من إطلاق الشرط و عدم ذکر شی‌ء آخر معه، یستفاد الاستناد، و هذا لا ینافی أنّ حقیقة الاستناد إنّما تکون فی استناد الشی‌ء إلی علّته التامّة؛ فإنّ ذلک بعد الفراغ عن الاستناد و أنّ الجزاء یکون مستنداً إلی الشرط، و هذا المعنی إنّما یکون بالإطلاق، فظهور القضیة فی کون الشرط علّة تامّة کظهورها فی الانحصار؛ فی أنّ کلّاً منهما یکون بالإطلاق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تقیید العلّة التامّة و جعل الشرط جزء العلّة، یستلزم تقیید الانحصار أیضاً، فإنّه لا یعقل الانحصار مع کونه جزء العلّة، و هذا بخلاف تقیید الانحصار، فإنّه لا یلزم منه تقیید العلّة التامّة کما لا یخفی، فیدور الأمر بین تقیید واحد و تقییدین، و معلوم أنّ الأوّل أولی، فلا بدّ من تقیید الانحصار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غایة ما یقتضیه تقیید العلّة التامّة رفع موضوع الانحصار، لا إیجاب تقیید زائد، کما تقدّم نظیره فی الواجب المشروط؛ و من تقیید الهیئة یوجب رفع موضوع إطلاق المادّة، لا تقییداً زائداً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رتبة تقیید العلّة مقدّمة علی رتبة تقیید الانحصار؛ لوضوح أنّ کون الشی‌ء علّة منحصرة أو غیرها إنّما هو بعد کونه علّة تامّة، و مقتضی التقدّم الرتبی إرجاع القید إلی العلّة التامّة و جعل الشرط جزء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التقدّم الرتبی لا ینفع بعد العلم الإجمالی بورود التقیید علی أحد الإطلاقین، و لیس التقدّم الرتبی موجباً لانحلال هذا العلم، کما لا یخفی،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المقرّر حفظه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الاصول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2" w:name="pg12934_164611"/>
    </w:p>
    <w:p>
      <w:pPr>
        <w:pStyle w:val="Heading6"/>
        <w:numPr>
          <w:ilvl w:val="5"/>
          <w:numId w:val="1"/>
        </w:numPr>
        <w:rPr/>
      </w:pPr>
      <w:bookmarkStart w:id="383" w:name="__RefHeading___Toc4026301_3224264995"/>
      <w:bookmarkStart w:id="384" w:name="_Toc146"/>
      <w:bookmarkEnd w:id="382"/>
      <w:bookmarkEnd w:id="383"/>
      <w:r>
        <w:rPr>
          <w:rtl w:val="true"/>
        </w:rPr>
        <w:t>تذنیب</w:t>
      </w:r>
      <w:r>
        <w:rPr>
          <w:rtl w:val="true"/>
        </w:rPr>
        <w:t xml:space="preserve">: </w:t>
      </w:r>
      <w:r>
        <w:rPr>
          <w:rtl w:val="true"/>
        </w:rPr>
        <w:t>حول نفی الدلیلین للثالث</w:t>
      </w:r>
      <w:bookmarkEnd w:id="384"/>
    </w:p>
    <w:p>
      <w:pPr>
        <w:pStyle w:val="BookText"/>
        <w:rPr/>
      </w:pPr>
      <w:r>
        <w:rPr>
          <w:rFonts w:ascii="IRNazanin" w:hAnsi="IRNazanin" w:eastAsia="IRNazanin"/>
          <w:color w:val="111111"/>
          <w:sz w:val="28"/>
          <w:sz w:val="28"/>
          <w:szCs w:val="28"/>
          <w:rtl w:val="true"/>
          <w:lang w:bidi="fa-IR"/>
        </w:rPr>
        <w:t>لعلّک عرفت بما لا مزید علیه حال الدلیلین کلّ مع الآخر، فهل مقتضی ذلک سقوط أصالة الإطلاق بالنسبة إلی جمیع الجهات حتّی بالنسبة إلی نفی الثالث، أو یکون محفوظاً من جهته، فلو احتمل دخل شی‌ء فی موضوع وجوب القصر مثلًا؛ و أنّ الموضوع له مرکّب من جزءین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خفاء الجدران، و الآخر خفاء الأذان، أو احتمل العلّیة التامّة لشی‌ء آخر؛ و أنّه عدل لخفاء الجدران و خفاء الأذان فی ترتّب وجوب القصر علیه، فهل یصحّ التمسّک بإطلاقهما لنفیه، أم لا؟</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یدلّ الدلیلان علی عدم مدخلیة شی‌ء آخر شریکاً معهما، أو عدیلًا لهما، أم لا؟ أو فیه 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یفصّل بین ما لو استفیدت العلّیة التامّة و الانحصار من الوضع أو من الانصراف، و بین ما لو استفیدا من الإطلاق و مقدّمات الحکمة، فعلی الأخیر یمکن استفادة نفی الثالث دون الأوّلیین؛ و ذلک لأنّه لو استفیدت العلّیة التامّة من الوضع، فحیث إنّ الباب باب استعمال اللفظ فی المعنی الموضوع له، فالمفروض رفع الید عنه، و لا دلیل علی عدم مدخلیة شی‌ء آخر، و کذا لو استفیدا من الانصراف، فإنّه لو رفع الید عن المعنی المنصرف إلیه، لا یکاد یمکن نفی مدخلیة شی‌ء آخر</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استفیدت العلّیة التامّة و الانحصار من اللفظ أو الانصراف، فلا یصحّ التمسّک بإطلاقهما لنفی الثالث؛ بداهة أنّه بعد رفع الید عن ظهورهما</w:t>
      </w:r>
    </w:p>
    <w:p>
      <w:pPr>
        <w:pStyle w:val="BookText"/>
        <w:rPr/>
      </w:pPr>
      <w:r>
        <w:rPr>
          <w:rFonts w:ascii="IRNazanin" w:hAnsi="IRNazanin" w:eastAsia="IRNazanin"/>
          <w:color w:val="111111"/>
          <w:sz w:val="28"/>
          <w:sz w:val="28"/>
          <w:szCs w:val="28"/>
          <w:rtl w:val="true"/>
          <w:lang w:bidi="fa-IR"/>
        </w:rPr>
        <w:t>بالتعارض رأساً و العلم بالتقیید فی الجملة، لا یبقی ما به ینفی الثالث؛ لأنّه لیس للظهور مراتب حتّی یبقی بعض مراتبه بعد رفع الید عن بعضها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استفیدا من الإطلاق و مقدّمات الحکمة، فیمکن استفادة نفی الثالث؛ لأنّه إذا کان المولی فی مقام البیان، یکون مقاله حجّة ما لم تقم قرینة علی خلافه، و مع القرینة ترفع الید عن الإطلاق بمقدارها فقط</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من الإطلاق أنّه لا شریک له و لا بدیل، و بطروّ القید علیه ترفع الید بمقداره بخصوصه، فإذا شکّ فی مدخلیة شی‌ء آخر شریکاً أو عدیلًا أمکن نفیه بالإطلاق، فتدبّر</w:t>
      </w:r>
      <w:r>
        <w:rPr>
          <w:rFonts w:eastAsia="IRNazanin" w:cs="IRNazanin"/>
          <w:color w:val="111111"/>
          <w:sz w:val="28"/>
          <w:szCs w:val="28"/>
          <w:rtl w:val="true"/>
          <w:lang w:bidi="fa-IR"/>
        </w:rPr>
        <w:t>.</w:t>
      </w:r>
      <w:bookmarkStart w:id="385" w:name="pg12934_164613"/>
    </w:p>
    <w:p>
      <w:pPr>
        <w:pStyle w:val="Heading5"/>
        <w:numPr>
          <w:ilvl w:val="4"/>
          <w:numId w:val="1"/>
        </w:numPr>
        <w:rPr/>
      </w:pPr>
      <w:bookmarkStart w:id="386" w:name="__RefHeading___Toc4026303_3224264995"/>
      <w:bookmarkStart w:id="387" w:name="_Toc147"/>
      <w:bookmarkEnd w:id="385"/>
      <w:bookmarkEnd w:id="386"/>
      <w:r>
        <w:rPr>
          <w:rtl w:val="true"/>
        </w:rPr>
        <w:t>الأمر الثالث فی تداخل الأسباب و المسبّبات</w:t>
      </w:r>
      <w:bookmarkEnd w:id="387"/>
    </w:p>
    <w:p>
      <w:pPr>
        <w:pStyle w:val="Heading6"/>
        <w:numPr>
          <w:ilvl w:val="5"/>
          <w:numId w:val="1"/>
        </w:numPr>
        <w:rPr/>
      </w:pPr>
      <w:bookmarkStart w:id="388" w:name="__RefHeading___Toc4026305_3224264995"/>
      <w:bookmarkStart w:id="389" w:name="_Toc148"/>
      <w:bookmarkEnd w:id="388"/>
      <w:r>
        <w:rPr>
          <w:rtl w:val="true"/>
        </w:rPr>
        <w:t>اشارة</w:t>
      </w:r>
      <w:bookmarkEnd w:id="389"/>
    </w:p>
    <w:p>
      <w:pPr>
        <w:pStyle w:val="BookText"/>
        <w:rPr/>
      </w:pPr>
      <w:r>
        <w:rPr>
          <w:rFonts w:ascii="IRNazanin" w:hAnsi="IRNazanin" w:eastAsia="IRNazanin"/>
          <w:color w:val="111111"/>
          <w:sz w:val="28"/>
          <w:sz w:val="28"/>
          <w:szCs w:val="28"/>
          <w:rtl w:val="true"/>
          <w:lang w:bidi="fa-IR"/>
        </w:rPr>
        <w:t>الأمر الثالث فی تداخل الأسباب و المسبّبات</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إذا تعدّد الشرط و اتحد الجزاء،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نمت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یلزم تعدّد الجزاء أو لا، بل یکتفی بإتیان الجزاء دفعة واحدة؟</w:t>
      </w:r>
    </w:p>
    <w:p>
      <w:pPr>
        <w:pStyle w:val="BookText"/>
        <w:rPr/>
      </w:pPr>
      <w:r>
        <w:rPr>
          <w:rFonts w:ascii="IRNazanin" w:hAnsi="IRNazanin" w:eastAsia="IRNazanin"/>
          <w:color w:val="111111"/>
          <w:sz w:val="28"/>
          <w:sz w:val="28"/>
          <w:szCs w:val="28"/>
          <w:rtl w:val="true"/>
          <w:lang w:bidi="fa-IR"/>
        </w:rPr>
        <w:t>و قد عرف هذا البحث عندهم بتداخل الأسباب، أو تداخل المسبّبات</w:t>
      </w:r>
      <w:r>
        <w:rPr>
          <w:rFonts w:eastAsia="IRNazanin" w:cs="IRNazanin"/>
          <w:color w:val="111111"/>
          <w:sz w:val="28"/>
          <w:szCs w:val="28"/>
          <w:rtl w:val="true"/>
          <w:lang w:bidi="fa-IR"/>
        </w:rPr>
        <w:t>.</w:t>
      </w:r>
    </w:p>
    <w:p>
      <w:pPr>
        <w:pStyle w:val="Heading6"/>
        <w:numPr>
          <w:ilvl w:val="5"/>
          <w:numId w:val="1"/>
        </w:numPr>
        <w:rPr/>
      </w:pPr>
      <w:bookmarkStart w:id="390" w:name="__RefHeading___Toc4026307_3224264995"/>
      <w:bookmarkStart w:id="391" w:name="_Toc149"/>
      <w:bookmarkEnd w:id="390"/>
      <w:r>
        <w:rPr>
          <w:rtl w:val="true"/>
        </w:rPr>
        <w:t>و قبل ذکر الأقوال فی المسألة و ما هو الحقّ عندنا، نقدّم مقدّمات</w:t>
      </w:r>
      <w:r>
        <w:rPr>
          <w:rtl w:val="true"/>
        </w:rPr>
        <w:t>:</w:t>
      </w:r>
      <w:bookmarkEnd w:id="391"/>
    </w:p>
    <w:p>
      <w:pPr>
        <w:pStyle w:val="Heading6"/>
        <w:numPr>
          <w:ilvl w:val="5"/>
          <w:numId w:val="1"/>
        </w:numPr>
        <w:rPr/>
      </w:pPr>
      <w:bookmarkStart w:id="392" w:name="__RefHeading___Toc4026309_3224264995"/>
      <w:bookmarkStart w:id="393" w:name="_Toc150"/>
      <w:bookmarkEnd w:id="392"/>
      <w:r>
        <w:rPr>
          <w:rtl w:val="true"/>
        </w:rPr>
        <w:t>المقدّمة الاولی</w:t>
      </w:r>
      <w:r>
        <w:rPr>
          <w:rtl w:val="true"/>
        </w:rPr>
        <w:t xml:space="preserve">: </w:t>
      </w:r>
      <w:r>
        <w:rPr>
          <w:rtl w:val="true"/>
        </w:rPr>
        <w:t>فی تحریر محطّ النزاع</w:t>
      </w:r>
      <w:bookmarkEnd w:id="393"/>
    </w:p>
    <w:p>
      <w:pPr>
        <w:pStyle w:val="BookText"/>
        <w:rPr/>
      </w:pPr>
      <w:r>
        <w:rPr>
          <w:rFonts w:ascii="IRNazanin" w:hAnsi="IRNazanin" w:eastAsia="IRNazanin"/>
          <w:color w:val="111111"/>
          <w:sz w:val="28"/>
          <w:sz w:val="28"/>
          <w:szCs w:val="28"/>
          <w:rtl w:val="true"/>
          <w:lang w:bidi="fa-IR"/>
        </w:rPr>
        <w:t>إنّ محطّ النزاع فی مسألة تداخل الأسباب و المسبّبات، إنّما هو بعد الفراغ عن إحراز سببیة کلّ من الشروط المتعدّدة مستقلّاً فی البعث نحو الجزاء لو انفرد، فیبحث عن أنّه عند اجتماع الشروط المتعدّدة، هل یقتضی کلّ واحد منها فی حال الاجتماع أیضاً أثره المترتّب علیه؛ حتّی تجب أغسال متعدّدة عند الجنابة، و الحیض، و النفاس مثلًا، أو یتداخل بعضها فی بعض، فیجب عند ذلک المجموع منها، أو الجامع، فیکفی غسل واحد عند الجنابة و الحیض و النفاس؟</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البحث قبل الفراغ عن إحراز سببیة کلّ من الشروط المتعدّدة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احتمل أنّ الشروط المتعدّدة ترجع إلی شرط واحد؛ و یکون کلّ واحد منها جزءاً للسبب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محطّ البحث فی تداخل الأسباب و المسبّبات</w:t>
      </w:r>
      <w:r>
        <w:rPr>
          <w:rFonts w:eastAsia="IRNazanin" w:cs="IRNazanin"/>
          <w:color w:val="111111"/>
          <w:sz w:val="28"/>
          <w:szCs w:val="28"/>
          <w:rtl w:val="true"/>
          <w:lang w:bidi="fa-IR"/>
        </w:rPr>
        <w:t>.</w:t>
      </w:r>
      <w:bookmarkStart w:id="394" w:name="pg12934_164614"/>
    </w:p>
    <w:p>
      <w:pPr>
        <w:pStyle w:val="Heading6"/>
        <w:numPr>
          <w:ilvl w:val="5"/>
          <w:numId w:val="1"/>
        </w:numPr>
        <w:rPr/>
      </w:pPr>
      <w:bookmarkStart w:id="395" w:name="__RefHeading___Toc4026311_3224264995"/>
      <w:bookmarkStart w:id="396" w:name="_Toc151"/>
      <w:bookmarkEnd w:id="394"/>
      <w:bookmarkEnd w:id="395"/>
      <w:r>
        <w:rPr>
          <w:rtl w:val="true"/>
        </w:rPr>
        <w:t>المقدّمة الثانیة</w:t>
      </w:r>
      <w:r>
        <w:rPr>
          <w:rtl w:val="true"/>
        </w:rPr>
        <w:t xml:space="preserve">: </w:t>
      </w:r>
      <w:r>
        <w:rPr>
          <w:rtl w:val="true"/>
        </w:rPr>
        <w:t>فی المراد من تداخل الأسباب و المسبّبات</w:t>
      </w:r>
      <w:bookmarkEnd w:id="396"/>
    </w:p>
    <w:p>
      <w:pPr>
        <w:pStyle w:val="Heading6"/>
        <w:numPr>
          <w:ilvl w:val="5"/>
          <w:numId w:val="1"/>
        </w:numPr>
        <w:rPr/>
      </w:pPr>
      <w:bookmarkStart w:id="397" w:name="__RefHeading___Toc4026313_3224264995"/>
      <w:bookmarkStart w:id="398" w:name="_Toc152"/>
      <w:bookmarkEnd w:id="397"/>
      <w:r>
        <w:rPr>
          <w:rtl w:val="true"/>
        </w:rPr>
        <w:t>اشارة</w:t>
      </w:r>
      <w:bookmarkEnd w:id="398"/>
    </w:p>
    <w:p>
      <w:pPr>
        <w:pStyle w:val="BookText"/>
        <w:rPr/>
      </w:pPr>
      <w:r>
        <w:rPr>
          <w:rFonts w:ascii="IRNazanin" w:hAnsi="IRNazanin" w:eastAsia="IRNazanin"/>
          <w:color w:val="111111"/>
          <w:sz w:val="28"/>
          <w:sz w:val="28"/>
          <w:szCs w:val="28"/>
          <w:rtl w:val="true"/>
          <w:lang w:bidi="fa-IR"/>
        </w:rPr>
        <w:t>المراد بتداخل الأسباب هو عدم اقتضاء الشروط المتعدّدة إلّا جزاءً واحداً عند اجتماعها، فلا یقتضی کلّ واحد من الشروط إلّا إیجاد صِرف طبیعة الجزاء، فالتکلیف واحد و إن کانت الأسباب متعدّدة، فإذا اجتمعت الجنابة و الحیض و النفاس مثلًا، لما اقتضت إلّا غسلًا واحداً، فلا تکون تکالیف متعدّدة مجتمعة فی مصداق واحد، بل یکون تکلیف واحد و إن تعدّدت الأسباب، و لذا یکون التداخل عزیمة لا رخصة،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عند اجتماع الجنابة و غیرها، إلّا جزاء واحد و غسل فارد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بتداخل المسبّبات، أنّه بعد الفراغ عن عدم تداخل الأسباب، بل اقتضاء کلّ واحد من الشروط المتعدّدة جزاء یخصّه، فیکون هناک تکالیف متعدّدة، و لکنّه فی مقام الامتثال یکتفی بمصداق واحد، فذمّة المکلّف و إن اشتغلت بتکالیف متعدّدة، إلّا أنّه یصحّ تفریغها عن المتعدّد بمصداق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نظیر امتثال الأمرین المتعلّقین بإکرام الهاشمی و العالم بإکرام الهاشمی العالم، فیتحقّق امتثال کلّ واحد من الأمرین المتعلّقین بإکرام العالم و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المثال و إن کان خارجاً عن محطّ البحث، إلّا أنّه یقرّب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إذا کانت العناوین المکلّف بها قهریة الانطباق علی المصداق، و کانت التکالیف توصّلیات، یکون التداخل عزیمة، و إلّا یکون رخصة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Heading6"/>
        <w:numPr>
          <w:ilvl w:val="5"/>
          <w:numId w:val="1"/>
        </w:numPr>
        <w:rPr/>
      </w:pPr>
      <w:bookmarkStart w:id="399" w:name="__RefHeading___Toc4026315_3224264995"/>
      <w:bookmarkStart w:id="400" w:name="_Toc153"/>
      <w:bookmarkEnd w:id="399"/>
      <w:r>
        <w:rPr>
          <w:rtl w:val="true"/>
        </w:rPr>
        <w:t>ذکر و تعقیب أفاد المحقّق النائینی قدس سره</w:t>
      </w:r>
      <w:bookmarkEnd w:id="400"/>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تظهر الثمرة بین القول بتداخل الأسباب و القول بتداخل المسبّبات بالرخصة و العزیمة؛ فإنّه لو قلنا بتداخل الأسباب فلا یجوز له</w:t>
      </w:r>
    </w:p>
    <w:p>
      <w:pPr>
        <w:pStyle w:val="BookText"/>
        <w:rPr/>
      </w:pPr>
      <w:r>
        <w:rPr>
          <w:rFonts w:ascii="IRNazanin" w:hAnsi="IRNazanin" w:eastAsia="IRNazanin"/>
          <w:color w:val="111111"/>
          <w:sz w:val="28"/>
          <w:sz w:val="28"/>
          <w:szCs w:val="28"/>
          <w:rtl w:val="true"/>
          <w:lang w:bidi="fa-IR"/>
        </w:rPr>
        <w:t>إیجاد الجزاء متعدّداً، إذ لم تشتغل ذمّته إلّا بجزاء واحد، فالزائد یکون تشریعاً محرّماً، و لو قلنا بتداخل المسبّبات فله إیجاد الجزاء متعدّداً، و له أیضاً الاکتفاء بالواحد</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فی تداخل الأسباب لا غبار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 بدّ و أن یفصِّل قدس سره فی تداخل المسبّبات بین ما إذا کانت العناوین المکلّف بها قهریة الانطباق علی المصداق کالتکالیف التوصّلیة، فتکون عزیمة، و بین ما إذا لم یکن کذلک، کما إذا کانت تعبّدیة، فتکون رخصة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التطهیر من الأخباث واجب توصّلی، فلا یکون المطلوب منه إلّا تحقّقه کیف اتفق و لو بلا قصد، فإذا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أصاب ثوبک دم فاغسله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أصابه البول فاغسله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فحیث إنّ العنوانین قهریا الانطباق علی مصداق من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الغین و سکون السین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انطباقهما علیه لا معنی لتکرّره بعد ذلک؛ لکونه تشریعاً محرّماً، فتکون عزیمة</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فی مثل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الغین و سکون السین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مطلوب تعبّدی، فلا بدّ فی تحقّقه من قصدها، فلا یتحقّق کیف اتفق، فإن قصد تمام العناوین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الجنابة و الحیض و النفاس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تحقّقت، و إلّا تحقّق خصوص العنوان المقصود، أ لا تری أنّه إذا قال المولی لعبده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فقم له احتراماً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عمرو فقم له احتراماً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فحیث إنّ الاحترام و التعظیم من العناوین القصدیة التی لا بدّ فی تحقّقها من القصد إلیها، فیمکن القیام عند مجیئهما احتراماً لهما، أو استهزاءً بهما، أو احتراماً لزید، و استهزاءً بعمرو، أو بالعکس، و کلّ ذلک بالقصد، و هکذا الحال فی المقام، فإذا لم یکن</w:t>
      </w:r>
      <w:bookmarkStart w:id="401" w:name="pg12934_164616"/>
    </w:p>
    <w:p>
      <w:pPr>
        <w:pStyle w:val="BookText"/>
        <w:rPr/>
      </w:pPr>
      <w:bookmarkEnd w:id="401"/>
      <w:r>
        <w:rPr>
          <w:rFonts w:ascii="IRNazanin" w:hAnsi="IRNazanin" w:eastAsia="IRNazanin"/>
          <w:color w:val="111111"/>
          <w:sz w:val="28"/>
          <w:sz w:val="28"/>
          <w:szCs w:val="28"/>
          <w:rtl w:val="true"/>
          <w:lang w:bidi="fa-IR"/>
        </w:rPr>
        <w:t>قهری الانطباق فله الاکتفاء بمصداق واحد من الغُسل مثلًا بنیة المجموع، أو مصادیق متعدّدة حسب تعدّد الأسباب، فتدبّر</w:t>
      </w:r>
      <w:r>
        <w:rPr>
          <w:rFonts w:eastAsia="IRNazanin" w:cs="IRNazanin"/>
          <w:color w:val="111111"/>
          <w:sz w:val="28"/>
          <w:szCs w:val="28"/>
          <w:rtl w:val="true"/>
          <w:lang w:bidi="fa-IR"/>
        </w:rPr>
        <w:t>.</w:t>
      </w:r>
    </w:p>
    <w:p>
      <w:pPr>
        <w:pStyle w:val="Heading6"/>
        <w:numPr>
          <w:ilvl w:val="5"/>
          <w:numId w:val="1"/>
        </w:numPr>
        <w:rPr/>
      </w:pPr>
      <w:bookmarkStart w:id="402" w:name="__RefHeading___Toc4026317_3224264995"/>
      <w:bookmarkStart w:id="403" w:name="_Toc154"/>
      <w:bookmarkEnd w:id="402"/>
      <w:r>
        <w:rPr>
          <w:rtl w:val="true"/>
        </w:rPr>
        <w:t>المقدّمة الثالثة</w:t>
      </w:r>
      <w:r>
        <w:rPr>
          <w:rtl w:val="true"/>
        </w:rPr>
        <w:t xml:space="preserve">: </w:t>
      </w:r>
      <w:r>
        <w:rPr>
          <w:rtl w:val="true"/>
        </w:rPr>
        <w:t>فی اختصاص النزاع بالماهیة القابلة للتکثّر</w:t>
      </w:r>
      <w:bookmarkEnd w:id="403"/>
    </w:p>
    <w:p>
      <w:pPr>
        <w:pStyle w:val="BookText"/>
        <w:rPr/>
      </w:pPr>
      <w:r>
        <w:rPr>
          <w:rFonts w:ascii="IRNazanin" w:hAnsi="IRNazanin" w:eastAsia="IRNazanin"/>
          <w:color w:val="111111"/>
          <w:sz w:val="28"/>
          <w:sz w:val="28"/>
          <w:szCs w:val="28"/>
          <w:rtl w:val="true"/>
          <w:lang w:bidi="fa-IR"/>
        </w:rPr>
        <w:t>محطّ البحث فی التداخل، إنّما هو فیما إذا کان الجزاء ماهیة قابلة للتکثّر، کالوضوء و الغسل؛ حتّی یتطرّق فیه إمکان القول بالتداخل و عدمه، و أمّا إذا لم یقبل التکثّر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کقتل زید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خارج عن محطّ البحث؛ لاستحالة عدم التداخل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فصّل المحقّق النائینی قدس سره فیما لم یقبل التکثّر بین قبوله للتقیید و عدمه، فذهب إلی دخول الأوّل فی محطّ البحث أیضاً؛ و ذلک کالخیار و القتل، فإنّهما و إن لم یقبلا التکرار؛ لأنّ الخیار عبارة عن ملک فسخ العقد و إقراره، و هو أمر واحد لا یمکن فیه التعدّد، و کذا القتل، و هو واضح، و لکنّهما یقبلان التقیید، فیقیّد الخیار بالمجلس و الحیوان مثلًا، و معنی تقییده بالسبب هو أنّه یلاحظ الخیار المستند إلی المجلس فیسقطه، أو یصالح علیه، فیبقی له الخیار المستند إلی الحیوان، و کذا فی القتل لأجل حقوق الناس</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الاصول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فلو قتل زید عمراً و بکراً، فقتل زید قصاصاً و إن لم یقبل التعدّد، إلّا أنّه قابل للتقیید بالسبب؛ أی یلاحظ استحقاق زید للقتل باعتبار قتله لعمرو، فلو أسقط ورثة عمرو حقّ القَوَد، لم یسقط حقّ ورثة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دخول ما کان الجزاء قابلًا للتقیید فی محطّ البحث؛ لتحقّق أثر للقول بعدم التداخل باعتبار قابلیة الإسقاط من جهة خاصّة مع بقاء الجزاء من سائر الجهات، و أمّا فیما لا یقبل التقیید أیضاً فخارج عن محطّ النزاع؛ إذ لا أثر عملی فیه للقول بالتداخل و عدمه</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الخیار ماهیة غیر قابلة للتکثّر مع اجتماع أسباب متعدّدة علیه، و لم یکن معنی لتصوّر ملکین بالنسبة إلی فسخ العقد و إقراره، فعند اجتماع المجلس و الحیوان لا یتحقّق إلّا شخص واحد من الخیار، و معلوم أنّ الشی‌ء الواحد الشخصی لا یمکن أن یسقط من جهة، و یبقی من جهة اخری، فلا یمکن إسقاط الخیار من جهة المجلس، و إبقاؤه من جهة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خیار المجلس شیئاً غیر خیار الحیوان، فیکونان متعدّدین بالعنوان، فیخرج عن مفروض البحث؛ أی کون الجزاء غیر قابل للتکرار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کان الخیار کلّیاً قابلًا للتکثّر رجع إلی الفرض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هکذا الحال فی قضیّة القتل، فإنّ حقّ القصاص إن کان واحداً فلا یمکن إسقاطه من قبل سبب، و إبقاؤه من قبل سبب آخر، و إن کان متعدّداً فیخرج عن مفروض البحث؛ و لا یکون من تداخل الأسباب، و إن کان کلّیاً قابلًا للتکثّر یدخل فی الفرض الأوّل</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قدس سره عنون الکلام أوّلًا بالقتل، ثمّ عدل عنه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حقّ القصاص یقبل التقیید من سببین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فاختلط الأمر لدیه قدس سره فإنّ من المعلوم أنّ القتل أمر واحد غیر قابل للتکثّر، فإن حصلت شروطه یقتل و إلّا فلا، و لا ربط له بکون کلّ واحد</w:t>
      </w:r>
      <w:bookmarkStart w:id="404" w:name="pg12934_164618"/>
    </w:p>
    <w:p>
      <w:pPr>
        <w:pStyle w:val="BookText"/>
        <w:rPr/>
      </w:pPr>
      <w:bookmarkEnd w:id="404"/>
      <w:r>
        <w:rPr>
          <w:rFonts w:ascii="IRNazanin" w:hAnsi="IRNazanin" w:eastAsia="IRNazanin"/>
          <w:color w:val="111111"/>
          <w:sz w:val="28"/>
          <w:sz w:val="28"/>
          <w:szCs w:val="28"/>
          <w:rtl w:val="true"/>
          <w:lang w:bidi="fa-IR"/>
        </w:rPr>
        <w:t>من أولیاء المقتولین له حقّ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قبول القتل للتکثّر لا یرتبط بعدم قبول حقّ القصاص له، و المحقّق النائینی قدس سره خلط بینهما،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محطّ البحث هو فیما إذا کان الجزاء ماهیة قابلة للتکثّر فی الخارج بلحاظ تکثّر السبب</w:t>
      </w:r>
      <w:r>
        <w:rPr>
          <w:rFonts w:eastAsia="IRNazanin" w:cs="IRNazanin"/>
          <w:color w:val="111111"/>
          <w:sz w:val="28"/>
          <w:szCs w:val="28"/>
          <w:rtl w:val="true"/>
          <w:lang w:bidi="fa-IR"/>
        </w:rPr>
        <w:t>.</w:t>
      </w:r>
    </w:p>
    <w:p>
      <w:pPr>
        <w:pStyle w:val="Heading6"/>
        <w:numPr>
          <w:ilvl w:val="5"/>
          <w:numId w:val="1"/>
        </w:numPr>
        <w:rPr/>
      </w:pPr>
      <w:bookmarkStart w:id="405" w:name="__RefHeading___Toc4026319_3224264995"/>
      <w:bookmarkStart w:id="406" w:name="_Toc155"/>
      <w:bookmarkEnd w:id="405"/>
      <w:r>
        <w:rPr>
          <w:rtl w:val="true"/>
        </w:rPr>
        <w:t>المقدّمة الرابعة</w:t>
      </w:r>
      <w:r>
        <w:rPr>
          <w:rtl w:val="true"/>
        </w:rPr>
        <w:t xml:space="preserve">: </w:t>
      </w:r>
      <w:r>
        <w:rPr>
          <w:rtl w:val="true"/>
        </w:rPr>
        <w:t>فی إمکان تداخل الأسباب</w:t>
      </w:r>
      <w:bookmarkEnd w:id="406"/>
    </w:p>
    <w:p>
      <w:pPr>
        <w:pStyle w:val="BookText"/>
        <w:rPr/>
      </w:pPr>
      <w:r>
        <w:rPr>
          <w:rFonts w:ascii="IRNazanin" w:hAnsi="IRNazanin" w:eastAsia="IRNazanin"/>
          <w:color w:val="111111"/>
          <w:sz w:val="28"/>
          <w:sz w:val="28"/>
          <w:szCs w:val="28"/>
          <w:rtl w:val="true"/>
          <w:lang w:bidi="fa-IR"/>
        </w:rPr>
        <w:t>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مسألة تداخل الأسباب و المسبّبات و عدمها، مرهونة بالاستظهار من الأدلّة، فلا بدّ قبل الاستظهار من إثبات إمکانه، و إلّا فلو امتنع التداخل أو وجب، لزم تأویل ما یدلّ علی خلافه، و لا نحتاج إلی تجشّم الدلیل علی إمکانه، بل یکفی فی ذلک رفع ما یکون محذوراً و إشکالًا، نظیر ما قلناه</w:t>
      </w:r>
      <w:r>
        <w:rPr>
          <w:rStyle w:val="FootnoteAnchor"/>
          <w:rtl w:val="true"/>
        </w:rPr>
        <w:footnoteReference w:id="237"/>
      </w:r>
      <w:r>
        <w:rPr>
          <w:rFonts w:ascii="IRNazanin" w:hAnsi="IRNazanin" w:eastAsia="IRNazanin"/>
          <w:color w:val="111111"/>
          <w:sz w:val="28"/>
          <w:sz w:val="28"/>
          <w:szCs w:val="28"/>
          <w:rtl w:val="true"/>
          <w:lang w:bidi="fa-IR"/>
        </w:rPr>
        <w:t>فی مسألة إمکان التعبّد بالظنّ فی قبال ابن قِبة القائل بعدم إمکان التعبّد بالظنّ، فإنّ مجرّد إبطال ما استدلّ به لامتناع التعبّد بالظنّ، یکفی لإثبات إمکان التعبّد بالظنّ، فیؤخذ بما یکون ظاهره حجّیة الظنّ، و لا نحتاج فی ذلک إلی دلیل یتعبّدنا بصحّة التعبّد بالظنّ</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 فی مسألة إمکان التعبّد بالظنّ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رفع ما استدلّ به لامتناع التعبّد بالظنّ، یکفی فی الأخذ بما یکون ظاهره حجّیة الظنّ و جواز العمل بخبر الواحد، فکذلک فی المقام بعد رفع ما استدلّ به لامتناع التداخل أو وجوبه، یکفی فی الأخذ بما یکون ظاهره التداخل و عدمه، و لا تحتاج إلی تجشّم الدلیل لإثبات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إمکان التداخل فی الأسباب الشرعیة فلا إشکال فیه؛ لأنّ الأسباب الشرعیة لیست من قبیل العلل التکوینیة بالنسبة إلی مسبّباتها، بحیث یکون المسبّب مترشّحاً من سببه، و تکون مرتبة نازلة منه، کما هو الشأن فی المسبّبات التکوینیة، بل بابها باب الموضوعیة للحکم و التناسب العقلائی بین الحکم و موضوعه؛ فإنّه یفهم من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أکرمک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بین الإکرامین تناسباً و ارتباطاً، و إلّا لما علّق أحدهما علی الآخر، و لم یکن إکرام زید إیّاک علّة وجودیة لإکرامک إیّاه، بل کان کلّ منهما عنواناً برأسه له مبادئ تخصّه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غایة ما فی الباب جعل السببیة و الموضوعیة؛ بناءً علی إمکان جعلهما، أو جعل المسبّب عند وجود السبب لو امتنع ذلک، و علیه فکما یمکن لمصلحة جعل الوضوء عقیب کلّ من النوم و البول مستقلّاً، أو جعل سببیة کلّ منهما مستقلّاً للوضوء، فکذلک یمکن جعل الوضوء لمصلحة عقیب کلیهما مجتمعاً، أو سببیتهما له حال الاجتماع، فلا یلزم من ذلک محذور اجتماع علّتین علی معلول واحد حتّی یقال بامتناع التداخل</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بدّ للفقیه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لکلّ باحث فی المسائل العقلائیة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یخلّی ذهنه و یجرّده من المباحث العقلیة، و یقصر نظره إلی الاستظهارات العرفیة؛ لئلّا یختلط علیه الأمر فیقع فی اشتباهات، کما وقع فیها بعض من خلط المسائل العقلائیة بالمسائل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الباحث فی المسائل العقلیة، لا بدّ له من رفض التعهّدات العرفیة و الاستظهارات العقلائیة، و قصر النظر إلی ما یستقلّ به العقل؛ لئلّا یقع فی ضیق و 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اختلاط نحوی التفکّر ربما أورث اشتباهات فی البین حتّی من الأعلام، عصمنا اللَّه و إیّاکم من اختلاط نحوی التفکّر بحرمة محمّد و آله المعصومین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حال العلل الاعتباریة و الأسباب الشرعیة، و قد وضح إمکان التداخل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العلل التکوینیة، فالبحث عنها و إن کان خارجاً عن موضوع البحث فی مسألة التداخل، إلّا أنّه بلحاظ رفع بعض الاشتباهات و المناقشات لا بأس بالإشارة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 قاعدة الواحد و مجراها عند مثبتیها</w:t>
      </w:r>
      <w:r>
        <w:rPr>
          <w:rStyle w:val="FootnoteAnchor"/>
          <w:rtl w:val="true"/>
        </w:rPr>
        <w:footnoteReference w:id="238"/>
      </w:r>
      <w:r>
        <w:rPr>
          <w:rFonts w:ascii="IRNazanin" w:hAnsi="IRNazanin" w:eastAsia="IRNazanin"/>
          <w:color w:val="111111"/>
          <w:sz w:val="28"/>
          <w:sz w:val="28"/>
          <w:szCs w:val="28"/>
          <w:rtl w:val="true"/>
          <w:lang w:bidi="fa-IR"/>
        </w:rPr>
        <w:t>، لیس فی تأثیر کلّ شی‌ء فی شی‌ء، بل إنّما یجرونها فی الفاعل الإلهی البسیط من جمیع الجهات؛ بحیث لا تشوبه شائبة الکثرة؛ لا خارجاً، و لا ذهناً، و لا وهماً، و یرون أنّ الواحد البسیط من جمیع الجهات لا یعقل أن یصدر منه غیر الواحد، کما أنّ مرادهم بعکس تلک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عدم صدور الواحد إلّا من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فالفواعل الطبیعیة و العلل التکوینیة التی تکون فی عالم الکون و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فیه جهات من الکثرة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أجنبیّة عن مصبّ القاعدتین و مجراهما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أجری قاعدة الواحد فی الفواعل الطبیعیة، توهّم فی صورة توارد علل مستقلّة و اجتماعها علی معلول واحد، أنّ المؤثّر هو الجامع بینها، و رأی أنّ المؤثّر و العلّة واحد، کما أنّ المعلول أیضاً واحد، و تمسّک فی ذلک بأمثلة 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ما إذا کان هناک حجر لا یمکن أن یرفعه شخص واحد، بل یحتاج فی رفعه إلی رفیق أو رفقاء، فالرافع لیس آحاد الأشخاص، بل الجامع بینهم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مثل الماء لا یصیر حارّاً إلّا بوضع شموع متعدّدة تحته، فیکون المؤثّر هو الجامع بین الشموع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الأمثلة المعروفة التی لیس من شأن الباحث</w:t>
      </w:r>
    </w:p>
    <w:p>
      <w:pPr>
        <w:pStyle w:val="BookText"/>
        <w:rPr/>
      </w:pPr>
      <w:r>
        <w:rPr>
          <w:rFonts w:ascii="IRNazanin" w:hAnsi="IRNazanin" w:eastAsia="IRNazanin"/>
          <w:color w:val="111111"/>
          <w:sz w:val="28"/>
          <w:sz w:val="28"/>
          <w:szCs w:val="28"/>
          <w:rtl w:val="true"/>
          <w:lang w:bidi="fa-IR"/>
        </w:rPr>
        <w:t>عن تلک القاعدة أن یتفوّه بها؛ لما أشرنا</w:t>
      </w:r>
      <w:r>
        <w:rPr>
          <w:rStyle w:val="FootnoteAnchor"/>
          <w:rtl w:val="true"/>
        </w:rPr>
        <w:footnoteReference w:id="239"/>
      </w:r>
      <w:r>
        <w:rPr>
          <w:rFonts w:ascii="IRNazanin" w:hAnsi="IRNazanin" w:eastAsia="IRNazanin"/>
          <w:color w:val="111111"/>
          <w:sz w:val="28"/>
          <w:sz w:val="28"/>
          <w:szCs w:val="28"/>
          <w:rtl w:val="true"/>
          <w:lang w:bidi="fa-IR"/>
        </w:rPr>
        <w:t>من أنّ القاعدة من المسائل العقلیة الغامضة الخاصّة بمورد خاصّ، فالتمسّک فیها بأمثلة عرفیة ممّا تنکره عقول ذوی اللبّ و البصیرة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فی المثالین و نحوهما لیس کما زعموا؛ لأنّ الأجسام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الحجر علی رأی القدماء من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میل إلی مرکز العالم؛ و هو الأرض علی زعمهم، و علی رأی المتأخّرین منهم تکون للأرض قوّة جاذبة تجذبها، و معلوم أنّ ذلک علی کلا الرأیین بلحاظ ثقل الجسم و خفّته، فإذا کان الجسم ثقیلًا کالحجر فیکون میله الطبیعی إلی الأرض بحدّ خاصّ لا یکون فی الجسم الخفیف کالقطنة، فإذا حدثت قوّة علی خلافه أکثر من القوّة التی تکون فیه، أبعدته عن الأرض، فکلّ من الرجلین أو الرجال یحدث مقداراً من القوّة فی الحجر؛ بحیث إذا بلغت بذلک الحدّ یرتفع الحجر من الأرض، و کذا الماء إنّما یسخن إذا قارنه مقدار خاصّ من الحرارة، فلکلّ شمعة درجة من الحرارة، فإذا بلغت الحرارة بذلک الحدّ فینفعل الماء، و یصیر حارّاً، فهناک علل متعدّدة و معلولات کذلک أثّر کلّ منها بمقدار یخصّه، فأیّ معنی لتأثیر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الجامع بما هو جامع، لا وجود له فی الخارج؛ لأنّ الخارج ظرف التحقّق و التشخّص، و وجود الجامع إنّما هو باختراع من الذهن فی الذهن، فإذا لم یکن الجامع موجوداً خارجیاً فکیف یؤثّر فی شی‌ء خارجی؟</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بتداخل الأسباب فی الاعتباریات و التکوینیات، بمکان من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أصل إمکان التداخل فی قبال الامتناع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إثبات إمکان التداخل فی قبال وجوب التداخل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بعض أعاظم العصر دام ظلّه</w:t>
      </w:r>
      <w:r>
        <w:rPr>
          <w:rStyle w:val="FootnoteAnchor"/>
          <w:rtl w:val="true"/>
        </w:rPr>
        <w:footnoteReference w:id="240"/>
      </w:r>
      <w:r>
        <w:rPr>
          <w:rFonts w:ascii="IRNazanin" w:hAnsi="IRNazanin" w:eastAsia="IRNazanin"/>
          <w:color w:val="111111"/>
          <w:sz w:val="28"/>
          <w:sz w:val="28"/>
          <w:szCs w:val="28"/>
          <w:rtl w:val="true"/>
          <w:lang w:bidi="fa-IR"/>
        </w:rPr>
        <w:t>إلی وجوب التداخل، و قال فی بیانه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کما لا إشکال فی أنّه یمکن أن یتعلّق وجوب واحد بفردین من طبیعة واحدة علی نحو الارتباط؛ بحیث یکون المأمور به واحداً، فکذلک لا إشکال فی أنّه یمکن أن یتعلّق بهما وجوبان فی عرض واحد بخطاب واحد؛ بأن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توضّأ وضوءین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یصرّح باستقلال کلّ من الوجوبین، بحیث یکون لکلّ منهما علی حیاله إطاعة و 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هناک خطابان أو أکثر علی نحو التدریج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ورد فی خطاب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خطاب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نمت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یخلو إمّا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متعلّق الوجوب فی کلیهما نفس الحیثیة المطلقة؛ أعنی طبیعة الوضوء، 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فی کلیهما فرد الطبیعة، أو الطبیعة المقیّدة، 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فی أحدهما مطلق، و فی الآخر مقیّد، أو فرد الطبیعة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الأوّل فمستحیل؛ لأنّ الفرض وحدة المکلِّف، و المکلَّف، و المکلَّف به، فلا یبقی ملاک لتعدّد الوجوب و تکثّره، و صِرف الشی‌ء لا یتکرّر</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بدّ للقائل بعدم التداخل من الالتزام بأحد الأخیرین، فحینئذٍ یسأل عمّا یقیّد به الطبیعة فی أحدهما أو کلیهما، و لکن التقیید ممتنع؛ ضرورة أنّ البول قد یکون مقدّماً علی النوم، و قد یکون بالعکس، فلا یمکن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بلت فتوضّأ وضوءاً غیر ما یجب علیک بسبب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نمت فتوضّأ وضوءاً غیر ما وجب علیک بسبب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تکون الغیریة مأخوذة فی متعلّق أحدهما أو کلیهما، و الالتزام بذلک مشکل؛ بداهة عدم نظر أحد الخطابین فی الأسباب المتعدّدة إلی الآخر</w:t>
      </w:r>
      <w:r>
        <w:rPr>
          <w:rFonts w:eastAsia="IRNazanin" w:cs="IRNazanin"/>
          <w:color w:val="111111"/>
          <w:sz w:val="28"/>
          <w:szCs w:val="28"/>
          <w:rtl w:val="true"/>
          <w:lang w:bidi="fa-IR"/>
        </w:rPr>
        <w:t>.</w:t>
      </w:r>
      <w:bookmarkStart w:id="407" w:name="pg12934_164623"/>
    </w:p>
    <w:p>
      <w:pPr>
        <w:pStyle w:val="BookText"/>
        <w:rPr/>
      </w:pPr>
      <w:bookmarkEnd w:id="407"/>
      <w:r>
        <w:rPr>
          <w:rFonts w:ascii="IRNazanin" w:hAnsi="IRNazanin" w:eastAsia="IRNazanin"/>
          <w:color w:val="111111"/>
          <w:sz w:val="28"/>
          <w:sz w:val="28"/>
          <w:szCs w:val="28"/>
          <w:rtl w:val="true"/>
          <w:lang w:bidi="fa-IR"/>
        </w:rPr>
        <w:t>فإذا لم یکن فی مقام الثبوت قید یصلح لتقیید الطبیعة، فلا تصل النوبة إلی مقام الاستظهار، فإن لم نقل بتداخل الأسباب فلا محیص من القول بکون المتعلّق نفس الطبیعة غیر القابلة للتکرار، فلا محیص إلّا من القول بالتداخل</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أشرنا فی صدر البحث إلی أنّه لا بدّ للقائل بوجوب التداخل، من إثبات امتناع عدم التداخل حتّی یصرف ما یکون ظاهره عدم التداخل، و مجرّد عدم وجدان ما یصلح للتقیید بعد إمکان طروّ التقیید، لا یکفی لصرف ما یکون ظاهره عدم التداخل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عدم وجود القید فی مقام الاستظهار اللفظی، لا یثبت الامتناع عقلًا،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التقیید من جانب سببه؛ بأن یقال فی المثال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بلت فتوضّأ وضوءاً من قِبل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أنّه غیر الوضوء من قِبل النوم، فلو کان لکلّ من القضیتین ظهور فی سببیة کلّ منهما مستقلّاً لجزاء یخصّه، و انحصر الإشکال فی عدم إمکان أخذ قید صالح لذلک،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تصویر القید و لو لم یکن مذکوراً فی الکلام؛ بأن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بلت فتوضّأ وضوءاً من قِبل البول، و إن نمت فتوضّأ وضوءاً من قِبل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أنّه بعد ذلک لا یجوز رفع الید عن ظاهر القضیتین بمجرّد عدم وجود القید فی الکلام</w:t>
      </w:r>
      <w:r>
        <w:rPr>
          <w:rFonts w:eastAsia="IRNazanin" w:cs="IRNazanin"/>
          <w:color w:val="111111"/>
          <w:sz w:val="28"/>
          <w:szCs w:val="28"/>
          <w:rtl w:val="true"/>
          <w:lang w:bidi="fa-IR"/>
        </w:rPr>
        <w:t>.</w:t>
      </w:r>
    </w:p>
    <w:p>
      <w:pPr>
        <w:pStyle w:val="Heading6"/>
        <w:numPr>
          <w:ilvl w:val="5"/>
          <w:numId w:val="1"/>
        </w:numPr>
        <w:rPr/>
      </w:pPr>
      <w:bookmarkStart w:id="408" w:name="__RefHeading___Toc4026321_3224264995"/>
      <w:bookmarkStart w:id="409" w:name="_Toc156"/>
      <w:bookmarkEnd w:id="408"/>
      <w:r>
        <w:rPr>
          <w:rtl w:val="true"/>
        </w:rPr>
        <w:t>المقدّمة الخامسة</w:t>
      </w:r>
      <w:r>
        <w:rPr>
          <w:rtl w:val="true"/>
        </w:rPr>
        <w:t xml:space="preserve">: </w:t>
      </w:r>
      <w:r>
        <w:rPr>
          <w:rtl w:val="true"/>
        </w:rPr>
        <w:t>فی أنحاء تعدّد الشرط</w:t>
      </w:r>
      <w:bookmarkEnd w:id="409"/>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الشرطین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یختلفان من حیث الماهیة و النوع، کما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نمت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بلت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یختلفان من حیث الفردیة بعد اشتراکهما</w:t>
      </w:r>
      <w:bookmarkStart w:id="410" w:name="pg12934_164624"/>
    </w:p>
    <w:p>
      <w:pPr>
        <w:pStyle w:val="BookText"/>
        <w:rPr/>
      </w:pPr>
      <w:bookmarkEnd w:id="410"/>
      <w:r>
        <w:rPr>
          <w:rFonts w:ascii="IRNazanin" w:hAnsi="IRNazanin" w:eastAsia="IRNazanin"/>
          <w:color w:val="111111"/>
          <w:sz w:val="28"/>
          <w:sz w:val="28"/>
          <w:szCs w:val="28"/>
          <w:rtl w:val="true"/>
          <w:lang w:bidi="fa-IR"/>
        </w:rPr>
        <w:t>فی الماهیة و النوع، کما إذا تعدّد البول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التقدیرین یقع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عند تعدّد الشرط و تقارنهما أو تعاقبهما مع عدم تخلّل المسبّب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کانا مختلفین من حیث الماهیة، أو من حیث الفردیة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تتداخل الأسباب، أم لا؟</w:t>
      </w:r>
    </w:p>
    <w:p>
      <w:pPr>
        <w:pStyle w:val="BookText"/>
        <w:rPr/>
      </w:pPr>
      <w:r>
        <w:rPr>
          <w:rFonts w:ascii="IRNazanin" w:hAnsi="IRNazanin" w:eastAsia="IRNazanin"/>
          <w:color w:val="111111"/>
          <w:sz w:val="28"/>
          <w:sz w:val="28"/>
          <w:szCs w:val="28"/>
          <w:rtl w:val="true"/>
          <w:lang w:bidi="fa-IR"/>
        </w:rPr>
        <w:t>فقال بعضهم بالتداخل مطلقاً، و قال آخر بعدم التداخل، و فصّل ثالث بین ما إذا تعدّد الشرط ماهیة و نوعاً، و بین ما إذا تعدّد فرداً مع وحدة الماهیة، فقال بعدم التداخل فی الأوّل، و التداخل فی الثانی، فالأقوال فی المسألة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تنقیح المقال یستدعی البحث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تعدّدت الأسباب نوعاً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کانت أفراداً من ماهیة واحدة</w:t>
      </w:r>
      <w:r>
        <w:rPr>
          <w:rFonts w:eastAsia="IRNazanin" w:cs="IRNazanin"/>
          <w:color w:val="111111"/>
          <w:sz w:val="28"/>
          <w:szCs w:val="28"/>
          <w:rtl w:val="true"/>
          <w:lang w:bidi="fa-IR"/>
        </w:rPr>
        <w:t>.</w:t>
      </w:r>
    </w:p>
    <w:p>
      <w:pPr>
        <w:pStyle w:val="Heading6"/>
        <w:numPr>
          <w:ilvl w:val="5"/>
          <w:numId w:val="1"/>
        </w:numPr>
        <w:rPr/>
      </w:pPr>
      <w:bookmarkStart w:id="411" w:name="__RefHeading___Toc4026323_3224264995"/>
      <w:bookmarkStart w:id="412" w:name="_Toc157"/>
      <w:bookmarkEnd w:id="411"/>
      <w:r>
        <w:rPr>
          <w:rtl w:val="true"/>
        </w:rPr>
        <w:t>المقام الأوّل فی حکم ما إذا تعدّدت الأسباب نوعاً</w:t>
      </w:r>
      <w:bookmarkEnd w:id="412"/>
    </w:p>
    <w:p>
      <w:pPr>
        <w:pStyle w:val="Heading6"/>
        <w:numPr>
          <w:ilvl w:val="5"/>
          <w:numId w:val="1"/>
        </w:numPr>
        <w:rPr/>
      </w:pPr>
      <w:bookmarkStart w:id="413" w:name="__RefHeading___Toc4026325_3224264995"/>
      <w:bookmarkStart w:id="414" w:name="_Toc158"/>
      <w:bookmarkEnd w:id="413"/>
      <w:r>
        <w:rPr>
          <w:rtl w:val="true"/>
        </w:rPr>
        <w:t>اشارة</w:t>
      </w:r>
      <w:bookmarkEnd w:id="414"/>
    </w:p>
    <w:p>
      <w:pPr>
        <w:pStyle w:val="BookText"/>
        <w:rPr/>
      </w:pPr>
      <w:r>
        <w:rPr>
          <w:rFonts w:ascii="IRNazanin" w:hAnsi="IRNazanin" w:eastAsia="IRNazanin"/>
          <w:color w:val="111111"/>
          <w:sz w:val="28"/>
          <w:sz w:val="28"/>
          <w:szCs w:val="28"/>
          <w:rtl w:val="true"/>
          <w:lang w:bidi="fa-IR"/>
        </w:rPr>
        <w:t>و 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محطّ البحث فی التداخل و عدمه إنّما هو بحسب القواعد مع قطع النظر عن الأدلّة، فلا 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الوضوء و الغسل شأنهما کذا؛ و أنّ وجوب الوضوء وجوب مقدّمی للصلاة و غیرها من الغایات، فلا یجب إلّا وضوء واحد قطعاً، و لیس واجباً نفسیاً عند حصول سببه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تعدّدت الأسباب نوعاً و لم یتخلّل المسبّب فی البین؛ بأن نام و بال و لم یتوضّأ، و إلّا فمع تخلّل المسبّب کالوضوء فی المثال، فلا إشکال فی عدم التداخل، فذهب العلّامة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عدم التداخل، استدلّ لذلک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تعاقب السببان أو افترقا فإمّا أن یقتضیا مسبّبین مستقلّین، أو مسبّباً واحداً، أو</w:t>
      </w:r>
      <w:bookmarkStart w:id="415" w:name="pg12934_164625"/>
    </w:p>
    <w:p>
      <w:pPr>
        <w:pStyle w:val="BookText"/>
        <w:rPr/>
      </w:pPr>
      <w:bookmarkEnd w:id="415"/>
      <w:r>
        <w:rPr>
          <w:rFonts w:ascii="IRNazanin" w:hAnsi="IRNazanin" w:eastAsia="IRNazanin"/>
          <w:color w:val="111111"/>
          <w:sz w:val="28"/>
          <w:sz w:val="28"/>
          <w:szCs w:val="28"/>
          <w:rtl w:val="true"/>
          <w:lang w:bidi="fa-IR"/>
        </w:rPr>
        <w:t>لا یقتضیا شیئاً، أو یقتضی أحدهما شیئاً دون الآخر، و الثلاثة الأخیرة باطلة، فتعیّن الأوّل، و هو المطلوب</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16" w:name="__RefHeading___Toc4026327_3224264995"/>
      <w:bookmarkStart w:id="417" w:name="_Toc159"/>
      <w:bookmarkEnd w:id="416"/>
      <w:r>
        <w:rPr>
          <w:rtl w:val="true"/>
        </w:rPr>
        <w:t>بیان المقدمات الثلاثة من الشیخ الأعظم لتوجیه عدم التداخل</w:t>
      </w:r>
      <w:bookmarkEnd w:id="417"/>
    </w:p>
    <w:p>
      <w:pPr>
        <w:pStyle w:val="Heading6"/>
        <w:numPr>
          <w:ilvl w:val="5"/>
          <w:numId w:val="1"/>
        </w:numPr>
        <w:rPr/>
      </w:pPr>
      <w:bookmarkStart w:id="418" w:name="__RefHeading___Toc4026329_3224264995"/>
      <w:bookmarkStart w:id="419" w:name="_Toc160"/>
      <w:bookmarkEnd w:id="418"/>
      <w:r>
        <w:rPr>
          <w:rtl w:val="true"/>
        </w:rPr>
        <w:t>اشارة</w:t>
      </w:r>
      <w:bookmarkEnd w:id="419"/>
    </w:p>
    <w:p>
      <w:pPr>
        <w:pStyle w:val="BookText"/>
        <w:rPr/>
      </w:pPr>
      <w:r>
        <w:rPr>
          <w:rFonts w:ascii="IRNazanin" w:hAnsi="IRNazanin" w:eastAsia="IRNazanin"/>
          <w:color w:val="111111"/>
          <w:sz w:val="28"/>
          <w:sz w:val="28"/>
          <w:szCs w:val="28"/>
          <w:rtl w:val="true"/>
          <w:lang w:bidi="fa-IR"/>
        </w:rPr>
        <w:t>و قد عدّ الشیخ الأعظم الأنصاری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الوجه أقوی الوجوه للقول بعدم التداخل الذی علیه المشهور،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محصّل هذا الوجه ینحلّ إلی مقدّمات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تأثیر السبب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أثره غیر أثر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تعدّد الأثر یوجب تعدّد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فالقائل بالتداخل لا بدّ له من منع إحدی المقدّمات علی سبیل منع الخلوّ</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ورد قدس سره فی بیان المقدّمات و توضیحها، و أطال النقض و الإبرام بالنسبة إلی کلّ مقدّمة</w:t>
      </w:r>
      <w:r>
        <w:rPr>
          <w:rFonts w:eastAsia="IRNazanin" w:cs="IRNazanin"/>
          <w:color w:val="111111"/>
          <w:sz w:val="28"/>
          <w:szCs w:val="28"/>
          <w:rtl w:val="true"/>
          <w:lang w:bidi="fa-IR"/>
        </w:rPr>
        <w:t>.</w:t>
      </w:r>
    </w:p>
    <w:p>
      <w:pPr>
        <w:pStyle w:val="Heading6"/>
        <w:numPr>
          <w:ilvl w:val="5"/>
          <w:numId w:val="1"/>
        </w:numPr>
        <w:rPr/>
      </w:pPr>
      <w:bookmarkStart w:id="420" w:name="__RefHeading___Toc4026331_3224264995"/>
      <w:bookmarkStart w:id="421" w:name="_Toc161"/>
      <w:bookmarkEnd w:id="420"/>
      <w:r>
        <w:rPr>
          <w:rtl w:val="true"/>
        </w:rPr>
        <w:t>حول المقدّمة الاولی التی ذکرها الشیخ الأعظم</w:t>
      </w:r>
      <w:bookmarkEnd w:id="421"/>
    </w:p>
    <w:p>
      <w:pPr>
        <w:pStyle w:val="Heading6"/>
        <w:numPr>
          <w:ilvl w:val="5"/>
          <w:numId w:val="1"/>
        </w:numPr>
        <w:rPr/>
      </w:pPr>
      <w:bookmarkStart w:id="422" w:name="__RefHeading___Toc4026333_3224264995"/>
      <w:bookmarkStart w:id="423" w:name="_Toc162"/>
      <w:bookmarkEnd w:id="422"/>
      <w:r>
        <w:rPr>
          <w:rtl w:val="true"/>
        </w:rPr>
        <w:t>اشارة</w:t>
      </w:r>
      <w:bookmarkEnd w:id="423"/>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من الشیخ الأعظم الأنصاری قدس سره وجوه من البیان فی تمهید المقدّمة الاولی و إثبات أنّ السبب الثانی مستقلّ، و قد أخذ کلّ من تأخّر عنه وجهاً، فهم عیال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المحقّق الخراسانی قدس سره أخیراً بعد أن منع تعدّد الجزاء عند تعدّد الشرط؛ لاستلزامه اجتماع المثلین، و ذکر ما یمکن أن یقول به القائل بالتداخل،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الجملة الشرطیة لها ظهور فی ترتّب الجزاء علی الشرط؛ إمّا لکون الشرط سبباً، أو کاشفاً عن السبب الحقیقی، و مقتضی ذلک تعدّد الجزاء عند تعدّد الشرط، و مقتضی إطلاق الجزاء فی الجملتین، هو أنّ نفس طبیعة الجزاء تمام الموضوع لتعلّق الإیجاب علیها فی الجملتین، و لکنّ إطلاق الجزاء معلّق علی عدم البیان، و ظهور الشرطیة فی ذلک صالح لأن یکون بیاناً له، فإذن لا ظهور للجزاء مع ظهور الشرطیة، فلا یلزم علی القول بعدم التداخل تصرّف أصلًا، بخلاف القول بالتداخل، کما لا یخفی</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لتوضیح مقاله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الشرطیة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بلت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وجوب الوضوء عند تحقّق البول، و مقتضی إطلاق الجزاء هو أنّ نفس ماهیة الوضوء تمام الموضوع لتعلّق الإیجاب علیها، فإن کانت هناک جملة شرطیة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نمت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فالکلام فیها هو الکلام فی سابقتها، و لکن إیفاء الشرطیة فی معناها فی الجملتین و إطلاق الجزاء فیهما، یوجب تعلّق إیجابین مستقلّین و إرادتین کذلک علی ماهیة واحدة؛ و هی نفس ماهیة الوضوء فی المثال، و هو محال، فلا بدّ إمّا من رفع الید عن استقلال کلّ واحد من الشرطین فی التأثیر فی صورة اجتماعه مع الشرط الآخر؛ سواء قارنه، أم تأخّر عنه، و إبقاء الجزاء فیهما سلیماً، فیکون مقتضی الجملتین أنّه لا یجب الوضوء عند حصول کلّ واحد من البول و النوم، بل عند اجتماعهما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رفع الید عن إطلاق الجزاء فیهما؛ بأن یراد بالجزاء مصداق الماهیة حتّی یتغایر الجزاء فی کلّ من الجملتین مع الجزاء فی الاخری، فیبقی ظهور الشرطیة فی السببیة المستقلّة أو کاشفیتها عن سببیّة مستقلّة، سلیماً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 مورد تصادم الإطلاقات، و لکنّ إطلاق الجزاءین لا یقاوم إطلاق الشرطین؛ لأنّ إطلاق الجزاء یتوقّف علی عدم البیان، و واضح أنّ ظهور الشرطیة فی ترتّب الجزاء بیان له، فلم یکن هناک فی الحقیقة إطلاق، و مقتضی ذلک عدم التداخل</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المحقّق النائینی قدس سره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المتعلّق بالجزاء إنّما یدلّ علی طلب إیجاد الطبیعة، و لا اقتضاء له لکون المطلوب مصداقاً واحداً أو متعدّداً، نعم یحکم العقل بأنّ إیجاد الطبیعة یحصل بإتیانها، فلا موجب لإتیانها ثانیاً، و لکنّ هذا لا ینافی دلالة دلیل آخر علی أنّ المطلوب متعدّد، و یکفی فی ذلک ظهور الشرطیتین فی بیان موجب التعدّد؛ لظهور القضیة الشرطیة فی تأثیر کلّ شرط أثراً غیر أثر الشرط الآخر، فإذن الشرطیة الثانیة واردة علی حکم العقل بعدم لزوم إتیان مصداق آخر، و رافعاً لموضوع حکم العقل، بل علی فرض ظهور الجزاء فی المرّة یکون ظهور الشرطیة حاکماً علیه، کما لا یخفی</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المحقّق الأصفهانی قدس سره فی التعلیقة، و هو قریب ممّا ذکره المحقّق النائینی قدس سره و لکنّه بعبارة اخری،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متعلّق الجزاء نفس الماهیة</w:t>
      </w:r>
    </w:p>
    <w:p>
      <w:pPr>
        <w:pStyle w:val="BookText"/>
        <w:rPr/>
      </w:pPr>
      <w:r>
        <w:rPr>
          <w:rFonts w:ascii="IRNazanin" w:hAnsi="IRNazanin" w:eastAsia="IRNazanin"/>
          <w:color w:val="111111"/>
          <w:sz w:val="28"/>
          <w:sz w:val="28"/>
          <w:szCs w:val="28"/>
          <w:rtl w:val="true"/>
          <w:lang w:bidi="fa-IR"/>
        </w:rPr>
        <w:t>المهملة، و الوحدة و التکرار خارجان عنها، فهی بالنسبة إلی الوحدة و التعدّد لا اقتضاء، بخلاف أداة الشرط فإنّها ظاهرة فی السببیة المطلقة، و لا تعارض بین الاقتضاء اللااقتضاء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البعث المتعلّق بشی‌ء یقتضی وجوداً واحداً منه، و لا یقتضی عدم البعث إلی وجود آخر، بل هو بالنسبة إلی وجود آخر بوجوب آخر لا اقتضاء، و البعث الآخر مقتضٍ لوجود آخر بنفسه، و لا تعارض بین المقتضی اللااقتضاء</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المحقّق الهمدانی قدس سره و المستفاد من کلامه قدس سره صدراً و ذیلًا توجیهان لذلک</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القواعد اللفظیة سببیة کلّ شرط للجزاء مستقلّاً، کما تقرّر فی الاصول، و مقتضاه تعدّد اشتغال ذمّة المکلّف بتعدّد سببه؛ لأنّ مقتضی إطلاق سببیة کلّ شرط تنجّز الأمر بالجزاء عند حصوله، و مقتضی تنجّز الخطاب عند کلّ سبب، حصول اشتغال الذمّة للمکلّف بفعل الجزاء بعدد الخطابات المتوجّهة إلیه؛ لأنّه لا یعقل تعدّد التکلیف و الاشتغال إلّا مع تعدّد المشتغل به؛ لأنّه لا شبهة فی أنّ السبب الأوّل، سبب تامّ فی اشتغال ذمّة المکلّف بإیجاد الجزاء فی الخارج، و السبب الثانی إن أثّر فی اشتغال ذمّته ثانیاً وجب أن یکون أثره اشتغالًا آخر غیر الاشتغال الأوّل؛ لأنّ تأثیر المتأخّر فی وجود المتقدّم غیر معقول، و تعدّد الاشتغال مع وحدة الفعل المشتغل به ذاتاً و وجوداً، غیر متصوّر، و إن لم یؤثّر فی الاشتغال ثانیاً یجب أن یستند عدم التأثیر إمّا إلی فقد المقتضی، أو وجود المانع، و الکلّ منتفٍ فی الفرض؛</w:t>
      </w:r>
    </w:p>
    <w:p>
      <w:pPr>
        <w:pStyle w:val="BookText"/>
        <w:rPr/>
      </w:pPr>
      <w:r>
        <w:rPr>
          <w:rFonts w:ascii="IRNazanin" w:hAnsi="IRNazanin" w:eastAsia="IRNazanin"/>
          <w:color w:val="111111"/>
          <w:sz w:val="28"/>
          <w:sz w:val="28"/>
          <w:szCs w:val="28"/>
          <w:rtl w:val="true"/>
          <w:lang w:bidi="fa-IR"/>
        </w:rPr>
        <w:t>لأنّ ظاهر القضیة الشرطیة سببیة الشرط مطلقاً و المحلّ قابل للتأثیر، و المکلّف قادر علی الامتثال، فأیّ مانع من التنجّز؟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حال الأسباب الشرعیة حال الأسباب العقلیة، فکما أنّه یمتنع عدم تحقّق الطبیعة فی ضمن فردین علی تقدیر تکرّر علّة وجودها بشرط قابلیتها للتکرار، فکذا یتعدّد اشتغال الذمّة بتعدّد أسبابه</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قریب ممّا ذکره المحقّق الهمدانی قدس سره 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حال العلل الشرعیة حال الأسباب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اختاره شیخنا العلّامة الحائری قدس سره فی أواخر عمره الشریف</w:t>
      </w:r>
      <w:r>
        <w:rPr>
          <w:rStyle w:val="FootnoteAnchor"/>
          <w:rtl w:val="true"/>
        </w:rPr>
        <w:footnoteReference w:id="249"/>
      </w:r>
      <w:r>
        <w:rPr>
          <w:rFonts w:ascii="IRNazanin" w:hAnsi="IRNazanin" w:eastAsia="IRNazanin"/>
          <w:color w:val="111111"/>
          <w:sz w:val="28"/>
          <w:sz w:val="28"/>
          <w:szCs w:val="28"/>
          <w:rtl w:val="true"/>
          <w:lang w:bidi="fa-IR"/>
        </w:rPr>
        <w:t>بعد أن کان مبناه سابقاً التداخل</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ما قاله فخر المحقّقین قدس سره من ابتناء هذه المسألة علی کون الأسباب الشرعیة مؤثّرات أو معرّفات</w:t>
      </w:r>
      <w:r>
        <w:rPr>
          <w:rStyle w:val="FootnoteAnchor"/>
          <w:rtl w:val="true"/>
        </w:rPr>
        <w:footnoteReference w:id="251"/>
      </w:r>
      <w:r>
        <w:rPr>
          <w:rFonts w:ascii="IRNazanin" w:hAnsi="IRNazanin" w:eastAsia="IRNazanin"/>
          <w:color w:val="111111"/>
          <w:sz w:val="28"/>
          <w:sz w:val="28"/>
          <w:szCs w:val="28"/>
          <w:rtl w:val="true"/>
          <w:lang w:bidi="fa-IR"/>
        </w:rPr>
        <w:t>، یشیر إلی هذا، من جهة أنّه لو کانت الأسباب الشرعیة مؤثّرات، فحالها حال العلل العقلیة من جهة تعدّد المعلول بتعدّد علّته، بخلاف ما إذا کانت معرّفات، کما لا یخفی</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جملة من کلمات الأساطین قدس سرهم مع اختلاف التقاریب فی أنّ مقتضی القاعدة عدم تداخل المسبّبات، بل تتعدّد المسبّبات حسب تعدّد الأسباب، و قد أشرنا آنفاً إلی أنّ جمیع هذه الوجوه موجودة فی تقریرات شیخنا الأعظم الأنصاری قدس سره و قد استحسن کلّ من تأخّر عنه وجهاً أو وجهین منها</w:t>
      </w:r>
      <w:r>
        <w:rPr>
          <w:rFonts w:eastAsia="IRNazanin" w:cs="IRNazanin"/>
          <w:color w:val="111111"/>
          <w:sz w:val="28"/>
          <w:szCs w:val="28"/>
          <w:rtl w:val="true"/>
          <w:lang w:bidi="fa-IR"/>
        </w:rPr>
        <w:t>.</w:t>
      </w:r>
      <w:bookmarkStart w:id="424" w:name="pg12934_164630"/>
    </w:p>
    <w:p>
      <w:pPr>
        <w:pStyle w:val="Heading6"/>
        <w:numPr>
          <w:ilvl w:val="5"/>
          <w:numId w:val="1"/>
        </w:numPr>
        <w:rPr/>
      </w:pPr>
      <w:bookmarkStart w:id="425" w:name="__RefHeading___Toc4026335_3224264995"/>
      <w:bookmarkStart w:id="426" w:name="_Toc163"/>
      <w:bookmarkEnd w:id="424"/>
      <w:bookmarkEnd w:id="425"/>
      <w:r>
        <w:rPr>
          <w:rtl w:val="true"/>
        </w:rPr>
        <w:t>تزییف الوجوه التی ذکرت لعدم التداخل</w:t>
      </w:r>
      <w:bookmarkEnd w:id="426"/>
    </w:p>
    <w:p>
      <w:pPr>
        <w:pStyle w:val="BookText"/>
        <w:rPr/>
      </w:pPr>
      <w:r>
        <w:rPr>
          <w:rFonts w:ascii="IRNazanin" w:hAnsi="IRNazanin" w:eastAsia="IRNazanin"/>
          <w:color w:val="111111"/>
          <w:sz w:val="28"/>
          <w:sz w:val="28"/>
          <w:szCs w:val="28"/>
          <w:rtl w:val="true"/>
          <w:lang w:bidi="fa-IR"/>
        </w:rPr>
        <w:t>و 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المختار فی المسألة و إن کان عدم التداخل، إلّا أنّه لیس لشی‌ء من الوجوه المذکورة فی کلمات الأعلام، فلا بدّ أوّلًا من تزییف الوجوه المذکورة، ثمّ الإشارة إلی ما هو المختار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قاله المحقّق الخراسانی قدس سره، 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القضیة الشرطیة أو أداة الشرط، وضعت للدلالة علی أنّ الشرط سبب مستقلّ لترتّب الجزاء؛ سبقه أو قارنه شی‌ء آخر، أم لا، و أنّ ظهور الإطلاق معلّق علی عدم البیان مطلقاً و لو کان منفصلًا، کما ینسب إلی الشیخ الأعظم الأنصاری أعلی اللَّه مقامه</w:t>
      </w:r>
      <w:r>
        <w:rPr>
          <w:rStyle w:val="FootnoteAnchor"/>
          <w:rtl w:val="true"/>
        </w:rPr>
        <w:footnoteReference w:id="252"/>
      </w:r>
      <w:r>
        <w:rPr>
          <w:rFonts w:ascii="IRNazanin" w:hAnsi="IRNazanin" w:eastAsia="IRNazanin"/>
          <w:color w:val="111111"/>
          <w:sz w:val="28"/>
          <w:sz w:val="28"/>
          <w:szCs w:val="28"/>
          <w:rtl w:val="true"/>
          <w:lang w:bidi="fa-IR"/>
        </w:rPr>
        <w:t>یکون لمقاله قدس سره وجه وجیه؛ ضرورة أنّ الإطلاق فی الجزاء متوقّف علی عدم البیان و لو منفصلًا، و معلوم أنّ ظهور الشرطیة فی ترتّب الجزاء علی الشرط غیر معلّق علی شی‌ء، بل إنّما هو بالوضع، فیکون الشرط بیاناً للجزاء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الذی یسهّل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قدس سره لم یقل بهذه المقالة، مع أنّها غیر تامّة فی حدّ نفسها أیضاً؛ و ذلک لأنّ ظهور الإطلاق إنّما یکون معلّقاً علی عدم البیان المتصل، فبعد أن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الکلام ما یوجب أن یکون بیاناً، و بعد إحراز کون المولی فی مقام بیان تمام ما له دخل فی الحکم، ینعقد الإطلاق، فلو وجد ذلک فی کلام منفصل یقع التعارض بینهما</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 إن کان کذلک، إلّا أنّ ظهور أداة الشرط فی الدلالة علی استقلال الشرط فی سببیته لترتّب الجزاء وضعی، و هو أقوی من ظهور إطلاق الجزاء؛ فإنّه بمقدّمات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نسلّم دلالة الشرطیة علی الحدوث عند الحدوث بالوضع، کما لم یسلّمها کثیر منهم أیضاً؛ لأنّهم یرون أنّ ذلک من ناحیة الإطلاق، فکما أنّ إطلاق الشرط یقتضی کونه علّة لترتّب الجزاء، فکذلک إطلاقه یقتضی استقلاله فی السببیة و کونه تمام الموضوع لترتّب الجزاء؛ قارنه شرط آخر، أم لا، و علیه فالإطلاق کما هو منعقد فی ناحیة الشرط، فکذلک هو فی ناحیة الجزاء، و معلوم أنّه لا تنافی و لا تعارض بین الإطلاق الجاری فی ناحیة شرط کلّ جملة بالنسبة إلی إطلاق جزائها لو خلّیت و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بین صدر کلّ جملة و ذیلها تنافٍ و تخالف، بل التنافی و التخالف بلحاظ الإطلاقات الأربعة التی فی الجملتین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اثنان منها فی جانب الشرط، و آخران فی ناحیة الجزاء، ضرورة أنّ معنی حفظ الإطلاق من ناحیة فی کلتا الجملتین، هو سببیة کلّ منهما مستقلّاً فی حدوث الإرادة و الوجوب علی نفس ماهیة الجزاء، فتکون نفس الماهیة بلا تقیید، محطّاً لتعلّق إرادتین أو وجوبین مستقلّین، و ذلک باطل؛ لأنّ تشخّص الإرادة بالمراد، و لا یکاد یتشخّص الشی‌ء بشخصین، کبطلان تعلّق إرادة و کراهة بنفس الماهیة بلا قید؛ فإنّها بلا قید و إن کانت قابلة للتکثّر بتکثّر الأفراد، و لکنّها غیر قابلة لها فی حدّ نفسها، فلا معنی لتعلّق إرادتین مستقلّتین بها</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لم یمکن الجمع بین الإطلاقات الأربعة، فیدور الأمر بین حفظ إطلاق الشرط فی الجملتین، و رفع الید عن إطلاق الجزاء فیهما فتتقید ماهیة الوضوء فی المثال المفروض حتّی یکون متعلّق الإرادتین شیئین مختلفین، 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نمت فتوضّأ وضوءاً من قِبل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بلت فتوضّأ وضوءاً من قِبل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حفظ إطلاق الجزاء فیهما و رفع الید عن إطلاق الشرط؛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کلّاً من الشرطین إنّما یستفاد فی</w:t>
      </w:r>
    </w:p>
    <w:p>
      <w:pPr>
        <w:pStyle w:val="BookText"/>
        <w:rPr/>
      </w:pPr>
      <w:r>
        <w:rPr>
          <w:rFonts w:ascii="IRNazanin" w:hAnsi="IRNazanin" w:eastAsia="IRNazanin"/>
          <w:color w:val="111111"/>
          <w:sz w:val="28"/>
          <w:sz w:val="28"/>
          <w:szCs w:val="28"/>
          <w:rtl w:val="true"/>
          <w:lang w:bidi="fa-IR"/>
        </w:rPr>
        <w:t>التأثیر و الدلالة علی الحدوث عند الحدوث إذا لم یقارنه شرط آخر، و أمّا عند المقارنة فالمؤثّر هو المجموع، و لا ترجیح لأحد الإطلاقین علی الآخر حتّی علی مذاق من یری أنّ ظهور الإطلاق متوقّف علی عدم البیان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إیّاک أن تتوهّم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الإطلاق الجاری فی ناحیة الشرط، مقدّم علی الإطلاق الجاری فی ناحیة الجزاء؛ بلحاظ تقدّم ظهور صدر القضیة علی ذیلها، لأنّ ذلک إنّما هو بالنسبة إلی صدر قضیة و ذیلها، لا بین صدر قضیة و ذیل قضیة اخری، و ما نحن فیه من قبیل الثانی؛ بداهة أنّه لا تنافی بین صدر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نمت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ذیله، بل بینهما کمال الملاءمة، و إنّما التنافی بعد ضمّ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بلت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جملة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ترجیح لأحد الإطلاقین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سلّم أنّ دلالة أداة الشرط علی الحدوث عند الحدوث بالوضع، و لکن مجرّد ذلک لا یکفی لحمل اللفظ علی معناه، و لا یصحّ الاحتجاج بمعناه ما لم تنضمّ إلیه اصول عقلائیة اخری، ککونه فی مقام التفهیم، و مستعملًا إیّاه فی معناه الحقیقی، و أنّه مراد له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سیوافیک فی مبحث العامّ و الخاصّ، أنّ تقدیم الخاصّ علی العامّ لیس لأظهریته من العامّ، بل لأجل عدم تطابق الجدّ مع الاستعمال، و أنّه لا وجه لتقدیم الأقوی ظهوراً فی الظهورین المستقرّین إلّا إذا کانا بحیث إذا عرضنا علی العقلاء، یعدّون أحدهما قرینة علی کشف المراد الواقعی من الآخر، نظیر أدلّة کثیر الشکّ بالنسبة إلی أدلّة الشکوک، و أدلّة نفی الحرج بالنسبة إلی التکالیف الواقعیة</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فی غیر ذلک، فلا یکاد ترفع الید عن ظاهر استقرّ أمره بأظهریة غیره فی مفاده، أ لا تری أنّه 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أهن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أنّ الجملة</w:t>
      </w:r>
    </w:p>
    <w:p>
      <w:pPr>
        <w:pStyle w:val="BookText"/>
        <w:rPr/>
      </w:pPr>
      <w:r>
        <w:rPr>
          <w:rFonts w:ascii="IRNazanin" w:hAnsi="IRNazanin" w:eastAsia="IRNazanin"/>
          <w:color w:val="111111"/>
          <w:sz w:val="28"/>
          <w:sz w:val="28"/>
          <w:szCs w:val="28"/>
          <w:rtl w:val="true"/>
          <w:lang w:bidi="fa-IR"/>
        </w:rPr>
        <w:t>الاولی تدلّ بدلالة لفظیة علی وجوب إکرام کلّ عالم، فتکون أقوی فی مفادها فی دلالة الجملة الثانیة فی مفادها؛ حیث إنّها بالإطلاق، و لکن مع ذلک لا تقدّم الاولی علی الثانیة فی مورد تصادقهما بلحاظ کونها بدلالة اللفظ، بل یرون کلّاً منهما حجّة بنفسها مستقلّة،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وجه لتقدیم ما یکون مستفاداً من اللفظ علی ما یکون مستفاداً من الإطلاق؛ معلّلًا بالأقوائیة، و لم یثبت بناء العقلاء علی ذلک إلّا فی مورد یکون أحدهما قرینة علی الآخر، و معلوم أنّ ذلک غیر رهین بکون أحدهما بالوضع، و الآخر بالإطلاق،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نحن فیه لو سلّم أنّ أداة الشرط موضوعة للدلالة علی الحدوث عند الحدوث، فحیث إنّ مقتضی إطلاق الجزاء هو أنّ نفس الطبیعة بلا قید متعلّق للوجوب، فکلٌّ حجّة فی مفاده، فبعد ورود جملة اخری یکون لها ما یکون لسابقتها، و لا وجه لرفع الید عن ظهور إطلاق الجزاء معتذراً بأقوائیة ظهور الأداة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بین الأدلّة بعضها مع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بین الخاصّ و العامّ، أو بین المطلق و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عبارة عن رفع الید عن الظهور؛ بحیث یکون الخاصّ مثلًا موجباً لرفع الید عن ظهور العامّ فی العموم، و لذا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العامّ مستعمل فی معناه 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التخصیص لا یوجب المجازیة، بل غایة ما یوجبه التخصیص کشفه عن أنّ الإرادة الجدّیة، لم تتعلّق بالعموم، و لم تتطابق الإرادة الجدّیة مع الإرادة الاستعمالیة</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الحال فی باب المطلق و المقیّد، فإنّه بعد طروّ التقیید یستکشف أنّ نفس الطبیعة بما هی، لم تکن تمام الموضوع بالإرادة الجدّیة، فطروّ القید لا یوجب عدم کون</w:t>
      </w:r>
    </w:p>
    <w:p>
      <w:pPr>
        <w:pStyle w:val="BookText"/>
        <w:rPr/>
      </w:pPr>
      <w:r>
        <w:rPr>
          <w:rFonts w:ascii="IRNazanin" w:hAnsi="IRNazanin" w:eastAsia="IRNazanin"/>
          <w:color w:val="111111"/>
          <w:sz w:val="28"/>
          <w:sz w:val="28"/>
          <w:szCs w:val="28"/>
          <w:rtl w:val="true"/>
          <w:lang w:bidi="fa-IR"/>
        </w:rPr>
        <w:t>المولی فی مقام البیان؛ أو عدم جعل نفس الطبیعة تمام الموضوع، بل غایته الکشف عن أنّها غیر مرادة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 بطوله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المسألة لیست من باب تقدیم أقوی الظهورین علی الآخر، فتدبّر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و 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التقریب الذی ذکره المحقّق الخراسانی قدس سره لعدم التداخل، غیر تامّ، و قد عدل قدس سره إلی ما فی التعلیقة</w:t>
      </w:r>
      <w:r>
        <w:rPr>
          <w:rStyle w:val="FootnoteAnchor"/>
          <w:rtl w:val="true"/>
        </w:rPr>
        <w:footnoteReference w:id="253"/>
      </w:r>
      <w:r>
        <w:rPr>
          <w:rFonts w:ascii="IRNazanin" w:hAnsi="IRNazanin" w:eastAsia="IRNazanin"/>
          <w:color w:val="111111"/>
          <w:sz w:val="28"/>
          <w:sz w:val="28"/>
          <w:szCs w:val="28"/>
          <w:rtl w:val="true"/>
          <w:lang w:bidi="fa-IR"/>
        </w:rPr>
        <w:t>، و هو تامّ، کما سنذکره قریباً، فارتقب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ذکره العلمان النائینی و الأصفهانی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خلط؛ لأنّ البحث فی التنافی بین جعل نفس الماهیة متعلّقة للحکم فی الجزاء فی إحدی الجملتین، و جعل نفس تلک الماهیة أیضاً متعلّقة للحکم فی الجزاء فی الجملة الاخری، لا فی الهیئة و البعث فیهما، و واضح أنّ أصالة الإطلاق فی ناحیة الشرط، کما تقتضی کونه مؤثّراً مستقلًا؛ قارنه شی‌ء، أم لا، فکذلک أصالة الإطلاق فی ناحیة الجزاء، تقتضی کون نفس الطبیعة بلا قید تمام المتعلّق، فیقع التعارض بینهما، و لا ترجیح لإحداهما علی الاخری بعد کون استفادة الظهور فی کلّ من الشرط و الجزاء من ناحیة الإطلاق؛ لأنّ إطلاق الجزاء کما یکون معلّقاً علی عدم ورود البیان علی خلافه، فکذلک إطلاق الشرط معلّق علی عدم البیان علی خلافه،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الشی‌ء الواحد لا تتعلّق به إرادتان و بعثان حقیقة، و من وحدة المتعلّق تستکشف وحدة المؤثّر و التأثیر</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تکون أصالة الإطلاق فی کلّ من الشرط و الجزاء موجودة، فلکلّ منهما اقتضاء فی مدلوله بالنسبة إلی الآخر، فیقع التعارض بین المقتضیین، لا بین</w:t>
      </w:r>
    </w:p>
    <w:p>
      <w:pPr>
        <w:pStyle w:val="BookText"/>
        <w:rPr/>
      </w:pPr>
      <w:r>
        <w:rPr>
          <w:rFonts w:ascii="IRNazanin" w:hAnsi="IRNazanin" w:eastAsia="IRNazanin"/>
          <w:color w:val="111111"/>
          <w:sz w:val="28"/>
          <w:sz w:val="28"/>
          <w:szCs w:val="28"/>
          <w:rtl w:val="true"/>
          <w:lang w:bidi="fa-IR"/>
        </w:rPr>
        <w:t>المقتضی اللااقتضاء کما ذکره العلمان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تقدّم ظهور صدر القضیة علی ظهور ذیلها، قد أشرنا إلی ضعفه آنفاً،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 المحقّق الهمدانی قدس سره،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بالقاعدة اللفظیة فی المقام لیس أصالة الحقیقة؛ لأنّه قدس سره ممّن لا یری استفادة السببیة المستقلّة من الوضع، بل من الإطلاق</w:t>
      </w:r>
      <w:r>
        <w:rPr>
          <w:rStyle w:val="FootnoteAnchor"/>
          <w:rtl w:val="true"/>
        </w:rPr>
        <w:footnoteReference w:id="254"/>
      </w:r>
      <w:r>
        <w:rPr>
          <w:rFonts w:ascii="IRNazanin" w:hAnsi="IRNazanin" w:eastAsia="IRNazanin"/>
          <w:color w:val="111111"/>
          <w:sz w:val="28"/>
          <w:sz w:val="28"/>
          <w:szCs w:val="28"/>
          <w:rtl w:val="true"/>
          <w:lang w:bidi="fa-IR"/>
        </w:rPr>
        <w:t>، فالمراد بالقاعدة أصالة الإطلاق، و معلوم أنّها موجودة فی کلّ من الشرط و الجزاء، و لا وجه لحفظ الإطلاق من ناحیة الشرط، و تقییده من ناحیة الجزاء، أو بالعکس؛ إلّا لمرجّح خارجی،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سببیة کلّ شرط للجزاء مستقلّاً، تقتضی تعدّد المشتغل به و الاشتغال، و لا یکاد یمکن مع کون الجزاء فی الجملتین نفس الماهیة؛ لبطلان تعلّق إرادتین و بعثین بماهیة واحدة بلا تقیید، فلا بدّ و أن یکون ذلک بعد التقیید فی ناحیة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الإطلاق فی ناحیة الجزاء، یقتضی کون نفس الماهیة بلا قید تمام المتعلّق، فیکون المشتغل به واحداً، و مع وحدة المشتغل به لا یکون اشتغال الذمّة متعدّداً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الاشتغال ثانیاً فی المقام، إنّما هو لوجود المانع،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فی خلال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دفعاً لما ذکرناه من وجود الإطلاق فی ناحیة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بدّ و أن یقیّد الجزاء، و التقیید إنّما نشأ من حکم العقل بعد استفادة السببیة المستقلّة من الدلیل، فإطلاق السبب منضماً إلی حکم العقل بأنّ تعدّد المؤثّر یستلزم تعدّد الأثر، بیان للجزاء، و معه لا مجال للتمسّک بإطلاقه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قدس سره أراد الجمع بین الأدلّة بالقاعدة العقلیة، مع أنّه لا مجری لتلک</w:t>
      </w:r>
    </w:p>
    <w:p>
      <w:pPr>
        <w:pStyle w:val="BookText"/>
        <w:rPr/>
      </w:pPr>
      <w:r>
        <w:rPr>
          <w:rFonts w:ascii="IRNazanin" w:hAnsi="IRNazanin" w:eastAsia="IRNazanin"/>
          <w:color w:val="111111"/>
          <w:sz w:val="28"/>
          <w:sz w:val="28"/>
          <w:szCs w:val="28"/>
          <w:rtl w:val="true"/>
          <w:lang w:bidi="fa-IR"/>
        </w:rPr>
        <w:t>القاعدة العقلیة فی هذه المباحث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سلّمنا و جوّزنا جریانها فی مثل هذه المباحث، فیمکن أن نقول بعکس ذلک فی ناحیة الجزاء؛ و أنّ إطلاق الجزاء یقتضی کون المسبّب واحداً، و قد تقرّر أنّ الواحد لا یصدر من الکثیر بما هو کثیر؛ أی لا یعقل أن یؤثّر الکثیر بما هو کثیر فی أمر واحد، فیکون المؤثّر مجموع الشرطین، لا کلّ واحد،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قدس سره فی التقریب الأخیر من مقایسة الأسباب الشرعیة بالأسباب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یکون الأمر فی العلل التکوینیة کما زعمه قدس سره لأنّه عند توارد علل متعدّدة علی معلول واحد، یکون المجموع أو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زعموا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مؤثّراً، لا کلّ واحد منها، فإذا کان الأمر فی المقیس علیه کذلک، فما ظنّک فی المقیس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سلّم ذلک فی التکوینیات فالقیاس مع الفارق؛ ضرورة وجود الفرق الواضح بینهما، لأنّ المعلول التکوینی یتأثّر من ناحیة علّته، و یکون مفتقر الذات إلی علّته، و وجوداً مرتبطاً بها، و أمّا العلّة التشریعیة فعبارة عن جعل الشی‌ء موضوعاً و متعلّقاً للحکم، فکما یمکن أن یجعل النوم و البول سبباً لإیجاب الوضوء فی حال الانفراد، فکذلک یمکن جعل السببیة لهما معاً حال الاجتماع</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أحطت خبراً بما ذکرنا فی حدیث المقایسة، یظهر لک ضعف ما ربما یقال؛ من أنّ تعدّد المحرّک فی الأسباب التکوینیة، إن اقتضی کون المتحرّک متعدّداً، فکذلک الأمر فی الأسباب الشرعیة، فإذا کانت متعدّدة یلزم تعدّد المسبّبات</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ذکر المحقّق العراقی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 آخر لعدم التداخل،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تعدّد الشرط و کان الجزاء شخصاً غیر قابل للتکثّر، فلا شبهة فی أنّه لا محیص من رفع الید عن ظهور الشرط فی المؤثّریة بنحو الاستقلال، فیحمل علی مؤثّریة المجموع فی وجود الجزاء عند تقارنهما، خصوصاً أنّ اقتضاء مؤثّریة أحدهما دون الآخر ترجیح بلا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صورة تعاقبهما کان الأثر لأوّل الوجودین قهراً،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الجزاء وجوداً سنخیاً قابلًا للتکثّر، فیدور الأمر بین الأخذ بإطلاق الجزاء الکاشف عن صِرف الوجود غیر القابل للتکثّر أیضاً، و لازمه أیضاً رفع الید عن ظهور الشرط فی الاستقلال تأثیراً، فیجری فیه حکم الصورة السابقة، و بین الأخذ بظهور کلّ شرط فی المؤثّریة المستقلّة المستلزم لرفع الید عن وحدة الجزاء بحمله علی وجود دون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الظاهر کون الجزاء تبعاً للشرط ثبوتاً و إثباتاً، و أنّ ظهور الشرط فی المؤثّریة المستقلّة صالح للبیانیة المانعة عن الأخذ بإطلاق الوحدة فی ظرف الجزاء، و لازمه کون الأصل فی أمثال الباب عدم التداخل</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إطلاق الجزاء لا یقتضی کون صرف الوجود من الماهیة غیر القابل للتکرار، تمام المتعلّق له، بل غایة ما یقتضیه هی کون نفس الماهیة القابلة للتکرار تمام المتعلّق له، فیقع الکلام بعد ذلک فی أنّه فی صورة تعدّد الشرط، هل یتعدّد الجزاء تحکیماً لأصالة الإطلاق فی ناحیة الشرط علی أصالة الإطلاق فی ناحیة الجزاء، أم لا؟</w:t>
      </w:r>
      <w:bookmarkStart w:id="427" w:name="pg12934_164638"/>
    </w:p>
    <w:p>
      <w:pPr>
        <w:pStyle w:val="BookText"/>
        <w:rPr/>
      </w:pPr>
      <w:bookmarkEnd w:id="427"/>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تبعیة الجزاء للشرط ثبوتاً و إثباتاً و إن کانت غیر بعیدة، و لکنّها إنّما تکون فیما إذا کانا فی قضیة واحدة، و واضح أنّه لم یکن محطّ البحث فی المقام؛ لعدم التعارض بین صدر القضیة و ذیلها، کما أشرنا إلیه آنفاً، بل التعارض بالذات فیه بین إطلاق الشرط فی کلّ قضیة، و إطلاق الجزاء فی القضیة الاخری، و بتبع ذلک یقع التعارض بین شرط کلّ قضیة و جزائه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البحث و الکلام فی قضیة واحدة بلحاظ صدرها و ذیلها حتّی یجری فیها ما ذکره قدس سره بل الکلام فیما إذا وردت قضیتان اقتضی کلّ شرط منهما جزاء، و لم یمکننا حفظ الإطلاقات الجاریة فی ناحیتی الشرط و الجزاء فی کلّ منهما؛ لوقوع التعارض بین شرط کلّ منهما مع جزاء الاخری، و لا یکاد یجری ما ذکره فی ذلک کما لا یخفی، فتدبّر</w:t>
      </w:r>
      <w:r>
        <w:rPr>
          <w:rFonts w:eastAsia="IRNazanin" w:cs="IRNazanin"/>
          <w:color w:val="111111"/>
          <w:sz w:val="28"/>
          <w:szCs w:val="28"/>
          <w:rtl w:val="true"/>
          <w:lang w:bidi="fa-IR"/>
        </w:rPr>
        <w:t>.</w:t>
      </w:r>
    </w:p>
    <w:p>
      <w:pPr>
        <w:pStyle w:val="Heading6"/>
        <w:numPr>
          <w:ilvl w:val="5"/>
          <w:numId w:val="1"/>
        </w:numPr>
        <w:rPr/>
      </w:pPr>
      <w:bookmarkStart w:id="428" w:name="__RefHeading___Toc4026337_3224264995"/>
      <w:bookmarkStart w:id="429" w:name="_Toc164"/>
      <w:bookmarkEnd w:id="428"/>
      <w:r>
        <w:rPr>
          <w:rtl w:val="true"/>
        </w:rPr>
        <w:t>التوجیه المقبول لعدم التداخل</w:t>
      </w:r>
      <w:bookmarkEnd w:id="429"/>
    </w:p>
    <w:p>
      <w:pPr>
        <w:pStyle w:val="BookText"/>
        <w:rPr/>
      </w:pPr>
      <w:r>
        <w:rPr>
          <w:rFonts w:ascii="IRNazanin" w:hAnsi="IRNazanin" w:eastAsia="IRNazanin"/>
          <w:color w:val="111111"/>
          <w:sz w:val="28"/>
          <w:sz w:val="28"/>
          <w:szCs w:val="28"/>
          <w:rtl w:val="true"/>
          <w:lang w:bidi="fa-IR"/>
        </w:rPr>
        <w:t>إذا ظهر لک عدم تمامیة الوجوه التی استدلّ بها الأعلام لعدم التداخل، فحان التنبیه علی الوجه المختار فی ذلک، و هو الذی أشار إلیه المحقّق الخراسانی فی التعلیقة، و لعلّه موجود أیضاً فی کلام الشیخ الأعظم الأنصاری 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قدس سره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العرف لا یکاد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الاطلاع علی تعدّد القضیة 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قضیته تعدّد الجزاء، و أنّه فی کلّ قضیة وجوب فرد غیر ما وجب فی الاخری، کما إذا اتصلت القضایا و کانت فی کلام واحد، فافهم</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إلیک توضیح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إذا قیل للعرف السلیم ذهنه من الشبهات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وقعت فأرة فی البئر یجب نزح عشر دلاء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یفهم منه أنّ وقوع الفأرة فیها یوجب قذارة فی ماء البئر لا تکاد ترتفع إلّا بنزح ذاک المقدار، فیری أنّ بین وقوع الفأرة فیها و نزح ذاک المقدار مناسبة، و إلّا کان الأمر به عند ذلک جزافاً، و واضح أنّه یفهم کذلک إذا قیل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وقعت هرّة فیها یجب نزح عشر دلاء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وقعتا معاً أو متعاقباً فیها، یری أنّ لوقوع کلّ منهما اقتضاءً خاصّاً بها لا یکون فی الاخری، فیجب تعدّد النزح عند وقوعهما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المناسبة العرفیة بین الشرط و الجزاء، أوجبت تحکیم ظهور إطلاق الشرط علی إطلاق الجزاء، فیدرک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بفطرته و ارتکازه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عند تعدّد الشرط یتعدّد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ما ذکره الأعلام فی تقاریبهم، لإصلاح هذا الفهم العقلائی العرفی و تتمیمه علی حسب القواعد الفنّیة الصناعیة؛ و إن وقعوا فی حیص و بیص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البعید أن یکون الارتکاز العرفی لأجل المناسبة بین الشرط و الجزاء، بل هو لأجل أنّ مقایسة التشریع بالتکوین أورثت هذا الارتکاز؛ لأنّ العلل الخارجیة بمرأی و مسمع منهم، فهم یرون أنّ کلّ علّة تؤثّر أثراً غیر ما تؤثّره الاخری، فأورث هذا ارتکازاً لهم فی باب التشریع؛ بحیث انقدح هذا الأمر فی أذهانهم عند تعدّد العلل و الأسباب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 إن أبطلنا المقایسة، و مقتضاه عدم صحّة هذا الارتکاز العرفی، إلّا أنّه حیث أورث ظهوراً عرفیاً للکلام فلا بدّ و أن یتبع؛ لأنّ الظهور هو المتبع فی أمثال المقام، و لا ینظر إلی منشأ حصوله، و إلّا لأوجب الإشکال فی کثیر من الظهورات، فتدبّر</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عرضت قضیة شرطیة علی العرف و العقلاء، یرون أنّ بین متعلّق الجزاء و الشرط نحو تناسب و ارتباط، و لأجله أوجب الشارع الجزاء عند وجود الشرط، و إلّا یرون الإیجاب جزافاً، فأمر الشارع کاشف عن وجود المناسبة</w:t>
      </w:r>
      <w:bookmarkStart w:id="430" w:name="pg12934_164640"/>
    </w:p>
    <w:p>
      <w:pPr>
        <w:pStyle w:val="BookText"/>
        <w:rPr/>
      </w:pPr>
      <w:bookmarkEnd w:id="430"/>
      <w:r>
        <w:rPr>
          <w:rFonts w:ascii="IRNazanin" w:hAnsi="IRNazanin" w:eastAsia="IRNazanin"/>
          <w:color w:val="111111"/>
          <w:sz w:val="28"/>
          <w:sz w:val="28"/>
          <w:szCs w:val="28"/>
          <w:rtl w:val="true"/>
          <w:lang w:bidi="fa-IR"/>
        </w:rPr>
        <w:t>الواقعیة بین الشرط و الجزاء، فالشرط لمتعلّق الإیجاب، لا الإیجاب نفسه</w:t>
      </w:r>
      <w:r>
        <w:rPr>
          <w:rStyle w:val="FootnoteAnchor"/>
          <w:rtl w:val="true"/>
        </w:rPr>
        <w:footnoteReference w:id="258"/>
      </w:r>
      <w:r>
        <w:rPr>
          <w:rFonts w:ascii="IRNazanin" w:hAnsi="IRNazanin" w:eastAsia="IRNazanin"/>
          <w:color w:val="111111"/>
          <w:sz w:val="28"/>
          <w:sz w:val="28"/>
          <w:szCs w:val="28"/>
          <w:rtl w:val="true"/>
          <w:lang w:bidi="fa-IR"/>
        </w:rPr>
        <w:t>، فإذا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نمت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فالمتبادر عندهم أنّ بین النوم و الوضوء مناسبة، لا بینه و بین إیجاب الوضوء، و کذا المتبادر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بلت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بین البول و الوضوء مناسبة، فإذا تعدّد الشرط فی مورد فیرون تعدّد الجزاء، و لا ینقدح فی ذهنهم التعارض بین إطلاق الجزاء و ظهور الشرطیة فی التعدّد، بل یحکمون بالتعدّد من غیر التفات إلی إطلاق الجزاء، فتدبّر</w:t>
      </w:r>
      <w:r>
        <w:rPr>
          <w:rFonts w:eastAsia="IRNazanin" w:cs="IRNazanin"/>
          <w:color w:val="111111"/>
          <w:sz w:val="28"/>
          <w:szCs w:val="28"/>
          <w:rtl w:val="true"/>
          <w:lang w:bidi="fa-IR"/>
        </w:rPr>
        <w:t>.</w:t>
      </w:r>
    </w:p>
    <w:p>
      <w:pPr>
        <w:pStyle w:val="Heading6"/>
        <w:numPr>
          <w:ilvl w:val="5"/>
          <w:numId w:val="1"/>
        </w:numPr>
        <w:rPr/>
      </w:pPr>
      <w:bookmarkStart w:id="431" w:name="__RefHeading___Toc4026339_3224264995"/>
      <w:bookmarkStart w:id="432" w:name="_Toc165"/>
      <w:bookmarkEnd w:id="431"/>
      <w:r>
        <w:rPr>
          <w:rtl w:val="true"/>
        </w:rPr>
        <w:t>حول المقدّمة الثانیة التی ذکرها الشیخ الأعظم</w:t>
      </w:r>
      <w:bookmarkEnd w:id="432"/>
    </w:p>
    <w:p>
      <w:pPr>
        <w:pStyle w:val="Heading6"/>
        <w:numPr>
          <w:ilvl w:val="5"/>
          <w:numId w:val="1"/>
        </w:numPr>
        <w:rPr/>
      </w:pPr>
      <w:bookmarkStart w:id="433" w:name="__RefHeading___Toc4026341_3224264995"/>
      <w:bookmarkStart w:id="434" w:name="_Toc166"/>
      <w:bookmarkEnd w:id="433"/>
      <w:r>
        <w:rPr>
          <w:rtl w:val="true"/>
        </w:rPr>
        <w:t>اشارة</w:t>
      </w:r>
      <w:bookmarkEnd w:id="434"/>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تمهّد لک ما أشرنا إلیه آنفاً فی المقدّمة الاولی، یسهل علیک أمر المقدّمة الثانیة؛ و هی أنّ أثر السبب الثانی غیر أثر السبب الأوّل، بداهة أنّه لو وضح أنّ المتبادر عندهم أنّ بین کلّ شرط و متعلّق الجزاء، تناسباً و سببیة 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قارنه أمر آخر،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یکاد ینقدح فی ذهنهم من تعدّد الشرط، کون الثانی للتأکید؛ و أنّ الأثر الحاصل من أحدهما عین الأثر الحاصل من الآخر، بل یرون أنّ لکلّ منهما اقتضاءً و أثراً خاصّاً غیر ما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یمکن أن یستفاد هذا من آخر کلام الشیخ الأعظم أعلی اللَّه مقامه أیضاً،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قطع النظر عن هذا الدرک و الفهم العقلائی، لأمکن منع المقدّمة الثانیة، لأنّ الجزاء فی ظاهر القضیة هو الوجوب لا متعلّقه، فعند حدوث أحد الشرطین یکون إیجاب واحد للوضوء، کما أنّه عند حدوث الشرط الآخر یکون هناک إیجابان للوضوء، و لا یوجب ذلک تعدّد الواجب، بل غایة ما هناک تعدّد الوجوب، فیدور الأمر بین حفظ إطلاق الشرطین و الجزاءین و حمل الأمر الثانی علی التأکید، و بین الاحتفاظ علی أصالة التأسیس و رفع الید عن ظهور الشرطیة، و معلوم أنّ ظاهر الکلام عند الإطلاق و إن کان التأسیس، إلّا أنّه لا ریب فی کون العقلاء مطبقین علی أنّ رفع الید عن التأسیس عند ذلک، أولی من رفع الید عن الإطلاقین، فإذن یکون إطلاق کلّ من الشرطین فی السببیة المطلقة و إطلاق متعلّق الجزاء، باقیین بحالهما، و لکن عند مقارنة هذه الإطلاقات یقع الأمر الثانی تأکیداً للأمر الأوّل</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التأکید یوجب تجوّزاً فی صیغة الأمر؛ لأنّ المراد بوضع الأمر للوجوب مثلًا، هو وضعه لإیجاد البعث الناشئ من الإرادة الحتمیة، و معلوم أنّ الأوامر التأکیدیة کلّها مستعملة فی ذلک، ضرورة أنّ التأکید إنّما یؤتی به فی الامور المهمّة التی ربما لا یکتفی فیها بأمر واحد، بل یؤتی به متعدّداً، فکما أنّ البعث الأوّل ناشئ عن الإرادة الحتمیة، فکذلک البعث الثانی و الثالث، و لا معنی للتأکید إلّا ذلک، لا أنّ الثانی مستعمل فی عنوان التأکید، أو فی الاستحباب، أو الإرشاد، أو غیر ذلک؛ لعدم معنی محصّل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التأکید لا یتحقّق إلّا بکون المؤکِّد من سنخ المؤکَّد، فلا بدّ و أن یکون البعثان ناشئین من الإرادة الأکیدة لغرض الانبعاث حتّی ینتزع التأکید من الثانی</w:t>
      </w:r>
      <w:r>
        <w:rPr>
          <w:rFonts w:eastAsia="IRNazanin" w:cs="IRNazanin"/>
          <w:color w:val="111111"/>
          <w:sz w:val="28"/>
          <w:szCs w:val="28"/>
          <w:rtl w:val="true"/>
          <w:lang w:bidi="fa-IR"/>
        </w:rPr>
        <w:t>.</w:t>
      </w:r>
      <w:bookmarkStart w:id="435" w:name="pg12934_164642"/>
    </w:p>
    <w:p>
      <w:pPr>
        <w:pStyle w:val="Heading6"/>
        <w:numPr>
          <w:ilvl w:val="5"/>
          <w:numId w:val="1"/>
        </w:numPr>
        <w:rPr/>
      </w:pPr>
      <w:bookmarkStart w:id="436" w:name="__RefHeading___Toc4026343_3224264995"/>
      <w:bookmarkStart w:id="437" w:name="_Toc167"/>
      <w:bookmarkEnd w:id="435"/>
      <w:bookmarkEnd w:id="436"/>
      <w:r>
        <w:rPr>
          <w:rtl w:val="true"/>
        </w:rPr>
        <w:t>ذکر و تعقیب</w:t>
      </w:r>
      <w:bookmarkEnd w:id="437"/>
    </w:p>
    <w:p>
      <w:pPr>
        <w:pStyle w:val="BookText"/>
        <w:rPr/>
      </w:pPr>
      <w:r>
        <w:rPr>
          <w:rFonts w:ascii="IRNazanin" w:hAnsi="IRNazanin" w:eastAsia="IRNazanin"/>
          <w:color w:val="111111"/>
          <w:sz w:val="28"/>
          <w:sz w:val="28"/>
          <w:szCs w:val="28"/>
          <w:rtl w:val="true"/>
          <w:lang w:bidi="fa-IR"/>
        </w:rPr>
        <w:t>و بما ذکرنا یظهر ضعف ما ذکره المحقّق العراقی قدس سره فی المقام؛ لأنّه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تأکّد الوجوب فی ظرف تکرّر الشرط، یوجب عدم استقلال الشرط فی التأثیر؛ لبداهة استناد الوجوب الواحد المتأکِّد إلیهما، لا إلی کلّ واحد منهما</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الوجوب المؤکّد لم یکن معلولًا للشرطین؛ بحیث یکونان مؤثّرین فیه، بل هناک وجوبان و بعثان کلّ واحد منهما عن إرادة إلزامیة متعلّقتان بأمر واحد، و ینتزع من تکرّرهما التأکّد، أو الوجوب المتأکّد، فالتأکّد أمر منتزع من تکرار البعثین، و کذا الوجوب المتأکّد أمر منتزع منه، لا أنّه معلول للشرطین، فتدبّر</w:t>
      </w:r>
      <w:r>
        <w:rPr>
          <w:rFonts w:eastAsia="IRNazanin" w:cs="IRNazanin"/>
          <w:color w:val="111111"/>
          <w:sz w:val="28"/>
          <w:szCs w:val="28"/>
          <w:rtl w:val="true"/>
          <w:lang w:bidi="fa-IR"/>
        </w:rPr>
        <w:t>.</w:t>
      </w:r>
    </w:p>
    <w:p>
      <w:pPr>
        <w:pStyle w:val="Heading6"/>
        <w:numPr>
          <w:ilvl w:val="5"/>
          <w:numId w:val="1"/>
        </w:numPr>
        <w:rPr/>
      </w:pPr>
      <w:bookmarkStart w:id="438" w:name="__RefHeading___Toc4026345_3224264995"/>
      <w:bookmarkStart w:id="439" w:name="_Toc168"/>
      <w:bookmarkEnd w:id="438"/>
      <w:r>
        <w:rPr>
          <w:rtl w:val="true"/>
        </w:rPr>
        <w:t>إیقاظ</w:t>
      </w:r>
      <w:r>
        <w:rPr>
          <w:rtl w:val="true"/>
        </w:rPr>
        <w:t xml:space="preserve">: </w:t>
      </w:r>
      <w:r>
        <w:rPr>
          <w:rtl w:val="true"/>
        </w:rPr>
        <w:t>فی الفرق بین التأکید فی المقام و سائر الموارد</w:t>
      </w:r>
      <w:bookmarkEnd w:id="439"/>
    </w:p>
    <w:p>
      <w:pPr>
        <w:pStyle w:val="BookText"/>
        <w:rPr/>
      </w:pPr>
      <w:r>
        <w:rPr>
          <w:rFonts w:ascii="IRNazanin" w:hAnsi="IRNazanin" w:eastAsia="IRNazanin"/>
          <w:color w:val="111111"/>
          <w:sz w:val="28"/>
          <w:sz w:val="28"/>
          <w:szCs w:val="28"/>
          <w:rtl w:val="true"/>
          <w:lang w:bidi="fa-IR"/>
        </w:rPr>
        <w:t>و 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حمل الأمر الثانی فی المقام علی التأکید، غیر التأکید المبحوث عنه فی سائر الموارد؛ و ذلک لأنّه ربما یکرّر البعث لأهمّیة فی الموضوع لئلّا یغفل المأمور و یتقاعد عن إتیانه، فالبعث الثانی صادر عن مبدأ البعث الأوّل، بل ربما یصدر بعث ثالث، و لکنّ البعثین صادران عن مبدأ صدر منه البعث الأوّل، فیعتبر و ینتزع من البعث الثانی أو الثالث أنّه تأکید للبعث الأوّل، و لیس لهذه البعوث إلّا ملاک واحد مهمّ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لیس المقام کذلک، لأنّ تکرّر البعث فی المقام، لیس لدفع الغفلة و التساهل و التقاعد عن إتیانه، بل لتکرار المناط و السبب؛ بداهة أنّ إیجاب الوضوء</w:t>
      </w:r>
      <w:bookmarkStart w:id="440" w:name="pg12934_164643"/>
    </w:p>
    <w:p>
      <w:pPr>
        <w:pStyle w:val="BookText"/>
        <w:rPr/>
      </w:pPr>
      <w:bookmarkEnd w:id="440"/>
      <w:r>
        <w:rPr>
          <w:rFonts w:ascii="IRNazanin" w:hAnsi="IRNazanin" w:eastAsia="IRNazanin"/>
          <w:color w:val="111111"/>
          <w:sz w:val="28"/>
          <w:sz w:val="28"/>
          <w:szCs w:val="28"/>
          <w:rtl w:val="true"/>
          <w:lang w:bidi="fa-IR"/>
        </w:rPr>
        <w:t>فی إحدی القضیتین مسبّب عن النوم، و فی الاخری مسبّب عن البول، و البعث المتعلّق بالوضوء بسببیة النوم، غیر البعث المتعلّق به بسببیة البول، و لکلّ منهما مناط یخصه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حیث إنّ المسبّب من کلّ منهما ماهیة واحدة، فتتأکّد إرادة الأمر بالنسبة إلی إیجابها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متعلّق الجزاء ماهیة قابلة للتکرار، فإن اقتضی مناطٌ تعلّق البعث بماهیة، و اقتضی مناط آخر تعلّق بعث آخر بنفس الماهیة، فمقتضی أصالة الإطلاق فی ناحیتی الشرط و الجزاء، هو کون کلّ من المناطین مستقلّاً و تامّاً فی إیجاب الماهیة القابلة للتکرار، فلو أحرزنا وحدة المتعلّق فیجتمع فیه المناطان، و یستکشف أنّ الإرادة هناک أتمّ و أکمل؛ لوضوح أقوائیة اجتماع المناطین و أکملیته فی مورد من صدق مناط واحد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التأکید فی المقام غیر التأکید فی سائر المقامات، فلا یکون البعث الثانی صادراً عن مناط ما صدر عنه البعث الأوّل بلحاظ أهمّیته، و لدفع الغفلة و النسیان و التقاعد عنه، کما هو الشأن فی غیره، بل لکلّ منهما ملاک و مناط یخصّه، فلم یکن التأکید فی المقام مثل التکرار فی سائر الموارد، فإذن لا یکون البعث الثانی بداعی التأکید، فتدبّر</w:t>
      </w:r>
      <w:r>
        <w:rPr>
          <w:rFonts w:eastAsia="IRNazanin" w:cs="IRNazanin"/>
          <w:color w:val="111111"/>
          <w:sz w:val="28"/>
          <w:szCs w:val="28"/>
          <w:rtl w:val="true"/>
          <w:lang w:bidi="fa-IR"/>
        </w:rPr>
        <w:t>.</w:t>
      </w:r>
    </w:p>
    <w:p>
      <w:pPr>
        <w:pStyle w:val="Heading6"/>
        <w:numPr>
          <w:ilvl w:val="5"/>
          <w:numId w:val="1"/>
        </w:numPr>
        <w:rPr/>
      </w:pPr>
      <w:bookmarkStart w:id="441" w:name="__RefHeading___Toc4026347_3224264995"/>
      <w:bookmarkStart w:id="442" w:name="_Toc169"/>
      <w:bookmarkEnd w:id="441"/>
      <w:r>
        <w:rPr>
          <w:rtl w:val="true"/>
        </w:rPr>
        <w:t>حول الوجهین اللذین ذکرهما الشیخ الأعظم لتحکیم المقدّمة الثانیة</w:t>
      </w:r>
      <w:bookmarkEnd w:id="442"/>
    </w:p>
    <w:p>
      <w:pPr>
        <w:pStyle w:val="BookText"/>
        <w:rPr/>
      </w:pPr>
      <w:r>
        <w:rPr>
          <w:rFonts w:ascii="IRNazanin" w:hAnsi="IRNazanin" w:eastAsia="IRNazanin"/>
          <w:color w:val="111111"/>
          <w:sz w:val="28"/>
          <w:sz w:val="28"/>
          <w:szCs w:val="28"/>
          <w:rtl w:val="true"/>
          <w:lang w:bidi="fa-IR"/>
        </w:rPr>
        <w:t>ثمّ إنّ الشیخ الأعظم أعلی اللَّه مقامه ذکر وجهین لتحکیم المقدّمة الثانیة لا یخلوان من النظر</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الأسباب الشرعیة کالأسباب العقلیة و العادیة، فإن التزمنا بکون الأسباب الشرعیة أسباباً لنفس الأحکام لا لمتعلّقاتها، فیلزم تعدّد إیجاد الفعل فی الخارج، و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المسبّب حینئذٍ اشتغال الذمّة بإیجاد الفعل، و لا شکّ فی أنّ السبب الأوّل یقتضی ذلک، فإذا فرضنا وجود سبب آخر فیوجب اشتغالًا آخر؛ إذ لو لم یقتض ذلک فإمّا لنقص فی السبب، أو فی المسبّب، و لیس ذلک فی شی‌ء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فلما هو المفروض، و أمّا الثانی فلأنّ قبول اشتغال الذمّة للتعدّد و عدمه، إنّما هو تابع لقبول الفعل المتعلّق له و عدمه، کما هو ظاهر للمتأمّل، و المفروض قبوله للتعدّد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ملاحظة الأسباب العقلیة ترفع احتمال التأکید</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أشرنا غیر مرّة إلی أنّه لا وجه لمقایسة العلل الشرعیة بالعلل التکوینیة؛ لأنّ العلّة التکوینیة مؤثّرة فی وجود معلولها، بل یکون تشخّص معلولها بتشخّصها، و یکون وجود المعلول ربطاً و متدلّیاً من وجود علّته، و من البدیهی أنّ النوم أو البول مثلًا، لم یکن مؤثّراً و سبباً تکوینیاً لإیجاد الوضوء، و کذا بعث المولی لم یکن مسبِّباً لذلک، بل غایة ما هناک جعل البول مثلًا سبباً لإیجاب الوضوء، بناءً علی إمکان جعل السببیة، أو إیجاب الوضوء عند حدوث البول، و واضح أنّه کما یصحّ جعل کلّ من البول و النوم سبباً لإیجاب الوضوء حال الانفراد، فکذلک یصحّ عند اجتماعهما، أو إیجاب الوضوء عند اجتماعهما</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وجود السببین یکون هناک إیجابان نحو ماهیة واحدة، و قد أشرنا إلی أنّ مجرّد ذلک لا یوجب تعدّد اشتغال الذمّة بإیجاد الفعل، بل غایة ما هناک تعدّد الوجوب، فیدور الأمر بین حفظ إطلاق الشرطین و الجزاءین؛ و حمل الأمر الثانی علی التأکید، و بین الاحتفاظ بأصالة التأسیس، و رفع الید عن ظهور الشرطیة، و قد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حمل الأمر علی التأکّد أولی،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اشتغال الذمّة بإیجاد الفعل، لیس إلّا لأجل الوجوب علی المکلّف، و لیس هاهنا شی‌ء غیر البعث المتعلّق بالماهیة المتوجه إلی المکلّف المنتزع منه الوجوب، فحینئذٍ تحقّق اشتغال آخر من السبب الثانی، فرع تقدیم الظهور التأسیسی علی إطلاق الجزاء، و هو ممنوع، بل لو فرض معنی آخر لاشتغال الذمّة فتعدّده فرع هذا التقدیم الممنوع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بکون الأسباب الشرعیة أسباباً لنفس الأفعال دون الأحکام، و لا یلزم منه انفکاک المعلول عن علّته؛ لأنّها لم تکن أسباباً عقلیة و لا عادیة، بل أسباباً جعلیة، و معنی السبب الجعلی أنّ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کالبول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اقتضاءً فی نظر الجاعل للوضوء؛ علی وجه لو انقدح ذلک فی نفوسنا لکنّا جازمین بالسببیة أیضاً</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الظاهر من الشرط کونه مقتضیاً لوجود الموضوع، و أنّ اقتضاءه لوجوبه من تبعات اقتضائه الوجود؛ حیث إنّ اقتضاءه التشریعی لوجود شی‌ء کونه موجباً لوجوبه، و حینئذٍ لازم إبقاء ظهور الشرط فی المؤثّریة المستقلّة اقتضاؤه وجوداً مستقلّاً</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تمّ ما ذکره فلا یقتضی تعدّد الوجود؛ لأنّه بعد الاعتراف بأنّ معنی السببیة الجعلیة للبول مثلًا، أنّ له اقتضاءً للوضوء، لا کونه مؤثّراً فعلیاً له، فتعدّد الاقتضاء المستقلّ لا یوجب تعدّد الوجود، کما لا یخفی؛ لأنّ معنی استقلال الاقتضاء، هو أنّه فی اقتضائه غیر متوقّف علی الضمّ و الضمیمة، و لا ینافی ذلک الاشتراک فی التأثیر الفعلی، فحینئذٍ مع حفظ إطلاق الجزاء و استقلال کلّ واحد من</w:t>
      </w:r>
      <w:bookmarkStart w:id="443" w:name="pg12934_164646"/>
    </w:p>
    <w:p>
      <w:pPr>
        <w:pStyle w:val="BookText"/>
        <w:rPr/>
      </w:pPr>
      <w:bookmarkEnd w:id="443"/>
      <w:r>
        <w:rPr>
          <w:rFonts w:ascii="IRNazanin" w:hAnsi="IRNazanin" w:eastAsia="IRNazanin"/>
          <w:color w:val="111111"/>
          <w:sz w:val="28"/>
          <w:sz w:val="28"/>
          <w:szCs w:val="28"/>
          <w:rtl w:val="true"/>
          <w:lang w:bidi="fa-IR"/>
        </w:rPr>
        <w:t>الشرطین فی اقتضاء نفس الماهیة، یثبت القول بالتداخل لا محالة،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قاله أعلی اللَّه مقامه أخیراً و صدّقه المحقّق العراقی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لازم إبقاء ظهور الشرط فی المؤثّریة المستقلّة، اقتضاؤه وجوداً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فرجوع عمّا ذکره فی الصدر؛ من أنّ الشرط له سببیة الاقتضاء بالنسبة إلیه، لا السببیة الاستقلالیة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الوجه و إن کان یشبه الوجه الذی اخترناه لتعدّد الجزاء وجوداً من وجهٍ، و لکنّه غیره حقیقة؛ بداهة أنّا تشبّثنا لإثبات ذلک بالفهم العرفی و مغروسیة المناسبة بین الشرط و متعلّق الجزاء فی ذهنه، بخلاف هذا الوجه، فتدبّر حتّی لا یختلط علیک أحدهما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یزید هذا الوجه وهناً، عدم ارتضاء الشیخ الأعظم أعلی اللَّه مقامه به؛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الإنصاف أنّه لا یسمن</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نعم ارتضاه المحقّق العراقی قدس سره و الأمر فی ذلک سهل، و اللَّه الهادی إلی الرشاد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فبعد ما تحقّق لدیک الأمر فی المقدّمتین اللتین استظهرهما الشیخ الأعظم أعلی اللَّه مقامه من الوجه الذی ذکره العلّامة قدس سره لعدم التداخل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کلّاً من الشرطین مستقلّ فی التأثیر، و أنّ أثر الثانی غیر أثر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 النوبة إلی المقدّمة الثالثة</w:t>
      </w:r>
      <w:r>
        <w:rPr>
          <w:rFonts w:eastAsia="IRNazanin" w:cs="IRNazanin"/>
          <w:color w:val="111111"/>
          <w:sz w:val="28"/>
          <w:szCs w:val="28"/>
          <w:rtl w:val="true"/>
          <w:lang w:bidi="fa-IR"/>
        </w:rPr>
        <w:t>.</w:t>
      </w:r>
    </w:p>
    <w:p>
      <w:pPr>
        <w:pStyle w:val="Heading6"/>
        <w:numPr>
          <w:ilvl w:val="5"/>
          <w:numId w:val="1"/>
        </w:numPr>
        <w:rPr/>
      </w:pPr>
      <w:bookmarkStart w:id="444" w:name="__RefHeading___Toc4026349_3224264995"/>
      <w:bookmarkStart w:id="445" w:name="_Toc170"/>
      <w:bookmarkEnd w:id="444"/>
      <w:r>
        <w:rPr>
          <w:rtl w:val="true"/>
        </w:rPr>
        <w:t>حول المقدّمة الثالثة التی ذکرها الشیخ الأعظم</w:t>
      </w:r>
      <w:bookmarkEnd w:id="445"/>
    </w:p>
    <w:p>
      <w:pPr>
        <w:pStyle w:val="Heading6"/>
        <w:numPr>
          <w:ilvl w:val="5"/>
          <w:numId w:val="1"/>
        </w:numPr>
        <w:rPr/>
      </w:pPr>
      <w:bookmarkStart w:id="446" w:name="__RefHeading___Toc4026351_3224264995"/>
      <w:bookmarkStart w:id="447" w:name="_Toc171"/>
      <w:bookmarkEnd w:id="446"/>
      <w:r>
        <w:rPr>
          <w:rtl w:val="true"/>
        </w:rPr>
        <w:t>اشارة</w:t>
      </w:r>
      <w:bookmarkEnd w:id="447"/>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تعدّد الأثر یوجب تعدّد المسبّبات؛ و یستلزم تعدّد الجزاء و تکرّر العمل حسب تعدّد الشرط و تکرّره، أم لا؛ فیصحّ الاکتفاء فی مقام الامتثال بمصداق واحد،</w:t>
      </w:r>
      <w:bookmarkStart w:id="448" w:name="pg12934_164647"/>
    </w:p>
    <w:p>
      <w:pPr>
        <w:pStyle w:val="BookText"/>
        <w:rPr/>
      </w:pPr>
      <w:bookmarkEnd w:id="448"/>
      <w:r>
        <w:rPr>
          <w:rFonts w:ascii="IRNazanin" w:hAnsi="IRNazanin" w:eastAsia="IRNazanin"/>
          <w:color w:val="111111"/>
          <w:sz w:val="28"/>
          <w:sz w:val="28"/>
          <w:szCs w:val="28"/>
          <w:rtl w:val="true"/>
          <w:lang w:bidi="fa-IR"/>
        </w:rPr>
        <w:t>فینطبق علیه کلّ منهما؛ و هو الذی یعبّر عنه بتداخل المسبّبات؟</w:t>
      </w:r>
    </w:p>
    <w:p>
      <w:pPr>
        <w:pStyle w:val="BookText"/>
        <w:rPr/>
      </w:pPr>
      <w:r>
        <w:rPr>
          <w:rFonts w:ascii="IRNazanin" w:hAnsi="IRNazanin" w:eastAsia="IRNazanin"/>
          <w:color w:val="111111"/>
          <w:sz w:val="28"/>
          <w:sz w:val="28"/>
          <w:szCs w:val="28"/>
          <w:rtl w:val="true"/>
          <w:lang w:bidi="fa-IR"/>
        </w:rPr>
        <w:t>و حیث إنّ للشیخ أعلی اللَّه مقامه إشکالًا فی إمکان تداخل المسبّبات، فعقدنا البحث فی تداخل المسببات فی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إمکان تداخل المسبّبین ثبوتاً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علی تقدیر الإمکان، ما هو مقتضی القاعدة فی مقام الإثبات</w:t>
      </w:r>
      <w:r>
        <w:rPr>
          <w:rFonts w:eastAsia="IRNazanin" w:cs="IRNazanin"/>
          <w:color w:val="111111"/>
          <w:sz w:val="28"/>
          <w:szCs w:val="28"/>
          <w:rtl w:val="true"/>
          <w:lang w:bidi="fa-IR"/>
        </w:rPr>
        <w:t>.</w:t>
      </w:r>
    </w:p>
    <w:p>
      <w:pPr>
        <w:pStyle w:val="Heading6"/>
        <w:numPr>
          <w:ilvl w:val="5"/>
          <w:numId w:val="1"/>
        </w:numPr>
        <w:rPr/>
      </w:pPr>
      <w:bookmarkStart w:id="449" w:name="__RefHeading___Toc4026353_3224264995"/>
      <w:bookmarkStart w:id="450" w:name="_Toc172"/>
      <w:bookmarkEnd w:id="449"/>
      <w:r>
        <w:rPr>
          <w:rtl w:val="true"/>
        </w:rPr>
        <w:t>الجهة الاولی</w:t>
      </w:r>
      <w:r>
        <w:rPr>
          <w:rtl w:val="true"/>
        </w:rPr>
        <w:t xml:space="preserve">: </w:t>
      </w:r>
      <w:r>
        <w:rPr>
          <w:rtl w:val="true"/>
        </w:rPr>
        <w:t>فی إمکان تداخل المسبّبات ثبوتاً</w:t>
      </w:r>
      <w:bookmarkEnd w:id="450"/>
    </w:p>
    <w:p>
      <w:pPr>
        <w:pStyle w:val="BookText"/>
        <w:rPr/>
      </w:pPr>
      <w:r>
        <w:rPr>
          <w:rFonts w:ascii="IRNazanin" w:hAnsi="IRNazanin" w:eastAsia="IRNazanin"/>
          <w:color w:val="111111"/>
          <w:sz w:val="28"/>
          <w:sz w:val="28"/>
          <w:szCs w:val="28"/>
          <w:rtl w:val="true"/>
          <w:lang w:bidi="fa-IR"/>
        </w:rPr>
        <w:t>قد منع الشیخ الأعظم أعلی اللَّه مقامه إمکان التداخل، فقال فی وجهه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قرّرنا فی المقدّمة السابقة أنّ متعلّق التکالیف حینئذٍ، هو الفرد المغایر للفرد الواجب بالسبب الأوّل، و لا یعقل تداخل فردین من جهة واحدة، بل و لا یعقل ورود دلیل علی التداخل أیضاً علی ذلک التقدیر؛ إلّا أن یکون ناسخاً لحکم السببیة</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تأثیر السبب الثانی و أنّ أثره غیر الأثر الأوّل، یوجب امتناع التداخل، بل عدم تعقّل التداخل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أعلی اللَّه مقامه علی فرضٍ هو تامّ من حیث الکبری دون الصغری، و علی تقدیر بالعکس؛ و ذلک لأنّه إن أراد بالفرد الفرد الخارجی کما هو الظاهر، فالکبری مسلّمة؛ بداهة أنّه یستحیل أن یتحد الفردان الموجودان المتشخّصان فی الخارج و یصیرا واحداً، و لکن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تعلّق التکلیف و الخطاب بالفرد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ممنوعة؛ لما أشرنا غیر مرّة من استحالة تعلّق التکلیف و الخطاب بالفرد الخارجی، بل بالعنوان، و الخارج ظرف السقوط</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أراد بالفرد الفرد العنوانی القابل للانطباق علی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لکونه تحت العنوان العامّ، نظیر فردیة الصنف للنوع، و النوع للجنس،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الأبیض فرد للإنسان، و الحیوان الناطق فرد للحیوان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فعدم إمکان تداخل العنوانین من ماهیة واحدة غیر مسلّم، بل القیود الواردة علی الماهیة مختلفة؛ فقد تکون موجبة لصیرورة المقیّدین متباینین، کالإنسان الأبیض و الأسود، و قد لا تکون کذلک، بل یکون المقیّدان عامّین من وجه، کالإنسان الأبیض و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الوضوء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نمت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ماهیة واحدة، و بعد تسلّم المقدّمتین لا بدّ من کونها مقیّدة بقیدین؛ حتّی یکون کلّ سبب علّة مستقلّة لإیجاب أحد العنوانین، و لکن لا یلزم أن یکون بین العنوانین التباین حتّی یمتنع تصادقهما علی الفرد الخارجی، فمع عدم قیام دلیل علی امتناعه، لا یجوز رفع الید عن الدلیل الدالّ علی التداخل فرضاً، فقوله أعلی اللَّه مقامه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یعقل ورود دلیل علی التداخل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إثبات الامتناع، و هو مفقود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ظهور الشرطین فیما ذکر و ورود الدلیل علی التداخل هو کون المقیّدین قابلین للتصادق</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بالفرد الحصّة بلحاظ کونها تحت العامّ، فالصغری مسلّمة؛ لأنّ الوضوء المتقیّد بالبول و المتقیّد بالنوم، فردان لماهیة الوضوء فردیة الصنف للنوع، و یصحّ تعلّق التکلیف بهما، و لکن الکبری ممنوعة؛ لأنّه إنّما یمتنع الاتحاد إذا کان کلّ من القیدین مبایناً للآخر، کما إذا تقیّدت ماهیة الإنسان بقیدی العلم و الجهل، لعدم صدق الإنسان العالم و الإنسان الجاهل علی مصداق واحد، و أمّا إذا کان أحد القیدین أعمّ من وجه من الآخر، فیجوز اجتماعهما فی الجملة، کما إذا تقیّدت ماهیة الإنسان بقیدی العلم و العدالة؛ بداهة جواز صدق الإنسان العالم و الإنسان العادل علی مصداق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هذا الاحتمال، لا مجال للحکم بعدم معقولیة تداخل</w:t>
      </w:r>
      <w:bookmarkStart w:id="451" w:name="pg12934_164649"/>
    </w:p>
    <w:p>
      <w:pPr>
        <w:pStyle w:val="BookText"/>
        <w:rPr/>
      </w:pPr>
      <w:bookmarkEnd w:id="451"/>
      <w:r>
        <w:rPr>
          <w:rFonts w:ascii="IRNazanin" w:hAnsi="IRNazanin" w:eastAsia="IRNazanin"/>
          <w:color w:val="111111"/>
          <w:sz w:val="28"/>
          <w:sz w:val="28"/>
          <w:szCs w:val="28"/>
          <w:rtl w:val="true"/>
          <w:lang w:bidi="fa-IR"/>
        </w:rPr>
        <w:t>المسبّبات، فعلی تقدیر تمامیة المقدّمتین، لو ورد دلیل ظاهر فی تداخل المسبّبات، فلا وجه لرفع الید عنه أو حمله علی کونه ناسخاً، بل یکشف بذلک عن أنّ النسبة بینهما هی العموم من وجه، لا التباین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حال مقام الثبوت، و قد عرفت إمکان تداخل المسبّبات</w:t>
      </w:r>
      <w:r>
        <w:rPr>
          <w:rFonts w:eastAsia="IRNazanin" w:cs="IRNazanin"/>
          <w:color w:val="111111"/>
          <w:sz w:val="28"/>
          <w:szCs w:val="28"/>
          <w:rtl w:val="true"/>
          <w:lang w:bidi="fa-IR"/>
        </w:rPr>
        <w:t>.</w:t>
      </w:r>
    </w:p>
    <w:p>
      <w:pPr>
        <w:pStyle w:val="Heading6"/>
        <w:numPr>
          <w:ilvl w:val="5"/>
          <w:numId w:val="1"/>
        </w:numPr>
        <w:rPr/>
      </w:pPr>
      <w:bookmarkStart w:id="452" w:name="__RefHeading___Toc4026355_3224264995"/>
      <w:bookmarkStart w:id="453" w:name="_Toc173"/>
      <w:bookmarkEnd w:id="452"/>
      <w:r>
        <w:rPr>
          <w:rtl w:val="true"/>
        </w:rPr>
        <w:t>الجهة الثانیة</w:t>
      </w:r>
      <w:r>
        <w:rPr>
          <w:rtl w:val="true"/>
        </w:rPr>
        <w:t xml:space="preserve">: </w:t>
      </w:r>
      <w:r>
        <w:rPr>
          <w:rtl w:val="true"/>
        </w:rPr>
        <w:t>فیما هو مقتضی القاعدة فی مقام الإثبات</w:t>
      </w:r>
      <w:bookmarkEnd w:id="453"/>
    </w:p>
    <w:p>
      <w:pPr>
        <w:pStyle w:val="BookText"/>
        <w:rPr/>
      </w:pPr>
      <w:r>
        <w:rPr>
          <w:rFonts w:ascii="IRNazanin" w:hAnsi="IRNazanin" w:eastAsia="IRNazanin"/>
          <w:color w:val="111111"/>
          <w:sz w:val="28"/>
          <w:sz w:val="28"/>
          <w:szCs w:val="28"/>
          <w:rtl w:val="true"/>
          <w:lang w:bidi="fa-IR"/>
        </w:rPr>
        <w:t>و بعد ما تمهّد لک ما ذکرناه فی الجهة الاولی من إمکان التداخل فی المسبّبات، یظهر لک أنّه إذا لم یدلّ دلیل علی التداخل، فلا مجال للقول به، فلا بدّ فی مقام العمل من الإتیان بفردین حتّی یحصل الیقین بالبراءة؛ للعلم بالاشتغال بعد استقلال الشرطین فی التأثیر و کون أثر کلّ منهما غیر الآخر، کما هو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یرد دلیل علی تداخل المسبّبات، فمقتضی قاعدة الاشتغال عدم التداخل و لزوم إتیان الجزاء متعدّداً حسب تعدّد الشرط؛ بداهة أنّه بعد القطع باشتغال الذمّة بتکلیفین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بالوضوء من حدث النوم، 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بالوضوء من حدث البول، فلا بدّ من القطع بفراغ الذمّة؛ و ذلک یحصل إذا أتی بالوضوء متعدّداً، بخلاف ما إذا أتی بوضوء واحد، فإنّه لا یقطع حینئذٍ بفراغ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دعوی فهم العرف تکرار الوضوء من الشرطین، فعهدتها علی مدّعیها؛ لأنّها ترجع إلی دعوی استظهار کون کلّ عنوان مبایناً للآخر، و هی بمکان من البعد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القاعدة عدم تداخل المسبّبات؛ و الحکم بالاشتغال، و لزوم الإتیان بالجزاء مرّتین أو أزید حسب تعدّد الشرط</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إن دلّ دلیل علی کفایة الإتیان بالجزاء مرّة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یقال ذلک فی الأغسال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عدم التداخل فی أسبابها تتداخل مسبّباتها، و یکتفی بجزاء واحد</w:t>
      </w:r>
      <w:bookmarkStart w:id="454" w:name="pg12934_164650"/>
    </w:p>
    <w:p>
      <w:pPr>
        <w:pStyle w:val="BookText"/>
        <w:rPr/>
      </w:pPr>
      <w:bookmarkEnd w:id="454"/>
      <w:r>
        <w:rPr>
          <w:rFonts w:ascii="IRNazanin" w:hAnsi="IRNazanin" w:eastAsia="IRNazanin"/>
          <w:color w:val="111111"/>
          <w:sz w:val="28"/>
          <w:sz w:val="28"/>
          <w:szCs w:val="28"/>
          <w:rtl w:val="true"/>
          <w:lang w:bidi="fa-IR"/>
        </w:rPr>
        <w:t>و غسل فارد عند تحقّق الحیض و الجنابة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المقام الأوّل؛ و هو ما إذا کان کلّ من الشرطین مختلفین ماهیة، کالنوم و البول بالنسبة إلی الوضوء</w:t>
      </w:r>
      <w:r>
        <w:rPr>
          <w:rFonts w:eastAsia="IRNazanin" w:cs="IRNazanin"/>
          <w:color w:val="111111"/>
          <w:sz w:val="28"/>
          <w:szCs w:val="28"/>
          <w:rtl w:val="true"/>
          <w:lang w:bidi="fa-IR"/>
        </w:rPr>
        <w:t>.</w:t>
      </w:r>
    </w:p>
    <w:p>
      <w:pPr>
        <w:pStyle w:val="Heading6"/>
        <w:numPr>
          <w:ilvl w:val="5"/>
          <w:numId w:val="1"/>
        </w:numPr>
        <w:rPr/>
      </w:pPr>
      <w:bookmarkStart w:id="455" w:name="__RefHeading___Toc4026357_3224264995"/>
      <w:bookmarkStart w:id="456" w:name="_Toc174"/>
      <w:bookmarkEnd w:id="455"/>
      <w:r>
        <w:rPr>
          <w:rtl w:val="true"/>
        </w:rPr>
        <w:t>المقام الثانی</w:t>
      </w:r>
      <w:r>
        <w:rPr>
          <w:rtl w:val="true"/>
        </w:rPr>
        <w:t xml:space="preserve">: </w:t>
      </w:r>
      <w:r>
        <w:rPr>
          <w:rtl w:val="true"/>
        </w:rPr>
        <w:t>فی حکم ما إذا تعدّدت الأسباب شخصاً لا نوعاً</w:t>
      </w:r>
      <w:bookmarkEnd w:id="456"/>
    </w:p>
    <w:p>
      <w:pPr>
        <w:pStyle w:val="BookText"/>
        <w:rPr/>
      </w:pPr>
      <w:r>
        <w:rPr>
          <w:rFonts w:ascii="IRNazanin" w:hAnsi="IRNazanin" w:eastAsia="IRNazanin"/>
          <w:color w:val="111111"/>
          <w:sz w:val="28"/>
          <w:sz w:val="28"/>
          <w:szCs w:val="28"/>
          <w:rtl w:val="true"/>
          <w:lang w:bidi="fa-IR"/>
        </w:rPr>
        <w:t>إذا تعدّد الشرط و اتحد الجزاء، و اختلفا عدداً؛ بأن کانا فردین أو أفراداً لماهیة واحدة، کما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فتکرّر منه البول بلا تخلّل الوضوء فی البین، فهل الکلام فیه الکلام فیما إذا اختلفا ماهیة، أم لا؟</w:t>
      </w:r>
    </w:p>
    <w:p>
      <w:pPr>
        <w:pStyle w:val="BookText"/>
        <w:rPr/>
      </w:pPr>
      <w:r>
        <w:rPr>
          <w:rFonts w:ascii="IRNazanin" w:hAnsi="IRNazanin" w:eastAsia="IRNazanin"/>
          <w:color w:val="111111"/>
          <w:sz w:val="28"/>
          <w:sz w:val="28"/>
          <w:szCs w:val="28"/>
          <w:rtl w:val="true"/>
          <w:lang w:bidi="fa-IR"/>
        </w:rPr>
        <w:t>فرّق المحقّق النائینی قدس سره بین ما إذا کان السبب وجود کلّ فرد مستقلّاً، و بین ما إذا کان السبب نفس الماهیة، فقال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قلنا بظهور القضیة الشرطیة فی الانحلال و أنّ السبب هو وجود کلّ فرد من أفراد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کلّ واحد من أفراد الشرط سبباً مستقلّاً لترتّب الجزاء، فمع إمکان التعدّد فی المسبّب لا موجب للتداخل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نقل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کانت العلّة نفس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تعدّد للشرط حینئذٍ أصلًا؛ لعدم تکرّر صِرف الوجود، لأنّ نفس الطبیعة المتحقّقة أوّلًا هی عین المتحقّقة مع فرد آخر ثانیاً بلا تفاوت بینهما</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و إن کان له وجه فی حدّ نفسه، إلّا أنّه خارج عن موضوع البحث فی التداخل؛ لأنّه إنّما هو بعد الانحلال؛ و أنّ کلّ واحد من الشروط المتعدّدة، سبب تامّ لترتّب الجزاء لو خلّی و نفسه، فیقع البحث فیما لو تعاقب الفردان، فإذا فرض أنّه لم یکن لکلّ من الأفراد سببیة مستقلّة، بل فرضنا أنّ السبب هو نفس</w:t>
      </w:r>
    </w:p>
    <w:p>
      <w:pPr>
        <w:pStyle w:val="BookText"/>
        <w:rPr/>
      </w:pPr>
      <w:r>
        <w:rPr>
          <w:rFonts w:ascii="IRNazanin" w:hAnsi="IRNazanin" w:eastAsia="IRNazanin"/>
          <w:color w:val="111111"/>
          <w:sz w:val="28"/>
          <w:sz w:val="28"/>
          <w:szCs w:val="28"/>
          <w:rtl w:val="true"/>
          <w:lang w:bidi="fa-IR"/>
        </w:rPr>
        <w:t>الطبیعة، فهذا خارج عن موضوع البحث فی تداخل الأسباب، بل یرجع إلی البحث عن أنّ السبب واحد أو متعدّد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البحث فی وحدة السبب أو تعدّده، من مبادئ هذه المسألة؛ لأنّه لا بدّ و أن یثبت أوّلًا أنّ السبب هو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یتعدّد السبب، ثمّ یبحث فی تداخل الأسباب؛ و أنّ الفردین منها یتداخلان فی إیجاب الوضوء،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مقصود المحقّق النائینی قدس سره بیان تقدیم ظهور صدر القضیة الشرطیة علی ذیلها، فبناءً علی ظهور الشرطیة فی الانحلال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بلت فتوضّأ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بناءً علی دلالته علی أنّه کلّما تحقّق منک البول یجب علیک الوضوء، فیقع التعارض بین صدر القضیة الدالّ علی علّیة مستقلّة لکلّ فرد من أفراد البول لوجوب الوضوء، و بین إطلاق ذیلها، و لا یبعد تحکیم ظهور الصدر علی إطلاق ذیلها عرفاً؛ بمعنی أنّه إذا سمع المخاطب أنّ لکلّ فرد من أفراد البول مثلًا علّة مستقلّة لوجوب الوضوء، لا ینظر إلی إطلاق الذیل، بل یحکم بأنّ کلّ مصداق منه، علّة لوجوب خاصّ به بلا تداخل للأسباب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تحکیم ظهور صدر القضیة علی ذیلها، لیس ضابطاً کلّیاً فی جمیع الموارد، إلّا أنّه غالبی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ربما یکون الذیل قرینة علی الصدر، کقولهم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أسداً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لا یفهم شی‌ء منهما، فعند ذلک یقع التعارض بین الإطلاقین، و الکلام فی تعارض الإطلاقین هنا، هو الکلام فی تعارضهما إذا کانا فی قضیتین، فتدبّر</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حال تداخل الأسباب فی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تداخل المسبّبات فی المقام، فقد سبق الکلام فیه بما لا مزید علیه فی المقام الأوّل ثبوتاً و إثباتاً، فلاحظ و تدبّر</w:t>
      </w:r>
      <w:r>
        <w:rPr>
          <w:rFonts w:eastAsia="IRNazanin" w:cs="IRNazanin"/>
          <w:color w:val="111111"/>
          <w:sz w:val="28"/>
          <w:szCs w:val="28"/>
          <w:rtl w:val="true"/>
          <w:lang w:bidi="fa-IR"/>
        </w:rPr>
        <w:t>.</w:t>
      </w:r>
      <w:bookmarkStart w:id="457" w:name="pg12934_164652"/>
    </w:p>
    <w:p>
      <w:pPr>
        <w:pStyle w:val="Heading5"/>
        <w:numPr>
          <w:ilvl w:val="4"/>
          <w:numId w:val="1"/>
        </w:numPr>
        <w:rPr/>
      </w:pPr>
      <w:bookmarkStart w:id="458" w:name="__RefHeading___Toc4026359_3224264995"/>
      <w:bookmarkStart w:id="459" w:name="_Toc175"/>
      <w:bookmarkEnd w:id="457"/>
      <w:bookmarkEnd w:id="458"/>
      <w:r>
        <w:rPr>
          <w:rtl w:val="true"/>
        </w:rPr>
        <w:t>الأمر الرابع اختلاف العلمین فی استفادة المفهوم من العامّ الاستغراقی</w:t>
      </w:r>
      <w:bookmarkEnd w:id="459"/>
    </w:p>
    <w:p>
      <w:pPr>
        <w:pStyle w:val="BookText"/>
        <w:rPr/>
      </w:pPr>
      <w:r>
        <w:rPr>
          <w:rFonts w:ascii="IRNazanin" w:hAnsi="IRNazanin" w:eastAsia="IRNazanin"/>
          <w:color w:val="111111"/>
          <w:sz w:val="28"/>
          <w:sz w:val="28"/>
          <w:szCs w:val="28"/>
          <w:rtl w:val="true"/>
          <w:lang w:bidi="fa-IR"/>
        </w:rPr>
        <w:t>لا إشکال و لا خلاف فی لزوم متابعة المفهوم للمنطوق فی جمیع القیود المأخوذة فیه، إلّا فی الإیجاب و السلب قضاءً لحقّ الفرعیة؛ لأنّ المفهوم فرع المنطوق، فمفهوم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یوم العید راکباً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یجئک زید یوم العید راکباً فلا یجب إکرامه، و قس علیه سائر القیود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القیود فی المنطوق العامّ المجموعی،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رزقت ولداً فأکرم مجموع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تسالم کلّ من قال بالمفهوم علی أنّ مفهومه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ترزق ولداً فلا یجب علیک إکرام مجموعهم، و لا ینافی ذلک و لا یعارضه وجوب إکرام بعضهم إن دلّ علیه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وقع الخلاف و الإشکال بین العلمین المحقّق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الشیخ الأعظم الأنصاری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إذا کان القید المأخوذ فی المنطوق العامّ الاستغراقی؛ من غیر فرق فی ذلک بین استفادة العموم الاستغراقی من الوضع، کلفظة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الجمع المحلّی باللام، أو من غیره، کالنکرة الواقعة فی سیاق النفی، کقوله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الماء قدر کرّ لم ینجّسه شی‌ء</w:t>
      </w:r>
      <w:r>
        <w:rPr>
          <w:rFonts w:eastAsia="IRNazanin" w:cs="IRNazanin"/>
          <w:color w:val="111111"/>
          <w:sz w:val="28"/>
          <w:szCs w:val="28"/>
          <w:rtl w:val="true"/>
          <w:lang w:bidi="fa-IR"/>
        </w:rPr>
        <w:t>»</w:t>
      </w:r>
    </w:p>
    <w:p>
      <w:pPr>
        <w:pStyle w:val="BookText"/>
        <w:rPr/>
      </w:pPr>
      <w:r>
        <w:rPr>
          <w:rStyle w:val="FootnoteAnchor"/>
          <w:rtl w:val="true"/>
        </w:rPr>
        <w:footnoteReference w:id="266"/>
      </w:r>
      <w:r>
        <w:rPr>
          <w:rFonts w:ascii="IRNazanin" w:hAnsi="IRNazanin" w:eastAsia="IRNazanin"/>
          <w:color w:val="111111"/>
          <w:sz w:val="28"/>
          <w:sz w:val="28"/>
          <w:szCs w:val="28"/>
          <w:rtl w:val="true"/>
          <w:lang w:bidi="fa-IR"/>
        </w:rPr>
        <w:t xml:space="preserve">بناءً علی استفادة المفهوم، فقال المحقّق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مفهومه رفع الإیجاب الکلّی و سلب العموم الذی هو بمثابة السلب الجزئی، فیخالف المفهوم المنطوق من حیث الکم، کما کان یخالفه من حیث الکیف، فمفهوم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بلغ الماء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لم یبلغ الماء قدر کرّ، ینجّسه</w:t>
      </w:r>
    </w:p>
    <w:p>
      <w:pPr>
        <w:pStyle w:val="BookText"/>
        <w:rPr/>
      </w:pPr>
      <w:r>
        <w:rPr>
          <w:rFonts w:ascii="IRNazanin" w:hAnsi="IRNazanin" w:eastAsia="IRNazanin"/>
          <w:color w:val="111111"/>
          <w:sz w:val="28"/>
          <w:sz w:val="28"/>
          <w:szCs w:val="28"/>
          <w:rtl w:val="true"/>
          <w:lang w:bidi="fa-IR"/>
        </w:rPr>
        <w:t>شی‌ء من النجاسات فی الجملة بنحو الإیجاب الجزئی، الملائم لعدم انفعال الماء القلیل عند قیام الدلیل علی عدم انفعاله ببعض النجاسات</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الشیخ الأعظم قدس سره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مفهومه عموم الرفع الذی هو سالبة کلّیة، فمفهوم تلک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لم یبلغ الماء قدر کرّ ینجّسه جمیع النجاسات بنحو الإیجاب الکلّی، فینفعل الماء القلیل من أیّ نجس</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الخلاف بین العلمین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مفهوم مثل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الماء قدر کرّ لم ینجّسه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هو الإیجاب الجزئی، بلحاظ أنّ نقیض السالبة الکلّیة هو الموجبة الجزئیة، کما علیه المحقّق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الموجبة الکلّیة، کما عن الشیخ؟</w:t>
      </w:r>
    </w:p>
    <w:p>
      <w:pPr>
        <w:pStyle w:val="BookText"/>
        <w:rPr/>
      </w:pPr>
      <w:r>
        <w:rPr>
          <w:rFonts w:ascii="IRNazanin" w:hAnsi="IRNazanin" w:eastAsia="IRNazanin"/>
          <w:color w:val="111111"/>
          <w:sz w:val="28"/>
          <w:sz w:val="28"/>
          <w:szCs w:val="28"/>
          <w:rtl w:val="true"/>
          <w:lang w:bidi="fa-IR"/>
        </w:rPr>
        <w:t>و حاصل ما أفاده الشیخ قدس سره لبیان 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نحوهما ممّا یفید العموم الاستغراقی، إمّا یکون آلة و عنواناً مشیراً إلی العناوین الواقعة موضوعات للنجاسات فی لسان الأدلّة، کالدم، و البول، و الکلب،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یکون عنواناً بنفسه و موضوعاً بحیاله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حفظ العنوان المأخوذ موضوعاً فی المنطوق فی ناحیة المفهوم؛ لکونه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آلة صِرفة و عنواناً مشیراً، فمفاد المنطوق فی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ینجّسه الدم، و البول، و الکلب، و غیرها، فلا بدّ و أن یکون المفهوم قضیّة منطبقة علیها، فلا یکون الحکم فی جانب المفهوم جزئیاً، بل کلّیاً، کما هو الشأن فی جانب المنطوق، فمفهوم تلک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إذا لم یبلغ الماء قدر کرّ ینجّسه الدم،</w:t>
      </w:r>
    </w:p>
    <w:p>
      <w:pPr>
        <w:pStyle w:val="BookText"/>
        <w:rPr/>
      </w:pPr>
      <w:r>
        <w:rPr>
          <w:rFonts w:ascii="IRNazanin" w:hAnsi="IRNazanin" w:eastAsia="IRNazanin"/>
          <w:color w:val="111111"/>
          <w:sz w:val="28"/>
          <w:sz w:val="28"/>
          <w:szCs w:val="28"/>
          <w:rtl w:val="true"/>
          <w:lang w:bidi="fa-IR"/>
        </w:rPr>
        <w:t xml:space="preserve">و البول، و الکلب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العناوین النجسة التی تستوعبها أداة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حفظ العنوان فی المفهوم؛ قضاءً لحفظ جمیع ما له دخالة و موضوعیة فی المنطوق فی مفهومه أیضاً، فیکون مفاد المفهوم إیجاباً جزئیاً، فیصیر مفهوم تلک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یبلغ الماء قدر کرّ ینجّسه شی‌ء من النجاسات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الأظهر من تلک الجملة هو الأوّل، فیکون مفهومها کلّیاً</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العموم الملحوظ فی المنطوق إمّا یعتبر آلة لملاحظة العناوین النجسة علی وجه الشمول و الاستغراق، فلا یتوجّه النفی إلیه فی المفهوم، فیکون الاختلاف بین المفهوم و المنطوق فی الکیف فقط دون الکم، أو یعتبر علی وجه الموضوعیة، فیتوجّه إلیه النفی، فیکون الاختلاف بینهما ثابتاً من حیث الکم و الکیف؛ علی قیاس النقیضین عند أهل المنطق، و الشیخ قدس سره رجّح الأوّل بدعوی أنّ العرف قاضٍ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أراد قدس سره بالآلیة و المرآتیة أنّه لم ینحدر الحکم أصلًا علی العنوان المأخوذ فی المنطوق و لو بنحو السرایة إلی ما یستوعبها من العناوین الواقعیة، بل انحدر الحکم علی الکثرة التفصیلیة أوّلًا و بالذات، فهو واضح المنع؛ بداهة أنّ الحکم فی لسان الدلیل إنّما انحدر نحو الکثرة الإجمالیة، لا الکثرة التفصیلیة؛ ضرورة ملحوظیة العنوان المأخوذ فی لسان الدلیل عند العرف و العقلاء، و کم فرق عندهم بین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أکرم زیداً، و عمراً، و بکراً، و خالداً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الإشکال فی ملحوظیة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ینجّسه شی‌ء</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أراد قدس سره بها أنّه و إن انحدر الحکم ظاهراً فی لسان الدلیل علیه، إلّا أنّه فی الحقیقة وسیلة لإسراء الحکم منه إلی العناوین الواقعیة، و العناوین النجسة فی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ینجّسه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ذکره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 بدّ من حفظه کذلک فی جانب المفهوم، فلا وجه لعدم انحفاظه فی المفهوم، و لا یصحّ إسقاطه فیه رأساً، فحینئذٍ یکون مفهوم تلک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إذا لم یبلغ الماء قدر کرّ، لیس لم ینجّسه شی‌ء من النجاسات، و هو سور السالبة الجزئیة، لا أنّه ینجّسه کلّ النجاسات، و لا أنّه ینجّسه شی‌ء و لو عبّر عن المفهوم بمثل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تعبیر مسامحی ناشئ عن وضع لازم المفهوم 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فأکرم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لم یجئک زید فلا یجب إکرام کلّ عالم، و لا إشکال فی إفادته قضیة 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 المنطقیین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نقیض الموجبة الکلّیة سالبة 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 کونهم 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کلّه فلو کان فی خواطرک شی‌ء فاختبر العرف فی ذلک فإنّهم ببابک، و ستجدهم أصدق شاهد علی ما ذکرنا،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لو سلّم کون العنوان المأخوذ فی المنطوق مرآة بالمعنی الأوّل، لما استفید منه إلّا الجزئیة، بل لو ذکر الأفراد تفصیلًا فی القضیة بحیث تکون العناوین النجسة التفصیلیة موضوعاً للحکم، یکون مفاد المفهوم أیضاً جزئیاً؛ لأنّ المفهوم عبارة عن رفع سنخ الحکم المذکور عن الموضوع، لا إثبات الحکم علیه، فمفهومه قضیة سالبة، لا قضیة موجبة، فمفهوم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الماء قدر کرّ لم ینجّسه البول، و الدم، و الکلب، و الخنزیر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لم یبلغ قدر کرّ لیس لم ینجّسه البول، و الدم، و الکلب، و الخنزیر، و معلوم أنّ سلب السالبة الکلّیة یتحقّق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بالإیجاب الجزئی، 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بالإیجاب الکلّی، فلا ینافی المفهوم تنجیس بعضها، فتدبّر</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فانقدح و 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الحقّ هو الذی اختاره المحقّق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فی المقام، فتدبّر و اغتنم</w:t>
      </w:r>
      <w:r>
        <w:rPr>
          <w:rFonts w:eastAsia="IRNazanin" w:cs="IRNazanin"/>
          <w:color w:val="111111"/>
          <w:sz w:val="28"/>
          <w:szCs w:val="28"/>
          <w:rtl w:val="true"/>
          <w:lang w:bidi="fa-IR"/>
        </w:rPr>
        <w:t>.</w:t>
      </w:r>
      <w:bookmarkStart w:id="460" w:name="pg12934_164656"/>
    </w:p>
    <w:p>
      <w:pPr>
        <w:pStyle w:val="BookText"/>
        <w:rPr/>
      </w:pPr>
      <w:bookmarkEnd w:id="460"/>
      <w:r>
        <w:rPr>
          <w:rFonts w:ascii="IRNazanin" w:hAnsi="IRNazanin" w:eastAsia="IRNazanin"/>
          <w:color w:val="111111"/>
          <w:sz w:val="28"/>
          <w:sz w:val="28"/>
          <w:szCs w:val="28"/>
          <w:rtl w:val="true"/>
          <w:lang w:bidi="fa-IR"/>
        </w:rPr>
        <w:t>مفهوم الوصف</w:t>
      </w:r>
    </w:p>
    <w:p>
      <w:pPr>
        <w:pStyle w:val="Heading3"/>
        <w:numPr>
          <w:ilvl w:val="2"/>
          <w:numId w:val="1"/>
        </w:numPr>
        <w:rPr/>
      </w:pPr>
      <w:bookmarkStart w:id="461" w:name="__RefHeading___Toc4026361_3224264995"/>
      <w:bookmarkStart w:id="462" w:name="_Toc176"/>
      <w:bookmarkEnd w:id="461"/>
      <w:r>
        <w:rPr>
          <w:rtl w:val="true"/>
        </w:rPr>
        <w:t>المبحث الثانی فی مفهوم الوصف</w:t>
      </w:r>
      <w:bookmarkEnd w:id="462"/>
    </w:p>
    <w:p>
      <w:pPr>
        <w:pStyle w:val="Heading4"/>
        <w:numPr>
          <w:ilvl w:val="3"/>
          <w:numId w:val="1"/>
        </w:numPr>
        <w:rPr/>
      </w:pPr>
      <w:bookmarkStart w:id="463" w:name="__RefHeading___Toc4026363_3224264995"/>
      <w:bookmarkStart w:id="464" w:name="_Toc177"/>
      <w:bookmarkEnd w:id="463"/>
      <w:r>
        <w:rPr>
          <w:rtl w:val="true"/>
        </w:rPr>
        <w:t>اشارة</w:t>
      </w:r>
      <w:bookmarkEnd w:id="464"/>
    </w:p>
    <w:p>
      <w:pPr>
        <w:pStyle w:val="BookText"/>
        <w:rPr/>
      </w:pPr>
      <w:r>
        <w:rPr>
          <w:rFonts w:ascii="IRNazanin" w:hAnsi="IRNazanin" w:eastAsia="IRNazanin"/>
          <w:color w:val="111111"/>
          <w:sz w:val="28"/>
          <w:sz w:val="28"/>
          <w:szCs w:val="28"/>
          <w:rtl w:val="true"/>
          <w:lang w:bidi="fa-IR"/>
        </w:rPr>
        <w:t>المبحث الثانی فی مفهوم الوصف</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وقع الکلام فی أنّ للوصف مفهوماً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یعارض التصریح بخلافه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w:t>
      </w:r>
      <w:r>
        <w:rPr>
          <w:rFonts w:eastAsia="IRNazanin" w:cs="IRNazanin"/>
          <w:color w:val="111111"/>
          <w:sz w:val="28"/>
          <w:szCs w:val="28"/>
          <w:rtl w:val="true"/>
          <w:lang w:bidi="fa-IR"/>
        </w:rPr>
        <w:t>.</w:t>
      </w:r>
    </w:p>
    <w:p>
      <w:pPr>
        <w:pStyle w:val="Heading4"/>
        <w:numPr>
          <w:ilvl w:val="3"/>
          <w:numId w:val="1"/>
        </w:numPr>
        <w:rPr/>
      </w:pPr>
      <w:bookmarkStart w:id="465" w:name="__RefHeading___Toc4026365_3224264995"/>
      <w:bookmarkStart w:id="466" w:name="_Toc178"/>
      <w:bookmarkEnd w:id="465"/>
      <w:r>
        <w:rPr>
          <w:rtl w:val="true"/>
        </w:rPr>
        <w:t>و قبل ذکر أدلّة الطرفین ینبغی تقدیم أمرین لتحریر محطّ البحث</w:t>
      </w:r>
      <w:r>
        <w:rPr>
          <w:rtl w:val="true"/>
        </w:rPr>
        <w:t>.</w:t>
      </w:r>
      <w:bookmarkEnd w:id="466"/>
    </w:p>
    <w:p>
      <w:pPr>
        <w:pStyle w:val="Heading5"/>
        <w:numPr>
          <w:ilvl w:val="4"/>
          <w:numId w:val="1"/>
        </w:numPr>
        <w:rPr/>
      </w:pPr>
      <w:bookmarkStart w:id="467" w:name="__RefHeading___Toc4026367_3224264995"/>
      <w:bookmarkStart w:id="468" w:name="_Toc179"/>
      <w:bookmarkEnd w:id="467"/>
      <w:r>
        <w:rPr>
          <w:rtl w:val="true"/>
        </w:rPr>
        <w:t>الأمر الأوّل</w:t>
      </w:r>
      <w:r>
        <w:rPr>
          <w:rtl w:val="true"/>
        </w:rPr>
        <w:t xml:space="preserve">: </w:t>
      </w:r>
      <w:r>
        <w:rPr>
          <w:rtl w:val="true"/>
        </w:rPr>
        <w:t>فی بیان شمول النزاع للوصف غیر المعتمد</w:t>
      </w:r>
      <w:bookmarkEnd w:id="468"/>
    </w:p>
    <w:p>
      <w:pPr>
        <w:pStyle w:val="BookText"/>
        <w:rPr/>
      </w:pPr>
      <w:r>
        <w:rPr>
          <w:rFonts w:ascii="IRNazanin" w:hAnsi="IRNazanin" w:eastAsia="IRNazanin"/>
          <w:color w:val="111111"/>
          <w:sz w:val="28"/>
          <w:sz w:val="28"/>
          <w:szCs w:val="28"/>
          <w:rtl w:val="true"/>
          <w:lang w:bidi="fa-IR"/>
        </w:rPr>
        <w:t>الظاهر أنّ محطّ البحث فی مفهوم الوصف مطلق الوصف؛ سواء کان معتمداً علی موصوفه،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الإنسان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بأن ذکر الوصف بوجوده الاشتقاقی،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به بعض أئمّة الفن، و کما یظهر من استدلال بعض القائلین بالمفهوم، کما سنشیر إلیه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یظهر من المحقّق النائینی قدس سره اختصاص البحث بما إذا کان الوصف معتمداً علی الوصف، فقال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کلمات الأساطین و إن کانت ظاهرة فی کون محطّ البحث الوصف عامّاً، إلّا أنّ الحقّ اختصاص محطّ البحث بالوصف المعتمد علی</w:t>
      </w:r>
    </w:p>
    <w:p>
      <w:pPr>
        <w:pStyle w:val="BookText"/>
        <w:rPr/>
      </w:pPr>
      <w:r>
        <w:rPr>
          <w:rFonts w:ascii="IRNazanin" w:hAnsi="IRNazanin" w:eastAsia="IRNazanin"/>
          <w:color w:val="111111"/>
          <w:sz w:val="28"/>
          <w:sz w:val="28"/>
          <w:szCs w:val="28"/>
          <w:rtl w:val="true"/>
          <w:lang w:bidi="fa-IR"/>
        </w:rPr>
        <w:t>موصوفه، و أمّا إذا ذکر الوصف بالعنوان الاشتقاقی، فسبیله سبیل اللقب، بل لیس إلّا اللقب؛ إذ لا فرق فی إثبات حکم 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فرض کونه لا یدلّ علی انتفاء سنخ هذا الحکم عن غیر هذا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أن یکون الموضوع فی القضیة شخصیاً،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کلّیاً،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اشتقاقیاً،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لا یدلّ إثبات حکم لزید علی انتفاء سنخ هذا الحکم عن غیره، فکذلک إثبات حکم للعالم لا یدلّ علی انتفاء سنخ هذا الحکم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الالتزام بالمفهوم فیما إذا ذکر الموصوف صریحاً، إنّما هو لخروج الکلام عن اللغویة؛ بتقریب أنّ الحکم لو لم یختصّ بمورد الوصف و کان ثابتاً له و للفاقد، لما کان لذکر الوصف وجه، و لا یجری هذا فی الوصف الاشتقاقی؛ لأنّ ذکر موضوع الحکم لا یحتاج إلی نکتة غیر إثبات الحکم له، لا إثباته له و انتفائه عن غیره</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وجه لتخصیص محطّ البحث بالوصف المعتمد بعد کون البحث عندهم عامّاً، هذا کلام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أنّه لا فرق فی المقام بین کون الموصوف مذکوراً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صرّح الشیخ أیضاً بذلک، کما أنّ القائل بمفهوم الوصف استدل بفهم أبی عبیدة من قوله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الواجد یحلّ عرضه و عقوبته</w:t>
      </w:r>
      <w:r>
        <w:rPr>
          <w:rFonts w:eastAsia="IRNazanin" w:cs="IRNazanin"/>
          <w:color w:val="111111"/>
          <w:sz w:val="28"/>
          <w:szCs w:val="28"/>
          <w:rtl w:val="true"/>
          <w:lang w:bidi="fa-IR"/>
        </w:rPr>
        <w:t>»</w:t>
      </w:r>
    </w:p>
    <w:p>
      <w:pPr>
        <w:pStyle w:val="BookText"/>
        <w:rPr/>
      </w:pPr>
      <w:r>
        <w:rPr>
          <w:rStyle w:val="FootnoteAnchor"/>
          <w:rtl w:val="true"/>
        </w:rPr>
        <w:footnoteReference w:id="27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 الغنیّ ظلم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3"/>
      </w:r>
      <w:r>
        <w:rPr>
          <w:rFonts w:ascii="IRNazanin" w:hAnsi="IRNazanin" w:eastAsia="IRNazanin"/>
          <w:color w:val="111111"/>
          <w:sz w:val="28"/>
          <w:sz w:val="28"/>
          <w:szCs w:val="28"/>
          <w:rtl w:val="true"/>
          <w:lang w:bidi="fa-IR"/>
        </w:rPr>
        <w:t>، حیث فهم أنّ غیر الواجد لا یحلّ</w:t>
      </w:r>
    </w:p>
    <w:p>
      <w:pPr>
        <w:pStyle w:val="BookText"/>
        <w:rPr/>
      </w:pPr>
      <w:r>
        <w:rPr>
          <w:rFonts w:ascii="IRNazanin" w:hAnsi="IRNazanin" w:eastAsia="IRNazanin"/>
          <w:color w:val="111111"/>
          <w:sz w:val="28"/>
          <w:sz w:val="28"/>
          <w:szCs w:val="28"/>
          <w:rtl w:val="true"/>
          <w:lang w:bidi="fa-IR"/>
        </w:rPr>
        <w:t>عرضه و عقوبته، و مطل غیر الغنیّ لیس بظلم، مع أنّ الواجد و الغنیّ وصفان غیر معتمدین علی الموصوف فی الحدیثین، و تری منکر المفهوم لم یردّه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خارج عن محطّ البحث؛ لأنّ الوصف فی الحدیثین لم یعتمد علی الموصوف، بل ردّه بوجه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أنّ فهمه لا یثبت الوضع، فلعلّه استند فی ذلک إلی القرائن الحاقّة بالکلام، و أنّ فهمه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فقد القرائن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یقل أحد بأنّ الاستدلال بفهم أبی عبیدة خارج عن محطّ البحث؛ لکون الوصف فی الحدیثین غیر معتمد علی موصوفه</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یشهد لما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قدس سره لم یتعرّض و لم یتعرّضوا لعدم اعتماد الوصف فی آیة النبأ</w:t>
      </w:r>
      <w:r>
        <w:rPr>
          <w:rStyle w:val="FootnoteAnchor"/>
          <w:rtl w:val="true"/>
        </w:rPr>
        <w:footnoteReference w:id="275"/>
      </w:r>
      <w:r>
        <w:rPr>
          <w:rFonts w:ascii="IRNazanin" w:hAnsi="IRNazanin" w:eastAsia="IRNazanin"/>
          <w:color w:val="111111"/>
          <w:sz w:val="28"/>
          <w:sz w:val="28"/>
          <w:szCs w:val="28"/>
          <w:rtl w:val="true"/>
          <w:lang w:bidi="fa-IR"/>
        </w:rPr>
        <w:t>عند الاستدلال بها علی حجّیة خبر الواحد من ناحیة الوصف لا الشرط، بل غایة ما قال و قالوا أنّه لم یکن للوصف مفهوم، فتدبّر</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النکتة التی زعم وجودها فی الوصف المعتمد، جاریة فی الوصف الاشتقاقی أیضاً، فإنّه لو صحّ أن یقال فی الوصف 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لو لم یختصّ بمورد الوصف لما کان لذکر الوصف فائدة، بل کان لغواً، صحّ أن یقال فی الوصف الاشتقاقی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لم یکن للصفة فائدة و حکمة بل کان یترتّب الحکم علی فاقد الوصف، لکان ذکر الموصوف بما هو موصوف لغواً، مثلًا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جاءَکُمْ فاسِقٌ بِنَبَإٍ </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الآیة، لو لم یکن لوصف الفسق مدخلیة فی التبیّن لکان</w:t>
      </w:r>
      <w:bookmarkStart w:id="469" w:name="pg12934_164659"/>
    </w:p>
    <w:p>
      <w:pPr>
        <w:pStyle w:val="BookText"/>
        <w:rPr/>
      </w:pPr>
      <w:bookmarkEnd w:id="469"/>
      <w:r>
        <w:rPr>
          <w:rFonts w:ascii="IRNazanin" w:hAnsi="IRNazanin" w:eastAsia="IRNazanin"/>
          <w:color w:val="111111"/>
          <w:sz w:val="28"/>
          <w:sz w:val="28"/>
          <w:szCs w:val="28"/>
          <w:rtl w:val="true"/>
          <w:lang w:bidi="fa-IR"/>
        </w:rPr>
        <w:t>الأنسب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جاءکم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 الحقّ إنّه بمکان من الوضوح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بین الوصف المعتمد و الوصف الاشتقاقی؛ من حیث جریان قاعدة الصون عن اللغویة، فإن تمّت و استفید منها المفهوم فی الوصف المعتمد، فلا بدّ و أن یستفاد فی الوصف الاشتقاقی أیضاً، فلو قیل بالمفهوم فی الوصف فلا بدّ و أن یقال فی المقامین، و إلّا فلا</w:t>
      </w:r>
      <w:r>
        <w:rPr>
          <w:rFonts w:eastAsia="IRNazanin" w:cs="IRNazanin"/>
          <w:color w:val="111111"/>
          <w:sz w:val="28"/>
          <w:szCs w:val="28"/>
          <w:rtl w:val="true"/>
          <w:lang w:bidi="fa-IR"/>
        </w:rPr>
        <w:t>.</w:t>
      </w:r>
    </w:p>
    <w:p>
      <w:pPr>
        <w:pStyle w:val="Heading5"/>
        <w:numPr>
          <w:ilvl w:val="4"/>
          <w:numId w:val="1"/>
        </w:numPr>
        <w:rPr/>
      </w:pPr>
      <w:bookmarkStart w:id="470" w:name="__RefHeading___Toc4026369_3224264995"/>
      <w:bookmarkStart w:id="471" w:name="_Toc180"/>
      <w:bookmarkEnd w:id="470"/>
      <w:r>
        <w:rPr>
          <w:rtl w:val="true"/>
        </w:rPr>
        <w:t>الأمر الثانی</w:t>
      </w:r>
      <w:r>
        <w:rPr>
          <w:rtl w:val="true"/>
        </w:rPr>
        <w:t xml:space="preserve">: </w:t>
      </w:r>
      <w:r>
        <w:rPr>
          <w:rtl w:val="true"/>
        </w:rPr>
        <w:t>فی شمول النزاع للوصف الأخصّ المطلق و الأعمّ من وجه</w:t>
      </w:r>
      <w:bookmarkEnd w:id="471"/>
    </w:p>
    <w:p>
      <w:pPr>
        <w:pStyle w:val="BookText"/>
        <w:rPr/>
      </w:pPr>
      <w:r>
        <w:rPr>
          <w:rFonts w:ascii="IRNazanin" w:hAnsi="IRNazanin" w:eastAsia="IRNazanin"/>
          <w:color w:val="111111"/>
          <w:sz w:val="28"/>
          <w:sz w:val="28"/>
          <w:szCs w:val="28"/>
          <w:rtl w:val="true"/>
          <w:lang w:bidi="fa-IR"/>
        </w:rPr>
        <w:t>إنّ وزان استفادة المفهوم من الوصف، وزان استفادة المفهوم من الجملة الشرطیة، فلا بدّ من حفظ جمیع ما یذکر فی الکلام من القیود عدا الوصف الذی یدور علیه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حفظ الموضوع فی استفادة مفهوم الوصف کما هو الشأن فی استفادة مفهوم الشرط و علیه فالوصف المساوی لموصوفه خارج عن محطّ البحث؛ لارتفاع الموضوع بارتفاع الوصف، فلا یبقی للحکم مرکز حتّی یحمل علیه أو یسلب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لو کانت النسبة بین الوصف و موصوفه العموم من وجه و کان الافتراق من جانب الموصوف، لکان أیضاً خارجاً عن محطّ البحث؛ لما أشرنا من لزوم حفظ الموضوع فی المفهوم و المنطوق، و إنّما الاختلاف بینهما فی تحقّق الوصف فی أحدهما دون الآخر</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فمحطّ البحث فیما إذا کان الوصف أخصّ من موصوفه؛ لبقاء الموضوع بعد انتفاء الوصف</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یتمّ فی الوصف المعتمد علی الموضوع، و أمّا الوصف الاشتقاقی بناءً علی القول ببساطة المشتقّ، فلا 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الإشکال فی أنّه إذا سمع العرف و العقلاء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لفهموا منه الرجل العادل، و لا یلزم أن یکون ذلک مدلولًا علیه باللفظ؛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بناءً علی القول ببساطة المشتقّ لا یکون مدلولًا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ذلک عندهم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حذف ما یعلم منه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الإشکال فی أنّه یستفاد من تلک الجملة، أنّ موضوع الإکرام الإنسان الموصوف بوصف العدالة، و هو یکفی فی استفادة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ریب فی دخول الوصف الأخصّ فی محطّ البحث؛ لبقاء الموضوع بعد انتفائه فی الوصف الذی لم یعتمد علی موصوفه، إذ لا بدّ علی القول بالمفهوم من تقدیر موصوف عند التحلیل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یدخل فی موضوع البحث الوصف الذی تکون النسبة بینه و بین موصوفه، عموماً من وجه فی مورد افتراق الصفة عن الموصوف، کما فی الغنم غیر السائمة بالنسبة إلی الغنم السائمة</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تمهّد لک ما ذکرنا یظهر لک ضعف ما فی کلام المحقّق الخراسانی قدس سره</w:t>
      </w:r>
      <w:r>
        <w:rPr>
          <w:rStyle w:val="FootnoteAnchor"/>
          <w:rtl w:val="true"/>
        </w:rPr>
        <w:footnoteReference w:id="278"/>
      </w:r>
      <w:r>
        <w:rPr>
          <w:rFonts w:ascii="IRNazanin" w:hAnsi="IRNazanin" w:eastAsia="IRNazanin"/>
          <w:color w:val="111111"/>
          <w:sz w:val="28"/>
          <w:sz w:val="28"/>
          <w:szCs w:val="28"/>
          <w:rtl w:val="true"/>
          <w:lang w:bidi="fa-IR"/>
        </w:rPr>
        <w:t>من تعمیم محطّ البحث للمتساویین أیضاً</w:t>
      </w:r>
      <w:r>
        <w:rPr>
          <w:rStyle w:val="FootnoteAnchor"/>
          <w:rtl w:val="true"/>
        </w:rPr>
        <w:footnoteReference w:id="279"/>
      </w:r>
      <w:r>
        <w:rPr>
          <w:rFonts w:ascii="IRNazanin" w:hAnsi="IRNazanin" w:eastAsia="IRNazanin"/>
          <w:color w:val="111111"/>
          <w:sz w:val="28"/>
          <w:sz w:val="28"/>
          <w:szCs w:val="28"/>
          <w:rtl w:val="true"/>
          <w:lang w:bidi="fa-IR"/>
        </w:rPr>
        <w:t>و کذلک ضعف ما عن بعض</w:t>
      </w:r>
      <w:bookmarkStart w:id="472" w:name="pg12934_164661"/>
    </w:p>
    <w:p>
      <w:pPr>
        <w:pStyle w:val="BookText"/>
        <w:rPr/>
      </w:pPr>
      <w:bookmarkEnd w:id="472"/>
      <w:r>
        <w:rPr>
          <w:rFonts w:ascii="IRNazanin" w:hAnsi="IRNazanin" w:eastAsia="IRNazanin"/>
          <w:color w:val="111111"/>
          <w:sz w:val="28"/>
          <w:sz w:val="28"/>
          <w:szCs w:val="28"/>
          <w:rtl w:val="true"/>
          <w:lang w:bidi="fa-IR"/>
        </w:rPr>
        <w:t>الشافعیة</w:t>
      </w:r>
      <w:r>
        <w:rPr>
          <w:rStyle w:val="FootnoteAnchor"/>
          <w:rtl w:val="true"/>
        </w:rPr>
        <w:footnoteReference w:id="280"/>
      </w:r>
      <w:r>
        <w:rPr>
          <w:rFonts w:ascii="IRNazanin" w:hAnsi="IRNazanin" w:eastAsia="IRNazanin"/>
          <w:color w:val="111111"/>
          <w:sz w:val="28"/>
          <w:sz w:val="28"/>
          <w:szCs w:val="28"/>
          <w:rtl w:val="true"/>
          <w:lang w:bidi="fa-IR"/>
        </w:rPr>
        <w:t>من أنّ قوله صلی الله علیه و آله و سلم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الغنم السائمة زکاة</w:t>
      </w:r>
      <w:r>
        <w:rPr>
          <w:rFonts w:eastAsia="IRNazanin" w:cs="IRNazanin"/>
          <w:color w:val="111111"/>
          <w:sz w:val="28"/>
          <w:szCs w:val="28"/>
          <w:rtl w:val="true"/>
          <w:lang w:bidi="fa-IR"/>
        </w:rPr>
        <w:t>»</w:t>
      </w:r>
    </w:p>
    <w:p>
      <w:pPr>
        <w:pStyle w:val="BookText"/>
        <w:rPr/>
      </w:pPr>
      <w:r>
        <w:rPr>
          <w:rStyle w:val="FootnoteAnchor"/>
          <w:rtl w:val="true"/>
        </w:rPr>
        <w:footnoteReference w:id="281"/>
      </w:r>
      <w:r>
        <w:rPr>
          <w:rFonts w:ascii="IRNazanin" w:hAnsi="IRNazanin" w:eastAsia="IRNazanin"/>
          <w:color w:val="111111"/>
          <w:sz w:val="28"/>
          <w:sz w:val="28"/>
          <w:szCs w:val="28"/>
          <w:rtl w:val="true"/>
          <w:lang w:bidi="fa-IR"/>
        </w:rPr>
        <w:t>یدلّ علی عدم الزکاة فی الإبل المعلوفة، لما أشرنا من أنّ حفظ الموضوع فی المنطوق و المفهوم، ممّا لا بدّ منه، و إنّما الاختلاف بینهما فی تحقّق الوصف فی أحدهما دون الآخر بعد حفظه، فلا معنی لنفی حکم عن موضوع أجنبی و عدّه مفهوماً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لک ممّا ذکرنا فی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محطّ البحث أعمّ من الوصف المعتمد علی الموصوف و الوصف الاشتقاقی، و لا وجه لاختصاصه بالأوّل، و أنّ الموضوع فی المفهوم لا بدّ و أن یکون محفوظاً، فتدبّر</w:t>
      </w:r>
      <w:r>
        <w:rPr>
          <w:rFonts w:eastAsia="IRNazanin" w:cs="IRNazanin"/>
          <w:color w:val="111111"/>
          <w:sz w:val="28"/>
          <w:szCs w:val="28"/>
          <w:rtl w:val="true"/>
          <w:lang w:bidi="fa-IR"/>
        </w:rPr>
        <w:t>.</w:t>
      </w:r>
    </w:p>
    <w:p>
      <w:pPr>
        <w:pStyle w:val="Heading4"/>
        <w:numPr>
          <w:ilvl w:val="3"/>
          <w:numId w:val="1"/>
        </w:numPr>
        <w:rPr/>
      </w:pPr>
      <w:bookmarkStart w:id="473" w:name="__RefHeading___Toc4026371_3224264995"/>
      <w:bookmarkStart w:id="474" w:name="_Toc181"/>
      <w:bookmarkEnd w:id="473"/>
      <w:r>
        <w:rPr>
          <w:rtl w:val="true"/>
        </w:rPr>
        <w:t>التحقیق عدم ثبوت مفهوم الوصف</w:t>
      </w:r>
      <w:bookmarkEnd w:id="474"/>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موضوع البحث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المحقّق النائینی قدس سره إلی أنّه لا یعقل أن یکون للوصف مفهوم؛ لأنّه إنّما یتصوّر المفهوم فی قضیة، إذا أمکن إرجاع القید إلی الحکم بالمعنی المعقول؛ و هو تقیید المتحصّل من الجملة، لا ذات الانتساب الذی هو</w:t>
      </w:r>
    </w:p>
    <w:p>
      <w:pPr>
        <w:pStyle w:val="BookText"/>
        <w:rPr/>
      </w:pPr>
      <w:r>
        <w:rPr>
          <w:rFonts w:ascii="IRNazanin" w:hAnsi="IRNazanin" w:eastAsia="IRNazanin"/>
          <w:color w:val="111111"/>
          <w:sz w:val="28"/>
          <w:sz w:val="28"/>
          <w:szCs w:val="28"/>
          <w:rtl w:val="true"/>
          <w:lang w:bidi="fa-IR"/>
        </w:rPr>
        <w:t>معنی حرفی، کالقضیة الشرطیة، و القضیة المغیّاة بالغایة، و أمّا لو کان القید راجعاً إلی الموضوع أو المحمول، فلا سبیل إلی القول بالمفهوم، کما فی الوصف، فإنّه لا یمکن إرجاع القید إلّا إلی الموضوع، فیکون کالشرطیة التی سیقت لفرض وجود الموضوع</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یظهر من المحقّق العراقی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سبقت الإشارة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فی أنّ الموضوع علّة منحصرة لشخص حکمه، و بانتفائه ینتفی شخص حکمه، و النزاع فی المفهوم و عدمه إنّما هو فی تعلّق سنخ الحکم، أو شخصه، فمن قال بالمفهوم یری تعلّق سنخ الحکم، و من قال بعدم المفهوم یری أنّ المعلّق هو شخص الحکم، و تعلّق الحکم علی موضوعه فی القضایا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طبیعتها الأوّلیة و اقتضاء 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علی سبیل الإهمال، فلا إطلاق هناک، فلا مفهوم</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تکون فی البین جهة زائدة علی ربط الحکم بموضوعه، کما فی القضیة الشرطیة، حیث إنّ أداة الشرط تقتضی ربط سنخ الحکم بشرطه زائداً علی ربطه بموضوعه، فیکون للقضیة من هذه الجهة إطلاق؛ و إن لم یکن فیها إطلاق بلحاظ طبیعتها الأوّلیة، فیستفاد المفهوم من القضیة الشرطیة، و لهذه العنایة نقول بالمفهوم أیضاً فی الغایة و أداة الحصر، و أمّا التوصیف فهو من شئون الموضوع، و یتقیّد الموضوع به، و تعلّق الحکم علی الموضوع المتقیّد نظیر تعلّق الحکم بذاته بلا قید من حیث الإهمال، فلا إطلاق، فلا مفهوم</w:t>
      </w:r>
      <w:r>
        <w:rPr>
          <w:rStyle w:val="FootnoteAnchor"/>
          <w:rtl w:val="true"/>
        </w:rPr>
        <w:footnoteReference w:id="283"/>
      </w:r>
      <w:r>
        <w:rPr>
          <w:rFonts w:ascii="IRNazanin" w:hAnsi="IRNazanin" w:eastAsia="IRNazanin"/>
          <w:color w:val="111111"/>
          <w:sz w:val="28"/>
          <w:sz w:val="28"/>
          <w:szCs w:val="28"/>
          <w:rtl w:val="true"/>
          <w:lang w:bidi="fa-IR"/>
        </w:rPr>
        <w:t>، انتهی حاصل ما أفاده</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ما أفاداه من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أفاده المحقّق النائینی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أشرنا إلیه مکرّراً من صحّة تقیید المعنی الحرفی، بل التقیید غالباً إنّما یطرأ علی المعنی الحرفی،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فی باب المفهوم و یریده القائل به، هو أنّ الإطلاق کما یقتضی کون المأخوذ موضوعاً، هو تمام الموضوع من حیث ترتّب الحکم علیه و نفی الشریک له، فکذلک یقتضی عدم بدیل له، فینحصر ترتّب الحکم علیه دون غیره، و هو معنی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القید و إن رجع إلی الموضوع، و لکنّه لا یوجب کون الموضوع مرکّباً کی ینتفی بانتفاء قیده، بل الموضوع ذات المتقیّد، فبعد ارتفاع الوصف یکون الموضوع باقیاً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یظهر الفرق بین ما نحن فیه، و الشرطیة التی سیقت لفرض وجود الموضوع، حیث إنّ الشرطیة تقتضی کون الموضوع مرکّباً،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 المحقّق العراقی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النزاع فی المفهوم لم یکن فی تعلّق شخص الحکم و سنخه، بل محطّ البحث عندهم إنّما هو فی تعلّق سنخ الحکم، فقالت طائفة بالمفهوم، و اخری بعدمه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منشأ ما زعمه قدس سره هو توهّم أنّ المفهوم عبارة عن انتفاء الحکم، فرأی أنّه لا معنی لانتفاء سنخ الحکم مع عدم المفهوم، فلا بدّ و أن یری منکر المفهوم انتفاء شخص الحکم، و قد عرفت فی أوائل هذا المقصد أنّ المفهوم هو الحکم بالانتفاء، لا مجرّد الانتفاء، فالقائل بالمفهوم یحکم بانتفاء سنخ الحکم، و لذا یعارض ما دلّ علی ثبوت الحکم، و المنکر لا یحکم بالنفی، فتدبّر، فإنّه لا یخلو من دقّة</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قد عرفت عدم استقامة القول بکون القضایا بحسب طبیعتها الأوّلیة مهملة، بل کثیراً ما تکون القضایا علی سبیل الإطلاق، و لکن مع ذلک</w:t>
      </w:r>
    </w:p>
    <w:p>
      <w:pPr>
        <w:pStyle w:val="BookText"/>
        <w:rPr/>
      </w:pPr>
      <w:r>
        <w:rPr>
          <w:rFonts w:ascii="IRNazanin" w:hAnsi="IRNazanin" w:eastAsia="IRNazanin"/>
          <w:color w:val="111111"/>
          <w:sz w:val="28"/>
          <w:sz w:val="28"/>
          <w:szCs w:val="28"/>
          <w:rtl w:val="true"/>
          <w:lang w:bidi="fa-IR"/>
        </w:rPr>
        <w:t>لا یکون لها مفهوم؛ لأنّ غایة ما یقتضیه الإطلاق کون المأخوذ تمام الموضوع لترتّب الحکم علیه، و هذا ینفی الشریک، لا البدیل،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بین الوصف و الشرط من حیث وقوعهما محطّ البحث فی استفادة المفهوم؛ و ذلک لأنّه کما یمکن تخیّل المفهوم من جهة أخذ الشرط زائداً علی ذات المشروط به، صوناً للکلام عن اللغویة، فکذلک یمکن فیما إذا اخذ وصف زائد علی ذات الموصوف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الذی یسهّل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دلالة الجملة الوصفیة علی المفهوم؛ لأنّ أقوی ما یمکن أن یستدلّ به للمفهوم إنّما هو من ناحیة الإطلاق، بلحاظ أنّ الإطلاق کما یدلّ علی أنّه تمام الموضوع لترتّب الحکم علیه و بلا شریک، کذلک یدلّ علی أنّه بلا بدیل، و لکن قد أشرنا إلی أنّ الإطلاق لا یقتضی ذلک، بل غایة مقتضاه هی کون الموصوف بالوصف تمام الموضوع لترتّب الحکم علیه، و لا یکون له حالة منتظرة لترتّب الحکم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یقتضیه الإطلاق نفی الشریک، لا نفی البدیل، فلا یستفاد من الإطلاق المفهوم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یتمسّک هنا لإثبات المفهوم بوجه عقلی، نظیر ما تمسّک به لإثبات مفهوم الشرط،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القضیة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إحراز أنّ الأصل فی القید أن یکون احترازیاً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القید بذاته و عنوانه دخیل فی الموضوع، و متمّم لقابلیة القابل، فإن کان له عدیل فمع تعدّد العلّة، یکون الجامع علّة، لا القید بعنوانه، لئلّا تنخرم قاعدة الواحد المبرهن علیها فی محلّها</w:t>
      </w:r>
      <w:r>
        <w:rPr>
          <w:rStyle w:val="FootnoteAnchor"/>
          <w:rtl w:val="true"/>
        </w:rPr>
        <w:footnoteReference w:id="285"/>
      </w:r>
      <w:r>
        <w:rPr>
          <w:rFonts w:ascii="IRNazanin" w:hAnsi="IRNazanin" w:eastAsia="IRNazanin"/>
          <w:color w:val="111111"/>
          <w:sz w:val="28"/>
          <w:sz w:val="28"/>
          <w:szCs w:val="28"/>
          <w:rtl w:val="true"/>
          <w:lang w:bidi="fa-IR"/>
        </w:rPr>
        <w:t>، و هو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قد أشرنا غیر مرّة إلی أنّ باب موضوعات الأحکام، غیر باب العلل الحقیقیة حتّی یتمسّک بقاعدة الواحد؛ فإنّ المیزان فیه هو فهم العرف العامّ، و من الواضح أنّه یمکن أن یجعل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عدیدة بعناوینها، موضوعاً للحکم، و أین هذا من باب العلل و باب التأثیر و التأثّر؟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أنّه قد تقدّم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مجری القاعدة عند مثبتیها إنّما هو الواحد البسیط الحقیقی الذی لا تشوبه شائبة الکثرة؛ لا خارجاً، و لا ذهناً، و لا وهماً، لا کلّ مورد یکون هناک صدور و صادر و 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تنقیح المسألة و تحریرها علی ما یقتضیه النظر العرفی و العقلائی، لا علی ما تقتضیه الدقائق الفلسفیة، فإن ورد فی دلیل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الغنم السائمة 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ورد فی دلیل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الغنم المعلوفة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فهم العرف و العقلاء تنافیاً بین الدلیلین، فیستکشف من ذلک وجود المفهوم؛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الغنم السائمة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فلا</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ممّا ذکرنا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مفهوم للجملة الوصفیة لو خلّیت و طبعها؛ و إن کان الوصف فیها معتمداً علی الموصوف، کما لم یکن للشرطیة کذلک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ربما یستفاد المفهوم منهما بلحاظ احتفافها بالقرائن الحالیة أو المقالیة، فتدبّر</w:t>
      </w:r>
      <w:r>
        <w:rPr>
          <w:rFonts w:eastAsia="IRNazanin" w:cs="IRNazanin"/>
          <w:color w:val="111111"/>
          <w:sz w:val="28"/>
          <w:szCs w:val="28"/>
          <w:rtl w:val="true"/>
          <w:lang w:bidi="fa-IR"/>
        </w:rPr>
        <w:t>.</w:t>
      </w:r>
      <w:bookmarkStart w:id="475" w:name="pg12934_164666"/>
    </w:p>
    <w:p>
      <w:pPr>
        <w:pStyle w:val="BookText"/>
        <w:rPr/>
      </w:pPr>
      <w:bookmarkEnd w:id="475"/>
      <w:r>
        <w:rPr>
          <w:rFonts w:ascii="IRNazanin" w:hAnsi="IRNazanin" w:eastAsia="IRNazanin"/>
          <w:color w:val="111111"/>
          <w:sz w:val="28"/>
          <w:sz w:val="28"/>
          <w:szCs w:val="28"/>
          <w:rtl w:val="true"/>
          <w:lang w:bidi="fa-IR"/>
        </w:rPr>
        <w:t>مفهوم الغایة</w:t>
      </w:r>
    </w:p>
    <w:p>
      <w:pPr>
        <w:pStyle w:val="Heading3"/>
        <w:numPr>
          <w:ilvl w:val="2"/>
          <w:numId w:val="1"/>
        </w:numPr>
        <w:rPr/>
      </w:pPr>
      <w:bookmarkStart w:id="476" w:name="__RefHeading___Toc4026373_3224264995"/>
      <w:bookmarkStart w:id="477" w:name="_Toc182"/>
      <w:bookmarkEnd w:id="476"/>
      <w:r>
        <w:rPr>
          <w:rtl w:val="true"/>
        </w:rPr>
        <w:t>المبحث الثالث فی مفهوم الغایة</w:t>
      </w:r>
      <w:bookmarkEnd w:id="477"/>
    </w:p>
    <w:p>
      <w:pPr>
        <w:pStyle w:val="Heading4"/>
        <w:numPr>
          <w:ilvl w:val="3"/>
          <w:numId w:val="1"/>
        </w:numPr>
        <w:rPr/>
      </w:pPr>
      <w:bookmarkStart w:id="478" w:name="__RefHeading___Toc4026375_3224264995"/>
      <w:bookmarkStart w:id="479" w:name="_Toc183"/>
      <w:bookmarkEnd w:id="478"/>
      <w:r>
        <w:rPr>
          <w:rtl w:val="true"/>
        </w:rPr>
        <w:t>اشارة</w:t>
      </w:r>
      <w:bookmarkEnd w:id="479"/>
    </w:p>
    <w:p>
      <w:pPr>
        <w:pStyle w:val="BookText"/>
        <w:rPr/>
      </w:pPr>
      <w:r>
        <w:rPr>
          <w:rFonts w:ascii="IRNazanin" w:hAnsi="IRNazanin" w:eastAsia="IRNazanin"/>
          <w:color w:val="111111"/>
          <w:sz w:val="28"/>
          <w:sz w:val="28"/>
          <w:szCs w:val="28"/>
          <w:rtl w:val="true"/>
          <w:lang w:bidi="fa-IR"/>
        </w:rPr>
        <w:t>و الکلام فیه یقع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هل یستفاد من القضیة المغیّاة بغایة، ارتفاع الحکم المغیّا بالنسبة إلی ما بعد الغایة، بحیث یعارض ما لو صرّح بثبوت الحکم لما بعدها، أو لا؟</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هل تکون الغایة داخلة فی المغیّا، أم لا؟ و الکلام فی المقام الثانی، خارج عن محطّ البحث فی المفهوم، و لکنّه یذکر استطراداً</w:t>
      </w:r>
      <w:r>
        <w:rPr>
          <w:rFonts w:eastAsia="IRNazanin" w:cs="IRNazanin"/>
          <w:color w:val="111111"/>
          <w:sz w:val="28"/>
          <w:szCs w:val="28"/>
          <w:rtl w:val="true"/>
          <w:lang w:bidi="fa-IR"/>
        </w:rPr>
        <w:t>.</w:t>
      </w:r>
    </w:p>
    <w:p>
      <w:pPr>
        <w:pStyle w:val="Heading4"/>
        <w:numPr>
          <w:ilvl w:val="3"/>
          <w:numId w:val="1"/>
        </w:numPr>
        <w:rPr/>
      </w:pPr>
      <w:bookmarkStart w:id="480" w:name="__RefHeading___Toc4026377_3224264995"/>
      <w:bookmarkStart w:id="481" w:name="_Toc184"/>
      <w:bookmarkEnd w:id="480"/>
      <w:r>
        <w:rPr>
          <w:rtl w:val="true"/>
        </w:rPr>
        <w:t>المقام الأوّل حول ارتفاع الحکم المغیّا عمّا بعد الغایة</w:t>
      </w:r>
      <w:bookmarkEnd w:id="481"/>
    </w:p>
    <w:p>
      <w:pPr>
        <w:pStyle w:val="Heading5"/>
        <w:numPr>
          <w:ilvl w:val="4"/>
          <w:numId w:val="1"/>
        </w:numPr>
        <w:rPr/>
      </w:pPr>
      <w:bookmarkStart w:id="482" w:name="__RefHeading___Toc4026379_3224264995"/>
      <w:bookmarkStart w:id="483" w:name="_Toc185"/>
      <w:bookmarkEnd w:id="482"/>
      <w:r>
        <w:rPr>
          <w:rtl w:val="true"/>
        </w:rPr>
        <w:t>اشارة</w:t>
      </w:r>
      <w:bookmarkEnd w:id="483"/>
    </w:p>
    <w:p>
      <w:pPr>
        <w:pStyle w:val="BookText"/>
        <w:rPr/>
      </w:pPr>
      <w:r>
        <w:rPr>
          <w:rFonts w:ascii="IRNazanin" w:hAnsi="IRNazanin" w:eastAsia="IRNazanin"/>
          <w:color w:val="111111"/>
          <w:sz w:val="28"/>
          <w:sz w:val="28"/>
          <w:szCs w:val="28"/>
          <w:rtl w:val="true"/>
          <w:lang w:bidi="fa-IR"/>
        </w:rPr>
        <w:t>اختلفوا فی دلالة القضیة المغیّاة بغایة علی ارتفاع الحکم عمّا بعد الغایة علی أقوال</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المشهور؛ و هو التفصیل بین کون الغایة غایة للموضوع، فسبیلها سبیل الوصف فی عدم الدلالة علی المفهوم، و بین کونها غایة للحکم، فتدلّ علی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إلیه المحقّق العراقی قدس سره من التفصیل بین کون الغایة للموضوع أو المحمول، و بین کونها غایة للنسبة الحکمیة، فقال بالمفهوم فی الأخیر، دون الأوّلین</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الحقّ هو التفصیل الذی ذهب إلیه المشهور، و قد اختاره شیخنا العلّامة الحائری قدس سره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کانت غایة للموضوع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البصرة إلی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فسبیله سبیل الوصف فی عدم الدلالة علی المفهوم، و غایة ما یدلّ تحدید الموضوع بها، هی انتفاء الحکم فی القضیة عند حصولها، و لیس هذا قولًا بالمفهوم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کانت غایة للحکم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 من الصبح إلی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فتدلّ علی المفهوم؛ و ذلک لما عرفت من أنّ مفاد الهیئة إنشاء حقیقة الطلب، لا الطلب الجزئی الخارجی، فتکون الغایة فی القضیة غایة لحقیقة الطلب، و لازم ذلک ارتفاع حقیقته عند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قلنا بأنّ مفاد الهیئة هو الطلب الجزئی، فالغایة لا تدلّ علی ارتفاع سنخ الوجوب</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لکنّه قدس سره عدل عنه فی أواخر عمره الشریف، فقال بعدم المفهوم للغایة مطلقاً حتّی فیما إذا کانت غایة للحکم؛ قیاساً لها علی الجملة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البیان الذی استفدناه منه قدس سره فی مجلس الدرس و ضبطناه فی هامش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یخالف ما علّقه هو بنفسه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الذی ضبطناه منه فحاصله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حکم یتعلّق بموضوع فلا بدّ و أن یکون بسبب و علّة، فإن استفدنا من القضیة المغیّاة بالغایة العلّیة المنحصرة، فیمکن استفادة</w:t>
      </w:r>
    </w:p>
    <w:p>
      <w:pPr>
        <w:pStyle w:val="BookText"/>
        <w:rPr/>
      </w:pPr>
      <w:r>
        <w:rPr>
          <w:rFonts w:ascii="IRNazanin" w:hAnsi="IRNazanin" w:eastAsia="IRNazanin"/>
          <w:color w:val="111111"/>
          <w:sz w:val="28"/>
          <w:sz w:val="28"/>
          <w:szCs w:val="28"/>
          <w:rtl w:val="true"/>
          <w:lang w:bidi="fa-IR"/>
        </w:rPr>
        <w:t>المفهوم، و إلّا فلا، و حیث إنّه لم یکن لنا طریق إلی معرفة ذلک، و لم یکن مقتضی إطلاق القضیة ذلک أیضاً، فلا یکون لها 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علّقه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النسخة المطبوعة فهو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یمکن أن یقال بمنع المفهوم حتّی فیما اخذ فیه الغایة قیداً للحکم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اجلس من الصبح إلی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لمساعدة الوجدان علی أنّا لو قلنا بعد الکلام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جاء زید فاجلس من الزوال إلی الغروب، فلیس فیه مخالفة لظاهر الکلام الأوّل، فهذا یکشف عن أنّ المغیّا لیس سنخ الحکم من أیّ علّة تحقّق، بل السنخ المعلول لعلّة خاصّة؛ سواء کانت مذکورة کما فی إن جاء زید فاجلس من الصبح إلی الزوال، أم کانت غیر مذکورة، فإنّه مع عدم الذکر أیضاً تکون لا محالة هنا علّة یکون الحکم المذکور مسبباً عنها</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فمرجع ما أفاده قدس سره علی ما ضبطناه، هو أنّه لا سبیل إلی استکشاف العلّیة المنحصرة، و علی ما علّقه هو عدم التنافی بین الجملتین المسبّب عن عدم استفادة العلّیة المنحصرة</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کلا التقریرین نظر؛ لأنّ مقایسة المقام بالقضیة الشرطیة مع الفارق، و لکلّ منهما مناط یخصّها؛ و ذلک لأنّ الظاهر من الجملة الشرطیة، أنّه اخذ الشرط لترتّب الجزاء علیه، فالقضیة الشرطیة عندهم مرکّبة من موضوع، و محمول، و علّة ثبوت الحکم علیه بواسطة أداة الشرط، فدلالتها علی المفهوم عند العرف مرهون باستفادة العلّیة المنحصرة، فإن استفید منها الانحصار فهو، و 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القضیة المغیّاة بغایة، فلا یکاد ینقدح فی ذهنهم موضوع، و حکم، و علّة، بل غایة ما هناک هی الموضوع و الحکم و الغایة، فلیست استفادتهم المفهوم منها لأجل العلّیة</w:t>
      </w:r>
    </w:p>
    <w:p>
      <w:pPr>
        <w:pStyle w:val="BookText"/>
        <w:rPr/>
      </w:pPr>
      <w:r>
        <w:rPr>
          <w:rFonts w:ascii="IRNazanin" w:hAnsi="IRNazanin" w:eastAsia="IRNazanin"/>
          <w:color w:val="111111"/>
          <w:sz w:val="28"/>
          <w:sz w:val="28"/>
          <w:szCs w:val="28"/>
          <w:rtl w:val="true"/>
          <w:lang w:bidi="fa-IR"/>
        </w:rPr>
        <w:t>المنحصرة، بل لأجل تحدید حقیقة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المقیّدة بقید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یبعد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کانت حقیقة الطلب مغیّاة بغایة، فمقتضاه عند العرف و العقلاء اختصاص الحکم بین الحدّین، فإثبات سنخ ذلک الحکم لما بعد الغایة مناقض له، مثلًا لو استفید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اجلس من الصبح إلی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بصدد تحدید وجوب الجلوس إلی الزوال، فلازمه انتفاء الحکم لدی تحقّق الغایة، فیکون وجوب الجلوس بعد الزوال مناقضاً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استفادة المفهوم فی القضایا عند العرف و العقلاء، لیست دائماً رهینة استفادة العلّیة المنحصرة، بل ربما یستفیدون ذلک من مجرّد تحدید الحکم إلی غایة؛ من دون أن ینقدح فی ذهنهم أنّ الحکم المغیّا معلول لعلّته، فضلًا عن کونها منحصرة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استظهار المفهوم من الحکم المغیّا بغایة؛ و إن کان المستظهر أشعریاً قائلًا بأنّ الأحکام غیر معلّلة بالأغراض و المصالح، بل إنّما هی عادات جرت</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حدیث عدم التنافی فی المثال بین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اجلس من الصبح إلی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جاءک زید فاجلس من الزوال إلی 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ظهور المثال عند العرف، فی کون القید قیداً للموضوع لا للحکم، و قد أشرنا إلی أنّ المدّعی إنّما هو استفادة المفهوم من القضیة المغیّاة فیما إذا کانت الغایة للحکم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التنافی المتصوّر علی القول بالمفهوم، إنّما هو تنافٍ خفیف، و هو التنافی بین المطلق و المقیّد؛ لأنّ مقتضی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 من</w:t>
      </w:r>
    </w:p>
    <w:p>
      <w:pPr>
        <w:pStyle w:val="BookText"/>
        <w:rPr/>
      </w:pPr>
      <w:r>
        <w:rPr>
          <w:rFonts w:ascii="IRNazanin" w:hAnsi="IRNazanin" w:eastAsia="IRNazanin"/>
          <w:color w:val="111111"/>
          <w:sz w:val="28"/>
          <w:sz w:val="28"/>
          <w:szCs w:val="28"/>
          <w:rtl w:val="true"/>
          <w:lang w:bidi="fa-IR"/>
        </w:rPr>
        <w:t>الصبح إلی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الحکم بعدم الجلوس من الزوال إلی الغروب؛ جاء زید، أو لم یجئ، طار الغراب أم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و من المعلوم أنّه مطلق بالنسبة 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فاجلس من الزوال إلی 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قیّد الوجوب بمجی‌ء زید، و قد ذکرنا فی باب التعادل و الترجیح</w:t>
      </w:r>
      <w:r>
        <w:rPr>
          <w:rStyle w:val="FootnoteAnchor"/>
          <w:rtl w:val="true"/>
        </w:rPr>
        <w:footnoteReference w:id="290"/>
      </w:r>
      <w:r>
        <w:rPr>
          <w:rFonts w:ascii="IRNazanin" w:hAnsi="IRNazanin" w:eastAsia="IRNazanin"/>
          <w:color w:val="111111"/>
          <w:sz w:val="28"/>
          <w:sz w:val="28"/>
          <w:szCs w:val="28"/>
          <w:rtl w:val="true"/>
          <w:lang w:bidi="fa-IR"/>
        </w:rPr>
        <w:t>أنّه لا تنافی فی محیط التقنین بین المطلق و المقیّد، و کذا بین العموم و الخصوص؛ و إن کان بینهما تنافٍ فی غیر محیط التقنین، خلافاً لما هو المعروف بینهم من عدم التنافی بینهما أصلًا، بل یوفّق العرف بینهما بمجرّد سماعهما بحمل المطلق أو العامّ علی المقیّد و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الشاهد علی عدم التنافی بینهما فی خصوص محیط التقنین؛ هو ما نری من جریان دیدن المقنّنین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واحداً کانوا، أم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ذکر المطلقات و العمومات أوّلًا، ثمّ ذکر المقیّدات و المخصّصات بعنوان التبصرة أو المادّة الواحدة و نحوهما ثانیاً، 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وجود مطلقات و مقیّدات و عمومات و مخصّصات کثیرة فی الذکر الحکیم، مع أنّه تعالی ذکر أنّه لا اختلاف فی القرآن الحکیم</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ربما یکون فی القرآن الحکیم مطلق أو عامّ، ثمّ یرد المقیّد أو المخصّص فی السنّة و فی کلمات المعصومین علیهم السلام فیقیّد به المطلق القرآنی أو یخصّص بذلک، و علیه جرت سیرة السلف الصالح و الخلف الوفی، مع أنّه ورد عن أئمّة أهل البیت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جاءکم یخالف کتاب اللَّه فلم أقله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2"/>
      </w:r>
      <w:r>
        <w:rPr>
          <w:rFonts w:ascii="IRNazanin" w:hAnsi="IRNazanin" w:eastAsia="IRNazanin"/>
          <w:color w:val="111111"/>
          <w:sz w:val="28"/>
          <w:sz w:val="28"/>
          <w:szCs w:val="28"/>
          <w:rtl w:val="true"/>
          <w:lang w:bidi="fa-IR"/>
        </w:rPr>
        <w:t>، و قد صدر عنهم علیهم السلام</w:t>
      </w:r>
      <w:bookmarkStart w:id="484" w:name="pg12934_164671"/>
    </w:p>
    <w:p>
      <w:pPr>
        <w:pStyle w:val="BookText"/>
        <w:rPr/>
      </w:pPr>
      <w:bookmarkEnd w:id="484"/>
      <w:r>
        <w:rPr>
          <w:rFonts w:ascii="IRNazanin" w:hAnsi="IRNazanin" w:eastAsia="IRNazanin"/>
          <w:color w:val="111111"/>
          <w:sz w:val="28"/>
          <w:sz w:val="28"/>
          <w:szCs w:val="28"/>
          <w:rtl w:val="true"/>
          <w:lang w:bidi="fa-IR"/>
        </w:rPr>
        <w:t>روایات کثیرة جدّاً مقیّدة أو خاصّة فی قبال مطلقات الآیات و عموماتها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عدم التنافی فی المثالین، لیس لعدم المفهوم، بل لأجل أنّ العرف لا یری تنافیاً بین الدلیلین للجمع العرفی بینهما، فالحقّ هو التفصیل بین ما إذا کانت الغایة للموضوع، فلیس لها مفهوم، و حالها حال الوصف، و بین ما إذا کانت غایة للحکم، فلها مفهوم، فتدبّر</w:t>
      </w:r>
      <w:r>
        <w:rPr>
          <w:rFonts w:eastAsia="IRNazanin" w:cs="IRNazanin"/>
          <w:color w:val="111111"/>
          <w:sz w:val="28"/>
          <w:szCs w:val="28"/>
          <w:rtl w:val="true"/>
          <w:lang w:bidi="fa-IR"/>
        </w:rPr>
        <w:t>.</w:t>
      </w:r>
    </w:p>
    <w:p>
      <w:pPr>
        <w:pStyle w:val="Heading5"/>
        <w:numPr>
          <w:ilvl w:val="4"/>
          <w:numId w:val="1"/>
        </w:numPr>
        <w:rPr/>
      </w:pPr>
      <w:bookmarkStart w:id="485" w:name="__RefHeading___Toc4026381_3224264995"/>
      <w:bookmarkStart w:id="486" w:name="_Toc186"/>
      <w:bookmarkEnd w:id="485"/>
      <w:r>
        <w:rPr>
          <w:rtl w:val="true"/>
        </w:rPr>
        <w:t>إشکال و دفع</w:t>
      </w:r>
      <w:bookmarkEnd w:id="486"/>
    </w:p>
    <w:p>
      <w:pPr>
        <w:pStyle w:val="BookText"/>
        <w:rPr/>
      </w:pPr>
      <w:r>
        <w:rPr>
          <w:rFonts w:ascii="IRNazanin" w:hAnsi="IRNazanin" w:eastAsia="IRNazanin"/>
          <w:color w:val="111111"/>
          <w:sz w:val="28"/>
          <w:sz w:val="28"/>
          <w:szCs w:val="28"/>
          <w:rtl w:val="true"/>
          <w:lang w:bidi="fa-IR"/>
        </w:rPr>
        <w:t>ربما یتوهّم فی المقام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احتمال کون منشأ نظر المشهور القائلین بالمفهوم، عموم الوضع و الموضوع له فی الحروف عندهم، کما علیه بعض المشایخ المتأخّرین</w:t>
      </w:r>
      <w:r>
        <w:rPr>
          <w:rStyle w:val="FootnoteAnchor"/>
          <w:rtl w:val="true"/>
        </w:rPr>
        <w:footnoteReference w:id="293"/>
      </w:r>
      <w:r>
        <w:rPr>
          <w:rFonts w:ascii="IRNazanin" w:hAnsi="IRNazanin" w:eastAsia="IRNazanin"/>
          <w:color w:val="111111"/>
          <w:sz w:val="28"/>
          <w:sz w:val="28"/>
          <w:szCs w:val="28"/>
          <w:rtl w:val="true"/>
          <w:lang w:bidi="fa-IR"/>
        </w:rPr>
        <w:t>، فإن ذهب أحد إلی کون الموضوع له فیها خاصّاً و جزئیاً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مفاد الهیئة حقیقة الطلب، بل لیس إلّا الطلب الجزئی، و لا ریب فی أنّ زواله بزوال الغایة، غیر منافٍ لثبوت طلب جزئی آخر، فلا سبیل إلی القول بالمفهوم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یندفع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الأمر و إن کان کذلک حقیقة حسب الفرض، إلّا أنّه ینتقل العرف و العقلاء من ذلک إلی حقیقة الطلب؛ و أنّه الواجب، لا الوجوب الخارجی الجزئی، کما هو الشأن فیما لو أمر بالخروج بالإشارة، فإنّه و إن کان المشیر و المشار إلیه بل و الإشارة جزئیاً، إلّا أنّه مع ذلک فبالإشارة إلی الخروج یفهم العرف أنّ الخروج واجب، لا الوجوب الخارجی الجزئی المدلول علیه بالإشارة بالإیجاب، بل الوجوب الحقیقی الاسمی</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الموضوع له فی اسم الإشارة خاصّ، و لم یقل أحد بکون</w:t>
      </w:r>
      <w:bookmarkStart w:id="487" w:name="pg12934_164672"/>
    </w:p>
    <w:p>
      <w:pPr>
        <w:pStyle w:val="BookText"/>
        <w:rPr/>
      </w:pPr>
      <w:bookmarkEnd w:id="487"/>
      <w:r>
        <w:rPr>
          <w:rFonts w:ascii="IRNazanin" w:hAnsi="IRNazanin" w:eastAsia="IRNazanin"/>
          <w:color w:val="111111"/>
          <w:sz w:val="28"/>
          <w:sz w:val="28"/>
          <w:szCs w:val="28"/>
          <w:rtl w:val="true"/>
          <w:lang w:bidi="fa-IR"/>
        </w:rPr>
        <w:t>الموضوع له فی الإشارة معنی کلّیاً؛ لأنّها لیست من سنخ المفاهیم، بل من قبیل الإیجادیات، و لکن مع ذلک یفهم العرف من الإشارة إلی الخروج، أنّ نفس طبیعة الخروج بلا قید واجب، نظیر تداعی المعانی، فکذلک فی الهیئة فإنّ الموضوع له فیها و إن کان خاصّاً جزئیاً أدویاً حسب الفرض، إلّا أنّه لا ینافی أن ینتقل ذهن العرف من ذلک إلی المفهوم الکلّی و المعنی الاستقلالی، فیحکم بتقیید الطلب الحقیقی بتلک الغایة، فبزوالها یزول بالبداهة سنخ الطلب؛ و إن لم یکن سنخ الحکم مفاداً للهیئة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الموضوع له فی الهیئة و الإشارة و إن کان معنی أدویاً جزئیاً، إلّا أنّه لا یستقرّ ذهن العرف و العقلاء علی ما یحصل من الآلة الجزئیة أوّلًا، بل ینتقل منه إلی المعنی الذی یبعث إلیه تارة باللفظ، و اخری بالإشارة؛ و هو المطلوب، و هو غیر مقیّد بکونه معنی للّفظ أو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حتّی علی القول بکون الوضع و الموضوع له فی الحروف خاصّاً، یمکن القول بالمفهوم، فتدبّر</w:t>
      </w:r>
      <w:r>
        <w:rPr>
          <w:rFonts w:eastAsia="IRNazanin" w:cs="IRNazanin"/>
          <w:color w:val="111111"/>
          <w:sz w:val="28"/>
          <w:szCs w:val="28"/>
          <w:rtl w:val="true"/>
          <w:lang w:bidi="fa-IR"/>
        </w:rPr>
        <w:t>.</w:t>
      </w:r>
    </w:p>
    <w:p>
      <w:pPr>
        <w:pStyle w:val="Heading5"/>
        <w:numPr>
          <w:ilvl w:val="4"/>
          <w:numId w:val="1"/>
        </w:numPr>
        <w:rPr/>
      </w:pPr>
      <w:bookmarkStart w:id="488" w:name="__RefHeading___Toc4026383_3224264995"/>
      <w:bookmarkStart w:id="489" w:name="_Toc187"/>
      <w:bookmarkEnd w:id="488"/>
      <w:r>
        <w:rPr>
          <w:rtl w:val="true"/>
        </w:rPr>
        <w:t>ذکر و تعقیب</w:t>
      </w:r>
      <w:bookmarkEnd w:id="489"/>
    </w:p>
    <w:p>
      <w:pPr>
        <w:pStyle w:val="BookText"/>
        <w:rPr/>
      </w:pPr>
      <w:r>
        <w:rPr>
          <w:rFonts w:ascii="IRNazanin" w:hAnsi="IRNazanin" w:eastAsia="IRNazanin"/>
          <w:color w:val="111111"/>
          <w:sz w:val="28"/>
          <w:sz w:val="28"/>
          <w:szCs w:val="28"/>
          <w:rtl w:val="true"/>
          <w:lang w:bidi="fa-IR"/>
        </w:rPr>
        <w:t>فصّل المحقّق العراقی قدس سره وفاقاً لبعض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کون الغایة غایة للموضوع و الحکم، و بین کونها غایة للنسبة الحکمیة، فقال بالمفهوم فی الأخیر، دون الأوّلین</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منه قدس سره مبنیّ علی ما أسّسه فی باب المفاهیم من أنّ طبع القضیة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أن یکون فی الکلام قید زائد لا یقتضی أزید من إثبات المحمول علی الموضوع الخاصّ بنحو الإهمال، فلا یکون للموضوع و لا للحکم إطلاق حتّی یدلّ علی تعلیق سنخ الحکم، لکی ینتفی السنخ بانتفاء الموضوع، فالغایة الواردة علی مثل هذا الموضوع و المحمول، لا تقتضی إلّا تحدید انتهائهما بما هما مهملة؛ من دون إطلاق فی طرف المحدود موضوعاً أو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کانت غایة للنسبة الحکمیة، فحیث إنّها قید زائد علی الطرفین، فیمکن أن یکون لها إطلاق، فیستفاد تعلیق سنخ النسبة بین الطبیعتین، فتدلّ علی انتفاء السنخ منهما، فتدلّ قهراً علی انتفاء سنخ الحکم فی ظرف وجود المدخول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کیف یمکن التفکیک بین المحمول و الموضوع، و بین النسبة؛ بأخذ الإهمال فیهما، و الإطلاق فی الأخیر، مع أنّ النسبة تابعة لهما إطلاقاً و إهمالًا؟ کما هو الشأن فی کلّیة المعانی الحرفیة من حیث تبعیتها للمتعلّق إطلاقاً و إهمالًا، و لیس له قابلیة التعمیم و التخصیص مستقلّاً فی قبالهما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التبعیة کذلک إنّما هی فی عالم الثبوت، و أمّا فی عالم الإثبات فیمکن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طبع القضیة بظهورها النوعی، لا یقتضی إلّا إهمال موضوعه و محموله، و لا ینافی ذلک وجود مقتضٍ خارجی موجب لإطلاق التعلیق الموجب لانتفاء السنخ عند حصول الغایة، و حینئذٍ فإطلاق التعلیق فی طرف النسبة، یقتضی إطلاق التعلیق فی طرف الموضوع و المحمول، کما أنّ الإطلاق فیهما أیضاً یقتضی الإطلاق فی النسبة، فالفرق بینهما إنّما هو من حیث إحراز الإطلاق فی النسبة دونهما؛ من جهة کونهما من شئون الجملة غیر المقتضی للأزید من إهمالهما، بخلاف النسبة فإنّها جهة زائدة عنهما، فلا تنافی بینهما</w:t>
      </w:r>
      <w:r>
        <w:rPr>
          <w:rStyle w:val="FootnoteAnchor"/>
          <w:rtl w:val="true"/>
        </w:rPr>
        <w:footnoteReference w:id="294"/>
      </w:r>
      <w:r>
        <w:rPr>
          <w:rFonts w:ascii="IRNazanin" w:hAnsi="IRNazanin" w:eastAsia="IRNazanin"/>
          <w:color w:val="111111"/>
          <w:sz w:val="28"/>
          <w:sz w:val="28"/>
          <w:szCs w:val="28"/>
          <w:rtl w:val="true"/>
          <w:lang w:bidi="fa-IR"/>
        </w:rPr>
        <w:t>، انتهی محصّل ما أفاده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سبق غیر مرّة أنّه لا وجه للقول بالإهمال فی نوع القضایا بعد وجود الإطلاق فی ناحیة الموضوع و المحمول کثیراً، و إلّا لانسدّت أبواب الفقه، فتری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هذا المحقّق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یتمسّکون بإطلاق الموضوع أو الحکم بمجرّد أخذ شی‌ء بلا قید موضوعاً للحکم إذا احرز کونه فی مقام البیان؛ من دون أن یکون فی الکلام شی‌ء ثالث، و هو النسبة الحکمیة، حتّی یتشبّث بها، نعم القضیة و إن انحلّت</w:t>
      </w:r>
      <w:bookmarkStart w:id="490" w:name="pg12934_164674"/>
    </w:p>
    <w:p>
      <w:pPr>
        <w:pStyle w:val="BookText"/>
        <w:rPr/>
      </w:pPr>
      <w:bookmarkEnd w:id="490"/>
      <w:r>
        <w:rPr>
          <w:rFonts w:ascii="IRNazanin" w:hAnsi="IRNazanin" w:eastAsia="IRNazanin"/>
          <w:color w:val="111111"/>
          <w:sz w:val="28"/>
          <w:sz w:val="28"/>
          <w:szCs w:val="28"/>
          <w:rtl w:val="true"/>
          <w:lang w:bidi="fa-IR"/>
        </w:rPr>
        <w:t>إلیها و إلی غیرها، إلّا أنّها أجنبیة عن فهم العرف المتبع فی أمثال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إنکار الإطلاق فی نوع القضایا بالنسبة إلی الموضوع أو الحکم، ضعیف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کذلک نادراً فی بعض القضایا؛ و هو فیما إذا لم یحرز کونه فی مقام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مبناه قدس سره فی باب المفاهیم غیر صحیح، فما بنی علیه هنا غیر سدید، فتدبّر</w:t>
      </w:r>
      <w:r>
        <w:rPr>
          <w:rFonts w:eastAsia="IRNazanin" w:cs="IRNazanin"/>
          <w:color w:val="111111"/>
          <w:sz w:val="28"/>
          <w:szCs w:val="28"/>
          <w:rtl w:val="true"/>
          <w:lang w:bidi="fa-IR"/>
        </w:rPr>
        <w:t>.</w:t>
      </w:r>
    </w:p>
    <w:p>
      <w:pPr>
        <w:pStyle w:val="Heading4"/>
        <w:numPr>
          <w:ilvl w:val="3"/>
          <w:numId w:val="1"/>
        </w:numPr>
        <w:rPr/>
      </w:pPr>
      <w:bookmarkStart w:id="491" w:name="__RefHeading___Toc4026385_3224264995"/>
      <w:bookmarkStart w:id="492" w:name="_Toc188"/>
      <w:bookmarkEnd w:id="491"/>
      <w:r>
        <w:rPr>
          <w:rtl w:val="true"/>
        </w:rPr>
        <w:t>المقام الثانی فی أنّ الغایة داخلة فی المغیّا أم لا</w:t>
      </w:r>
      <w:bookmarkEnd w:id="492"/>
    </w:p>
    <w:p>
      <w:pPr>
        <w:pStyle w:val="Heading5"/>
        <w:numPr>
          <w:ilvl w:val="4"/>
          <w:numId w:val="1"/>
        </w:numPr>
        <w:rPr/>
      </w:pPr>
      <w:bookmarkStart w:id="493" w:name="__RefHeading___Toc4026387_3224264995"/>
      <w:bookmarkStart w:id="494" w:name="_Toc189"/>
      <w:bookmarkEnd w:id="493"/>
      <w:r>
        <w:rPr>
          <w:rtl w:val="true"/>
        </w:rPr>
        <w:t>اشارة</w:t>
      </w:r>
      <w:bookmarkEnd w:id="494"/>
    </w:p>
    <w:p>
      <w:pPr>
        <w:pStyle w:val="BookText"/>
        <w:rPr/>
      </w:pPr>
      <w:r>
        <w:rPr>
          <w:rFonts w:ascii="IRNazanin" w:hAnsi="IRNazanin" w:eastAsia="IRNazanin"/>
          <w:color w:val="111111"/>
          <w:sz w:val="28"/>
          <w:sz w:val="28"/>
          <w:szCs w:val="28"/>
          <w:rtl w:val="true"/>
          <w:lang w:bidi="fa-IR"/>
        </w:rPr>
        <w:t>اختلفوا فی دخول الغایة فی المغیّا و عدمه علی أقوال،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ما إذا کانت الغایة غایة للموضوع، و بین ما إذا کانت للحکم، فیحکم بالدخول فی الأوّل،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عقد البحث بنحو ینفع الاصولی و یستنتج منه فی الفقه،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کان مدخول أحد الأدوات الدالّة علی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 أجزاء أو امتداد، فهل یکون داخلًا فی المغیّا، أم لا؟</w:t>
      </w:r>
    </w:p>
    <w:p>
      <w:pPr>
        <w:pStyle w:val="BookText"/>
        <w:rPr/>
      </w:pPr>
      <w:r>
        <w:rPr>
          <w:rFonts w:ascii="IRNazanin" w:hAnsi="IRNazanin" w:eastAsia="IRNazanin"/>
          <w:color w:val="111111"/>
          <w:sz w:val="28"/>
          <w:sz w:val="28"/>
          <w:szCs w:val="28"/>
          <w:rtl w:val="true"/>
          <w:lang w:bidi="fa-IR"/>
        </w:rPr>
        <w:t>مثال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من البصرة إلی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للکوفة أجزاء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مثال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وُجُوهَکُمْ وَ أَیْدِیَکُمْ إِلَی الْمَرافِقِ</w:t>
      </w:r>
      <w:r>
        <w:rPr>
          <w:rFonts w:eastAsia="Amiri" w:cs="Amiri" w:ascii="Amiri" w:hAnsi="Amiri"/>
          <w:color w:val="111111"/>
          <w:sz w:val="28"/>
          <w:szCs w:val="28"/>
          <w:rtl w:val="true"/>
          <w:lang w:bidi="ar-SA"/>
        </w:rPr>
        <w:t>»</w:t>
      </w:r>
      <w:r>
        <w:rPr>
          <w:rStyle w:val="FootnoteAnchor"/>
          <w:rtl w:val="true"/>
        </w:rPr>
        <w:footnoteReference w:id="295"/>
      </w:r>
      <w:r>
        <w:rPr>
          <w:rFonts w:ascii="IRNazanin" w:hAnsi="IRNazanin" w:eastAsia="IRNazanin"/>
          <w:color w:val="111111"/>
          <w:sz w:val="28"/>
          <w:sz w:val="28"/>
          <w:szCs w:val="28"/>
          <w:rtl w:val="true"/>
          <w:lang w:bidi="fa-IR"/>
        </w:rPr>
        <w:t xml:space="preserve">بناءً علی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وفق العظمین و مجتمعهما؛ لما فیه من المرفق، فیکون للمرفق امتداد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تقدیر دخول الغایة فی المغیّا یجب سیر الکوفة فی المثال الأوّل،</w:t>
      </w:r>
    </w:p>
    <w:p>
      <w:pPr>
        <w:pStyle w:val="BookText"/>
        <w:rPr/>
      </w:pPr>
      <w:r>
        <w:rPr>
          <w:rFonts w:ascii="IRNazanin" w:hAnsi="IRNazanin" w:eastAsia="IRNazanin"/>
          <w:color w:val="111111"/>
          <w:sz w:val="28"/>
          <w:sz w:val="28"/>
          <w:szCs w:val="28"/>
          <w:rtl w:val="true"/>
          <w:lang w:bidi="fa-IR"/>
        </w:rPr>
        <w:t>و غسل المرفق فی المثال الثانی، و علی تقدیر عدم الدخول لا یجب سیر الکوفة، و لا غسل المرفق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یکن مدخول الأداة ذا أجزاء أو امتداد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إذا کان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المبارکة هو الفصل المشترک بین العظمین؛ أی نفس الاتصال، فلا یکون له امتداد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ینفع الاصولی، و لا یستنتج منه نتیجة مطلوبة؛ لأنّه لا فرق فی ذلک بین دخول الغایة فی المغیّا و عدمه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شئت مثالًا آخر لما یکون مدخول الأداة ذا امتداد، فلاحظ ذیل الآیة المبارکة؛ و هو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امْسَحُوا بِرُؤُسِکُمْ وَ أَرْجُلَکُمْ إِلَی الْکَعْبَیْنِ</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کذلک فی دخول الغایة فی المغیّا و عدمه، هو اللائق بالأُصولی، و یستنتج منه فی الفقه، لا ابتناء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أفاده شیخنا العلّامة الحائری وفاقاً لصاحب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نهایة الجسم بالمعنی المبحوث عنه فی الفلسفة،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مبنیّ علی بطلان الجزء الغیر القابل للتقسیم و صحّته، فإن قلنا بالثانی فالغایة داخلة فی المغیّا یقیناً، و إن قلنا بالأوّل فالغایة غیر داخلة فی المغیّا؛ لأنّها حینئذٍ عبارة عن النقطة الموهومة التی لا وجود لها فی الخارج</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لأنّ البحث کذلک یکون فلسفیاً غیر مرتبط بالمسألة الاصولیة العرفیة</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أشرنا آنفاً إلی أنّ اعتبار کون مدخول أداة الغایة ذا أجزاء أو امتداد، بلحاظ أنّه لا یکاد ینفع الاصولی و لا یکاد یستنتج منه فی الفقه فیما لیس کذلک، إلّا أنّه لا مانع من عقد البحث بنحو یعمّ ما لم یکن قابلًا للتجزئة و الامتداد، غایة</w:t>
      </w:r>
      <w:bookmarkStart w:id="495" w:name="pg12934_164676"/>
    </w:p>
    <w:p>
      <w:pPr>
        <w:pStyle w:val="BookText"/>
        <w:rPr/>
      </w:pPr>
      <w:bookmarkEnd w:id="495"/>
      <w:r>
        <w:rPr>
          <w:rFonts w:ascii="IRNazanin" w:hAnsi="IRNazanin" w:eastAsia="IRNazanin"/>
          <w:color w:val="111111"/>
          <w:sz w:val="28"/>
          <w:sz w:val="28"/>
          <w:szCs w:val="28"/>
          <w:rtl w:val="true"/>
          <w:lang w:bidi="fa-IR"/>
        </w:rPr>
        <w:t>الأمر لا تظهر الثمرة للبحث إلّا فیما کان قابلًا لهما، و لیس ذلک بعزیز فی المسائل الاصولیة، فتراهم یعنونون بعض المسائل بنحو عامّ، و لا ینتفع منها إلّا علی بعض التقادیر، فتدبّر</w:t>
      </w:r>
      <w:r>
        <w:rPr>
          <w:rFonts w:eastAsia="IRNazanin" w:cs="IRNazanin"/>
          <w:color w:val="111111"/>
          <w:sz w:val="28"/>
          <w:szCs w:val="28"/>
          <w:rtl w:val="true"/>
          <w:lang w:bidi="fa-IR"/>
        </w:rPr>
        <w:t>.</w:t>
      </w:r>
    </w:p>
    <w:p>
      <w:pPr>
        <w:pStyle w:val="Heading5"/>
        <w:numPr>
          <w:ilvl w:val="4"/>
          <w:numId w:val="1"/>
        </w:numPr>
        <w:rPr/>
      </w:pPr>
      <w:bookmarkStart w:id="496" w:name="__RefHeading___Toc4026389_3224264995"/>
      <w:bookmarkStart w:id="497" w:name="_Toc190"/>
      <w:bookmarkEnd w:id="496"/>
      <w:r>
        <w:rPr>
          <w:rtl w:val="true"/>
        </w:rPr>
        <w:t>عدم معقولیة دخول غایة الحکم فی المغیّا</w:t>
      </w:r>
      <w:bookmarkEnd w:id="497"/>
    </w:p>
    <w:p>
      <w:pPr>
        <w:pStyle w:val="BookText"/>
        <w:rPr/>
      </w:pPr>
      <w:r>
        <w:rPr>
          <w:rFonts w:ascii="IRNazanin" w:hAnsi="IRNazanin" w:eastAsia="IRNazanin"/>
          <w:color w:val="111111"/>
          <w:sz w:val="28"/>
          <w:sz w:val="28"/>
          <w:szCs w:val="28"/>
          <w:rtl w:val="true"/>
          <w:lang w:bidi="fa-IR"/>
        </w:rPr>
        <w:t>لا إشکال فی دخول غایة المتعلّق أو موضوع الحکم فی محطّ البحث من حیث دخولهما فی المغیّا و عدمه، و أمّا غایة الحکم، فصرّح المحقّق الخراسانی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الخلاف فی دخول الغایة فی المغیّا و عدمه، لا یکاد یعقل فیما إذا کان قیداً للحکم</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لأنّ المقصود من دخول الغایة هو دخولها فی حکم المغیّا، لا فی ذاته، فإذا کان المغیّا نفس الحکم، فلا یعقل أن یبحث عن دخول غایته فی نفسه</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الغایة غایة للحکم، فحیث إنّ المغیا هو نفس الحکم لا المحکوم به لیصحّ أن ینازع فی دخول الغایة فی حکم المغیا أو خارج عنه، کما لا یخفی، فلا معنی أن یبحث عن دخول غایته فیه</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قدس سره استدرک و قال بمعقولیته بوجه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أنّه یعقل أن ینازع فی أنّ الظاهر هل هو انقطاع الحکم المغیّا بحصول غایته الاصطلاحی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مدخول</w:t>
      </w:r>
      <w:bookmarkStart w:id="498" w:name="pg12934_164677"/>
    </w:p>
    <w:p>
      <w:pPr>
        <w:pStyle w:val="BookText"/>
        <w:rPr/>
      </w:pPr>
      <w:bookmarkEnd w:id="4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استمراره فی تلک الحال؟ و لکنّ الأظهر هو انقطاعه، فافهم و استقم</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الصحیح ما أفاده قدس سره فی الهامش، لأنّه یصحّ البحث فیما إذا کانت الغایة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أَتِمُّوا الصِّیامَ إِلَی اللَّیْلِ</w:t>
      </w:r>
      <w:r>
        <w:rPr>
          <w:rFonts w:eastAsia="Amiri" w:cs="Amiri" w:ascii="Amiri" w:hAnsi="Amiri"/>
          <w:color w:val="111111"/>
          <w:sz w:val="28"/>
          <w:szCs w:val="28"/>
          <w:rtl w:val="true"/>
          <w:lang w:bidi="ar-SA"/>
        </w:rPr>
        <w:t>»</w:t>
      </w:r>
      <w:r>
        <w:rPr>
          <w:rStyle w:val="FootnoteAnchor"/>
          <w:rtl w:val="true"/>
        </w:rPr>
        <w:footnoteReference w:id="302"/>
      </w:r>
      <w:r>
        <w:rPr>
          <w:rFonts w:ascii="IRNazanin" w:hAnsi="IRNazanin" w:eastAsia="IRNazanin"/>
          <w:color w:val="111111"/>
          <w:sz w:val="28"/>
          <w:sz w:val="28"/>
          <w:szCs w:val="28"/>
          <w:rtl w:val="true"/>
          <w:lang w:bidi="fa-IR"/>
        </w:rPr>
        <w:t>غایةً للوجوب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الوجوب ینقطع بانتهاء الیوم، أو یبقی بعد دخول اللیل؟</w:t>
      </w:r>
    </w:p>
    <w:p>
      <w:pPr>
        <w:pStyle w:val="Heading5"/>
        <w:numPr>
          <w:ilvl w:val="4"/>
          <w:numId w:val="1"/>
        </w:numPr>
        <w:rPr/>
      </w:pPr>
      <w:bookmarkStart w:id="499" w:name="__RefHeading___Toc4026391_3224264995"/>
      <w:bookmarkStart w:id="500" w:name="_Toc191"/>
      <w:bookmarkEnd w:id="499"/>
      <w:r>
        <w:rPr>
          <w:rtl w:val="true"/>
        </w:rPr>
        <w:t>تنبیه</w:t>
      </w:r>
      <w:r>
        <w:rPr>
          <w:rtl w:val="true"/>
        </w:rPr>
        <w:t>:</w:t>
      </w:r>
      <w:bookmarkEnd w:id="500"/>
    </w:p>
    <w:p>
      <w:pPr>
        <w:pStyle w:val="BookText"/>
        <w:rPr/>
      </w:pPr>
      <w:r>
        <w:rPr>
          <w:rFonts w:ascii="Amiri" w:hAnsi="Amiri" w:eastAsia="Amiri" w:cs="Amiri"/>
          <w:color w:val="111111"/>
          <w:sz w:val="28"/>
          <w:sz w:val="28"/>
          <w:szCs w:val="28"/>
          <w:rtl w:val="true"/>
          <w:lang w:bidi="ar-SA"/>
        </w:rPr>
        <w:t xml:space="preserve">ثمّ إنّ محطّ البحث إنّما هو فی حروف تدلّ علی التحدید و الغایة؛ أی بأن تدلّ علی أنّ تالیها نهایة و غایة، لما قبلها 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للغایة،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کُلُوا وَ اشْرَبُوا حَتَّی یَتَبَیَّنَ لَکُمُ الْخَیْطُ الْأَبْیَضُ مِنَ الْخَیْطِ الْأَسْوَدِ مِنَ الْفَجْرِ ثُمَّ أَتِمُّوا الصِّیامَ إِلَی اللَّیْلِ</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إذا لم تکن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کانت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لعطف ما بعدها علی ما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فخارج عن محطّ البحث؛ لعدم دلالتها علی الغایة أصلًا حتّی یبحث عن دخولها فی المغیّا و عدمه،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أکلت السمکة حتّی رأسها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 الناس حتّی الأنبیاء</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فبما ذکرنا ینقدح النظر فی التفصیل الذی ذکره المحقّق العراقی قدس سره فی المقام بین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یَتَبَیَّنَ لَکُمُ الْخَیْطُ الْأَبْیَضُ مِنَ الْخَیْطِ الْأَسْوَدِ مِنَ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فی المثال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أکلت السمکة حتّی</w:t>
      </w:r>
      <w:bookmarkStart w:id="501" w:name="pg12934_164678"/>
    </w:p>
    <w:p>
      <w:pPr>
        <w:pStyle w:val="BookText"/>
        <w:rPr/>
      </w:pPr>
      <w:bookmarkEnd w:id="501"/>
      <w:r>
        <w:rPr>
          <w:rFonts w:ascii="IRNazanin" w:hAnsi="IRNazanin" w:eastAsia="IRNazanin"/>
          <w:color w:val="111111"/>
          <w:sz w:val="28"/>
          <w:sz w:val="28"/>
          <w:szCs w:val="28"/>
          <w:rtl w:val="true"/>
          <w:lang w:bidi="fa-IR"/>
        </w:rPr>
        <w:t>رأسها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بدخول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المغیّا فی المثال و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صوموا حتّی 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الآیة المبارکة</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ذلک لأنّه خلط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العاطفة،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الغائیة، و البحث إنّما هو فی الثانیة دون الاولی؛ لأنّ 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العاطفة علی الدخول، لیس من باب دخول الغایة فی المغیّا، بل من باب اتحاد حکمی المعطوف و المعطوف علیه، فتدبّر</w:t>
      </w:r>
      <w:r>
        <w:rPr>
          <w:rFonts w:eastAsia="IRNazanin" w:cs="IRNazanin"/>
          <w:color w:val="111111"/>
          <w:sz w:val="28"/>
          <w:szCs w:val="28"/>
          <w:rtl w:val="true"/>
          <w:lang w:bidi="fa-IR"/>
        </w:rPr>
        <w:t>.</w:t>
      </w:r>
    </w:p>
    <w:p>
      <w:pPr>
        <w:pStyle w:val="Heading5"/>
        <w:numPr>
          <w:ilvl w:val="4"/>
          <w:numId w:val="1"/>
        </w:numPr>
        <w:rPr/>
      </w:pPr>
      <w:bookmarkStart w:id="502" w:name="__RefHeading___Toc4026393_3224264995"/>
      <w:bookmarkStart w:id="503" w:name="_Toc192"/>
      <w:bookmarkEnd w:id="502"/>
      <w:r>
        <w:rPr>
          <w:rtl w:val="true"/>
        </w:rPr>
        <w:t>المختار عدم دخول الغایة فی المغیّا مطلقاً</w:t>
      </w:r>
      <w:bookmarkEnd w:id="503"/>
    </w:p>
    <w:p>
      <w:pPr>
        <w:pStyle w:val="BookText"/>
        <w:rPr/>
      </w:pPr>
      <w:r>
        <w:rPr>
          <w:rFonts w:ascii="IRNazanin" w:hAnsi="IRNazanin" w:eastAsia="IRNazanin"/>
          <w:color w:val="111111"/>
          <w:sz w:val="28"/>
          <w:sz w:val="28"/>
          <w:szCs w:val="28"/>
          <w:rtl w:val="true"/>
          <w:lang w:bidi="fa-IR"/>
        </w:rPr>
        <w:t>إذا عرفت ما ذکرنا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عدم دخول الغایة فی المغیّا مطلقاً، خلافاً لشیخنا العلّامة الحائری قدس سره حیث فصّل بین کونها غایة للفعل،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من البصرة إلی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کونها غایة للحکم،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من الفجر 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بالدخول فی الأوّل دون الثانی، و قال فی 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الظاهر من المثال الأوّل، دخول جزء من السیر المتخصّص بالکوفة فی المطلوب، کما أنّ الظاهر منه دخول جزء من السیر المتخصّص بالبصرة أیضاً فی المطلوب، بخلاف المثال الثانی، فإنّ المفروض أنّها موجبة لرفع الحکم، فلا یمکن بعثه إلی الفعل المتخصّص بها، کما لا یخفی</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لکلّ من البصرة و الکوفة سور محیط بکلّ منهما، و المأمور ابتدأ بسیره ملاصقاً لسور بلد البصرة منتهیاً إلی سور بلد الکوفة؛ من دون أن یدخل شیئاً من البصرة و الکوفة فی سیره، لکان یصدق علیه أنّه سار من البصرة إلی الکوفة</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یشهد لما ذکرنا قول القارئ</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قرأت القرآن إلی سورة النمل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حیث لا یکاد یفهم العرف منه أنّه قرأ سورة النمل أو بعضاً منها، بل یصدق و إن لم یقرأ من تلک السورة شیئاً حتّی بسملتها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یفهم العرف منه إلّا انتهاء قراءته إلیها لا قراءتها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الحال فی غیر ذلک من الأمثلة، و حکم الأمثال فیما یجوز و ما لا یجوز واحد، و لیس ذلک إلّا لعدم دخول الغایة فی المغیّا؛ بلا تفاوت عند العرف بین کونها غایة للموضوع و الفعل، أو للحکم؛ کلّ ذلک للفهم العرفی الذی هو الدلیل الوحید فی أمثال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یکاد یتیسّر لنا إقامة البرهان الفلسفی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ذکرناه فی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بعینه فی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استعملت فی انتهاء الغایة، کما فی الآیة المبارکة، فإنّه لا یفهم منها إلّا ما یفهم منها فیما إذا أبدلتها إلی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أن یتبیّن لکم الخیط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الشأن فی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نمت البارحة حتّی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یفهم منه إلّا ما یفهم من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نمت البارحة إلی الصباح</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الغایة کثیر، و لعلّه صار منشأً للاشتباه حتّی ادعی بعضهم فیها الإجماع علی الدخول</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bookmarkStart w:id="504" w:name="pg12934_164680"/>
    </w:p>
    <w:p>
      <w:pPr>
        <w:pStyle w:val="BookText"/>
        <w:rPr/>
      </w:pPr>
      <w:bookmarkEnd w:id="504"/>
      <w:r>
        <w:rPr>
          <w:rFonts w:ascii="IRNazanin" w:hAnsi="IRNazanin" w:eastAsia="IRNazanin"/>
          <w:color w:val="111111"/>
          <w:sz w:val="28"/>
          <w:sz w:val="28"/>
          <w:szCs w:val="28"/>
          <w:rtl w:val="true"/>
          <w:lang w:bidi="fa-IR"/>
        </w:rPr>
        <w:t>مفهوم الاستثناء</w:t>
      </w:r>
    </w:p>
    <w:p>
      <w:pPr>
        <w:pStyle w:val="Heading3"/>
        <w:numPr>
          <w:ilvl w:val="2"/>
          <w:numId w:val="1"/>
        </w:numPr>
        <w:rPr/>
      </w:pPr>
      <w:bookmarkStart w:id="505" w:name="__RefHeading___Toc4026395_3224264995"/>
      <w:bookmarkStart w:id="506" w:name="_Toc193"/>
      <w:bookmarkEnd w:id="505"/>
      <w:r>
        <w:rPr>
          <w:rtl w:val="true"/>
        </w:rPr>
        <w:t>المبحث الرابع فی مفهوم الاستثناء</w:t>
      </w:r>
      <w:bookmarkEnd w:id="506"/>
    </w:p>
    <w:p>
      <w:pPr>
        <w:pStyle w:val="Heading4"/>
        <w:numPr>
          <w:ilvl w:val="3"/>
          <w:numId w:val="1"/>
        </w:numPr>
        <w:rPr/>
      </w:pPr>
      <w:bookmarkStart w:id="507" w:name="__RefHeading___Toc4026397_3224264995"/>
      <w:bookmarkStart w:id="508" w:name="_Toc194"/>
      <w:bookmarkEnd w:id="507"/>
      <w:r>
        <w:rPr>
          <w:rtl w:val="true"/>
        </w:rPr>
        <w:t>اشارة</w:t>
      </w:r>
      <w:bookmarkEnd w:id="508"/>
    </w:p>
    <w:p>
      <w:pPr>
        <w:pStyle w:val="BookText"/>
        <w:rPr/>
      </w:pPr>
      <w:r>
        <w:rPr>
          <w:rFonts w:ascii="IRNazanin" w:hAnsi="IRNazanin" w:eastAsia="IRNazanin"/>
          <w:color w:val="111111"/>
          <w:sz w:val="28"/>
          <w:sz w:val="28"/>
          <w:szCs w:val="28"/>
          <w:rtl w:val="true"/>
          <w:lang w:bidi="fa-IR"/>
        </w:rPr>
        <w:t>ذهب المشهور</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لأبی حنیفة</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الاستثناء من النفی یدلّ علی الإثبات، و الاستثناء من الإثبات یدلّ علی النفی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محطّ البحث ما إذا کانت الأداة المستعملة فی القضیة للاستثناء؛ بأن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الاستثنائیة، و إمّا إذا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وصفیة بمعنی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القوم غیر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تکون محطّ البحث، بل تکون جاریة مجری الوصف لا الاستثناء، فیأتی فیها جمیع ما قیل فی مفهوم الوصف</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معلومیة موضوع البحث و أنّه فیما إذا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للاستثناء، فلا ینبغی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العرف أصدق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علیه المشهور، بل لا مجال لإنکار کون الاستثناء من النفی یدلّ علی الإثبات، و الاستثناء من الإثبات علی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ذهب إلیه أبو حنیفة، فاستدلّ له بما ورد من قوله 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p>
    <w:p>
      <w:pPr>
        <w:pStyle w:val="BookText"/>
        <w:rPr/>
      </w:pPr>
      <w:r>
        <w:rPr>
          <w:rStyle w:val="FootnoteAnchor"/>
          <w:rtl w:val="true"/>
        </w:rPr>
        <w:footnoteReference w:id="31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w:t>
      </w:r>
    </w:p>
    <w:p>
      <w:pPr>
        <w:pStyle w:val="BookText"/>
        <w:rPr/>
      </w:pPr>
      <w:r>
        <w:rPr>
          <w:rStyle w:val="FootnoteAnchor"/>
          <w:rtl w:val="true"/>
        </w:rPr>
        <w:footnoteReference w:id="311"/>
      </w:r>
      <w:r>
        <w:rPr>
          <w:rFonts w:ascii="IRNazanin" w:hAnsi="IRNazanin" w:eastAsia="IRNazanin"/>
          <w:color w:val="111111"/>
          <w:sz w:val="28"/>
          <w:sz w:val="28"/>
          <w:szCs w:val="28"/>
          <w:rtl w:val="true"/>
          <w:lang w:bidi="fa-IR"/>
        </w:rPr>
        <w:t>، فإنّه علی تقدیر الدلالة، یلزم تحقّق الصلاة تامّة بتحقّق کلّ واحد من الطهارة و فاتحة الکتاب و لو مع فقد سائر الشروط، أو مقارنتها مع الموانع، و هو کما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دلالة الاستثناء من النفی علی الإثبات و من الإثبات علی النفی، یلزم أن تکون الصلاة المقرونة بفاتحة الکتاب أو الطهور مع فقد سائر شروطها و أجزائها أو مع الموانع، صلاة تامّة،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مثل تلک الجمل إنّما تکون فی مقام الإرشاد إلی اشتراط الصلاة بالطهارة؛ و أنّ فاتحة الکتاب جزؤها، لا بصدد الإخبار عن العقد السلبی أو الإیجابی، و فی مثله لا مفهوم للاستثناء، کما هو الشأن فی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لمن لم یقم صلبه</w:t>
      </w:r>
      <w:r>
        <w:rPr>
          <w:rFonts w:eastAsia="IRNazanin" w:cs="IRNazanin"/>
          <w:color w:val="111111"/>
          <w:sz w:val="28"/>
          <w:szCs w:val="28"/>
          <w:rtl w:val="true"/>
          <w:lang w:bidi="fa-IR"/>
        </w:rPr>
        <w:t>»</w:t>
      </w:r>
    </w:p>
    <w:p>
      <w:pPr>
        <w:pStyle w:val="BookText"/>
        <w:rPr/>
      </w:pPr>
      <w:r>
        <w:rPr>
          <w:rStyle w:val="FootnoteAnchor"/>
          <w:rtl w:val="true"/>
        </w:rPr>
        <w:footnoteReference w:id="312"/>
      </w:r>
      <w:r>
        <w:rPr>
          <w:rFonts w:ascii="IRNazanin" w:hAnsi="IRNazanin" w:eastAsia="IRNazanin"/>
          <w:color w:val="111111"/>
          <w:sz w:val="28"/>
          <w:sz w:val="28"/>
          <w:szCs w:val="28"/>
          <w:rtl w:val="true"/>
          <w:lang w:bidi="fa-IR"/>
        </w:rPr>
        <w:t>لاعتبار الانتصاب فی الصلاة مع عدم احتفاف الجملة بالاستثناء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التعبیر بالنفی و الاستثناء فی الجملتین، لأجل الاهتمام بذینک الشرط و الجزء من بین سائر الشروط و الأجزاء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فمعنی قوله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بفاتحة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فاتحة الکتاب جزء للصلاة، و لا تکون الصلاة بدونها صلاة، و کذلک معنی قوله 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الطهور شرط، و لا تکون الصلاة بدون ذلک صلاة، لا أنّهما تمام</w:t>
      </w:r>
      <w:bookmarkStart w:id="509" w:name="pg12934_164682"/>
    </w:p>
    <w:p>
      <w:pPr>
        <w:pStyle w:val="BookText"/>
        <w:rPr/>
      </w:pPr>
      <w:bookmarkEnd w:id="509"/>
      <w:r>
        <w:rPr>
          <w:rFonts w:ascii="IRNazanin" w:hAnsi="IRNazanin" w:eastAsia="IRNazanin"/>
          <w:color w:val="111111"/>
          <w:sz w:val="28"/>
          <w:sz w:val="28"/>
          <w:szCs w:val="28"/>
          <w:rtl w:val="true"/>
          <w:lang w:bidi="fa-IR"/>
        </w:rPr>
        <w:t>الصلاة، أو أنّه إذا اشتملت علیهما لا یضرّها شی‌ء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المفروض فی موضوع البحث ما إذا لم تکن هناک قرینة، فإذا قامت قرینة داخلیة أو خارجیة علی عدم المفهوم فی الجملة المشتملة علی الاستثناء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أضرّت بدلالة الجملة علی المفهوم لو خلّیت و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أشرنا إلی أنّ ارتکاز العرف و العقلاء، أصدق شاهد علی ما ذهب إلیه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الاستدلال لأبی حنیفة، عجیب بعد کونه من أهل المحاورة و اللسان</w:t>
      </w:r>
      <w:r>
        <w:rPr>
          <w:rFonts w:eastAsia="IRNazanin" w:cs="IRNazanin"/>
          <w:color w:val="111111"/>
          <w:sz w:val="28"/>
          <w:szCs w:val="28"/>
          <w:rtl w:val="true"/>
          <w:lang w:bidi="fa-IR"/>
        </w:rPr>
        <w:t>.</w:t>
      </w:r>
    </w:p>
    <w:p>
      <w:pPr>
        <w:pStyle w:val="Heading4"/>
        <w:numPr>
          <w:ilvl w:val="3"/>
          <w:numId w:val="1"/>
        </w:numPr>
        <w:rPr/>
      </w:pPr>
      <w:bookmarkStart w:id="510" w:name="__RefHeading___Toc4026399_3224264995"/>
      <w:bookmarkStart w:id="511" w:name="_Toc195"/>
      <w:bookmarkEnd w:id="510"/>
      <w:r>
        <w:rPr>
          <w:rtl w:val="true"/>
        </w:rPr>
        <w:t>حول الاستدلال بکلمة التوحید علی مفهوم الحصر</w:t>
      </w:r>
      <w:bookmarkEnd w:id="511"/>
    </w:p>
    <w:p>
      <w:pPr>
        <w:pStyle w:val="BookText"/>
        <w:rPr/>
      </w:pPr>
      <w:r>
        <w:rPr>
          <w:rFonts w:ascii="IRNazanin" w:hAnsi="IRNazanin" w:eastAsia="IRNazanin"/>
          <w:color w:val="111111"/>
          <w:sz w:val="28"/>
          <w:sz w:val="28"/>
          <w:szCs w:val="28"/>
          <w:rtl w:val="true"/>
          <w:lang w:bidi="fa-IR"/>
        </w:rPr>
        <w:t>ثمّ إنّه ربما یستدلّ للمدّعی و کون الاستثناء من النفی إثباتاً و بالعکس، بقبول رسول اللَّه صلی الله علیه و آله و سلم إسلام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 أنّه لو لا ذلک لما دلّ علی إثبات توحید اللَّه تعالی و إثبات الالوهیة له سبحانه</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تدلّ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نفی الالوهیة عن غیره تعالی و إثبات الالوهیة له تعالی و توحیده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کانت ناظرة إلی مجرّد نفی الالوهیة عن غیره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قبل رسول اللَّه صلی الله علیه و آله و سلم ذلک منه، و لما اکتفی بها منه، مع أنّه صلی الله علیه و آله و سلم اکتفی بذلک فی مقام الإقرار بوحدانیته تعالی، فهذا یدلّ علی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إثبات الالوهیة له تعالی بعد نفی ذلک عن غیره سبحانه و لا نعنی بالمفهوم إلّا هذا</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لیس دلیلًا علی المدّعی، بل مؤیّد لما ذکرنا من ارتکاز الفهم العرفی و تبادر الحصر من ذلک، و إلّا لأمکن المناقشة فی هذا الاستدلال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w:t>
      </w:r>
      <w:bookmarkStart w:id="512" w:name="pg12934_164683"/>
    </w:p>
    <w:p>
      <w:pPr>
        <w:pStyle w:val="BookText"/>
        <w:rPr/>
      </w:pPr>
      <w:bookmarkEnd w:id="512"/>
      <w:r>
        <w:rPr>
          <w:rFonts w:ascii="IRNazanin" w:hAnsi="IRNazanin" w:eastAsia="IRNazanin"/>
          <w:color w:val="111111"/>
          <w:sz w:val="28"/>
          <w:sz w:val="28"/>
          <w:szCs w:val="28"/>
          <w:rtl w:val="true"/>
          <w:lang w:bidi="fa-IR"/>
        </w:rPr>
        <w:t>قبوله صلی الله علیه و آله و سلم بلحاظ احتفاف تلک الجملة بقرائن تفید الحصر و الإثبات بعد النفی، فلا ینفع الاستدلال به للمدّعی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عبدة الأوثان فی زمانه صلی الله علیه و آله و سلم کانوا یعتقدون باللَّه تعالی، و لم یکونوا مشرکین فی ذاته تعالی، إلّا أنّهم بزعمهم الفاسد و رأیهم الکاسد، رأوا أنّه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لعلوّ شأنه و مجده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و أعلی من أن یعبد، فنحتوا أصناماً لتکون وسائط بینهم و بین اللَّه تعالی؛ لیقرّبوهم إلی اللَّه تعالی زُلفی، فیکون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لردّ مزعمتهم الفاسدة، و نفی استحقاق العبودیة عمّا سوی اللَّه، لا إثبات وجوده تعالی؛ لأنّه کان قطعیاً و مفروغاً عنه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کلمة التوحید من المشرکین، لنفی المستثنی منه و نفی الإلهیة، لا إثبات المستثنی؛ لکونه معلوماً لدیهم، و لا دلالة لتلک الکلمة علیه</w:t>
      </w:r>
      <w:r>
        <w:rPr>
          <w:rFonts w:eastAsia="IRNazanin" w:cs="IRNazanin"/>
          <w:color w:val="111111"/>
          <w:sz w:val="28"/>
          <w:szCs w:val="28"/>
          <w:rtl w:val="true"/>
          <w:lang w:bidi="fa-IR"/>
        </w:rPr>
        <w:t>.</w:t>
      </w:r>
    </w:p>
    <w:p>
      <w:pPr>
        <w:pStyle w:val="Heading4"/>
        <w:numPr>
          <w:ilvl w:val="3"/>
          <w:numId w:val="1"/>
        </w:numPr>
        <w:rPr/>
      </w:pPr>
      <w:bookmarkStart w:id="513" w:name="__RefHeading___Toc4026401_3224264995"/>
      <w:bookmarkStart w:id="514" w:name="_Toc196"/>
      <w:bookmarkEnd w:id="513"/>
      <w:r>
        <w:rPr>
          <w:rtl w:val="true"/>
        </w:rPr>
        <w:t>إشکال کلمة التوحید و دفعه</w:t>
      </w:r>
      <w:bookmarkEnd w:id="514"/>
    </w:p>
    <w:p>
      <w:pPr>
        <w:pStyle w:val="BookText"/>
        <w:rPr/>
      </w:pPr>
      <w:r>
        <w:rPr>
          <w:rFonts w:ascii="IRNazanin" w:hAnsi="IRNazanin" w:eastAsia="IRNazanin"/>
          <w:color w:val="111111"/>
          <w:sz w:val="28"/>
          <w:sz w:val="28"/>
          <w:szCs w:val="28"/>
          <w:rtl w:val="true"/>
          <w:lang w:bidi="fa-IR"/>
        </w:rPr>
        <w:t xml:space="preserve">و هنا إشکال معروف علی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 الخبر المقدّر للفظة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النافیة للجنس، إمّا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أیّ حال لا یدلّ الاستثناء علی التوحید الذی هو عبارة عن الاعتقاد بوجود الباری و نفی الشریک عنه تعالی؛ و ذلک لأنّه علی الأوّل لا یثبت إلّا إمکان اللَّه تعالی، لا وجوده، فلا تدلّ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وجوده تعالی، و علی الثانی فغایة ما تدلّ علیه حصر وجود الإلهیة فیه تعالی، لا نفی إمکان وجود إله غیره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فغایة ما یقتضیه الاستثناء، حصر وجود الآلهة فیه تعالی، لا نفی إمکان الشریک له، فعلی کلا التقدیرین یشکل دلالة کلمة التوحید علی نفی وجود إله غیره تعالی و إثبات الوجود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أتعب المحقّق النائینی قدس سره نفسه الزکیة فی الجواب عن الإشکال، فقال أوّلًا بعدم تقدیر للخبر، فکما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تکون ناسخة؛ و هی الرابطة الزمانیة، و قد تکون تامّة و غیر محتاجة إلی الخبر، فکذلک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تارة للنفی الربطی و عدم وصف لموضوع، و اخری لنفی المحمول؛ أی عدم الشی‌ء، فلا یحتاج إلی الخبر، فیکون معنی الکلمة الشریفة نفی هویة واجب الوجود و إثباته لذاته تعالی، و نفی واجب الوجود و إثبات فرد منه عین التوحید؛ لأنّ غیره لو کان واجب الوجود لوجب وجوده؛ لوجوبه ذاتاً، فلو لم یکن غیره تعالی واجب الوجود فإمّا ممتنع الوجود ذاتاً، و إمّا ممکن الوجود ذاتاً، و کلاهما لیسا بواجب الوجود ذاتاً، فانحصر الواجب فیه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قدّر الخبر فلا یتوجّه الإشکال؛ سواء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المنفی هو واجب الوجود، فلو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فنفی الإمکان عن غیره تعالی و إثبات الإمکان له، مساوق لوجوده تعالی؛ لأنّه لو أمکن وجوده لوجب، لأنّ المفروض أنّه واجب الوجود، فلو لم یمتنع لوجب، و لو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فنفی الوجود عن غیره تعالی ملازم للامتناع؛ لأنّه لو لم یمتنع لوجب وجوده، لأنّه لو خرج الشی‌ء عن الامتناع و أمکن یجب وجوده؛ لأنّ المفروض أنّه واجب الوجود</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 بعضهم عن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المراد بالإمکان هنا الإمکان العامّ، و لمّا کان إمکانه تعالی عین 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إمکاناً عامّاً، لا إمکاناً خاصّاً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فیبقی إمکان الآلهة، و ینفی إمکان معبود آخر یتمّ المطلوب؛ لاستلزام إمکان الشی‌ء حینئذٍ وجوبه</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أجاب بعض آخر عن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الخبر المقدّر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واجب الوجود، و مع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إمکانه تعالی و عدم إمکان غیره، و إمکانه تعالی ملازم لوجوده؛ للملازمة بین إمکان وجوده و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تقدیر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الخبر تدلّ علی عدم وجود غیره تعالی، و عدم وجود غیره ملازم لامتناعه؛ لأنّه لو أمکن لوجد </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إلی غیر ذلک من الأجوبة التی ذکرت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الأجوبة و إن کانت صحیحة فی حدّ نفسها بلحاظ القواعد الفلسفیة، إلّا أنّها بعیدة عن أذهان العرب و الأعراب المقرّین بهذه الکلمة، بل لم یکد یفهم عبدة الأوثان من هذه الجملة المبارکة تلک المطالب، و مع ذلک قبل رسول اللَّه صلی الله علیه و آله و سلم منهم الإقرار بها، فالحقیق فی الجواب عن الإشکال ما أشرنا إلیه،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کلمة الإخلاص سیقت لنفی ما یعتقده عبدة الأوثان من الشرک فی العبادة، لا إثبات وجود الواجب أو وجوبه، فلا إشکال</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یقرب أن یقال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الخبر المقدّر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نفی وجود الآلهة و إن لم یستلزم نفی إمکانها، إلّا أنّ الحکم بعدم إمکان تلک الآلهة، غیر لازم فی الاعتقاد لعامّة الناس، و لا یجب علیهم أزید من ذلک و إن کان لعلماء الامّة براهین ساطعة و أدلّة قاطعة علی نفی إمکان الغیر، و لا یعتبر هذا فی الإسلام، بل المعتبر هو الإقرار و الاعتقاد بأنّ للعالم إلهاً و معبوداً واحداً، و لذا کان صلی الله علیه و آله و سلم یحکم بإسلام من اعترف بمفاد کلمة التوحید و إن لم یعرف معنی الإمکان الخاصّ؛ أی سلب الضرورة عن الطرفین، أو العامّ؛ و هو سلب الضرورة عن الطرف المقابل، و لم یمکنه الاستدلال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المهمّ فی تنویر القلب هو الاعتقاد و الطمأنینة، لا الاستدلال، و لذا فقد لا یکون الشخص قادراً علی إقامة الدلیل و البرهان علی وجوده تعالی، و وحدانیته، و صفاته الجمالیة و الجلالیة، و النبوّة، و الإمامة، و المعاد، و سائر المعتقدات، و مع ذلک تکون نفسه مطمئنة بها؛ لا تزلزل و لا اضطراب لها، بل قلبه متنوّر بها خاضع لبارئه؛ بحیث لا یکاد ینحرف عن الصراط المستقیم، و النهج القویم، و لا یخالف ربّه طرفة 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بالعکس فقد یقدر بعض الناس علی إقامة الدلیل و البرهان علی تلک الامور بأحسن وجه، إلّا أنّ نفسه غیر متنوّرة و قلبه لیس خاضعاً، و فی طلیعتهم الشیطان اللعین، فإنّه مع اعترافه بالمبدإ و المعاد و اعتقاده بهما، و لکنّه لیس خاضعاً و خاشعاً له تعالی، فلم یکن ذا بصیرة و نورانیة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یَجْعَلِ اللَّهُ لَهُ نُوراً فَما لَهُ مِنْ نُورٍ</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الخضوع و الخشوع أمر زائد علی ما یحصل بالدلیل و البرهان، و لا یکاد یحصل من کتب المتکلّمین و الفلاسفة و أضرابهم و ممّا نسجته عقولهم و أفکارهم، بل إنّما یحصل بالعلم بالکتاب و السنّة، و دوام ذکره تعالی، و إطاعته و إطاعة رسوله و اولی الأمر من عترته فی جمیع شئونه و أعماله، و لذا وجبت الصلاة و الصیام و الزکاة و الخمس و سائر العبادات فی أزمنة متطاولة، بل فی جمیع الأزمنة؛ لیخضع قلبه، و لا ینسی ذکره تعالی فی الشدائد و الزلّات، و دعوة القرآن الکریم إنّما هی لتنویر القلوب و إنارتها، و لذا لم یجرِ علی طریقة المتکلّمین و الفلاسفة و نظرائهم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نوّر قلوبنا بأنوار معرفتک، و وفّقنا لما تحبّ و ترضی، و اجعلنا من أحسن عبیدک نصیباً عندک، و أقربهم زلفة لدیک، بحقّ محمّد و آله، إنّک علی کلّ شی‌ء قدیر، و بالإجابة حقیق و جدیر، آمین یا ربّ العالمین</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الکلام فی المفهوم</w:t>
      </w:r>
      <w:r>
        <w:rPr>
          <w:rFonts w:eastAsia="IRNazanin" w:cs="IRNazanin"/>
          <w:color w:val="111111"/>
          <w:sz w:val="28"/>
          <w:szCs w:val="28"/>
          <w:rtl w:val="true"/>
          <w:lang w:bidi="fa-IR"/>
        </w:rPr>
        <w:t>.</w:t>
      </w:r>
      <w:bookmarkStart w:id="515" w:name="pg12934_164688"/>
    </w:p>
    <w:p>
      <w:pPr>
        <w:pStyle w:val="Heading2"/>
        <w:numPr>
          <w:ilvl w:val="1"/>
          <w:numId w:val="1"/>
        </w:numPr>
        <w:rPr/>
      </w:pPr>
      <w:bookmarkStart w:id="516" w:name="__RefHeading___Toc4026403_3224264995"/>
      <w:bookmarkStart w:id="517" w:name="_Toc197"/>
      <w:bookmarkEnd w:id="515"/>
      <w:bookmarkEnd w:id="516"/>
      <w:r>
        <w:rPr>
          <w:rtl w:val="true"/>
        </w:rPr>
        <w:t>المقصد الرابع فی العامّ و الخاصّ</w:t>
      </w:r>
      <w:bookmarkEnd w:id="517"/>
    </w:p>
    <w:p>
      <w:pPr>
        <w:pStyle w:val="Heading3"/>
        <w:numPr>
          <w:ilvl w:val="2"/>
          <w:numId w:val="1"/>
        </w:numPr>
        <w:rPr/>
      </w:pPr>
      <w:bookmarkStart w:id="518" w:name="__RefHeading___Toc4026405_3224264995"/>
      <w:bookmarkStart w:id="519" w:name="_Toc198"/>
      <w:bookmarkEnd w:id="518"/>
      <w:r>
        <w:rPr>
          <w:rtl w:val="true"/>
        </w:rPr>
        <w:t>اشارة</w:t>
      </w:r>
      <w:bookmarkEnd w:id="519"/>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مقدّمة و مباحث</w:t>
      </w:r>
      <w:r>
        <w:rPr>
          <w:rFonts w:eastAsia="IRNazanin" w:cs="IRNazanin"/>
          <w:color w:val="111111"/>
          <w:sz w:val="28"/>
          <w:szCs w:val="28"/>
          <w:rtl w:val="true"/>
          <w:lang w:bidi="fa-IR"/>
        </w:rPr>
        <w:t>:</w:t>
      </w:r>
      <w:bookmarkStart w:id="520" w:name="pg12934_164690"/>
    </w:p>
    <w:p>
      <w:pPr>
        <w:pStyle w:val="Heading3"/>
        <w:numPr>
          <w:ilvl w:val="2"/>
          <w:numId w:val="1"/>
        </w:numPr>
        <w:rPr/>
      </w:pPr>
      <w:bookmarkStart w:id="521" w:name="__RefHeading___Toc4026407_3224264995"/>
      <w:bookmarkStart w:id="522" w:name="_Toc199"/>
      <w:bookmarkEnd w:id="520"/>
      <w:bookmarkEnd w:id="521"/>
      <w:r>
        <w:rPr>
          <w:rtl w:val="true"/>
        </w:rPr>
        <w:t>مقدّمة مبحث العامّ و الخاصّ</w:t>
      </w:r>
      <w:bookmarkEnd w:id="522"/>
    </w:p>
    <w:p>
      <w:pPr>
        <w:pStyle w:val="Heading4"/>
        <w:numPr>
          <w:ilvl w:val="3"/>
          <w:numId w:val="1"/>
        </w:numPr>
        <w:rPr/>
      </w:pPr>
      <w:bookmarkStart w:id="523" w:name="__RefHeading___Toc4026409_3224264995"/>
      <w:bookmarkStart w:id="524" w:name="_Toc200"/>
      <w:bookmarkEnd w:id="523"/>
      <w:r>
        <w:rPr>
          <w:rtl w:val="true"/>
        </w:rPr>
        <w:t>اشارة</w:t>
      </w:r>
      <w:bookmarkEnd w:id="524"/>
    </w:p>
    <w:p>
      <w:pPr>
        <w:pStyle w:val="BookText"/>
        <w:rPr/>
      </w:pPr>
      <w:r>
        <w:rPr>
          <w:rFonts w:ascii="Amiri" w:hAnsi="Amiri" w:eastAsia="Amiri" w:cs="Amiri"/>
          <w:color w:val="111111"/>
          <w:sz w:val="28"/>
          <w:sz w:val="28"/>
          <w:szCs w:val="28"/>
          <w:rtl w:val="true"/>
          <w:lang w:bidi="ar-SA"/>
        </w:rPr>
        <w:t>المقدّمة</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فی بیان امور</w:t>
      </w:r>
      <w:r>
        <w:rPr>
          <w:rFonts w:eastAsia="IRNazanin" w:cs="IRNazanin"/>
          <w:color w:val="111111"/>
          <w:sz w:val="28"/>
          <w:szCs w:val="28"/>
          <w:rtl w:val="true"/>
          <w:lang w:bidi="fa-IR"/>
        </w:rPr>
        <w:t>:</w:t>
      </w:r>
    </w:p>
    <w:p>
      <w:pPr>
        <w:pStyle w:val="Heading4"/>
        <w:numPr>
          <w:ilvl w:val="3"/>
          <w:numId w:val="1"/>
        </w:numPr>
        <w:rPr/>
      </w:pPr>
      <w:bookmarkStart w:id="525" w:name="__RefHeading___Toc4026411_3224264995"/>
      <w:bookmarkStart w:id="526" w:name="_Toc201"/>
      <w:bookmarkEnd w:id="525"/>
      <w:r>
        <w:rPr>
          <w:rtl w:val="true"/>
        </w:rPr>
        <w:t>الأمر الأوّل</w:t>
      </w:r>
      <w:r>
        <w:rPr>
          <w:rtl w:val="true"/>
        </w:rPr>
        <w:t xml:space="preserve">: </w:t>
      </w:r>
      <w:r>
        <w:rPr>
          <w:rtl w:val="true"/>
        </w:rPr>
        <w:t>فی تعریف العامّ</w:t>
      </w:r>
      <w:bookmarkEnd w:id="526"/>
    </w:p>
    <w:p>
      <w:pPr>
        <w:pStyle w:val="Heading5"/>
        <w:numPr>
          <w:ilvl w:val="4"/>
          <w:numId w:val="1"/>
        </w:numPr>
        <w:rPr/>
      </w:pPr>
      <w:bookmarkStart w:id="527" w:name="__RefHeading___Toc4026413_3224264995"/>
      <w:bookmarkStart w:id="528" w:name="_Toc202"/>
      <w:bookmarkEnd w:id="527"/>
      <w:r>
        <w:rPr>
          <w:rtl w:val="true"/>
        </w:rPr>
        <w:t>اشارة</w:t>
      </w:r>
      <w:bookmarkEnd w:id="528"/>
    </w:p>
    <w:p>
      <w:pPr>
        <w:pStyle w:val="BookText"/>
        <w:rPr/>
      </w:pPr>
      <w:r>
        <w:rPr>
          <w:rFonts w:ascii="IRNazanin" w:hAnsi="IRNazanin" w:eastAsia="IRNazanin"/>
          <w:color w:val="111111"/>
          <w:sz w:val="28"/>
          <w:sz w:val="28"/>
          <w:szCs w:val="28"/>
          <w:rtl w:val="true"/>
          <w:lang w:bidi="fa-IR"/>
        </w:rPr>
        <w:t>فیما تحکی عنه أسماء الطبائع</w:t>
      </w:r>
    </w:p>
    <w:p>
      <w:pPr>
        <w:pStyle w:val="BookText"/>
        <w:rPr/>
      </w:pPr>
      <w:r>
        <w:rPr>
          <w:rFonts w:ascii="IRNazanin" w:hAnsi="IRNazanin" w:eastAsia="IRNazanin"/>
          <w:color w:val="111111"/>
          <w:sz w:val="28"/>
          <w:sz w:val="28"/>
          <w:szCs w:val="28"/>
          <w:rtl w:val="true"/>
          <w:lang w:bidi="fa-IR"/>
        </w:rPr>
        <w:t xml:space="preserve">لا یهمّنا التعرّض لتعاریف القوم للعامّ و ما ذکر من النقض و الإبرام فیها، و لکن ینبغی التعرّض لأمر یتضح من خلاله تعریف العامّ و ضعف ما ذکر فیه؛ و هو أنّه کثیراً ما اشتبه الأمر و تُخیّل دلالة المطلق علی الطبیعة الشاملة للأفراد علی اختلاف التعابیر،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مرآتیة الطبیعة للأفراد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شمول الطبیعة للأفراد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حکایة الطبیعة للأفراد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غیر ذلک من العبارات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التأمّل الصادق یرشد إلی أنّ الألفاظ الموضوعة للطبائع بلا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کأسماء الأجناس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دلالة لها علی الأفراد؛ سواء وقعت تلو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نحوها، أو لا، و إنّما تدلّ علی نفس الطبیعة بلا شرط من دون حکایتها عن الأفراد، فضلًا عن خصوصیاتها، بل الدالّ علیها أمر آخر؛ و ذلک لأنّه لو دلّت الطبیعة علی الأفراد، فلا بدّ و أن تکون بأحد هذه الامور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 بلحاظ مرتبة 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مرتبة وضعها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مرتبة کشفها و حکایتها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کلّها مخدوشة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مرتبة ذاتها، فواضح أنّه لو قصر النظر إلی مرتبة ذات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الماهیة اللابشرط، کماهیة الإنسان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هناک إلّا نفس الماهیة من حیث هی هی التی تکون إجمالها الإنسانیة، و تفصیلها الحیوان الناطق، فکما أنّ ماهیة الإنسان غیر ماهیة الکم أو الکیف أو الإضافة أو غیرها من الأعراض، و لا تحکی تلک الماهیة عن شی‌ء منها، فکذلک لا تحکی عن مصادیقها و أفرادها سواء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فردیة الفرد و تشخّصه بالعوارض بعرضها العریض، أو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أمارات التشخّص، و التشخّص إنّما هو بنحو من الوجود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الماهیة بما هی هی، غیر شخصیة الوجود، و غیر عوارضه اللاحقة علیه بعرضها العریض؛ ضرورة أنّه لا یصیر الشی‌ء مصداقاً لطبیعة إلّا إذا انضمّ إلیها قید أو قیود، فالإنسان مثلًا فی عالم المفهومیة لیس إلّا ذاتها و ذاتیاتها؛ و هو الحیوان الناطق، فکما أنّه لا تحکی عن ماهیة اخری کماهیة الحجر مثلًا، و لا عن مصادیقها، و هو واضح، فکذلک لا تحکی عن مصادیق نفسه و أفراده؛ و إن کان المصداق فی الخارج عبارة عن الطبیعة المتشخّصة بالوجود، أو المحفوفة بکذا و کذا؛ بمعنی أنّ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الماهیة اللابشرط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تحقّق فی الخارج یتّحد مع المصداق؛ ضرورة أنّ هناک نحواً من الوجود الذی ینطبق علیه الإنسان، و الحیوان، و الکیف، و الکم، و الإضافة، و غیرها، و معلوم أنّ مجرّد الاتحاد الخارجی لا یوجب الحکایة؛ لأنّ عالم التعقّل و التصوّر عالم البینونة و انفکاک بعضها عن بعض، و لذا لا تحکی</w:t>
      </w:r>
    </w:p>
    <w:p>
      <w:pPr>
        <w:pStyle w:val="BookText"/>
        <w:rPr/>
      </w:pPr>
      <w:r>
        <w:rPr>
          <w:rFonts w:ascii="IRNazanin" w:hAnsi="IRNazanin" w:eastAsia="IRNazanin"/>
          <w:color w:val="111111"/>
          <w:sz w:val="28"/>
          <w:sz w:val="28"/>
          <w:szCs w:val="28"/>
          <w:rtl w:val="true"/>
          <w:lang w:bidi="fa-IR"/>
        </w:rPr>
        <w:t>الماهیة عن وجودها أیضاً؛ و إن کانت الماهیة محتاجة إلی الوجود فی أیّ موطن کان حتّی فی موطن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حال الماهیة بالنسبة إلی مرتبة ذاتها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الماهیة فی مرتبة ذاتها لیست إلّا ذاتها و ذاتیاتها، و لا تحکی عن غیرها؛ لا عن ماهیات اخر، و لا عن مصادیقها، فضلًا عن خصوصیات مصادیقها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بلحاظ مرتبة وضعها، فواضح أنّ الملحوظ عند الوضع نفس الماهیة من حیث هی هی، لا خصوصیاتها، فلا یکاد یحکی اللفظ الموضوع لنفس الماهیة اللابشرط، إلّا عمّا هو الموضوع له، فالخصوصیات خارجة عن حریم الموضوع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حال کشف الماهیة و حکایتها عن الخصوصیات؛ بداهة أنّ الکشف تابع و رهین للوضع، فإذا فرض أنّ اللفظ وضع لنفس الماهیة، فلا یکاد یعقل حکایتها عمّا وراء ذلک، و من المعلوم أنّ خصوصیات المصادیق غیر نفس الماهیة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ممّا ذکرنا عدم استفادة الأفراد و خصوصیات المصادیق من نفس الطبیعة اللابشرط؛ لا من مقام ذاتها، و لا من مقام وضعها، و لا من مقام کشفها و حکایتها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ینتقل الذهن إلی المصادیق بمجرّد تصوّر الماهیة، و لکن لیس ذلک لدلالة اللفظ، بل من باب الانتقال من معنی إلی معنی آخر لأجل انس الذهن، و لذا ربما ینتقل الذهن من ضدّ إلی ضدّ آخر، فهو من باب تداعی المعانی، لا دلالة اللفظ علی المعنی، کما لا یخفی</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علیه لو ارید إفادة الأفراد من ناحیة اللفظ، فلا بدّ من التوصّل إلی ما یدلّ علیها، کلفظة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نحوهما، ففی مثل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استفید العموم و الکثرة، إلّا أنّ ذلک لیس من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یستفاد کثرة العالم، فهناک دوالّ ثلاثة و مدلولات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تدلّ علی نفس الطبیعة من حیث هی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تدلّ علی الکثرة الإجمالیة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تدلّ علی کثرة مدخوله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فیستفاد من تلک الجملة کلّ فرد من العالم، و لکن لا یستفاد منها خصوصیات أفراد العالم، ککونه نحویاً، فقیهاً، عادلًا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یتّحد کلّ عالم فی الخارج مع تلک الخصوصیات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مثل ما ذکرنا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أکرم کلّ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319"/>
      </w:r>
      <w:r>
        <w:rPr>
          <w:rFonts w:ascii="IRNazanin" w:hAnsi="IRNazanin" w:eastAsia="IRNazanin"/>
          <w:color w:val="111111"/>
          <w:sz w:val="28"/>
          <w:sz w:val="28"/>
          <w:szCs w:val="28"/>
          <w:rtl w:val="true"/>
          <w:lang w:bidi="fa-IR"/>
        </w:rPr>
        <w:t xml:space="preserve">فإنّ هناک ماهیة العقد، و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المعرّف باللام، و الاولی تدلّ علی نفس ماهیة العقد، و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الطارئة علی العقد تدلّ علی کثرتها، و العقد الواقع فی الخارج محفوف بخصوصیات و امور؛ لأنّه کثیراً ما یتلفّظ به، و هو من مقولة الکیف، و یقع فی مکان کذا، و هو من مقولة الأین، و فی زمان کذا، و هو من مقولة 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هکذا، و لکن لزوم الوفاء إنّما هو لنفس العقد و کونه مصداقاً ذاتیاً له، لا لکونه فی مکان کذا، و زمان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لنا ألفاظاً تدلّ علی الکثرة الإجمالیة؛ و هی ألفاظ العموم، و لکن ذلک لا یفید کثرة مدخولها؛ بلحاظ أنّ مدخولها نفس الماهیة، و هی غیر متکثّرة واقعاً، و 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نحوها إلیها لا توجب دلالة اللفظ علی غیر المعنی الموضوع له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فإذن تعریف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شمول مدخوله لجمیع ما یصلح أن ینطبق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بعضهم</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مستقیم؛ لأنّ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لا تدلّ علی شمول</w:t>
      </w:r>
      <w:bookmarkStart w:id="529" w:name="pg12934_164694"/>
    </w:p>
    <w:p>
      <w:pPr>
        <w:pStyle w:val="BookText"/>
        <w:rPr/>
      </w:pPr>
      <w:bookmarkEnd w:id="529"/>
      <w:r>
        <w:rPr>
          <w:rFonts w:ascii="IRNazanin" w:hAnsi="IRNazanin" w:eastAsia="IRNazanin"/>
          <w:color w:val="111111"/>
          <w:sz w:val="28"/>
          <w:sz w:val="28"/>
          <w:szCs w:val="28"/>
          <w:rtl w:val="true"/>
          <w:lang w:bidi="fa-IR"/>
        </w:rPr>
        <w:t>مدخولها لجمیع أفراد العالم مثلًا، بل یستفاد عموم الأفراد من إضافة أدوات العموم إلی مدخولاتها؛ علی نحو تعدّد الدالّ و المدلول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 فی تعریف العامّ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دلّ علی تمام مصادیق مدخوله ممّا یصحّ أن ینطبق علیه</w:t>
      </w:r>
      <w:r>
        <w:rPr>
          <w:rFonts w:eastAsia="IRNazanin" w:cs="IRNazanin"/>
          <w:color w:val="111111"/>
          <w:sz w:val="28"/>
          <w:szCs w:val="28"/>
          <w:rtl w:val="true"/>
          <w:lang w:bidi="fa-IR"/>
        </w:rPr>
        <w:t>.</w:t>
      </w:r>
    </w:p>
    <w:p>
      <w:pPr>
        <w:pStyle w:val="Heading5"/>
        <w:numPr>
          <w:ilvl w:val="4"/>
          <w:numId w:val="1"/>
        </w:numPr>
        <w:rPr/>
      </w:pPr>
      <w:bookmarkStart w:id="530" w:name="__RefHeading___Toc4026415_3224264995"/>
      <w:bookmarkStart w:id="531" w:name="_Toc203"/>
      <w:bookmarkEnd w:id="530"/>
      <w:r>
        <w:rPr>
          <w:rtl w:val="true"/>
        </w:rPr>
        <w:t>حول مختار المحقّق النائینی قدس سره فی المقام</w:t>
      </w:r>
      <w:bookmarkEnd w:id="531"/>
    </w:p>
    <w:p>
      <w:pPr>
        <w:pStyle w:val="BookText"/>
        <w:rPr/>
      </w:pPr>
      <w:r>
        <w:rPr>
          <w:rFonts w:ascii="IRNazanin" w:hAnsi="IRNazanin" w:eastAsia="IRNazanin"/>
          <w:color w:val="111111"/>
          <w:sz w:val="28"/>
          <w:sz w:val="28"/>
          <w:szCs w:val="28"/>
          <w:rtl w:val="true"/>
          <w:lang w:bidi="fa-IR"/>
        </w:rPr>
        <w:t>إذا أحطت خبراً بما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الحکم فی العامّ لم یتعلّق بالطبیعة، بل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المضاف إلیها بدوالّ ثلاثة و مدلولات کذلک، و أنّه لا کاشفیة للطبیعة عن الأفراد، فضلًا عن خصوصیاتها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لک النظر فیما أفاده و المحقّق النائینی قدس سره فی المقام، و هو مبنیّ علی الفرق بین القضیة الحقیقیة و الخارجیة، و قد ذکرنا الفرق بینهما سابقاً، و لکن لابتناء کثیر من المباحث الآتیة علیه، نزیده فی المقام وضوحاً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القضیة الحقیقیة هی التی ورد الحکم فیها علی العنوان و الطبیعة؛ لا بلحاظ تقرّرها العقلی، بل بلحاظ مرآتیة العنوان لما ینطبق علیه فی الخارج؛ بحیث یرد الحکم علی الخارجیات بتوسّط العنوان الجامع لها، و هذا معنی لحاظ العنوان مرآة لما فی الخارج، بخلاف القضیة الطبیعیة، فإنّ الحکم فیها وارد علی نفس الطبیعة بلحاظ تقرّرها العقلی،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 نوع</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القضیة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کلّیة کانت، أم جزئیة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 فیها ابتداءً مترتّب علی الخارج بلا توسّط عنوان جامع کما کان فی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فرض أنّ هناک جامعاً بین الأفراد الخارجیة، فإنّما هو جامع اتفاقی، کما فی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فی العسکر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قولک ذلک بمنزلة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زید قتل، و عمرو قتل، و بکر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و لیس بین قتل زید و عمرو أو بکر مثلًا، جامع عنوانی اقتضی ذلک الجامع قتل هؤلاء، بل</w:t>
      </w:r>
    </w:p>
    <w:p>
      <w:pPr>
        <w:pStyle w:val="BookText"/>
        <w:rPr/>
      </w:pPr>
      <w:r>
        <w:rPr>
          <w:rFonts w:ascii="IRNazanin" w:hAnsi="IRNazanin" w:eastAsia="IRNazanin"/>
          <w:color w:val="111111"/>
          <w:sz w:val="28"/>
          <w:sz w:val="28"/>
          <w:szCs w:val="28"/>
          <w:rtl w:val="true"/>
          <w:lang w:bidi="fa-IR"/>
        </w:rPr>
        <w:t>اتفق أنّ کلّاً من زید و عمرو و بکر، کان فی المعرکة، و اتفق أنّهم قتلوا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ذلک تقع القضیة الحقیقیة کبری لقیاس الاستنتاج، و تکون النتیجة ثبوتاً و إثباتاً موقوفة علی تلک الکبری؛ بحیث یتوصّل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ضمّ الصغری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أمر مجهول یسمّی بالنتیجة، کما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خمر، و کلّ خمر حرام، فهذا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حرمة هذا الخمر إنّما تکون ثبوتاً موقوفة علی حرمة کلّ خمر، کما أنّ العلم بحرمة هذا الخمر یکون موقوفاً علی العلم بحرمة کلّ خمر، فالعلم بالنتیجة یتوقّف علی العلم بکلّیة الکبری، و أمّا العلم بکلّیة الکبری فلا یتوقّف علی العلم بالنتیجة، بل یتوقّف علی مبادئ اخر، من عقل، أو کتاب، أو سنّة، أو 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الخارجیة فلا تقع کبری القیاس؛ بحیث تکون النتیجة موقوفة علیها ثبوتاً و إن کان قد یتوقّف علیها إثباتاً، و ذلک کما یقال للجاهل بقتل 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فی العسکر، و کلّ من فی العسکر قتل، فزید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لا یتوقّف علی ذلک ثبوتاً؛ لعدم علّیة قتل کلّ من فی العسکر لقتل زید، بل لقتله ملاک آخر یخصّه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 ظهر اندفاع الدور الوارد علی الشکل الأوّل الذی هو بدیهی الإنتاج؛ من جهة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بکلّیة الکبری متوقّف علی العلم بالنتیجة، مع أنّ العلم بالنتیجة یتوقّف علی العلم بکلّیة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العلم بکلّیة الکبری فی الحقیقة لا یتوقّف علی العلم بالنتیجة، بل یتوقّف علی مبادئ اخر من عقل، أو کتاب، أو سنّة، أو 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القضایا المعتبرة فی العلوم إنّما هی القضایا الحقیقیة، و لا عبرة بالقضایا الخارجیة؛ لأنّ الخارجیة و إن کانت بصورة الکلّیة، إلّا أنّها عبارة عن قضایا جزئیة لا یجمعها عنوان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یکون العموم و الکلّیة علی نحوین</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حقیقیة، و خارجیة، فکذلک التخصیص یکون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تخصیصاً أنواعیاً، و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أفرادیاً؛ سواء کان التخصیص بالمتصل، أو بالمنفصل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التخصیص الأنواعی یناسب أن یرد علی العموم المسوق بصورة الحقیقیة، کما أنّ التخصیص الأفرادی یناسب أن یرد علی العموم المسوق بصورة القضیة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الخارجیة لا تصلح إلّا للتخصیص الأفرادی؛ لما عرفت من أنّ الحکم فیها علی الأفراد دون العنوان؛ و إن فرض أنّ المخصّص سیق بصورة الأنواعی، بخلاف الحقیقیة، فإنّه یصلح لورود کلّ من التخصیص الأفرادی و الأنواعی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إنّ الأحکام الشرعیة کلّها علی نهج القضایا الحقیقیة، کان التخصیص الوارد فی الأحکام الشرعیة کلّها من التخصیصات الأنواعیة إلّا ما کان من قبیل خصائص النبیّ صلی الله علیه و آله و سلم</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النظر فیما أفاد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أشرنا إلیه من استحالة أن تکون الطبیعة مرآة لما ینطبق علیه الأفراد بعد أن لم یکن فی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 مقام ذاتها، و لا فی مقام وضعها، و لا کشفها و دلالتها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علی الأفراد، و الحکم فی القضایا المسوّرة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سواء کانت إخباریةً أو إنشائیة، تعلّق علی کلّ مصداق من الطبیعة، لا مفصّلًا، بل بعنوان إجمالی، فهناک امور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طبیعة الإنسان مثلًا التی لا تکون فیها کثرة؛ و إن کانت قابلة للانطباق علی الکثیر</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کثرة خارجیة تفصیلیة، کزید، و عمرو، 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فإنّهم کثرات للطبیعة الإنسانیة، و من المعلوم أنّه لیست تلک الکثرات، بما هی طبیعة الإنسان و إن کانت فیها طبیعة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کثرة إجمالیة تکون برزخاً بین الطبیعة التی لا کثرة فیها، و بین الکثرات المفصّلة الممتازة إحداهما عن الاخری، فلفظة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اللغة العربیة و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اللغة الفارسیة، لهما کثرة إجمالیة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نظیره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لا تدلّ علی الکثرات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أراد تعلیق حکمه علی أفراد الطبیعة مفصّلًا، فحیث إنّه لا یمکنه ذلک، فلا بدّ له من التوصّل بما یمکنه التوصّل إلی مقصوده بنحو الإجمال، ففی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نار حارّة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علّقت الحرارة علی أفراد النار و مصادیقها علی نحو 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یتعلّق الحکم فی القضایا المسوّرة و نحوها علی نفس الطبیعة بلحاظ مرآتیتها لما تنطبق علیه فی الخارج، فلو کانت الطبیعة مرآة لما تنطبق علیه فی الخارج، لکان ذکر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لغواً و زائداً، مع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وضعت لإفادة الکثرة الإجمالیة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 فی الفرق بین القضیة الحقیقیة و الخارجیة، فغیر سدید، و لعلّه سبق منّا غیر مرّة،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الحکم فی کلتا القضیّتین لم یتعلّق علی الطبیعة، بل تعلّق علی الأفراد بالعنوان الإجمالی، و لا فرق بین القضیتین فی ذلک أصلًا، و الفرق بینهما إنّما هو من جهة أنّ الطبیعة المطلقة أو المقیّدة المأخوذة تلو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تؤخذ بنحو لا تکون قابلة للانطباق إلّا علی الأفراد الموجودة فی الخارج فی هذا الزمان، أو الزمان السابق، أو مجموعهما، فحینئذٍ تکون القضیة خارجیة، و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تؤخذ بنحو تکون قابلة للانطباق علی الأفراد المحقّقة و المقدّرة؛ أی التی لم توجد بعدُ، فتکون القضیة حقیقیة</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القضیة الحقیقیة و القضیة الخارجیة، مشترکتان من حیث تعلّق الحکم علی العنوان الإجمالی المضاف إلی الطبیعة، و الفرق إنّما هو فی أنّ العنوان</w:t>
      </w:r>
    </w:p>
    <w:p>
      <w:pPr>
        <w:pStyle w:val="BookText"/>
        <w:rPr/>
      </w:pPr>
      <w:r>
        <w:rPr>
          <w:rFonts w:ascii="IRNazanin" w:hAnsi="IRNazanin" w:eastAsia="IRNazanin"/>
          <w:color w:val="111111"/>
          <w:sz w:val="28"/>
          <w:sz w:val="28"/>
          <w:szCs w:val="28"/>
          <w:rtl w:val="true"/>
          <w:lang w:bidi="fa-IR"/>
        </w:rPr>
        <w:t>المأخوذ فی الخارجیة، مقصور علی نحو ینطبق علی خصوص الأفراد المحقّقة فعلًا، أو فی الزمان السابق، أو مجموعهما، و العنوان المأخوذ فی الحقیقیة علی نحو ینطبق علیهما و ما سیوجد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المقسم للخارجیة و الحقیقیة و الذهنیة إنّما هو الکلّیة، فالجزئیات خارجة عن المقسم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بأنّ القضیة الخارجیة قضیة شخصیة أو قضایا شخصیة، غیر سدید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أفاده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النتیجة فی القضیة الحقیقیة موقوفة ثبوتاً و إثباتاً علی الکبری، و لذا تقع الحقیقیة کبری القیاس، دون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مستقیم؛ لأنّه لا معنی لعلّیة الکبری للنتیجة ثبوتاً؛ لوضوح أنّه لا یعقل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لحرمة خمرة بخصوصها،</w:t>
      </w:r>
      <w:r>
        <w:rPr>
          <w:rStyle w:val="FootnoteAnchor"/>
          <w:rtl w:val="true"/>
        </w:rPr>
        <w:footnoteReference w:id="322"/>
      </w:r>
      <w:r>
        <w:rPr>
          <w:rFonts w:ascii="IRNazanin" w:hAnsi="IRNazanin" w:eastAsia="IRNazanin"/>
          <w:color w:val="111111"/>
          <w:sz w:val="28"/>
          <w:sz w:val="28"/>
          <w:szCs w:val="28"/>
          <w:rtl w:val="true"/>
          <w:lang w:bidi="fa-IR"/>
        </w:rPr>
        <w:t>و هی معلولها، بل کلّ الخمور مندرجة فیها، فلا یکون الحکم المتعلّق بالکلّ المضاف، علّة لتعلّق الحکم بالفرد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سلّمت العلّیة لذلک، و لکن لیست العلّیة الثبوتیة منشأً لوقوعها کبری القیاس، بل التی تناط به هو علّیتها فی مرحلة الإثبات، فإنّه لو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فی الدار یجب إکرامه، و علم بوجوده فیها، فمجرّد ذلک یکفی لاستنتاج النتیجة بلا إشکال، و قد اعترف قدس سره بتوقّف النتیجة فی الخارجیة علی الکبری إثباتاً</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بناءه علی ما ذکره غیر وثیق؛ لما أشرنا من صلاحیة کلّ من الحقیقیة و الخارجیة لوقوعهما کبری القیاس؛ بداهة أنّه کما یصحّ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خَمْرة، و کلّ 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فیستنتج حرمة الخمر هذه، فکذلک یصحّ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فی العسکر، و کلّ من فی العسکر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یستنتج منه قتل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اعتبار القضیة الخارجیة فی العلوم المتعارفة، فهو لأجل أنّ العلوم المتعارفة بابها باب الحقائق و الواقعیات غالباً، فلا یمکن الاستنتاج منها إلّا بإلقاء القضایا بنحو القضیة الحقیقیة، و لذا لا یفید فیها القضایا الطبیعیة أیضاً، و کم فرق واضح بین عدم اعتبار الخارجیة فی علم، و عدم صلاحیة وقوعها کبری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تمهّد لک أنّ الحکم فی کلتا القضیتین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الخارجیة و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علی الأفراد بالعنوان الإجمالی لا الطبیعة، یظهر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جمیع التخصیصات الواردة علی العمومات، تخصیصات أفرادیة فی جمیع القضایا؛ حقیقیة کانت، أم خارجیة، مثلًا المراد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 لزوم الوفاء بجمیع أفراد العقود بالعنوان الإجمالی، لا أنواعها؛ لعدم ما یدلّ علیها، کما لا یخفی، فإن ورد علیه تخصیص بعدم لزوم الوفاء بالعقد الربوی مثلًا، فمقتضاه خروج أفراد العقد الربوی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بنعت 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دائرة العموم، لا هذا النوع من البیع؛ بداهة أنّه لم یکن النوع بما هو نوع، داخلًا تحت العامّ حتّی یخرج عنه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فبما ذکرنا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استنتجه قدس سره 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کون الأحکام الشرعیة کلّها مجعولة علی نهج القضایا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التخصیصات الواردة کلّها من التخصیصات الأنواعیة، إلّا ما کان من قبیل خصائص النبی صلی الله علیه و آله و سلم غیر مستقیم؛ لما أشرنا من أنّه لو کانت جمیع القضایا مجعولة علی نهج القضایا الحقیقیة، لوجب أن تکون التخصیصات تخصیصات فردیة لا نوعیة؛ علی عکس ما ذکره، فافهم و اغتنم، و کن من الشاکرین</w:t>
      </w:r>
      <w:r>
        <w:rPr>
          <w:rFonts w:eastAsia="IRNazanin" w:cs="IRNazanin"/>
          <w:color w:val="111111"/>
          <w:sz w:val="28"/>
          <w:szCs w:val="28"/>
          <w:rtl w:val="true"/>
          <w:lang w:bidi="fa-IR"/>
        </w:rPr>
        <w:t>.</w:t>
      </w:r>
      <w:bookmarkStart w:id="532" w:name="pg12934_164700"/>
    </w:p>
    <w:p>
      <w:pPr>
        <w:pStyle w:val="Heading4"/>
        <w:numPr>
          <w:ilvl w:val="3"/>
          <w:numId w:val="1"/>
        </w:numPr>
        <w:rPr/>
      </w:pPr>
      <w:bookmarkStart w:id="533" w:name="__RefHeading___Toc4026417_3224264995"/>
      <w:bookmarkStart w:id="534" w:name="_Toc204"/>
      <w:bookmarkEnd w:id="532"/>
      <w:bookmarkEnd w:id="533"/>
      <w:r>
        <w:rPr>
          <w:rtl w:val="true"/>
        </w:rPr>
        <w:t>الأمر الثانی فی الفرق بین العامّ و المطلق</w:t>
      </w:r>
      <w:bookmarkEnd w:id="534"/>
    </w:p>
    <w:p>
      <w:pPr>
        <w:pStyle w:val="BookText"/>
        <w:rPr/>
      </w:pPr>
      <w:r>
        <w:rPr>
          <w:rFonts w:ascii="IRNazanin" w:hAnsi="IRNazanin" w:eastAsia="IRNazanin"/>
          <w:color w:val="111111"/>
          <w:sz w:val="28"/>
          <w:sz w:val="28"/>
          <w:szCs w:val="28"/>
          <w:rtl w:val="true"/>
          <w:lang w:bidi="fa-IR"/>
        </w:rPr>
        <w:t>ظاهر مقال المحقّق الخراسانی قدس سره</w:t>
      </w:r>
      <w:r>
        <w:rPr>
          <w:rStyle w:val="FootnoteAnchor"/>
          <w:rtl w:val="true"/>
        </w:rPr>
        <w:footnoteReference w:id="324"/>
      </w:r>
      <w:r>
        <w:rPr>
          <w:rFonts w:ascii="IRNazanin" w:hAnsi="IRNazanin" w:eastAsia="IRNazanin"/>
          <w:color w:val="111111"/>
          <w:sz w:val="28"/>
          <w:sz w:val="28"/>
          <w:szCs w:val="28"/>
          <w:rtl w:val="true"/>
          <w:lang w:bidi="fa-IR"/>
        </w:rPr>
        <w:t>و صریح کلام العلمین الحائری و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الأخیر منهما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العموم یستفاد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دلیل لفظی، کلفظة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یرادفهما من أیّة لغة، کما یستفاد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مقدّمات الحکمة، و لا فرق بینهما من حیث الشمول و العموم، إلّا أنّه لمصالح خفیت علینا فصّلوا بینهما و قالوا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إن استفید العموم من اللفظ فهو عامّ، و إن استفید من مقدّمات الحکمة فهو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فبالحقیقة العامّ و الخاصّ و المطلق و المقیّد من وادٍ واحد، و الاختلاف بینهما إنّما هو فی طریق حصول العموم و الشمول، حیث إنّ أحدهما باللفظ، و الآخر بمقدّمات الحکمة، فذکر المطلق و المقیّد مستقلّاً عقیب العامّ و الخاصّ، إنّما هو لحکمة و مصلحة خفیت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غایة تقریب مقالهم</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فرق بین العامّ و المطلق فی أصل تعلّق الحکم، و فی ورود التخصیص و التقیید، و لا جامع بینهما حتّی نحتاج إلی بیان الفرق بینهما؛ و ذلک لما أشرنا من أنّ باب العموم، باب تعلّق الحکم علی أفراد الطبیعة بنعت الإجمال بدلالة الکلّ المضاف إلی الطبیعة، و أمّا المطلق فمقتضاه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تمامیة مقدّمات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إلّا أنّ نفس الطبیعة تمام الموضوع للحکم، و الفرد الخارجی محقّق إیّاه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العموم المعبّر عنه بالفارسیة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w:t>
      </w:r>
    </w:p>
    <w:p>
      <w:pPr>
        <w:pStyle w:val="BookText"/>
        <w:rPr/>
      </w:pPr>
      <w:r>
        <w:rPr>
          <w:rFonts w:ascii="IRNazanin" w:hAnsi="IRNazanin" w:eastAsia="IRNazanin"/>
          <w:color w:val="111111"/>
          <w:sz w:val="28"/>
          <w:sz w:val="28"/>
          <w:szCs w:val="28"/>
          <w:rtl w:val="true"/>
          <w:lang w:bidi="fa-IR"/>
        </w:rPr>
        <w:t xml:space="preserve">المطلق المعبّر عنه بها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فموضوع الحکم و مصبّه فی العامّ هو أفراد الطبیعة، لکنّه علی نعت الإجمال، و الموضوع فی المطلق هو نفس الطبیعة بلا قید، فلم یکن الأفراد بما هی فی المطلق موضوعاً للحکم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شئت مع ذلک مزید توضیح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الحکم بوجوب الوفاء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326"/>
      </w:r>
      <w:r>
        <w:rPr>
          <w:rFonts w:ascii="Amiri" w:hAnsi="Amiri" w:eastAsia="Amiri" w:cs="Amiri"/>
          <w:color w:val="111111"/>
          <w:sz w:val="28"/>
          <w:sz w:val="28"/>
          <w:szCs w:val="28"/>
          <w:rtl w:val="true"/>
          <w:lang w:bidi="ar-SA"/>
        </w:rPr>
        <w:t>، قد جعل لکلّ فرد من أفراد العقد، فمصبّ الحکم فیه الأفراد بآلیة الجمع المحلّی بالألف و اللام، و أمّا الحکم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الْبَیْعَ</w:t>
      </w:r>
      <w:r>
        <w:rPr>
          <w:rFonts w:eastAsia="Amiri" w:cs="Amiri" w:ascii="Amiri" w:hAnsi="Amiri"/>
          <w:color w:val="111111"/>
          <w:sz w:val="28"/>
          <w:szCs w:val="28"/>
          <w:rtl w:val="true"/>
          <w:lang w:bidi="ar-SA"/>
        </w:rPr>
        <w:t>»</w:t>
      </w:r>
      <w:r>
        <w:rPr>
          <w:rStyle w:val="FootnoteAnchor"/>
          <w:rtl w:val="true"/>
        </w:rPr>
        <w:footnoteReference w:id="327"/>
      </w:r>
      <w:r>
        <w:rPr>
          <w:rFonts w:ascii="IRNazanin" w:hAnsi="IRNazanin" w:eastAsia="IRNazanin"/>
          <w:color w:val="111111"/>
          <w:sz w:val="28"/>
          <w:sz w:val="28"/>
          <w:szCs w:val="28"/>
          <w:rtl w:val="true"/>
          <w:lang w:bidi="fa-IR"/>
        </w:rPr>
        <w:t>فقد جعلت الحلیة علی نفس طبیعة البیع، و لا یکاد یثبت للأفراد بما هی، حکم و لکن حیث یری العقل أنّ طبیعة عقد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أنّها 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قابلة للتکثّر و قابلة للانطباق علی الأفراد الموجودة فی الخارج، فإذا وجد مصداق منها فلیس ذلک لأجل موضوعیته للحکم، بل لأجل انطباق ما هو تمام الموضوع للحلّیة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أصل تعلّق الحکم فی العموم و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الحال فی ورود التخصیص و التقیید، فإنّهما متغایران أیضاً؛ لأنّه بالتخصیص تخرج أفراد لولاه لکانت مندرجة تحت العامّ، و أمّا بالتقیید فلا تخرج الأفراد، بل تقیّد الطبیعة، و یستکشف أنّ الإرادة الجدِّیة للمولی تعلّقت بالمتقیّد بالقید، و بذلک تتضیّق الطبیعة، و یکون ما ینطبق علیه الطبیعةِ المتقیّدة من الأفراد، أقلّ ممّا تنطبق علیه نفس الطبیعة</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باب الخاصّ و العامّ غیر باب المطلق و المقیّد فی أصل تعلّق الحکم، و فی ورود التخصیص و التقیید، و لأجل هذا تختلف أحکامهما، و یجب</w:t>
      </w:r>
      <w:bookmarkStart w:id="535" w:name="pg12934_164702"/>
    </w:p>
    <w:p>
      <w:pPr>
        <w:pStyle w:val="BookText"/>
        <w:rPr/>
      </w:pPr>
      <w:bookmarkEnd w:id="535"/>
      <w:r>
        <w:rPr>
          <w:rFonts w:ascii="IRNazanin" w:hAnsi="IRNazanin" w:eastAsia="IRNazanin"/>
          <w:color w:val="111111"/>
          <w:sz w:val="28"/>
          <w:sz w:val="28"/>
          <w:szCs w:val="28"/>
          <w:rtl w:val="true"/>
          <w:lang w:bidi="fa-IR"/>
        </w:rPr>
        <w:t>إفراد کلّ منهما بالبحث، و سیأتی مزید بیان لذلک، فارتقب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دلالة المطلق علی عدم دخالة قید أو حال، إنّما هی من ناحیة حکم العقل بلحاظ جعله موضوعاً للحکم، و أمّا فی العامّ فلیس کذلک، بل استفادة الشمول و السریان قبل تعلّق الحکم؛ فإنّ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تفید کثرة إجمالیة، و بإضافتها إلی طبیعة تفید کثرة مدخولها، و لذلک یفترق باب المطلق و المقیّد عن باب العامّ و الخاصّ، من حیث عدم الاحتیاج فی إفادة العموم و الشمول إلی مقدّمات الحکمة، بخلاف باب المطلق، فإنّه محتاج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الفرق بین بابی العامّ و الخاصّ و بین المطلق و المقیّد، أوضح من أن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الغریب اختفاؤه علی الأعلام، و مع هذا فإنّ الجواد قد یکبو، و الصارم قد ینبو، ولیت شعری لو لم یکن بین العامّ و المطلق فرق فی المفاد، لکان 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یفتح باب و یذکر فیه مطالب، ثمّ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المطالب ربما تستفاد من اللفظ، و اخری من مقدّمات الحکمة، لا فتح بابین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العامّ و الخاصّ، و باب المطلق و المقیّد، و یذکر فی کلّ منهما ما فی الآخر، فتدبّر</w:t>
      </w:r>
      <w:r>
        <w:rPr>
          <w:rFonts w:eastAsia="IRNazanin" w:cs="IRNazanin"/>
          <w:color w:val="111111"/>
          <w:sz w:val="28"/>
          <w:szCs w:val="28"/>
          <w:rtl w:val="true"/>
          <w:lang w:bidi="fa-IR"/>
        </w:rPr>
        <w:t>.</w:t>
      </w:r>
    </w:p>
    <w:p>
      <w:pPr>
        <w:pStyle w:val="Heading4"/>
        <w:numPr>
          <w:ilvl w:val="3"/>
          <w:numId w:val="1"/>
        </w:numPr>
        <w:rPr/>
      </w:pPr>
      <w:bookmarkStart w:id="536" w:name="__RefHeading___Toc4026419_3224264995"/>
      <w:bookmarkStart w:id="537" w:name="_Toc205"/>
      <w:bookmarkEnd w:id="536"/>
      <w:r>
        <w:rPr>
          <w:rtl w:val="true"/>
        </w:rPr>
        <w:t>الأمر الثالث فی احتیاج المقیّد</w:t>
      </w:r>
      <w:r>
        <w:rPr>
          <w:rtl w:val="true"/>
        </w:rPr>
        <w:t xml:space="preserve">- </w:t>
      </w:r>
      <w:r>
        <w:rPr>
          <w:rtl w:val="true"/>
        </w:rPr>
        <w:t>کالمطلق</w:t>
      </w:r>
      <w:r>
        <w:rPr>
          <w:rtl w:val="true"/>
        </w:rPr>
        <w:t xml:space="preserve">- </w:t>
      </w:r>
      <w:r>
        <w:rPr>
          <w:rtl w:val="true"/>
        </w:rPr>
        <w:t>إلی مقدّمات الحکمة</w:t>
      </w:r>
      <w:bookmarkEnd w:id="537"/>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کما نحتاج فی إثبات کون المطلق تمام الموضوع للحکم، إلی مقدّمات الحکمة، فکذلک نحتاج فی إثبات کون المقیّد تمام الموضوع، إلی التشبّث بذیل مقدّمات الحکمة؛ لأنّ المقنّن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کلّ مولی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 مقام ضرب القاعدة و بیان تمام ما یکون دخیلًا فی موضوع حکمه، فإن أخذ الطبیعة اللابشرط موضوعاً لحکمه بلا قید، یستکشف من ذلک أنّ ما تعلّقت به إرادته الجدّیة هو نفس</w:t>
      </w:r>
      <w:bookmarkStart w:id="538" w:name="pg12934_164703"/>
    </w:p>
    <w:p>
      <w:pPr>
        <w:pStyle w:val="BookText"/>
        <w:rPr/>
      </w:pPr>
      <w:bookmarkEnd w:id="538"/>
      <w:r>
        <w:rPr>
          <w:rFonts w:ascii="IRNazanin" w:hAnsi="IRNazanin" w:eastAsia="IRNazanin"/>
          <w:color w:val="111111"/>
          <w:sz w:val="28"/>
          <w:sz w:val="28"/>
          <w:szCs w:val="28"/>
          <w:rtl w:val="true"/>
          <w:lang w:bidi="fa-IR"/>
        </w:rPr>
        <w:t>الطبیعة بلا قید، و لذا یصحّ الاحتجاج به من کلّ من المولی و عبده، و هکذا الحال فیما لو انضمّ إلیها قید، کما لو ضمّ إلی الرقبة صفة الإیمان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ظاهرت فأعتق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یتشبّث بذیل مقدّمات الحکمة؛ بتقریب أنّ من یکون بصدد بیان تمام ما له دخل فی موضوعیته للحکم و لم یقیّده إلّا بقید الإیمان مثلًا، فمقتضی الإطلاق عدم اعتبار قید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الإطلاق و التقیید إضافیان؛ فربّ شی‌ء یکون مطلقاً بالنسبة إلی شی‌ء، و مقیّداً بالإضافة إلی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اتصاف الرقبة بالإیمان، لا یوجب مجازیة و استعمالًا للّفظ فی غیر ما وضع له، بل استعمل کلّ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وضعت له، و باتصاف الرقبة بالإیمان یستفاد کون الموضوع متقیّداً بالإیمان بدوالّ ثلاثة و مدلولات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الرقبة، المؤمنة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مدلولهما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الهیئة الدالّة علی التوصیف، فغایة ما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طروّ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لم تکن نفس الرقبة مرادة بالإرادة الجدّیة، بل هی مقیدة بالإیمان مرادة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مصبّ الإطلاق کما یصحّ أن یکون نفس الطبیعة بالنسبة إلی القیود اللاحقة بها، فکذلک یصحّ أن تکون الطبیعة المتقیّدة بقید خاصّ بالنسبة إلی قیود اخر، بل یصحّ أن یکون الفرد بلحاظ حالاته مصبّاً للإطلاق</w:t>
      </w:r>
      <w:r>
        <w:rPr>
          <w:rFonts w:eastAsia="IRNazanin" w:cs="IRNazanin"/>
          <w:color w:val="111111"/>
          <w:sz w:val="28"/>
          <w:szCs w:val="28"/>
          <w:rtl w:val="true"/>
          <w:lang w:bidi="fa-IR"/>
        </w:rPr>
        <w:t>.</w:t>
      </w:r>
    </w:p>
    <w:p>
      <w:pPr>
        <w:pStyle w:val="Heading4"/>
        <w:numPr>
          <w:ilvl w:val="3"/>
          <w:numId w:val="1"/>
        </w:numPr>
        <w:rPr/>
      </w:pPr>
      <w:bookmarkStart w:id="539" w:name="__RefHeading___Toc4026421_3224264995"/>
      <w:bookmarkStart w:id="540" w:name="_Toc206"/>
      <w:bookmarkEnd w:id="539"/>
      <w:r>
        <w:rPr>
          <w:rtl w:val="true"/>
        </w:rPr>
        <w:t>الأمر الرابع فی استغناء العامّ فی الدلالة علی العموم عن مقدّمات الحکمة</w:t>
      </w:r>
      <w:bookmarkEnd w:id="540"/>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أشرنا إلی استغناء العامّ فی الدلالة علی العموم عن جریان مقدّمات الحکمة، بخلاف المطلق، فإنّه محتاج إلیها فی استفادة کون المطلق تمام</w:t>
      </w:r>
    </w:p>
    <w:p>
      <w:pPr>
        <w:pStyle w:val="BookText"/>
        <w:rPr/>
      </w:pPr>
      <w:r>
        <w:rPr>
          <w:rFonts w:ascii="IRNazanin" w:hAnsi="IRNazanin" w:eastAsia="IRNazanin"/>
          <w:color w:val="111111"/>
          <w:sz w:val="28"/>
          <w:sz w:val="28"/>
          <w:szCs w:val="28"/>
          <w:rtl w:val="true"/>
          <w:lang w:bidi="fa-IR"/>
        </w:rPr>
        <w:t>الموضوع للحکم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ینبغی الإشکال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یظهر من المحقّق الخراسانی قدس سره احتیاج دلالة العامّ علی العموم إلی مقدّمات الحکمة، فقال فی بیانه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 إن کانت تدلّ علی استیعاب مدخولها، إلّا أنّه لا یکاد یستفاد منها أنّ مدخولها مطلق؛ لاحتمال أن یکون المراد الطبیعة المقیّدة، لعدم کون مدخولها موضوعاً للطبیعة المطلقة، و لا المقیّدة، بل هو موضوع للطبیعة المهملة غیر الآبیة عن الإطلاق و التقیید، فلا بدّ فی إحراز کون المدخول الطبیعة المطلقة، من إجراء 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استیعاب مدخولها، و حیث إنّ مدخولها الطبیعة المهملة غیر الآبیة عن الإطلاق و التقیید، فیحتمل أن یکون المراد العالم العادل، فلا یستفاد استیعاب جمیع أفراد العالم إلّا بالتشبّث بذیل مقدّمات الحکمة</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قبال هذا القول ما ذهب إلیه شیخنا العلّامة الحائری قدس سره فقال بعدم الاحتیاج إلی مقدّمات الحکمة مطلقاً؛ لا فی المسوّرات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أضرابه، و لا فی النکرة فی سیاق النفی، و ذکر فی 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الظاهر من جعل مفهوم مورد للنفی أو اللفظ الدالّ علی العموم، کون ذلک المفهوم بنفسه مورداً لأحدهما، لا أنّه معرّف لما یکون هو المورد، و لا إشکال فی أنّ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نفس مفهوم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یقتضی استیعاب تمام الأفراد، کما أنّه لا إشکال فی أنّه إن ورد النفی علیه یقتضی تمام الأفراد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یمکن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رجل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معرّفاً لفرد خاصّ</w:t>
      </w:r>
    </w:p>
    <w:p>
      <w:pPr>
        <w:pStyle w:val="BookText"/>
        <w:rPr/>
      </w:pPr>
      <w:r>
        <w:rPr>
          <w:rFonts w:ascii="IRNazanin" w:hAnsi="IRNazanin" w:eastAsia="IRNazanin"/>
          <w:color w:val="111111"/>
          <w:sz w:val="28"/>
          <w:sz w:val="28"/>
          <w:szCs w:val="28"/>
          <w:rtl w:val="true"/>
          <w:lang w:bidi="fa-IR"/>
        </w:rPr>
        <w:t xml:space="preserve">منه، و یکون النفی وارداً علیه، و لکنّ هذا خلاف ظاهر القضیة؛ فإنّ الظاهر أنّ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مورد للنفی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 قدس سره علی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 بناءً علی هذا الظهور، یلزم عدم الاحتیاج إلی مقدّمات الحکمة فی الحکم الإیجابی أیضاً؛ لأجل أنّ ظاهر القضیة الحاکیة لتعلّق الإیجاب بالطبیعة، أنّها بنفسها مورد للحکم، لا بما هی معرّفة لصنف خاصّ منها؛ لعین ما ذکر فی القضیة المنفیة، و لازم تعلّق الحکم بالطبیعة بنفسها سریانه فی کلّ فرد، فلا یحتاج فهم العموم من القضیة إلی مقدّمات الحکمة، مع أنّه محتاج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فردّه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المهملة تصدق علی وجود فرد خاصّ حقیقة، فإن کان الثابت فی نفس الأمر الحکم المتعلّق بوجود خاصّ منها، تصحّ نسبة الحکم إلیها حقیقة، فإسراء الحکم إلی تمام الأفراد لا یقتضیه وضع اللفظ، بل یحتاج إلی المقدّمات، و هذا بخلاف النفی المتعلّق بالطبیعة المهملة، فإنّه لا یصحّ إلّا إذا لم تکن محقّقة أصلًا؛ إذ لو صحّ نفی الطبیعة مع وجود خاصّ منها یلزم اجتماع النقیضین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ببیان آخر من سماحة الاستاذ 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 بین النکرة فی سیاق الإثبات و بین النکرة فی سیاق النفی؛ هو أنّ وجود الطبیعة یتحقّق بوجود الفرد و یتحد معه، فیتصف به، بخلاف النکرة فی سیاق النفی، فإنّه إنّما یصحّ التنطّق به إذا انتفی جمیع الأفراد، فیحتاج إلی 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الطبیعة توجد بوجود فردٍ ما، و تنعدم بانعدام جمیع الأفراد، فنحتاج لنفی جمیع الأفراد إلی التشبّث بذیل مقدّمات الحکمة</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محصّل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شکّ فی أنّ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العموم من دون حاجة إلی مقدّمات الحکمة</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ما فی کلام العلمین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أفاده المحقّق الخراسانی قدس سره و من یقول بمقالته، فمقتضی کلامه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بعد جریان مقدّمات الحکمة فی المطلق، یستفاد منه ما یستفاد من العموم من حیث الدلالة علی استیعاب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یدلّ علی الاستیعاب زائد و مستدرک فی الکلام؛ فإنّه لو اجریت مقدّمات الحکمة فی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 استفید منه الشمول و الاستیعاب، فلا نحتاج إلی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 یکون للفظة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القول بلزوم إجراء المقدّمات فی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هو أنّه بعد جریانها تکون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مستدرکة، و عند عدم جریانها لا تغنی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شی‌ء أصلًا،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أشرنا إلی أنّ مقتضی جریان المقدّمات فیما تجری فیه، لیس هو الاستیعاب و الشمول، بل غایته أنّ نفس الطبیعة من حیث هی، تمام الموضوع للحکم، و معلوم أنّ نفس الطبیعة من حیث هی لیست إلّا نفسها، و اللفظ الموضوع لها لا یدلّ علی أزید من ذلک؛ لعدم معقولیة حکایة اللفظ و دلالته علی غیر ما وضع له و إن اتحد معه خارجاً، فإذن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تحکی إلّا عن نفس الطبیعة دون الأفراد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أشرنا غیر مرّة إلی أنّ دلالة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جریان مقدّمات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عقلیة من حیث جعل الطبیعة اللّابشرط موضوعاً للحکم، و لذا یکون جریانها بعد تعلّق الحکم، و لا یکاد یستفاد الإطلاق و لا التقیید قبل انحدار الحکم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دلالة العموم فهی دلالة لفظیة، و لذا یستفاد الشمول و السریان قبل انحدار الحکم، مثلًا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 نفس الطبیعة المهملة، و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الکثرة</w:t>
      </w:r>
    </w:p>
    <w:p>
      <w:pPr>
        <w:pStyle w:val="BookText"/>
        <w:rPr/>
      </w:pPr>
      <w:r>
        <w:rPr>
          <w:rFonts w:ascii="IRNazanin" w:hAnsi="IRNazanin" w:eastAsia="IRNazanin"/>
          <w:color w:val="111111"/>
          <w:sz w:val="28"/>
          <w:sz w:val="28"/>
          <w:szCs w:val="28"/>
          <w:rtl w:val="true"/>
          <w:lang w:bidi="fa-IR"/>
        </w:rPr>
        <w:t xml:space="preserve">الإجمالیة، و 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إلیها تدلّ علی کثرة طبیعة مدخولها، فمن 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انحدار الحکم علیه، یفهم منه استیعاب جمیع الأفراد، و بعد انحدار الحکم یفهم تعلّق الحکم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الحکم علی الأفراد، متأخّر عنها تأخّر الحکم عن موضوعه، و جریان مقدّمات الحکمة متأخّر عن الحکم، و لو لا الحکم و موضوعیة الطبیعة للحکم لما جرت المقدّمات، فجریان المقدّمات متأخّر عن إفادة الأفراد برتبتین، فما ظنّک باستفادتها من جریانها؟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استفادة الاستیعاب و الشمول من العموم، غیر رهین بجریان المقدّمات، بخلاف استفادة الإطلاق من المطلق، فإنّها رهینة بجریانها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یصحّ جریان المقدّمات فی الأفراد بلحاظ حالاتها، فإنّه لو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العلم بوجوب إکرام کلّ فرد من أفراد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أنّه هل یجب ذلک فی جمیع حالاته من کونه فاسقاً، عادلًا، راجلًا، راکباً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فمقتضی جریانها هو أنّ کلّ فرد من أفراد العلماء تمام الموضوع لوجوب الإکرام فی جمیع حالاته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ذکرنا من الفرق کأنّه غیر خفیّ علی من أمعن النظر و تدبّر، أ لا تری أنّه لم یقل أحد فی باب من أبواب الفقه؛ بعدم کون عامّ فی مقام البیان، مع أنّهم یصرّحون کثیراً بعدم تمامیة مقدّمات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ذلک إلّا لأجل أنّ باب العموم غیر مربوط بجریان مقدّمات الحکمة</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کنت مع ذلک فی شکّ فیما ذکرنا، فاختبر نفسک بأنّه إذا سمعت عامّاً و شککت فی أنّ المتکلّم فی مقام البیان، تستفید منه الاستیعاب و الشمول، بخلاف المطلق، فإنّه لا یمکنک الاستفادة إلّا بعد إحراز کون المتکلّم فی مقام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فیما یتعلّق بمقال المحقّق الخراسانی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 شیخنا العلّامة الحائری قدس سره ففیه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مخالف لما ذکره فی باب المطلق و المقیّد، وفاقاً لأُستاذه المحقّق الفشارکی قدس سره و ذلک لأنّه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هنا باحتیاج النکرة فی سیاق الإثبات إلی جریان مقدّمات الحکمة، و قد صرّح بأنّ مقتضی جریانها هو استفادة العموم و السریان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صرّح فی باب المطلق و المقیّد بأنّه لا نحتاج فی حمل المطلق علی الإطلاق إلی إحراز مقدّمات الحکمة أصلًا؛ حتّی إحراز کون المتکلّم فی مقام بیان تمام المراد، بتقریبٍ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الطبیعة المهملة مردّدة بین المطلق و المقیّد، و لا ثالث لهما، و من المعلوم أنّه لو کان المراد المقیّد لما کان تعلّق الإرادة بالطبیعة أصلیاً استقلالیاً، بل تبعیاً بتبع إرادة المقیّد، و ظهور الإرادة فی الاستقلال یدلّ علی تعلّقها بالطبیعة المطلقة، فإذا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فظاهره کون نفس طبیعة الرجولیة متعلّقة للإرادة أوّلًا و بالذات، لا الطبیعة المقیّدة، فاضیفت إرادته إلی نفس الطبیعة لمکان الاتحاد، و مقتضی هذا الظهور سرایة الإرادة إلی تمام الأفراد، و لیس هذا إلّا معنی الإطلاق</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ظهر التنافی بین کلامیه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غیر تامّ فی حدّ نفسه؛ لما أشرنا من أنّه بعد إحراز کون المولی فی مقام البیان، فغایة ما یقتضیه جعل اللفظ الموضوع للطبیعة المهملة موضوعاً لحکمه، هی کون الطبیعة من غیر قید تمام الموضوع لحکمه، و یصحّ علیه احتجاج المولی علی عبده، و بالعکس، و لا تکون لتلک اللفظة دلالة أزید من ذلک، فحدیث توقّف استفادة العموم و الشمول علی جریان مقدّمات الحکمة، غیر صحیح</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حیث إنّ الطبیعة تتکثّر فی الخارج بتکثّر الأفراد، لذا تتکثّر الطبیعة</w:t>
      </w:r>
      <w:bookmarkStart w:id="541" w:name="pg12934_164709"/>
    </w:p>
    <w:p>
      <w:pPr>
        <w:pStyle w:val="BookText"/>
        <w:rPr/>
      </w:pPr>
      <w:bookmarkEnd w:id="541"/>
      <w:r>
        <w:rPr>
          <w:rFonts w:ascii="IRNazanin" w:hAnsi="IRNazanin" w:eastAsia="IRNazanin"/>
          <w:color w:val="111111"/>
          <w:sz w:val="28"/>
          <w:sz w:val="28"/>
          <w:szCs w:val="28"/>
          <w:rtl w:val="true"/>
          <w:lang w:bidi="fa-IR"/>
        </w:rPr>
        <w:t>بتکثّرها، و لکنّه خارج عن حریم الإطلاق و مقتضاه، و کم فرق بین دلالة اللفظ علی شی‌ء، و بین اتحاده مع شی‌ء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وضعت للماهیة اللابشرط، و لا یعقل حکایة اللفظ الموضوع لمعنی و مرآتیته عن غیر ما وضع له و إن اتّحد معه خارجاً، فلا یحکی اللفظ الموضوع للطبیعة عن الأفراد، فحدیث سرایة الإرادة إلی تمام الأفراد فی المطلق، غیر سدید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فی باب المطلق و المقیّد، فمن دقّق النظر فیه یجد أنّ القول بظهور الإرادة فی الاستقلال، عبارة اخری عن کون المولی فی مقام البیان، و إلّا فلو لم یحرز کون المولی فی مقام بیان تمام المراد و احتمل ذکر القید بعده، فلا یکون له سبیل إلی ذاک الاستظهار، فإذن لا محیص فی استفادة الإطلاق من إحراز کون المولی فی مقام البیان، و سیظهر لک جلیاً إن شاء اللَّه أنّ النکتة الوحیدة فی استفادة الإطلاق هو هذا لیس إلّا دون غیره، فارتقب حتّی حین</w:t>
      </w:r>
      <w:r>
        <w:rPr>
          <w:rFonts w:eastAsia="IRNazanin" w:cs="IRNazanin"/>
          <w:color w:val="111111"/>
          <w:sz w:val="28"/>
          <w:szCs w:val="28"/>
          <w:rtl w:val="true"/>
          <w:lang w:bidi="fa-IR"/>
        </w:rPr>
        <w:t>.</w:t>
      </w:r>
    </w:p>
    <w:p>
      <w:pPr>
        <w:pStyle w:val="Heading4"/>
        <w:numPr>
          <w:ilvl w:val="3"/>
          <w:numId w:val="1"/>
        </w:numPr>
        <w:rPr/>
      </w:pPr>
      <w:bookmarkStart w:id="542" w:name="__RefHeading___Toc4026423_3224264995"/>
      <w:bookmarkStart w:id="543" w:name="_Toc207"/>
      <w:bookmarkEnd w:id="542"/>
      <w:r>
        <w:rPr>
          <w:rtl w:val="true"/>
        </w:rPr>
        <w:t>الأمر الخامس فی تقسیمات العامّ و المطلق</w:t>
      </w:r>
      <w:bookmarkEnd w:id="543"/>
    </w:p>
    <w:p>
      <w:pPr>
        <w:pStyle w:val="Heading5"/>
        <w:numPr>
          <w:ilvl w:val="4"/>
          <w:numId w:val="1"/>
        </w:numPr>
        <w:rPr/>
      </w:pPr>
      <w:bookmarkStart w:id="544" w:name="__RefHeading___Toc4026425_3224264995"/>
      <w:bookmarkStart w:id="545" w:name="_Toc208"/>
      <w:bookmarkEnd w:id="544"/>
      <w:r>
        <w:rPr>
          <w:rtl w:val="true"/>
        </w:rPr>
        <w:t>أقسام العامّ</w:t>
      </w:r>
      <w:bookmarkEnd w:id="545"/>
    </w:p>
    <w:p>
      <w:pPr>
        <w:pStyle w:val="BookText"/>
        <w:rPr/>
      </w:pPr>
      <w:r>
        <w:rPr>
          <w:rFonts w:ascii="IRNazanin" w:hAnsi="IRNazanin" w:eastAsia="IRNazanin"/>
          <w:color w:val="111111"/>
          <w:sz w:val="28"/>
          <w:sz w:val="28"/>
          <w:szCs w:val="28"/>
          <w:rtl w:val="true"/>
          <w:lang w:bidi="fa-IR"/>
        </w:rPr>
        <w:t>قسّموا العموم إلی الاستغراقی، و المجموعی، و البدلی، و ربما یظهر من بعضهم تقسیم الإطلاق إلی الاستغراقی، و المجموعی، و البدلی</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أنّه لا إشکال فی تقسیم العموم إلیها؛ لما نری من شهادة العرف و العقلاء بوجود ألفاظ یکون مفاد بعضها العموم الاستغراقی، و بعضها الآخر المجموعی، و ثالثها البدلی، و ذلک کلفظة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فإنّ المتبادر منها الکثرة و الشمول بنحو الاستغراق الأفرادی؛ أی تدلّ بالدوال الثلاثة علی کثرات تکون کلّ واحدة</w:t>
      </w:r>
    </w:p>
    <w:p>
      <w:pPr>
        <w:pStyle w:val="BookText"/>
        <w:rPr/>
      </w:pPr>
      <w:r>
        <w:rPr>
          <w:rFonts w:ascii="IRNazanin" w:hAnsi="IRNazanin" w:eastAsia="IRNazanin"/>
          <w:color w:val="111111"/>
          <w:sz w:val="28"/>
          <w:sz w:val="28"/>
          <w:szCs w:val="28"/>
          <w:rtl w:val="true"/>
          <w:lang w:bidi="fa-IR"/>
        </w:rPr>
        <w:t>منها فی عَرْض الاخری موضوعاً للحکم؛ من دون لحاظ الاجتماع و صیرورتها موضوعاً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یتبادر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قبل تعلّق الحکم علیه، کثرة أفراد طبیعة العالم بالدوال الثلاثة، و بعد تعلّق الحکم علیه ینحلّ الحکم بعدد أفراد العالم، و استفادة هذا المعنی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رهینة بجریان مقدّمات الحکمة، و لذا یفهم منه الکثرة قبل تعلّق الحکم علیه، بل یستفاد ذلک و إن القی بصورة الإخبار و الجملة الخبریة و نقل القصص و الحکایات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أشرنا و سنشیر مفصّلًا إلی أنّ استفادة الإطلاق، إنّما هی بعد تعلّق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الدلالة علی الکثرات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اللغة 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قبال هذه الألفاظ ألفاظ تدلّ علی أفراد الطبیعة و مصادیقها فی عَرْض واحد، لکن مع ملاحظة الأفراد بنعت الوحدة و الاجتماع؛ بحیث تکون الأفراد بهذا الاعتبار بمنزلة الأجزاء، و ذلک کلفظة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المتبادر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کثرة الأفراد بنحو العرضیة، لکنّه مع اعتبار صفة الاجتماع، فالمستفاد منه غیر ما هو المستفاد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المتبادر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المتبادر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فکأنّه اعتبر فیه صفة الاجتماع، فیکون أفراد العالم عند ذلک بمنزلة الأجزاء، نظیر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اعتبار الأفراد أجزاء، فتدبّر</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قبال هاتین الطائفتین من الألفاظ، ألفاظ یتبادر منها البدلیة، کلفظة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الاستفهامیة،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أَیُّکُمْ یَأْتِینِی بِعَرْشِها</w:t>
      </w:r>
      <w:r>
        <w:rPr>
          <w:rFonts w:eastAsia="Amiri" w:cs="Amiri" w:ascii="Amiri" w:hAnsi="Amiri"/>
          <w:color w:val="111111"/>
          <w:sz w:val="28"/>
          <w:szCs w:val="28"/>
          <w:rtl w:val="true"/>
          <w:lang w:bidi="ar-SA"/>
        </w:rPr>
        <w:t>»</w:t>
      </w:r>
      <w:r>
        <w:rPr>
          <w:rStyle w:val="FootnoteAnchor"/>
          <w:rtl w:val="true"/>
        </w:rPr>
        <w:footnoteReference w:id="331"/>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فَأَیَّ آیاتِ اللَّهِ تُنْکِرُونَ</w:t>
      </w:r>
      <w:r>
        <w:rPr>
          <w:rFonts w:eastAsia="Amiri" w:cs="Amiri" w:ascii="Amiri" w:hAnsi="Amiri"/>
          <w:color w:val="111111"/>
          <w:sz w:val="28"/>
          <w:szCs w:val="28"/>
          <w:rtl w:val="true"/>
          <w:lang w:bidi="ar-SA"/>
        </w:rPr>
        <w:t>»</w:t>
      </w:r>
      <w:r>
        <w:rPr>
          <w:rStyle w:val="FootnoteAnchor"/>
          <w:rtl w:val="true"/>
        </w:rPr>
        <w:footnoteReference w:id="332"/>
      </w:r>
      <w:r>
        <w:rPr>
          <w:rFonts w:ascii="IRNazanin" w:hAnsi="IRNazanin" w:eastAsia="IRNazanin"/>
          <w:color w:val="111111"/>
          <w:sz w:val="28"/>
          <w:sz w:val="28"/>
          <w:szCs w:val="28"/>
          <w:rtl w:val="true"/>
          <w:lang w:bidi="fa-IR"/>
        </w:rPr>
        <w:t xml:space="preserve">، فإنّ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الاستفهامیة ما یعبّر عنها بالفارسیة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تدلّ علی الکثرات بنحو العامّ الاستغراقی، و لا المجموعی،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یکون العامّ البدلی فی غیر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الاستفهامیة،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أَیًّا ما تَدْعُوا فَلَهُ الْأَسْماءُ الْحُسْنی</w:t>
      </w:r>
      <w:r>
        <w:rPr>
          <w:rFonts w:eastAsia="Amiri" w:cs="Amiri" w:ascii="Amiri" w:hAnsi="Amiri"/>
          <w:color w:val="111111"/>
          <w:sz w:val="28"/>
          <w:szCs w:val="28"/>
          <w:rtl w:val="true"/>
          <w:lang w:bidi="ar-SA"/>
        </w:rPr>
        <w:t>»</w:t>
      </w:r>
      <w:r>
        <w:rPr>
          <w:rStyle w:val="FootnoteAnchor"/>
          <w:rtl w:val="true"/>
        </w:rPr>
        <w:footnoteReference w:id="333"/>
      </w:r>
      <w:r>
        <w:rPr>
          <w:rFonts w:ascii="IRNazanin" w:hAnsi="IRNazanin" w:eastAsia="IRNazanin"/>
          <w:color w:val="111111"/>
          <w:sz w:val="28"/>
          <w:sz w:val="28"/>
          <w:szCs w:val="28"/>
          <w:rtl w:val="true"/>
          <w:lang w:bidi="fa-IR"/>
        </w:rPr>
        <w:t>و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 مالک من أیّ مصداق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من أیّ طریق أردت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تدلّ بالدلالة الوضعیة اللفظیة علی العموم البدلی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یکون لنا فی باب العموم ألفاظ یتبادر من بعضها العموم الاستغراقی، و من بعضها الآخر العموم المجموعی، و من الثالث العموم البدلی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تقسیم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أقسام المطلق</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المطلق، فقال المحقّق الخراسانی قدس سره فی آخر مبحث المطلق و المقیّد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 لا تخلو من 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قضیّة مقدّمات الحکمة تختلف حسب اختلاف المقامات؛ فإنّها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حملها علی العموم البدلی، 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العموم الاستیعابی، 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نحو خاصّ ممّا ینطبق علیه؛ حسب اقتضاء خصوص المقام و اختلاف الآثار و الأحکام، کما هو الحال فی سائر القرائن بلا کلام، فمقتضی الحکمة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اللَّهُ الْبَیْعَ وَ حَرَّمَ الرِّبا</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هو العموم الاستیعابی؛</w:t>
      </w:r>
    </w:p>
    <w:p>
      <w:pPr>
        <w:pStyle w:val="BookText"/>
        <w:rPr/>
      </w:pPr>
      <w:r>
        <w:rPr>
          <w:rFonts w:ascii="IRNazanin" w:hAnsi="IRNazanin" w:eastAsia="IRNazanin"/>
          <w:color w:val="111111"/>
          <w:sz w:val="28"/>
          <w:sz w:val="28"/>
          <w:szCs w:val="28"/>
          <w:rtl w:val="true"/>
          <w:lang w:bidi="fa-IR"/>
        </w:rPr>
        <w:t>بلحاظ أنّ إرادة البیع مهملًا أو مجملًا تنافی فرض کونه فی مقام البیان، و إرادة العموم البدلی لا تناسب المقام، و لا مجال لاحتمال إرادة بیعٍ اختاره المکلّف؛ أیّ بیع کان، فمقدّمات الحکمة توجب حمل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العموم الاستیعابی؛ لأنّه المناسب بعد کونه فی مقام البیان</w:t>
      </w:r>
      <w:r>
        <w:rPr>
          <w:rStyle w:val="FootnoteAnchor"/>
          <w:rtl w:val="true"/>
        </w:rPr>
        <w:footnoteReference w:id="335"/>
      </w:r>
      <w:r>
        <w:rPr>
          <w:rFonts w:ascii="IRNazanin" w:hAnsi="IRNazanin" w:eastAsia="IRNazanin"/>
          <w:color w:val="111111"/>
          <w:sz w:val="28"/>
          <w:sz w:val="28"/>
          <w:szCs w:val="28"/>
          <w:rtl w:val="true"/>
          <w:lang w:bidi="fa-IR"/>
        </w:rPr>
        <w:t>و وافقه فی ذلک بعض</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أشرنا غیر مرّة إلی أنّ مقتضی جریان مقدّمات الحکمة فی جمیع الموارد، لیس إلّا أمراً واحداً؛ و هو کون ما أخذه موضوعاً للحکم، هو تمام الموضوع لحکمه من دون دخالة أمر آخر، فإن کان المأخوذ موضوعاً ماهیة 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فمقتضی الحکمة أنّ نفس ماهیة البیع تمام الموضوع للحکم بالحلّیة، و لا تکون هناک حالة منتظرة فی ترتّب الحلّیة علیه، و أنّی له و للدلالة علی الاستیعاب؟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حیث إنّ الطبیعة تتکثّر بتکثّر الأفراد، و یری العقل و العقلاء أنّ ما أخذه موضوعاً للحکم بالحلّیة، موجود فی هذا البیع، و ذاک 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فلا محالة یحکمون بنفوذ کلّ واحد من أفراد البیوع، و من المعلوم أنّ استفادة ذلک لیس بدلالة الإطلاق</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إذا جعلت النکرة موضوعاً للحکم،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نفس الطبیعة، و التنوین أو التنکیر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واحد غیر معیّن،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بتعدّد الدالّ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رقبة غیر معیّنة من الطبیعة، و لا یکون فیها دلالة علی البدلیة بلا 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مقتضی 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تعلیق الحکم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التخییر بإتیان أیّ فرد شاء فی مورد التکالیف، و لذا یکون فرق بین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 أیّة رقبة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التخییر فی الأوّل عقلی، و فی الثانی لفظی مستفاد من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الحکمة فی جمیع الموارد أمر واحد؛ و هو أنّ ما اخذ تحت دائرة الحکم تمام الموضوع لترتّب الحکم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حکم العقل و العقلاء یختلف بحسب المقامات، و هو غیر دلالة اللفظ؛ فربما یستفاد أنّ الحکم متعلّق بنفس الطبیعة، و لم ترفع الید عنها، کما هو الشأن فی قابلیة الإنسان للصنعة و الکتابة، فکما أنّه إذا لم یکن بعض أفراده قابلًا للصنعة و الکتابة، لا یمکن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الإنسان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لا دخالة للخصوصیات الفردیة فی القابلیة، فکذلک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قد جعل نفس طبیعة البیع تمام الموضوع لتعلّق الحلّیة علیه، و لا یکاد یمکن ذلک إلّا إذا کان جمیع أفراد البیع و مصادیقه محلّلًا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ربما یستفاد من الدلیل تحدید الطبیعة، و ذلک فیما إذا جعلت النکرة موضوعاً للحکم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لا یضرّ بوحدة مقتضی الإطلاق، و لذا تجری مقدّمات الحکمة فیما إذا جعل الفرد موضوعاً للحکم، و مقتضاه عدم دخالة حالةٍ دون اخری فی موضوعیته للحکم، و واضح أنّه لا تختلف أصالة الإطلاق فی حالات الفرد، مع أصالة الإطلاق فی صورة کون الماهیة أو النکرة موضوعاً للحکم</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استفادة الاستیعاب و البدلیة من مقدّمات الحکمة، غیر وجیه، بل من المحال أن یستفادا من الإطلاق، و توهّم استفادة ذلک نشأ من الخلط بین مقتضی الإطلاق و حکم العقل و العقلاء، فتدبّر و تأمّل حتّی لا تخلط</w:t>
      </w:r>
      <w:r>
        <w:rPr>
          <w:rFonts w:eastAsia="IRNazanin" w:cs="IRNazanin"/>
          <w:color w:val="111111"/>
          <w:sz w:val="28"/>
          <w:szCs w:val="28"/>
          <w:rtl w:val="true"/>
          <w:lang w:bidi="fa-IR"/>
        </w:rPr>
        <w:t>.</w:t>
      </w:r>
      <w:bookmarkStart w:id="546" w:name="pg12934_164714"/>
    </w:p>
    <w:p>
      <w:pPr>
        <w:pStyle w:val="Heading5"/>
        <w:numPr>
          <w:ilvl w:val="4"/>
          <w:numId w:val="1"/>
        </w:numPr>
        <w:rPr/>
      </w:pPr>
      <w:bookmarkStart w:id="547" w:name="__RefHeading___Toc4026427_3224264995"/>
      <w:bookmarkStart w:id="548" w:name="_Toc209"/>
      <w:bookmarkEnd w:id="546"/>
      <w:bookmarkEnd w:id="547"/>
      <w:r>
        <w:rPr>
          <w:rtl w:val="true"/>
        </w:rPr>
        <w:t>تنبیه و توضیح مقال</w:t>
      </w:r>
      <w:bookmarkEnd w:id="548"/>
    </w:p>
    <w:p>
      <w:pPr>
        <w:pStyle w:val="BookText"/>
        <w:rPr/>
      </w:pPr>
      <w:r>
        <w:rPr>
          <w:rFonts w:ascii="IRNazanin" w:hAnsi="IRNazanin" w:eastAsia="IRNazanin"/>
          <w:color w:val="111111"/>
          <w:sz w:val="28"/>
          <w:sz w:val="28"/>
          <w:szCs w:val="28"/>
          <w:rtl w:val="true"/>
          <w:lang w:bidi="fa-IR"/>
        </w:rPr>
        <w:t>قد أشرنا آنفاً إلی أنّ تقسیم العموم إلی الأقسام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الاستغراقیة، و المجموعیة، و البدلیة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بلحاظ تعلّق الحکم و بعد تعلّقه، کما هو الشأن فی استفادة الإطلاق، حیث إنّها بعد تعلّق الحکم، و لکن نعطف عنان البحث حوله ثانیاً توضیحاً للمقال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من المحقّقین الخراسانی و النائینی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انقسام العموم إلی الأقسام المذکورة لیس باعتبار معناه الأفرادی؛ بحیث یکون التقسیم إلیها باعتبار وضع العموم بمعناه الأفرادی؛ لأنّ العموم بحسب الوضع لیس معناه إلّا الشمول، و هو معنی واحد شامل لجمیع الأقسام، بل التقسیم إلیها إنّما یکون باعتبار تعلّق الحکم بموضوعاتها؛ حیث إنّ الغرض من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علی وجه یکون لاجتماع الأفراد دخل فی الغرض؛ بحیث یکون مجموع الأفراد بمنزلة موضوع واحد، و له إطاعة واحدة بإکرامه جمیع أفراد العلماء فی مثل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جمیع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عصیانه یکون بعدم إکرام فرد واحد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الغرض علی وجه یکون کلّ فرد فرد من العالم، موضوعاً مستقلّاً، و تتعدّد الإطاعة و العصیان حسب تعدّد الأفراد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w:t>
      </w: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کلّ واحد موضوعاً علی البدل؛ بحیث لو أکرم واحداً منهم لأطاع و امتثل</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دلالة العموم بأقسامه دلالة لفظیة، و لکلّ واحد من الأقسام الثلاثة ألفاظ مخصوصة حسب ما فصّلناه، فإنّ المتبادر من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بدوالّ ثلاثة هو العامّ الاستغراقی؛ أی کلّ فرد من أفراد العالم قبل تعلّق الحکم، و کذا المتبادر من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العامّ المجموعی،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 البدلی، و لا یتوقّف العرف و العقلاء فی فهم واحد منها من تلک الألفاظ علی کیفیة تعلّق الحکم، و هم بمرأی منک و مسمع فاختبرهم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ما أفاداه هو توقّف أهل المحاورة فی فهم کیفیة تعلّق الحکم حتّی یتفحّصوا و یتطلّبوا حوله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العموم باب دلالة الألفاظ، و لکلّ من الاستغراقیة و المجموعیة و البدلیة ألفاظ تخصّها قبل تعلّق الحکم، فحدیث توقّف استفادة ذلک علی کیفیة تعلّق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الشأن فی استفادة الإطلاق من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صحیح</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یعقل أن یکون اختلاف الثلاثة باختلاف کیفیة تعلّق الحکم؛ لأنّه لا بدّ فی کلّ 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إخباریة کانت، أم إنشائیة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تصوّر الموضوع أوّلًا، ثمّ انحدار الحکم الوحدانی علیه؛ لأنّ الحکم تابع لموضوعه، و من الواضح أنّه لا یعقل انحدار الحکم الوحدانی علی الموضوعات الکثیرة المأخوذة علی نحو الاستغراق، و لا انحدار الحکم الاستغراقی علی موضوع وحدانی، فظهر أنّه قبل تعلّق الحکم لا بدّ من تعیین الموضوع من حیث الاستغراقیة، و المجموعیة، و البدلیة، و أنّ مقتضی ما أفاداه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قبل تعلّق الحکم لا یکون هناک استغراق، و لا مجموع، و لا بدل، و إنّما هی بعد تعلّق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یکون الحکم منحدراً و متعلّقاً علی ما لم یکن له فی حدّ نفسه استغراق، و لا مجموع، و لا بدل، و من المعلوم أنّ الإهمال الثبوتی الواقعی لا معنی له، بل فی الواقع إمّا یتعلّق الحکم بجمیع الأفراد، أو بفرد ما، أو بمجموع الأفراد</w:t>
      </w:r>
      <w:r>
        <w:rPr>
          <w:rFonts w:eastAsia="IRNazanin" w:cs="IRNazanin"/>
          <w:color w:val="111111"/>
          <w:sz w:val="28"/>
          <w:szCs w:val="28"/>
          <w:rtl w:val="true"/>
          <w:lang w:bidi="fa-IR"/>
        </w:rPr>
        <w:t>.</w:t>
      </w:r>
      <w:bookmarkStart w:id="549" w:name="pg12934_164716"/>
    </w:p>
    <w:p>
      <w:pPr>
        <w:pStyle w:val="BookText"/>
        <w:rPr/>
      </w:pPr>
      <w:bookmarkEnd w:id="549"/>
      <w:r>
        <w:rPr>
          <w:rFonts w:ascii="IRNazanin" w:hAnsi="IRNazanin" w:eastAsia="IRNazanin"/>
          <w:color w:val="111111"/>
          <w:sz w:val="28"/>
          <w:sz w:val="28"/>
          <w:szCs w:val="28"/>
          <w:rtl w:val="true"/>
          <w:lang w:bidi="fa-IR"/>
        </w:rPr>
        <w:t>فظهر و 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تقسیم العموم إلی الأقسام الثلاثة، إنّما هو بلحاظ تقسیم الموضوع قبل تعلّق الحکم؛ باعتبار وضع اللفظ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 أنّ الإطلاق المستفاد من دلالة العقل، هو من باب المرآتیة للأفراد، لکنّا نقول بذلک أیضاً و أنّه قبل تعلّق الحکم؛ لأنّ المرآتیة إمّا تکون لجمیع الأفراد، أو لمجموع الأفراد، أو لفرد منها؛ لما أشرنا من أنّ الإهمال الثبوتی لا معنی له، فإذا کان الأمر فی الإطلاق المستفاد من دلالة العقل کذلک فما ظنّک فیما تکون دلالته لفظیة باعتبار وضع اللفظ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Heading4"/>
        <w:numPr>
          <w:ilvl w:val="3"/>
          <w:numId w:val="1"/>
        </w:numPr>
        <w:rPr/>
      </w:pPr>
      <w:bookmarkStart w:id="550" w:name="__RefHeading___Toc4026429_3224264995"/>
      <w:bookmarkStart w:id="551" w:name="_Toc210"/>
      <w:bookmarkEnd w:id="550"/>
      <w:r>
        <w:rPr>
          <w:rtl w:val="true"/>
        </w:rPr>
        <w:t>الأمر السادس فیما عدّ من الألفاظ الدالّة علی العموم</w:t>
      </w:r>
      <w:bookmarkEnd w:id="551"/>
    </w:p>
    <w:p>
      <w:pPr>
        <w:pStyle w:val="Heading5"/>
        <w:numPr>
          <w:ilvl w:val="4"/>
          <w:numId w:val="1"/>
        </w:numPr>
        <w:rPr/>
      </w:pPr>
      <w:bookmarkStart w:id="552" w:name="__RefHeading___Toc4026431_3224264995"/>
      <w:bookmarkStart w:id="553" w:name="_Toc211"/>
      <w:bookmarkEnd w:id="552"/>
      <w:r>
        <w:rPr>
          <w:rtl w:val="true"/>
        </w:rPr>
        <w:t>اشارة</w:t>
      </w:r>
      <w:bookmarkEnd w:id="553"/>
    </w:p>
    <w:p>
      <w:pPr>
        <w:pStyle w:val="BookText"/>
        <w:rPr/>
      </w:pPr>
      <w:r>
        <w:rPr>
          <w:rFonts w:ascii="IRNazanin" w:hAnsi="IRNazanin" w:eastAsia="IRNazanin"/>
          <w:color w:val="111111"/>
          <w:sz w:val="28"/>
          <w:sz w:val="28"/>
          <w:szCs w:val="28"/>
          <w:rtl w:val="true"/>
          <w:lang w:bidi="fa-IR"/>
        </w:rPr>
        <w:t xml:space="preserve">المعروف عندهم أنّ النکرة أو اسم الجنس الواقعین فی سیاق النفی أو النهی، یفیدان العموم، و رأوا أنّه یستفاد منهما ما یستفاد من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شیخنا العلّامة الحائری قدس سره أنّ استفادة العموم هنا غیر رهینة بجریان مقدّمات الحکمة؛ بلحاظ أنّ نفی الطبیعة مستلزم لنفی أفرادها عقلًا</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تکاد تکون الطبیعة معدومة إلّا إذا کانت معدومة بجمیع أفرادها، و إلّا فهی موجودة</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تخلو الاستفادة من النظر؛ لأنّه لا فرق فی دلالة النکرة أو اسم الجنس علی معناه الموضوع له، بین وقوعهما فی مقام الإثبات، أو النفی، أو النهی؛ لأنّ الاستفادة لا بدّ و أن تکون إمّا من مفردات الجملة، أو من المجموع المرکّب منها،</w:t>
      </w:r>
    </w:p>
    <w:p>
      <w:pPr>
        <w:pStyle w:val="BookText"/>
        <w:rPr/>
      </w:pPr>
      <w:r>
        <w:rPr>
          <w:rFonts w:ascii="IRNazanin" w:hAnsi="IRNazanin" w:eastAsia="IRNazanin"/>
          <w:color w:val="111111"/>
          <w:sz w:val="28"/>
          <w:sz w:val="28"/>
          <w:szCs w:val="28"/>
          <w:rtl w:val="true"/>
          <w:lang w:bidi="fa-IR"/>
        </w:rPr>
        <w:t xml:space="preserve">و کلاهما لا یخلوان من النظر؛ و ذلک لأنّ اسم الجنس موضوع للطبیعة اللابشرط، و لا فرق فی ذلک من حیث الدلالة علی معناه الموضوع له، بین وقوعه فی سیاق الإیجاب، أو النفی، و کذا تنوین التنکیر وضع للدلالة علی تنکیر الطبیعة؛ أی الواحد لا بعینه، بمعنی تقیید الطبیعة بقید الوحدة غیر المعیّنة، لکن بالمعنی الحرفی دون الاسمی؛ سواء وقعت فی مقام النفی، أو الإثبات، و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وضعت لنفی موضوعها، أو الزجر عنه، فلا یوجد ما یدلّ علی نفی الأفراد و العموم و الشمول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شیخنا العلّامة تسلیم عدم دلالته علی العموم لفظاً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المجموع المرکّب، فلم یکن له وضع علی 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کما أنّ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هیئة الأمر فیه علی البعث نحو المادّة، و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نفس الطبیعة، و التنوین علی التنکیر، و مقتضی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مفعولًا هو تعلّق العتق بها، فیستفاد منه لزوم عتق الرقبة، فکذلک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نفی عتق رقبة واحدة؛ لأنّه لا فرق بین الجملتین إلّا من حیث الإثبات و النفی، و مقتضی مقدّمات الحکمة أنّ نفس الطبیعة تمام الموضوع لتعلّق الحکم بها؛ من دون فرق فی ذلک بین وقوعها فی مقام الإثبات، أو النفی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فرق بینهما من حیث الاحتیاج إلی جریان مقدّمات الحکمة؛ لإثبات أنّ نفس الطبیعة تمام الموضوع لتعلّق الحکم بها، فحدیث احتیاج الطبیعة فی مقام الإثبات إلی مقدّمات الحکمة دونها فی مقام النفی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شیخنا العلّامة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وجیه</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ینبغی إنکار أنّه بعد إجراء مقدّمات الحکمة، تختلف نتیجتها فی سیاق النفی و الإثبات، فإنّ المتفاهم عرفاً من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رجل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انتفاء الرجولیة</w:t>
      </w:r>
    </w:p>
    <w:p>
      <w:pPr>
        <w:pStyle w:val="BookText"/>
        <w:rPr/>
      </w:pPr>
      <w:r>
        <w:rPr>
          <w:rFonts w:ascii="IRNazanin" w:hAnsi="IRNazanin" w:eastAsia="IRNazanin"/>
          <w:color w:val="111111"/>
          <w:sz w:val="28"/>
          <w:sz w:val="28"/>
          <w:szCs w:val="28"/>
          <w:rtl w:val="true"/>
          <w:lang w:bidi="fa-IR"/>
        </w:rPr>
        <w:t>فیها رأساً، بخلاف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صادق مع رؤیتک فرداً منه، و لکنّ الاختلاف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مبتنیاً علی رکن وثیق بُرهانی، و لا یکون الدالّ علیها فی مقام النفی غیر ما هو الدالّ علیها فی مقام الإثبات، فالاختلاف بینهما إنّما هو بلحاظ الفهم العرفی؛ فإنّهم یرون أنّ المهملة توجد بوجود فردٍ ما، و تنعدم بانعدام جمیع الأفراد؛ و إن کان الحکم البرهانی العقلی علی خلافه، لأنّ العقل یحکم بأنّ الطبیعة کما توجد بوجود فردٍ ما، تنعدم بانعدام ذلک الفرد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و 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یکون للنکرة و لا اسم الجنس الواقعین فی سیاق النفی أو النهی، دلالة لفظیة علی العموم و الشمول، کما هو محطّ البحث فی المقام، بخلاف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تدلّ بالتبادر دلالة لفظیة علی الکثرة الإجمالیة، فعدّ النکرة أو اسم الجنس الواقعین فی سیاق النفی أو النهی من ألفاظ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سدید،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یعدّ من ألفاظ العموم، المفرد المعرّف باللام، و الجمع غیر المعرّف باللام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دلالة لهما علی العموم؛ ضرورة وجود الفرق بین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کلّ 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غایة ما یستفاد من المفرد المعرّف باللام تعریف الجنس فقط، لا الاستغراق، و من الجمع غیر المعرّف الجمع، فنحتاج فی استفادة الإطلاق إلی مقدّمات الحکمة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الجمع المحلّی باللام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یفید العموم بحکم الارتکاز العرفی</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هاهنا وجه أفادوه فی إثبات العموم، و لا تبعد صحّته؛ و هو أنّ الجمع حیث یدلّ علی الثلاثة فما فوقها، فیقبل الانطباق علی مراتب؛ أی أنّ للجمع عرضاً</w:t>
      </w:r>
      <w:bookmarkStart w:id="554" w:name="pg12934_164719"/>
    </w:p>
    <w:p>
      <w:pPr>
        <w:pStyle w:val="BookText"/>
        <w:rPr/>
      </w:pPr>
      <w:bookmarkEnd w:id="554"/>
      <w:r>
        <w:rPr>
          <w:rFonts w:ascii="IRNazanin" w:hAnsi="IRNazanin" w:eastAsia="IRNazanin"/>
          <w:color w:val="111111"/>
          <w:sz w:val="28"/>
          <w:sz w:val="28"/>
          <w:szCs w:val="28"/>
          <w:rtl w:val="true"/>
          <w:lang w:bidi="fa-IR"/>
        </w:rPr>
        <w:t>عریضاً، و تعریف الجمع باللام یدلّ علی جمیع الأفراد و أقصاه؛ لأنّه الذی یکون له تعیّن، و أمّا بقیّة المراتب حتّی المرتبة الأخیرة، فلا تعیّن فیها؛ لکونها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کسائر المراتب غیر أقصی المراتب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قابلة للانطباق علی هذه الثلاثة، و تلک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و أمّا أقصی المراتب و هی جمیع الأفراد، فلا تنطبق إلّا علی واحد، فلا تتوقّف دلالة الجمع المحلّی باللام علی العموم علی 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أبیت عن قبول هذا الوجه، فهذا غیر ضائر بعد کون استفادة أقصی المراتب من الجمع المحلّی باللام، ممّا لا إشکال فیه من دون احتیاج إلی مقدّمات الحکمة، فتدبّر</w:t>
      </w:r>
      <w:r>
        <w:rPr>
          <w:rFonts w:eastAsia="IRNazanin" w:cs="IRNazanin"/>
          <w:color w:val="111111"/>
          <w:sz w:val="28"/>
          <w:szCs w:val="28"/>
          <w:rtl w:val="true"/>
          <w:lang w:bidi="fa-IR"/>
        </w:rPr>
        <w:t>.</w:t>
      </w:r>
    </w:p>
    <w:p>
      <w:pPr>
        <w:pStyle w:val="Heading5"/>
        <w:numPr>
          <w:ilvl w:val="4"/>
          <w:numId w:val="1"/>
        </w:numPr>
        <w:rPr/>
      </w:pPr>
      <w:bookmarkStart w:id="555" w:name="__RefHeading___Toc4026433_3224264995"/>
      <w:bookmarkStart w:id="556" w:name="_Toc212"/>
      <w:bookmarkEnd w:id="555"/>
      <w:r>
        <w:rPr>
          <w:rtl w:val="true"/>
        </w:rPr>
        <w:t>حکم دوران الأمر بین العموم الاستغراقی و المجموعی</w:t>
      </w:r>
      <w:bookmarkEnd w:id="556"/>
    </w:p>
    <w:p>
      <w:pPr>
        <w:pStyle w:val="BookText"/>
        <w:rPr/>
      </w:pPr>
      <w:r>
        <w:rPr>
          <w:rFonts w:ascii="IRNazanin" w:hAnsi="IRNazanin" w:eastAsia="IRNazanin"/>
          <w:color w:val="111111"/>
          <w:sz w:val="28"/>
          <w:sz w:val="28"/>
          <w:szCs w:val="28"/>
          <w:rtl w:val="true"/>
          <w:lang w:bidi="fa-IR"/>
        </w:rPr>
        <w:t>أفاد المحقّق النائینی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لو کانت هنا قرینة علی أنّ المراد هو الاستغراقی أو المجموعی فهو، و إلّا فمقتضی الأصل اللفظی الإطلاقی هو الاستغراقیة؛ لأنّ المجموعیة تحتاج إلی عنایة زائدة؛ و هی لحاظ جمیع الأفراد علی وجه الاجتماع و جعلها موضوعاً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صرّح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بأنّه لا فرق فی ذلک بین أقسام العموم؛ سواء کان العموم مدلولًا اسمیاً للأداة،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شابهها، أو حرفیاً، کالجمع المحلّی باللام، أو سیاقیاً کالنکرة فی النفی، فلو شکّ فی المراد فی واحد منها من حیث الاستغراقیة و المجموعیة، فمقتضی الأصل حمله علی الاستغراقیة</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بعد کلام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العموم المستفاد من الجمع المحلّی باللام و الأسماء المتضمّنة للمعانی الحرفیة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کأسماء الاستفهام و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المجموعی؛ لأنّ مدخول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ینطبق علی کلّ فرد فرد، بل ینطبق علی جماعة</w:t>
      </w:r>
    </w:p>
    <w:p>
      <w:pPr>
        <w:pStyle w:val="BookText"/>
        <w:rPr/>
      </w:pPr>
      <w:r>
        <w:rPr>
          <w:rFonts w:ascii="IRNazanin" w:hAnsi="IRNazanin" w:eastAsia="IRNazanin"/>
          <w:color w:val="111111"/>
          <w:sz w:val="28"/>
          <w:sz w:val="28"/>
          <w:szCs w:val="28"/>
          <w:rtl w:val="true"/>
          <w:lang w:bidi="fa-IR"/>
        </w:rPr>
        <w:t>جماعة من الثلاثة فما فوقها، و غایة ما یستفاد من اللام هو أقصی مراتب الجمع التی تنطوی فیه جمیع المراتب مع حفظ معنی الجمعیة، فاللام توجد معنی فی المدخول کان فاقداً له، و ذلک یقتضی العموم المجموعی، لا الاستغراقی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فردّه قدس سره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مجال للتوهّم المذکور إلّا إذا احرز أنّ لحوق أداة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الألف و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 عن ورود أداة الجمع من الألف و التاء، أو الواو و النون علی المفرد، و دون إثباته خرط القتاد، بل ورود أداة العموم و أداة الجمع علی المفرد، إنّما یکون فی مرتبة واحدة، فالألف و اللام تدلّ علی استغراق أفراد مدخولها؛ و هو المفرد، غایته أنّه لا مطلق المفرد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المفرد المحلّی باللام لا یفید العموم، بل المفرد الذی ورد علیه أداة الجمع عند ورود أداة العموم، فأداة العموم تدلّ علی الاستغراق الأفرادی علی نحو الانحلال، فتأمّل؛ فإنّ المقام یحتاج إلی بیان آخر</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قدس سره لا تخلو من إشکال، و لعلّه أیضاً متفطّن له، و لذا أمر أخیراً بالتأمّل؛ و ذلک لأنّه یتوجّه علی ما ذکره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فی الاستغراقیة و المجموعیة راجع إلی الشکّ فی المعنی اللغوی، و مقتضی ذلک التوقّف، لا التمسّک بأصالة الإطلاق لإثبات الاستغراقیة، کما زعمه قدس سره</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قدس سره سلّم استفادة المجموعیة من الجمع المحلّی باللام علی وجه؛ و هو ما إذا کان ورود أداة العموم متأخّراً عن ورود أداة الجمع، مع أنّ الجمع لا یدلّ علی الاجتماع؛ فإنّه 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هکذا،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لفظة واحدة تدلّ علی معنی واحد؛ و هی طبیعة الثلاثة، فتکون الوحدات المأخوذة</w:t>
      </w:r>
    </w:p>
    <w:p>
      <w:pPr>
        <w:pStyle w:val="BookText"/>
        <w:rPr/>
      </w:pPr>
      <w:r>
        <w:rPr>
          <w:rFonts w:ascii="IRNazanin" w:hAnsi="IRNazanin" w:eastAsia="IRNazanin"/>
          <w:color w:val="111111"/>
          <w:sz w:val="28"/>
          <w:sz w:val="28"/>
          <w:szCs w:val="28"/>
          <w:rtl w:val="true"/>
          <w:lang w:bidi="fa-IR"/>
        </w:rPr>
        <w:t xml:space="preserve">فیها علی نعت الأجزاء، بخلاف الجمع، فإنّه یدلّ علی الکثرة علی أنّها هذا، و ذاک، و ذلک، فینطبق علی ثلاثة علماء، و أربعة 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تؤخذ الوحدات فی الجمع أجزاء کما اخذت کذلک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لو دخل علی الجمع لام التعریف یفید أفضل مراتب الجمع؛ و هو جمیع الأفراد،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أنّ الجمع یدلّ علی الاجتماع و الجمعیة، و وردت أداة الجمع و العموم فی رتبة واحدة علی الفرد، فلأیّ سبب و علّة ترفع الید عن مفاد الجمع بطروّ الألف و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اقتضی اللام الاستغراق یلزم التناقض فی الموارد؛ فإنّ الجمع یدلّ علی الاجتماع، و اللام تفید تکثیر مدخولها، فتدبّر</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فیما یتعلّق بمقدّمة مبحث العامّ و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تمهّد لک الامور فیها، فالکلام فی مقصد العامّ و الخاصّ یقع فی 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العامّ المخصّص</w:t>
      </w:r>
      <w:bookmarkStart w:id="557" w:name="pg12934_164722"/>
    </w:p>
    <w:p>
      <w:pPr>
        <w:pStyle w:val="Heading3"/>
        <w:numPr>
          <w:ilvl w:val="2"/>
          <w:numId w:val="1"/>
        </w:numPr>
        <w:rPr/>
      </w:pPr>
      <w:bookmarkStart w:id="558" w:name="__RefHeading___Toc4026435_3224264995"/>
      <w:bookmarkStart w:id="559" w:name="_Toc213"/>
      <w:bookmarkEnd w:id="557"/>
      <w:bookmarkEnd w:id="558"/>
      <w:r>
        <w:rPr>
          <w:rtl w:val="true"/>
        </w:rPr>
        <w:t>المبحث الأوّل فی حجّیة العامّ المخصّص فی الباقی</w:t>
      </w:r>
      <w:bookmarkEnd w:id="559"/>
    </w:p>
    <w:p>
      <w:pPr>
        <w:pStyle w:val="Heading4"/>
        <w:numPr>
          <w:ilvl w:val="3"/>
          <w:numId w:val="1"/>
        </w:numPr>
        <w:rPr/>
      </w:pPr>
      <w:bookmarkStart w:id="560" w:name="__RefHeading___Toc4026437_3224264995"/>
      <w:bookmarkStart w:id="561" w:name="_Toc214"/>
      <w:bookmarkEnd w:id="560"/>
      <w:r>
        <w:rPr>
          <w:rtl w:val="true"/>
        </w:rPr>
        <w:t>اشارة</w:t>
      </w:r>
      <w:bookmarkEnd w:id="561"/>
    </w:p>
    <w:p>
      <w:pPr>
        <w:pStyle w:val="BookText"/>
        <w:rPr/>
      </w:pPr>
      <w:r>
        <w:rPr>
          <w:rFonts w:ascii="IRNazanin" w:hAnsi="IRNazanin" w:eastAsia="IRNazanin"/>
          <w:color w:val="111111"/>
          <w:sz w:val="28"/>
          <w:sz w:val="28"/>
          <w:szCs w:val="28"/>
          <w:rtl w:val="true"/>
          <w:lang w:bidi="fa-IR"/>
        </w:rPr>
        <w:t>هل العامّ المخصّص حجّة فیما بقی مطلقاً، أو لیس بحجّة کذلک، أو یفصّل بین المخصّص المتصل، و بین المخصّص المنفصل، فیلتزم بالحجّیة فی الأوّل دون الثانی؟</w:t>
      </w:r>
    </w:p>
    <w:p>
      <w:pPr>
        <w:pStyle w:val="BookText"/>
        <w:rPr/>
      </w:pPr>
      <w:r>
        <w:rPr>
          <w:rFonts w:ascii="IRNazanin" w:hAnsi="IRNazanin" w:eastAsia="IRNazanin"/>
          <w:color w:val="111111"/>
          <w:sz w:val="28"/>
          <w:sz w:val="28"/>
          <w:szCs w:val="28"/>
          <w:rtl w:val="true"/>
          <w:lang w:bidi="fa-IR"/>
        </w:rPr>
        <w:t>وجوه، بل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حجّیته فی الباقی عند العقلاء؛ متّصلًا کان المخصّص أو منفصلًا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المقام شبهة ربما تختلج بالبال، و هی إجمال العامّ بعد التخصیص مطلقاً، فینبغی الإشارة إلیها، ثمّ دفعها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الشبهة فحاصلها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من ألفاظ العموم، وضعت للاستیعاب و الشمول، کما تقدّم، و مدخولها الطبیعة اللابشرط، و بإضافتها إلیها تدلّ علی استیعاب مدخولها، فمقتضی استعمال کلّ منها فی معناه الموضوع له فی قوله تعالی</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هو لزوم الوفاء بجمیع العقود، فإذا تعقّبه مخصّص بالنسبة إلی بعض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کالعقد الربوی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یستکشف من ذلک أنّه لیس 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 جمیع العقود، و لازم ذلک عدم استعمال الألف و اللام أو مدخولها فیما وضع له، بل یکون مستعملًا فی غیر ما وضع له، و حیث إنّه لا قرینة علی تعیّن المعنی المجازی، فبعد یصیر الکلام مجملًا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الباقی أقرب المجازات من المعنی الحقیقی بالنسبة إلی سائر المجازات، فیحمل علیه بعد رفع الید عن المعنی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المعتبر فی استعمال اللفظ فی غیر معناه الموضوع له، هو الانس الطبیعی و المعهودیة الذهنیة بین المعنی الموضوع له و المعنی المستعمل فیه، و هو غیر مرهون بالأقربیة المقداریة إلی المعنی الحقیقی، فإذن لو علم تخصیص عامّ یستکشف مجازیته، و حیث لم یعلم حدّ المجاز فیصیر الکلام مجملًا، فلا یکون العامّ المخصّص صالحاً للاحتجاج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الأمر فی المطلق بعد طروّ التقیید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ما اشتهر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أنّه ما من عامّ إلّا و قد خصّ، و ما من مطلق إلّا و قد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الاحتجاج بالعمومات و المطلقات الواردة فی 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حلّ الشبهة، فقد أخذ کلّ منهم فی ذلک طریقاً، و قبل حلّ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اقتضاه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التنبیه علی أمر؛ و هو أنّه لا بدّ للباحث فی أمثال المقام الذی هو باب الحجّة و الاحتجاج، من أن یرجع قبل کلّ شی‌ء إلی نظر العرف و العقلاء فیتبعهم، و یقتفی أثرهم فی کلّ ما اقتضاه نظرهم و بنوا علیه؛ و لو لم یعرف سِرّ ما بنوا علیه، و لا نحتاج إلی تجشّم تحلیل الأمر مدرسیّاً؛ و إن لم یخلُ تحلیله فی حدّ نفسه من فائدة، و أمّا إذا لم یکن بناء منهم فی مورد بل کانوا متوقّفین فیه، فلا فائدة فی تحلیل البحث مدرسیّاً، کما لا یخفی</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العرف و العقلاء ببابک و علی مرأی و مسمع منک، فلو اختبرت حالهم لرأیت ارتکازهم قد استقرّ فی المخصّص المتصل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حجّیة العامّ بعد التخصیص فی الباقی، و لا ینقدح خلاف ذلک فی ذهنهم، و لو توقّف أحد فی مراد مولاه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عالم فی البلد إلّا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بأنّی لم أفهم بعد التخصیص مراد المولی، لاستنکروه أشدّ الإنکار، و لو أکرم بعض العلماء دون بعض</w:t>
      </w:r>
      <w:bookmarkStart w:id="562" w:name="pg12934_164724"/>
    </w:p>
    <w:p>
      <w:pPr>
        <w:pStyle w:val="BookText"/>
        <w:rPr/>
      </w:pPr>
      <w:bookmarkEnd w:id="562"/>
      <w:r>
        <w:rPr>
          <w:rFonts w:ascii="IRNazanin" w:hAnsi="IRNazanin" w:eastAsia="IRNazanin"/>
          <w:color w:val="111111"/>
          <w:sz w:val="28"/>
          <w:sz w:val="28"/>
          <w:szCs w:val="28"/>
          <w:rtl w:val="true"/>
          <w:lang w:bidi="fa-IR"/>
        </w:rPr>
        <w:t>لما قبلوه منه، و لما رأوا له حجّة علی مولاه، بل یرون لمولاه حجّة بالغة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الأمر فی المقیّد المتصل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بعد تمامیة مقدّمات الإطلاق بالنسبة إلی المقیّد، یرونه حجّة بالنسبة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المخصّص المنفصل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فسّاق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نظیر المخصّص المتصل عندهم فی حجّیة العامّ فی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المقیّد المنفصل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ذکرناه فی حجّیة العامّ المخصّص و المطلق المقیّد فیما بقی فی المتصل و المنفصل، أمر واضح لا ریب فیه عند العرف و العقلاء، فإن لم یمکننا تحلیل ذلک تحلیلًا مدرسیّاً، فلا یوجب توقّفنا فی العمل فیما بقی، کما أنّه لو لم یمکننا معرفة سرّ أصالة الصحّة و الید و حجّیة خبر الواحد و نحوها عند العقلاء، لما أوجب ذلک تحیّرنا فی العمل بها و ترتّب الآثار المطلوبة علی تلک القواعد</w:t>
      </w:r>
      <w:r>
        <w:rPr>
          <w:rFonts w:eastAsia="IRNazanin" w:cs="IRNazanin"/>
          <w:color w:val="111111"/>
          <w:sz w:val="28"/>
          <w:szCs w:val="28"/>
          <w:rtl w:val="true"/>
          <w:lang w:bidi="fa-IR"/>
        </w:rPr>
        <w:t>.</w:t>
      </w:r>
    </w:p>
    <w:p>
      <w:pPr>
        <w:pStyle w:val="Heading4"/>
        <w:numPr>
          <w:ilvl w:val="3"/>
          <w:numId w:val="1"/>
        </w:numPr>
        <w:rPr/>
      </w:pPr>
      <w:bookmarkStart w:id="563" w:name="__RefHeading___Toc4026439_3224264995"/>
      <w:bookmarkStart w:id="564" w:name="_Toc215"/>
      <w:bookmarkEnd w:id="563"/>
      <w:r>
        <w:rPr>
          <w:rtl w:val="true"/>
        </w:rPr>
        <w:t>مختارنا فی عدم مجازیة العامّ المخصّص</w:t>
      </w:r>
      <w:bookmarkEnd w:id="564"/>
    </w:p>
    <w:p>
      <w:pPr>
        <w:pStyle w:val="BookText"/>
        <w:rPr/>
      </w:pPr>
      <w:r>
        <w:rPr>
          <w:rFonts w:ascii="IRNazanin" w:hAnsi="IRNazanin" w:eastAsia="IRNazanin"/>
          <w:color w:val="111111"/>
          <w:sz w:val="28"/>
          <w:sz w:val="28"/>
          <w:szCs w:val="28"/>
          <w:rtl w:val="true"/>
          <w:lang w:bidi="fa-IR"/>
        </w:rPr>
        <w:t>و أمّا الذی اقتضاه النظر فی حلّ الشبهة، فهو الذی سبق مفصّلًا</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إجماله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المجاز لیس استعمال اللفظ فی غیر ما وضع له؛ لا فی باب الاستعارة، و لا فی المجاز المرسل؛ لأنّ المجاز من محسّنات الکلام و من فنون البلاغة، و لا حسن فی مجرّد استعمال اللفظ فی غیر ما وضع له و التلاعب باللفظ، مثلًا استعمال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الموضوع للحیوان المفترس فی الرجل الشجاع لا حسن له، و لا یفید المبالغة؛ بداهة أنّه لم تکن فی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شجاعة، فأیّ حسن فی مجرّد تغییر اللفظ و تبدیله بلفظ آخر، کما هو واضح، بل الشجاعة فی معنی الأسد، کما یفهم ذلک من استعمال اللفظ فی معناه الموضوع له، ثمّ تطبیق المعنی الحقیقی علی المورد ادعاءً، و لذا</w:t>
      </w:r>
    </w:p>
    <w:p>
      <w:pPr>
        <w:pStyle w:val="BookText"/>
        <w:rPr/>
      </w:pPr>
      <w:r>
        <w:rPr>
          <w:rFonts w:ascii="Amiri" w:hAnsi="Amiri" w:eastAsia="Amiri" w:cs="Amiri"/>
          <w:color w:val="111111"/>
          <w:sz w:val="28"/>
          <w:sz w:val="28"/>
          <w:szCs w:val="28"/>
          <w:rtl w:val="true"/>
          <w:lang w:bidi="ar-SA"/>
        </w:rPr>
        <w:t>صحّ سلب المعنی الحقیقی و إثبات معنی آخر فی قوله تعالی فی قصّة یوسف علی نبینا و آله و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 بَشَراً إِنْ هذا إِلَّا مَلَکٌ کَرِیمٌ</w:t>
      </w:r>
      <w:r>
        <w:rPr>
          <w:rFonts w:eastAsia="Amiri" w:cs="Amiri" w:ascii="Amiri" w:hAnsi="Amiri"/>
          <w:color w:val="111111"/>
          <w:sz w:val="28"/>
          <w:szCs w:val="28"/>
          <w:rtl w:val="true"/>
          <w:lang w:bidi="ar-SA"/>
        </w:rPr>
        <w:t>»</w:t>
      </w:r>
      <w:r>
        <w:rPr>
          <w:rStyle w:val="FootnoteAnchor"/>
          <w:rtl w:val="true"/>
        </w:rPr>
        <w:footnoteReference w:id="341"/>
      </w:r>
      <w:r>
        <w:rPr>
          <w:rFonts w:ascii="IRNazanin" w:hAnsi="IRNazanin" w:eastAsia="IRNazanin"/>
          <w:color w:val="111111"/>
          <w:sz w:val="28"/>
          <w:sz w:val="28"/>
          <w:szCs w:val="28"/>
          <w:rtl w:val="true"/>
          <w:lang w:bidi="fa-IR"/>
        </w:rPr>
        <w:t>کما لا یخفی علی من له إلمام بالمحسّنات الکلامیة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البلاغة تقتضی أن یکون اللفظ مستعملًا فی معناه الحقیقی، ثمّ تطبیقه علی المورد ادعاءً، فالتلاعب إذن فی 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المعلوم بالبداهة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باب العامّ و الخاصّ و باب المطلق و المقیّد غیر باب الادعاء و التطبیق، أ تری من نفسک أنّ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تخصیصه بالعقود الربویة مثلًا ادعاء أنّ العقود غیر الربویة هی عقود حقیقة، و العقود الربویة لیست عقوداً حقیقة؟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کذا یکون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طروّ التقیید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ادعاء أنّ المطلق هو المقیّد؟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ما هکذا الظنّ 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بدّ أن یکون من باب الادعاء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إِبْراهِیمَ کانَ أُمَّةً</w:t>
      </w:r>
      <w:r>
        <w:rPr>
          <w:rFonts w:eastAsia="Amiri" w:cs="Amiri" w:ascii="Amiri" w:hAnsi="Amiri"/>
          <w:color w:val="111111"/>
          <w:sz w:val="28"/>
          <w:szCs w:val="28"/>
          <w:rtl w:val="true"/>
          <w:lang w:bidi="ar-SA"/>
        </w:rPr>
        <w:t>»</w:t>
      </w:r>
      <w:r>
        <w:rPr>
          <w:rStyle w:val="FootnoteAnchor"/>
          <w:rtl w:val="true"/>
        </w:rPr>
        <w:footnoteReference w:id="342"/>
      </w:r>
      <w:r>
        <w:rPr>
          <w:rFonts w:ascii="IRNazanin" w:hAnsi="IRNazanin" w:eastAsia="IRNazanin"/>
          <w:color w:val="111111"/>
          <w:sz w:val="28"/>
          <w:sz w:val="28"/>
          <w:szCs w:val="28"/>
          <w:rtl w:val="true"/>
          <w:lang w:bidi="fa-IR"/>
        </w:rPr>
        <w:t>لأنّ المقام یناسب دعوی عدم کون إبراهیم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لجلالة قدره و عظم منزلته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آحاد الامّة و أفرادها، بل هو تمام الامّة،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القبیل قول أبی العلاء المعرّی فی مدح سیّدنا الأجلّ المرتضی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جئته لوجدت الناس فی رجل‌و الدهر فی ساعة و الأرض فی دار</w:t>
      </w:r>
    </w:p>
    <w:p>
      <w:pPr>
        <w:pStyle w:val="BookText"/>
        <w:rPr/>
      </w:pPr>
      <w:r>
        <w:rPr>
          <w:rFonts w:ascii="IRNazanin" w:hAnsi="IRNazanin" w:eastAsia="IRNazanin"/>
          <w:color w:val="111111"/>
          <w:sz w:val="28"/>
          <w:sz w:val="28"/>
          <w:szCs w:val="28"/>
          <w:rtl w:val="true"/>
          <w:lang w:bidi="fa-IR"/>
        </w:rPr>
        <w:t>کأنّه ادعی أنّ السیّد المرتضی یجمع الصفات و الکمالات البشریة؛ بحیث من وجده و رآه فکأنّه رأی و وجد جمیع الناس</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وضع القوانین و تعیین التکالیف علی العباد، غیر باب الادعاء</w:t>
      </w:r>
    </w:p>
    <w:p>
      <w:pPr>
        <w:pStyle w:val="BookText"/>
        <w:rPr/>
      </w:pPr>
      <w:r>
        <w:rPr>
          <w:rFonts w:ascii="IRNazanin" w:hAnsi="IRNazanin" w:eastAsia="IRNazanin"/>
          <w:color w:val="111111"/>
          <w:sz w:val="28"/>
          <w:sz w:val="28"/>
          <w:szCs w:val="28"/>
          <w:rtl w:val="true"/>
          <w:lang w:bidi="fa-IR"/>
        </w:rPr>
        <w:t>و المجازیة حتّی یتشبّث بهذه الذوقیات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ربما یکون فی جعل القانون ادعاء، و لکنّه خلاف الأصل و القاعدة، فلا بدّ من قرینة جلیّة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فألفاظ العموم و الإطلاق لم تستعمل فی معناهما المجازی؛ بدعوی تطبیقه علی ما بقی من العامّ و المقیّد، لعدم ادعاء فی البین، و استعمال اللفظ الموضوع لمعنی و تطبیقه علی غیر ما وضع له بدون الادعاء و التنزیل، غلط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بما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وجه لتوهّم المجازیة فی الباب، فما یستشمّ من المحقّق الخراسانی قدس سره من احتمال المجازیة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صرّح بعدم المجازیة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وجیه؛ لأنّ من المقطوع به عدم المجازیة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ذکرناه غیر مختصّ بعموم الکتاب و السنّة و مطلقهما، بل جارٍ فی القوانین الموضوعة فی الامم الراقیة المتمدّنة و غیرها، فإنّهم یضعون قانوناً بصورة العموم و الإطلاق أوّلًا، ثمّ یعقّبونه بذکر المخصّصات و المقیّدات بصورة مادّة واحدة، أو التبصرة، أو نحوهما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الفائدة فی ذکر الشی‌ء أوّلًا بصورة العموم و الإطلاق، ثمّ تعقیبه بالمخصّص و المقیّد، فلیلقَ أوّلًا مخصّصاً و مقیّداً؟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مصالح لا تخفی علی من له إلمام بوضع القوانین، و لعلّ منها جواز التمسّک بالعامّ فی الموارد المشکوکة، فتأمّل</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تمهّد لک ما ذکرنا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استعمل کلّ من ألفاظ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فی معناها، سواء طرأ علیه التخصیص أو لا، و التخصیص لا یوجب تغییراً فی ناحیة الاستعمال، بل غایة ما یقتضیه التخصیص هو التبعّض فی الإرادة الجدّیة؛ بمعنی أنّه لم یرد الشارع جدّاً لزوم الوفاء بالعقد الربوی، مع استعمال جمیع ألفاظه فیما وضع له،</w:t>
      </w:r>
      <w:bookmarkStart w:id="565" w:name="pg12934_164727"/>
    </w:p>
    <w:p>
      <w:pPr>
        <w:pStyle w:val="BookText"/>
        <w:rPr/>
      </w:pPr>
      <w:bookmarkEnd w:id="565"/>
      <w:r>
        <w:rPr>
          <w:rFonts w:ascii="IRNazanin" w:hAnsi="IRNazanin" w:eastAsia="IRNazanin"/>
          <w:color w:val="111111"/>
          <w:sz w:val="28"/>
          <w:sz w:val="28"/>
          <w:szCs w:val="28"/>
          <w:rtl w:val="true"/>
          <w:lang w:bidi="fa-IR"/>
        </w:rPr>
        <w:t>و لم یکن البعث المستفاد من الهیئة فی مورد التخصیص، بداعی الانبعاث حقیقة، بل بداعٍ آخر؛ و هو إعطاء الضابطة و القاعدة لیتمسّک بها فی الموارد المشکوکة، فالإرادة الاستعمالیة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إرادة استعمال اللفظ فی المعنی العامّ؛ أی إرادة الانبعاث بکلّ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تطابقت مع الإرادة الجدّیة، و ذلک فیما إذا لم یطرأ علیه التخصیص، و أمّا فیما طرأ علیه التخصیص فلم یکد یتعلّق البعث بداعی الانبعاث فی مورد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حدیث المجازیة فی التخصیص أو التقیید، ساقط من رأسه، فتدبّر</w:t>
      </w:r>
      <w:r>
        <w:rPr>
          <w:rFonts w:eastAsia="IRNazanin" w:cs="IRNazanin"/>
          <w:color w:val="111111"/>
          <w:sz w:val="28"/>
          <w:szCs w:val="28"/>
          <w:rtl w:val="true"/>
          <w:lang w:bidi="fa-IR"/>
        </w:rPr>
        <w:t>.</w:t>
      </w:r>
    </w:p>
    <w:p>
      <w:pPr>
        <w:pStyle w:val="Heading4"/>
        <w:numPr>
          <w:ilvl w:val="3"/>
          <w:numId w:val="1"/>
        </w:numPr>
        <w:rPr/>
      </w:pPr>
      <w:bookmarkStart w:id="566" w:name="__RefHeading___Toc4026441_3224264995"/>
      <w:bookmarkStart w:id="567" w:name="_Toc216"/>
      <w:bookmarkEnd w:id="566"/>
      <w:r>
        <w:rPr>
          <w:rtl w:val="true"/>
        </w:rPr>
        <w:t>توجیه آخر لعدم مجازیة العامّ المخصّص و تزییفه</w:t>
      </w:r>
      <w:bookmarkEnd w:id="567"/>
    </w:p>
    <w:p>
      <w:pPr>
        <w:pStyle w:val="BookText"/>
        <w:rPr/>
      </w:pPr>
      <w:r>
        <w:rPr>
          <w:rFonts w:ascii="IRNazanin" w:hAnsi="IRNazanin" w:eastAsia="IRNazanin"/>
          <w:color w:val="111111"/>
          <w:sz w:val="28"/>
          <w:sz w:val="28"/>
          <w:szCs w:val="28"/>
          <w:rtl w:val="true"/>
          <w:lang w:bidi="fa-IR"/>
        </w:rPr>
        <w:t>ثمّ إنّ المحقّق النائینی قدس سره حیث أنکر وجود الإرادتین الاستعمالیة و الجدّیة، سلک طریقاً آخر لعدم لزوم المجازیة من التخصیص و التقیید، و لکنّه لا یخلو من النظر، فقال أوّلًا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حقیقة الاستعمال لیست إلّا إلقاء المعنی بلفظه؛ بحیث لا یکون الشخص حال الاستعمال ملتفتاً إلی اللفظ، بل هو مغفول عنه، و إنّما یکون اللفظ مرآة إلی المعنی، و لیس للاستعمال إرادة مغایرة لإرادة المعنی الواقعی، فالمستعمِل إن کان قد أراد المعنی الواقع تحت اللفظ فهو، و إلّا کان هازلًا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العامّ قد سیق لضرب القاعدة، ممّا لا محصّل له؛ فإنّ أداة العموم و المدخول إنّما سیقت لبیان الحکم النفس الأمری، و لیست القاعدة جزء مدلول الأداة، و لا جزء مدلول المدخول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یعبّر عن العامّ بالقاعدة، إلّا أنّ المراد منها القاعدة العقلائیة من حجّیة الظهور و أصالة العموم؛ و أین هذا من العامّ المسوق لبیان الحکم الواقعی؟</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تفکیک الإرادة الاستعمالیة عن الإرادة الواقعیة ممّا لا محصّل له، بل العامّ قبل ورود التخصیص علیه و بعده، علی حدّ سواء فی تعلّق الإرادة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کلّاً من أداة العموم و مدخولها، لم یستعمل إلّا فی معناه؛ من غیر فرق فی ذلک بین کون المخصّص متصلًا، أو منفصلًا، أو کان التخصیص أنواعیاً، أو أفرادیاً، أو کانت القضیة حقیقیة، أو 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الأداة، فلأنّها لم توضع إلّا للدلالة علی استیعاب ما ینطبق علیه المدخول، و معلوم أنّه لا یتفاوت الحال فیها بین سعة دائرة المدخول أو ضیقه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فی المدخول، فلأنّه لم یوضع إلّا للطبیعة المهملة المعرّاة عن کلّ خصوصیة؛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لا یکون معناه إلّا من انکشف لدیه الشی‌ء؛ من دون دخالة للعدالة و الفسق و غیرهما فیه أصلًا، فلو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لم یستلزم ذلک مجازاً فی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لم یرد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معناه، و لم یستعمل فی غیر من انکشف لدیه الشی‌ء، و الخصوصیة إنّما استفیدت من دالّ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لا یفرّق الحال بین أن یکون القید متّصلًا بالکلام، أو منفصلًا، أو لم یذکر القید أصلًا، و لکن کان المراد المقیّد؛ فإنّه فی جمیع ذلک لم یستعمل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فی معناه، فمن أین تأتی المجازیة؟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یتوهّم المجازیة فی التخصیص الأفرادی؛ سواء کان ذلک فی القضیة الحقیقیة، أو الخارجیة؛ لأنّ التخصیص الأفرادی لا یوجب تضییق دائرة المصبّ و مدخول الأداة، کما فی التخصیص الأنواعی؛ لأنّ المدخول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یوضع إلّا للطبیعة، فالتخصیص الأفرادی إنّما یصادم نفس الأداة؛ من حیث إنّ الأداة موضوعة لاستیعاب أفراد المدخول، و التخصیص الأفرادی یوجب عدم استیعاب الأفراد، فیلزم استعمال الأداة فی غیر ما وضعت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مدفوع؛ لأنّ الأقوی أنّ التخصیص الأفرادی أیضاً لا یوجب المجازیة</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القضیة الحقیقیة؛ فلأنّ الأفراد لیست مشمولة للّفظ ابتداءً؛ بحیث تکون</w:t>
      </w:r>
    </w:p>
    <w:p>
      <w:pPr>
        <w:pStyle w:val="BookText"/>
        <w:rPr/>
      </w:pPr>
      <w:r>
        <w:rPr>
          <w:rFonts w:ascii="IRNazanin" w:hAnsi="IRNazanin" w:eastAsia="IRNazanin"/>
          <w:color w:val="111111"/>
          <w:sz w:val="28"/>
          <w:sz w:val="28"/>
          <w:szCs w:val="28"/>
          <w:rtl w:val="true"/>
          <w:lang w:bidi="fa-IR"/>
        </w:rPr>
        <w:t xml:space="preserve">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إکرام زید و عمرو و بکر و غیرهم، دلالة لفظیة، و إلّا لما احتجنا فی الحقیقیة إلی تألیف القیاس و استنتاج حکم الأفراد من ضمّ الکبری إلی الصغری؛ بل یستفاد حکم کلّ فرد من تألیف القیاس و تطبیق الکبری الکلّیة علیه، التخصیص الأفرادی أیضاً یوجب تضییق دائرة المصبّ و مدخول الأداة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القضیة الخارجیة، فالتوهّم و إن کان فیها أَمَسّ؛ من جهة أنّ القضیة الخارجیة ابتداءً، متکفّلة لحکم الأفراد بلا حاجة إلی تألیف القیاس ثبوتاً و إن احتاجت إلیه أحیاناً إثباتاً، إلّا أنّه مع ذلک التخصیص الأفرادی فی الخارجیة لا یوجب المجازیة أیضاً؛ للعلم بأنّ استعمال أداة العموم و مدخولها فی الحقیقیة و الخارجیة، إنّما یکون علی نهج واحد، و لیس للأداة فی الخارجیة وضع و استعمال علی حدة، و انقسام القضیة إلیهما لیس باعتبار اختلاف الوضع و الاستعمال، بل باعتبار اللحاظ؛ من حیث لحاظ الأفراد الموجودة فعلًا فی الخارجیة، و عدم لحاظها کذلک فی الحقیقیة، و اختلاف اللحاظ إنّما یکون باختلاف الملاک فی القضیتین، فالتخصیص الأفرادی فی القضیة الخارجیة، أیضاً یرد علی المصبّ و المدخول، و یوجب تضییق دائرته، انتهی محرّراً</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کلامه قدس سره مواقع للنظر، و لو أغمضنا و سلّمنا جمیع مقدّماته؛ و أنّ مرجع القیود هو المدخول، و أنّ المتعلّق للأفراد ثانوی لا أوّلی، و أنّ التخصیص أنواعی لا أفرادی، و أنّ الفرق بین الحقیقیة و الخارجیة هو ما ذکره، و غیر ذلک، فمع ذلک یتوجّه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إشکال ذو شعب</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العامّ الذی یتعقّبه المخصّص إذا لم تخالف إرادته الاستعمالیة إرادته</w:t>
      </w:r>
    </w:p>
    <w:p>
      <w:pPr>
        <w:pStyle w:val="BookText"/>
        <w:rPr/>
      </w:pPr>
      <w:r>
        <w:rPr>
          <w:rFonts w:ascii="IRNazanin" w:hAnsi="IRNazanin" w:eastAsia="IRNazanin"/>
          <w:color w:val="111111"/>
          <w:sz w:val="28"/>
          <w:sz w:val="28"/>
          <w:szCs w:val="28"/>
          <w:rtl w:val="true"/>
          <w:lang w:bidi="fa-IR"/>
        </w:rPr>
        <w:t>الجدّیة، فإمّا أن یکون مریداً جدّاً ترتّب الحکم علی جمیع أفراد الموضوع، فیکون التخصیص نسخاً و بداءً مستحیلًا علی الواجب تعالی إذا کان من القسم المحال، أو نسخاً مطلقاً، و النسخ و إن لم یکن محالًا، و لکنّه خارج عن محطّ البحث الذی هو فی التخصیص لا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أن یرید ترتّب الحکم علی قسم خاصّ من الموضوع، فیلزم أن یکون الاستعمال عنده قدس سره مجازیاً؛ لأنّ المجاز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لما هو المختار فی باب المجاز، و قد أشرنا إلیه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استعمال اللفظ فی غیر معناه الموضوع له، و من مصادیقه الشائعة عندهم إرادة المقیّد من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فی العامّ المخصّص أحد هذه الامور علی سبیل منع الخلوّ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أن یکون اللفظ مستعملًا فی معنی لم یرده جدّاً، کما نقول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الالتزام بکون التخصیص نسخاً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کون استعمال العامّ فی الباقی مجازیاً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فالإشکال ذو شعب، و المحقّق النائینی قدس سره حیث ینکر الإرادتین فیتوجّه علیه أحد الأمرین الأخیرین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الجواب الذی أجاب به المحقّق النائینی قدس سره عن شبهة إجمال العامّ المخصّص فی الباقی بعد التخصیص، لم یکن مقنعاً، مع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إشکالان و دفعان</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عرفت التقریب الذی ذکرناه لحجّیة العامّ فی الباقی بعد التخصیص؛ و أنّه بعد التخصیص یستکشف أنّ الإرادة الجدّیة، لم تکن متعلّقة من أوّل الأمر بما خرج عن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کثرة التخصیصات فی الشریعة، هو عدم جواز التمسّک بالعامّ قبل</w:t>
      </w:r>
    </w:p>
    <w:p>
      <w:pPr>
        <w:pStyle w:val="BookText"/>
        <w:rPr/>
      </w:pPr>
      <w:r>
        <w:rPr>
          <w:rFonts w:ascii="IRNazanin" w:hAnsi="IRNazanin" w:eastAsia="IRNazanin"/>
          <w:color w:val="111111"/>
          <w:sz w:val="28"/>
          <w:sz w:val="28"/>
          <w:szCs w:val="28"/>
          <w:rtl w:val="true"/>
          <w:lang w:bidi="fa-IR"/>
        </w:rPr>
        <w:t xml:space="preserve">الفحص عن المخصّص، کما هو الشأن فی إجراء الاصول العقلیة و الشرعیة، کقاعدة قبح العقاب بلا بیان، و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یظهر من المحقّق الأصفهانی قدس سره توجّه إشکالین علی ما ذکرنا، فإنّه قدس سره وجّه مقال استاذه المحقّق الخراسانی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العموم الملقی من باب ضرب القاعدة و إتمام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الحجّة متقوّمة بالکشف النوعی عن الإرادة الجدّیة، فله أن یجعل الإنشاء بالإضافة إلی تمام أفراد العامّ بداعی إعطاء الحجّة، و یکون له من الأثر ما للإنشاء بداعی البعث الحقیقی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الحجّة بلحاظ کاشفیة الإنشاء عن کونه بداعی البعث الحقیقی، فیکون منشأً لانتزاع البعث حقیقة بالإضافة إلی کلّ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التخصیص حیث لم یکن بعثاً حقیقیاً بالنسبة إلی الأفراد التی خرجت عن دائرة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کونها متعلّقاً بها فی مرحلة الإنشاء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فلازمه صدور الواحد عن داعیین بلا جهة جامعة تکون هی الداعی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إنشاؤه بداعی البعث و التحریک الواقعی؛ و هو بالنسبة إلی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إنشاؤه بداعی ضرب القاعدة و القانون؛ و هو بالنسبة إلی ما 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فهناک داعیان لجعل قانون واحد، و قد برهن علی امتناع صدور الواحد عن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إشکاله الأوّل</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إشکاله الثانی فحاصله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البعث و الإنشاء کونه بداعی الانبعاث، لا لجعل القاعدة و الحجّة، و الظاهر من استعمال الألفاظ کونها مستعملة فی معانیها، فإذا ورد التخصیص، فیدور الأمر بین رفع الید إمّا عن ظهور استعمال الألفاظ فی معانیها، مع حفظ ظهورها فی کونه بداعی البعث الجدّی بالإضافة إلی ما استعمل فیه؛ و هو الخصوص، أو عن مطابقة الجدّ للاستعمال و عدم کون الجدِّ</w:t>
      </w:r>
    </w:p>
    <w:p>
      <w:pPr>
        <w:pStyle w:val="BookText"/>
        <w:rPr/>
      </w:pPr>
      <w:r>
        <w:rPr>
          <w:rFonts w:ascii="IRNazanin" w:hAnsi="IRNazanin" w:eastAsia="IRNazanin"/>
          <w:color w:val="111111"/>
          <w:sz w:val="28"/>
          <w:sz w:val="28"/>
          <w:szCs w:val="28"/>
          <w:rtl w:val="true"/>
          <w:lang w:bidi="fa-IR"/>
        </w:rPr>
        <w:t>مطابقاً للاستعمال، و لا ترجیح لأحدهما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ورد فی أصل المطلب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المخصّص المنفصل إمّا یرد قبل وقت الحاجة، أو بعدها، فإن ورد قبلها فالإنشاء و إن کان بداعی البعث جدّاً، إلّا أنّه بالنسبة إلی موضوعه الذی یحدّده و یعیّنه بکلامین منفصلین، فإنّه لو علم أنّ عادة هذا المتکلّم إفادة مرامه الخصوصی بکلامین منفصلین، لم یکن ظهور کلامه فی العموم دلیلًا علی مرامه؛ و إن ورد بعد الحاجة فالإنشاء بداعی البعث الجدّی بالإضافة إلی الجمیع، غایة الأمر یکون البعث المزبور بالنسبة إلی بعض أفراد العامّ، منبعثاً عن المصالح الواقعیة الأوّلیة، و فی بعضها الآخر عن المصالح الثانویة؛ بحیث ینتهی أمدها بقیام المخصّص</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أنّه یتوجّه علی إشکاله الأوّل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کلامه قدس سره أنّه لو کان بین الداعیین جهة جامعة لأمکن ذلک، و هو منه عجیب؛ لأنّ الجامع بما هو جامع بنعت الوحدة، لم یکن موجوداً حتّی یکون مؤثّراً فی شی‌ء أو متأثّراً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الدواعی المختلفة ربما تدعو الإنسان إلی شی‌ء واحد،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حدیث امتناع صدور الواحد عن اثنین و بالعکس، أجنبی عن أمثال المقام؛ لأنّ مجراه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قرّر فی محلّه و أشرنا إلیه غیر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بالواحد البسیط الحقیقی الذی لا یکون فیه شائبة الترکیب أصلًا</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عمّم مورد القاعدة، فغایة ما یمکن أن یقال هو تعمیمها لمطلق العلّة الفاعلیة، و معلوم أنّ الدواعی لیست من علل فاعلیة الشی‌ء، بل من غایات صدور</w:t>
      </w:r>
      <w:bookmarkStart w:id="568" w:name="pg12934_164733"/>
    </w:p>
    <w:p>
      <w:pPr>
        <w:pStyle w:val="BookText"/>
        <w:rPr/>
      </w:pPr>
      <w:bookmarkEnd w:id="568"/>
      <w:r>
        <w:rPr>
          <w:rFonts w:ascii="IRNazanin" w:hAnsi="IRNazanin" w:eastAsia="IRNazanin"/>
          <w:color w:val="111111"/>
          <w:sz w:val="28"/>
          <w:sz w:val="28"/>
          <w:szCs w:val="28"/>
          <w:rtl w:val="true"/>
          <w:lang w:bidi="fa-IR"/>
        </w:rPr>
        <w:t>الأفعال، و معنی کون الغایة علّة فاعلیة للفاعل؛ هو أنّه لا یصیر الفاعل مبدأ الأمر إلّا لأجلها، لا أنّ الغایة مصدر فاعلیته، فالغایة ما لأجلها الحرکة، لا فاعل التحریک،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یتوجّه علی إشکاله الثانی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احتمال المجازیة بمجرّد استعمال العامّ فی الخاصّ، غیر صحیح؛ لما مرّ مستوفیاً و أشرنا إلیه آنفاً من أنّه لیست المجازیة باستعمال اللفظ فی غیر معناه الموضوع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سلّمت المجازیة لا تکون هناک علاقة مصحّحة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یشترک الاستعمال المجازی مع الاستعمال الحقیقی فی أنّهما یستعملان فیما وضعا له بلا تفاوت بینهما أصلًا، و إنّما التفاوت فی تطبیق المعنی المستعمل فیه علی المصداق الحقیقی و الادعائی، و من المعلوم أنّه لا مصحّح للادّعاء فی أمثال المقام، فمعه لا یدور الأمر بین رفع الید عن الظهور الاستعمالی و بین رفعها عن الظهور الإنشائی فی کونه بداعی البعث الحقیقی، فتدبّر</w:t>
      </w:r>
      <w:r>
        <w:rPr>
          <w:rFonts w:eastAsia="IRNazanin" w:cs="IRNazanin"/>
          <w:color w:val="111111"/>
          <w:sz w:val="28"/>
          <w:szCs w:val="28"/>
          <w:rtl w:val="true"/>
          <w:lang w:bidi="fa-IR"/>
        </w:rPr>
        <w:t>.</w:t>
      </w:r>
    </w:p>
    <w:p>
      <w:pPr>
        <w:pStyle w:val="Heading4"/>
        <w:numPr>
          <w:ilvl w:val="3"/>
          <w:numId w:val="1"/>
        </w:numPr>
        <w:rPr/>
      </w:pPr>
      <w:bookmarkStart w:id="569" w:name="__RefHeading___Toc4026443_3224264995"/>
      <w:bookmarkStart w:id="570" w:name="_Toc217"/>
      <w:bookmarkEnd w:id="569"/>
      <w:r>
        <w:rPr>
          <w:rtl w:val="true"/>
        </w:rPr>
        <w:t>ذکر و تعقیب</w:t>
      </w:r>
      <w:bookmarkEnd w:id="570"/>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أجاب المحقّق العراقی قدس سره عن الشبهة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العامّ و إن کان له ظهور واحد و دلالة فاردة، و لکن حیث إنّ شأن الحکایة و المرآتیة جذب لون محکیّها؛ لکونها فانیة فی معناها، و لذا یجذب الحاکی لون المحکی و المفنی فیه، و یکون قبیحاً بقبح المعنی، و حسناً بحسنه، فإذا کان المحکی متعدّداً کانت الحکایة متعدّدة، فالعامّ حیث إنّه یحکی عن مصادیق متعدّدة تحته، لذا یکون بمنزلة حکایات متعدّدة، و مجرّد رفع الید عن بعض تلک الحاکیات عن الحجّیة بالتخصیص، لا یوجب رفع الید عن</w:t>
      </w:r>
    </w:p>
    <w:p>
      <w:pPr>
        <w:pStyle w:val="BookText"/>
        <w:rPr/>
      </w:pPr>
      <w:r>
        <w:rPr>
          <w:rFonts w:ascii="IRNazanin" w:hAnsi="IRNazanin" w:eastAsia="IRNazanin"/>
          <w:color w:val="111111"/>
          <w:sz w:val="28"/>
          <w:sz w:val="28"/>
          <w:szCs w:val="28"/>
          <w:rtl w:val="true"/>
          <w:lang w:bidi="fa-IR"/>
        </w:rPr>
        <w:t>حکایته عن البقیة، فغایة ما تقتضیه القرینة المنفصلة، رفع الید عن حجّیة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المخصّص المنفصل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ما ذکرنا ملاحظة القرائن المتصلة و المخصّص المتصل؛ لأنّه من الممکن أن لا یکون ظهور العامّ فی الباقی، من جهة القرینة، بل یستند إلی وضعه الأوّلی، غایة الأمر تمنع القرینة عن إفادة الوضع الأعلی الثابت من الظهور، فیبقی اقتضاؤه للمرتبة الاخری دونها بحاله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أیّ تقدیر لا یضرّ تخصیص العامّ بحجّیته فی الباقی، انتهی موضحاً</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فناء اللفظ فی معناه و جذب اللفظ لون محکیّه، کلام غیر وجیه أشبه بالخطابة، و قد مضی الکلام فیه فی مبحث استعمال اللفظ فی أکثر من معنی واحد، و منشأ ذلک توهّم تنفّر الطبع عند سماع بعض الألفاظ، و استقباح ذکر بعضها الآخر، مع أنّ ذلک إنّما هو لأجل الانتقال إلی معناه القبیح المنتقل إلیه من اللفظ، لا بمجرّد سماع اللفظ، و إلّا یلزم أن یتنفّر الجاهل باللغة من سماعه أیضاً،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فتعدّد المحکی لا یوجب تعدّد الحکایة بعد کون الحکایة عنواناً بسیطاً، فلفظ العامّ بعنوان واحد و حکایة فاردة، یحکی عن الکثیر، فإذا علم أنّ اللفظ لم یستعمل فی معناه بدلیل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تبقَ حکایة بالنسبة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سلّم حدیث سرایة لون المحکی إلی اللفظ الحاکی، فإنّما هو فیما إذا کان للمحکی کثرة، و هنا لم یکن کذلک؛ لأنّ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واحد لا کثیر، نعم ینطبق هذا المعنی الواحد علی الکثیر، فتدبّر</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من مراتب الظهور فی المخصّص المتّصل ممنوع؛ بداهة أنّ</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لفظ فی المخصّص المتصل، مستعمل فی معناه، و المحدودیة إنّما افیدت لأجل القیود و الإخراج بالاستثناء، فلفظ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لاستغراق مدخوله، فإذا کان مدخوله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إلّا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یستغرق المدخول المرکّب من المستثنی منه و المستثنی؛ من غیر أن یکون الاستثناء مانعاً عن ظهوره، لعدم ظهوره إلّا فی استغراق المدخول أیّ شی‌ء کان، و لو فرض أنّ القید أو الاستثناء یمنعان عن ظهوره، صار الکلام مجملًا؛ لعدم مراتب الظهور، و هو واضح، فتدبّر</w:t>
      </w:r>
      <w:r>
        <w:rPr>
          <w:rFonts w:eastAsia="IRNazanin" w:cs="IRNazanin"/>
          <w:color w:val="111111"/>
          <w:sz w:val="28"/>
          <w:szCs w:val="28"/>
          <w:rtl w:val="true"/>
          <w:lang w:bidi="fa-IR"/>
        </w:rPr>
        <w:t>.</w:t>
      </w:r>
      <w:bookmarkStart w:id="571" w:name="pg12934_164736"/>
    </w:p>
    <w:p>
      <w:pPr>
        <w:pStyle w:val="BookText"/>
        <w:rPr/>
      </w:pPr>
      <w:bookmarkEnd w:id="571"/>
      <w:r>
        <w:rPr>
          <w:rFonts w:ascii="IRNazanin" w:hAnsi="IRNazanin" w:eastAsia="IRNazanin"/>
          <w:color w:val="111111"/>
          <w:sz w:val="28"/>
          <w:sz w:val="28"/>
          <w:szCs w:val="28"/>
          <w:rtl w:val="true"/>
          <w:lang w:bidi="fa-IR"/>
        </w:rPr>
        <w:t>سرایة إجمال المخصّص إلی العامّ</w:t>
      </w:r>
    </w:p>
    <w:p>
      <w:pPr>
        <w:pStyle w:val="Heading3"/>
        <w:numPr>
          <w:ilvl w:val="2"/>
          <w:numId w:val="1"/>
        </w:numPr>
        <w:rPr/>
      </w:pPr>
      <w:bookmarkStart w:id="572" w:name="__RefHeading___Toc4026445_3224264995"/>
      <w:bookmarkStart w:id="573" w:name="_Toc218"/>
      <w:bookmarkEnd w:id="572"/>
      <w:r>
        <w:rPr>
          <w:rtl w:val="true"/>
        </w:rPr>
        <w:t>المبحث الثانی فی تخصیص العامّ بالمخصّص المجمل</w:t>
      </w:r>
      <w:bookmarkEnd w:id="573"/>
    </w:p>
    <w:p>
      <w:pPr>
        <w:pStyle w:val="Heading4"/>
        <w:numPr>
          <w:ilvl w:val="3"/>
          <w:numId w:val="1"/>
        </w:numPr>
        <w:rPr/>
      </w:pPr>
      <w:bookmarkStart w:id="574" w:name="__RefHeading___Toc4026447_3224264995"/>
      <w:bookmarkStart w:id="575" w:name="_Toc219"/>
      <w:bookmarkEnd w:id="574"/>
      <w:r>
        <w:rPr>
          <w:rtl w:val="true"/>
        </w:rPr>
        <w:t>اشارة</w:t>
      </w:r>
      <w:bookmarkEnd w:id="575"/>
    </w:p>
    <w:p>
      <w:pPr>
        <w:pStyle w:val="BookText"/>
        <w:rPr/>
      </w:pPr>
      <w:r>
        <w:rPr>
          <w:rFonts w:ascii="IRNazanin" w:hAnsi="IRNazanin" w:eastAsia="IRNazanin"/>
          <w:color w:val="111111"/>
          <w:sz w:val="28"/>
          <w:sz w:val="28"/>
          <w:szCs w:val="28"/>
          <w:rtl w:val="true"/>
          <w:lang w:bidi="fa-IR"/>
        </w:rPr>
        <w:t>ظهر لک ممّا ذکرناه فی المبحث السابق حجّیة العامّ المخصّص فی الباقی، و هو علی إجماله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کان المخصّص مبیّناً مفهوماً و مصداقاً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کلام و لا إشکال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حیث إنّ المخصّص ذو شئون مختلفة، فربما یوجب إجمالًا فی العامّ، فینبغی عطف عنان المقال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المخصّص المجمل من حیث المفهوم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دائراً بین الأقلّ و الأکثر، 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المتباینین، و علیهما إمّا یکون متصلًا بالعامّ، أو منفصلًا عنه، ثمّ إنّ التخصیص إمّا لبّی، أو غیر لبّی، و علی جمیع التقادیر إمّا تکون الشبهة مفهومیة، أو مصداقیة، فالکلام یقع فی موارد</w:t>
      </w:r>
      <w:r>
        <w:rPr>
          <w:rFonts w:eastAsia="IRNazanin" w:cs="IRNazanin"/>
          <w:color w:val="111111"/>
          <w:sz w:val="28"/>
          <w:szCs w:val="28"/>
          <w:rtl w:val="true"/>
          <w:lang w:bidi="fa-IR"/>
        </w:rPr>
        <w:t>:</w:t>
      </w:r>
    </w:p>
    <w:p>
      <w:pPr>
        <w:pStyle w:val="Heading4"/>
        <w:numPr>
          <w:ilvl w:val="3"/>
          <w:numId w:val="1"/>
        </w:numPr>
        <w:rPr/>
      </w:pPr>
      <w:bookmarkStart w:id="576" w:name="__RefHeading___Toc4026449_3224264995"/>
      <w:bookmarkStart w:id="577" w:name="_Toc220"/>
      <w:bookmarkEnd w:id="576"/>
      <w:r>
        <w:rPr>
          <w:rtl w:val="true"/>
        </w:rPr>
        <w:t>المورد الأوّل فی المخصّص اللفظی المتّصل المجمل من حیث المفهوم</w:t>
      </w:r>
      <w:bookmarkEnd w:id="577"/>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المخصّص المتصل المجمل من حیث المفهوم، قد یکون مردّداً بین الأقل و الأکثر، کما إذا شکّ فی کون الفاسق خصوص مرتکب الکبیرة، أو الأعمّ منه و من مرتکب</w:t>
      </w:r>
    </w:p>
    <w:p>
      <w:pPr>
        <w:pStyle w:val="BookText"/>
        <w:rPr/>
      </w:pPr>
      <w:r>
        <w:rPr>
          <w:rFonts w:ascii="IRNazanin" w:hAnsi="IRNazanin" w:eastAsia="IRNazanin"/>
          <w:color w:val="111111"/>
          <w:sz w:val="28"/>
          <w:sz w:val="28"/>
          <w:szCs w:val="28"/>
          <w:rtl w:val="true"/>
          <w:lang w:bidi="fa-IR"/>
        </w:rPr>
        <w:t>الصغیرة، أو بین المتباینین، کما إذا استثنی من العالم زیداً، و احتمل کون المراد منه زید بن عمرو، أو زید بن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سرایة الإجمال إلی العامّ، فلا یکون العامّ عند ذلک حجّة، لا لأجل احتمال استعمال لفظ العامّ فی غیر ما وضع له؛ لما عرفت من أنّه لا مجاز فی الباب، بل لأجل أنّه لا یصحّ الاحتجاج بأصالة العموم إلّا بعد تمامیة امور، منها مطابقة الجدّ للاستعمال، و هی متوقّفة علی تمامیة الکلام، و الصبر إلی إلحاق المتکلّم ما یشاء، یوجب إجمالًا فی الکلام فی مفروض البحث، فلا یوجب ذلک أن یکون ظهور مجموع الجملة معتبراً فی ظهور مفرداتها؛ لأنّ المراد من الصبر إلی تمام الجملة، هو عدم صحّة الاحتجاج بمفردات الکلام حتّی تتمّ الجملة، و المفروض أنّه بتمامها لا یطابق الجدّ الاستعمال، فیحصل إجمال فی الکلام</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مدار احتجاج المولی علی العبد و بالعکس، هو الظهور اللفظی فقط؛ بحیث لو تمّت أصالة الحقیقة مثلًا لتمّ الاحتجاج، بل یحتاج إلی أصل آخر عند العقلاء فی الاحتجاج؛ و هو أصالة الجدّ، و معناه أنّ المتکلّم بعد ما کان بصدد التفهیم و إلقاء المعنی جدّاً لا هزلًا، و لم تقم قرینة علی عدم إرادة ما انعقد علیه الظهور اللفظی، فیحکم عند العقلاء بتطابق جدّه للاستعمال، فإذا قامت قرینة علی الخلاف، یحکم بعدم الجدّ بالنسبة إلی ما قامت القرینة علیه، و بعدم المطابقة فی خصوص ما قامت القرینة علیه، و أنّ الاستعمال بنحو العامّ مثلًا لمصلحة التقنین، فإذا کانت القرینة القائمة علی الخلاف مجملة، فلا یکاد تحرز مطابقة الجدّ للاستعمال، فتدبّر</w:t>
      </w:r>
      <w:r>
        <w:rPr>
          <w:rFonts w:eastAsia="IRNazanin" w:cs="IRNazanin"/>
          <w:color w:val="111111"/>
          <w:sz w:val="28"/>
          <w:szCs w:val="28"/>
          <w:rtl w:val="true"/>
          <w:lang w:bidi="fa-IR"/>
        </w:rPr>
        <w:t>.</w:t>
      </w:r>
      <w:bookmarkStart w:id="578" w:name="pg12934_164738"/>
    </w:p>
    <w:p>
      <w:pPr>
        <w:pStyle w:val="Heading4"/>
        <w:numPr>
          <w:ilvl w:val="3"/>
          <w:numId w:val="1"/>
        </w:numPr>
        <w:rPr/>
      </w:pPr>
      <w:bookmarkStart w:id="579" w:name="__RefHeading___Toc4026451_3224264995"/>
      <w:bookmarkStart w:id="580" w:name="_Toc221"/>
      <w:bookmarkEnd w:id="578"/>
      <w:bookmarkEnd w:id="579"/>
      <w:r>
        <w:rPr>
          <w:rtl w:val="true"/>
        </w:rPr>
        <w:t>المورد الثانی فی المخصّص اللفظی المنفصل المجمل من حیث المفهوم</w:t>
      </w:r>
      <w:bookmarkEnd w:id="580"/>
    </w:p>
    <w:p>
      <w:pPr>
        <w:pStyle w:val="BookText"/>
        <w:rPr/>
      </w:pPr>
      <w:r>
        <w:rPr>
          <w:rFonts w:ascii="IRNazanin" w:hAnsi="IRNazanin" w:eastAsia="IRNazanin"/>
          <w:color w:val="111111"/>
          <w:sz w:val="28"/>
          <w:sz w:val="28"/>
          <w:szCs w:val="28"/>
          <w:rtl w:val="true"/>
          <w:lang w:bidi="fa-IR"/>
        </w:rPr>
        <w:t>لو کان المخصّص المنفصل مجملًا مفهوماً و مردّداً بین الأقلّ و الأکثر، فقال شیخنا العلّامة الحائری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إن صارت عادة المتکلّم علی ذکر المخصّص منفصلًا، یکون وزان المنفصل فی کلامه وزان المتصل فی کلام غیره، فکما أنّه فی المتصل یجب إحراز عدمه فی کلام غیره من المتکلّمین حتّی یتمسّک بالعموم، فکذلک یجب إحراز عدم المنفصل هنا، فیلزم الإجمال؛ لعدم إحراز عدمه</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غایة ما یقتضیه مقاله قدس سره عدم جواز العمل بالعامّ قبل الفحص عن المخصّص، و هو کلام حسن فی بابه، و نحن أیضاً نقول به، و لکن أین هذا من سرایة إجمال المخصّص إلی العامّ، کما هو مفروض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بداهة أنّ ظهور العامّ لا ینثلم لأجل جریان تلک العادة؛ لعدم تطرّق التردّد و الإجمال بذلک إلی حریم الظهور الاستعمالی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لمّا لم یجز التمسّک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إحراز ذلک الأصل العقلائی؛ أی تطابق الجدّ مع الاستعمال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الفحص، لا یکون ذلک الظهور المنعقد حجّة إلّا بعد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سهّل الخطب رجوعه قدس سره عنه فی الدورة الأخیرة، فلاحظ</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المحقّق النائینی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سقطت حجّیة العامّ فی خصوص الأقلّ المتیقّن تخصیصه، و أمّا بالنسبة إلی الأکثر فباقٍ علی حجّیته، و أصالة العموم جاریة فیه،</w:t>
      </w:r>
    </w:p>
    <w:p>
      <w:pPr>
        <w:pStyle w:val="BookText"/>
        <w:rPr/>
      </w:pPr>
      <w:r>
        <w:rPr>
          <w:rFonts w:ascii="IRNazanin" w:hAnsi="IRNazanin" w:eastAsia="IRNazanin"/>
          <w:color w:val="111111"/>
          <w:sz w:val="28"/>
          <w:sz w:val="28"/>
          <w:szCs w:val="28"/>
          <w:rtl w:val="true"/>
          <w:lang w:bidi="fa-IR"/>
        </w:rPr>
        <w:t>فبعد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فسّاق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أن یکون خصوص مرتکب الکبیرة، أو الأعمّ منه و من مرتکب الصغیرة، فبالنسبة إلی مرتکب الکبیرة سقط العامّ عن الحجّیة؛ للعلم بخروجه علی کلّ حال، و أمّا بالنسبة إلی مرتکب الصغیرة فیشکّ فی خروجه، و مقتضی أصالة العموم عدم خروجه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الخارج هو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خصوص مرتکب الکبیرة، و العامّ لیس کبری کلّیة بالنسبة إلی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للعلم بخروج هذا العنوان عن العامّ، فلا مجال للتمسّک بأصالة العموم بالنسبة إلی من شکّ فی دخوله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فاسد؛ لأنّ الخارج لیس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واقع الفاسق، و حیث لم یعلم أنّ مرتکب الصغیرة مندرج فی الفاسق الواقعی، یشکّ لا محالة فی تخصیص العامّ واقعاً بالنسبة إلی مرتکب الصغیرة، و المرجع حینئذٍ هو أصالة العموم</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قدس سره إن أراد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فی دفع التوهّم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الخارج لیس عنوان الفاسق، بل واقع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الأفراد الخارجیة، فیلزم کون التخصیص مخرجاً للأفراد، لا الأنواع و العناوین، مع أنّه قدس سره مصرّ علی بطلان التخصیص الأفرادی، و إن کان المراد الفاسق الواقعی لا المشتبه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الظاهر من العناوین المأخوذة موضوعاً للأحکام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یکون هو عنواناً لا غیر، فمعه یلزم تعنون العامّ به، فیصیر الموضوع ذا جزءین</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یسری إجمال المخصّص إلی العامّ، بل یتمسّک به فی موارد الشکّ؛ لأنّ الخاصّ المجمل لیس بحجّة فی موارد الإجمال، و لا یعقل رفع الید</w:t>
      </w:r>
    </w:p>
    <w:p>
      <w:pPr>
        <w:pStyle w:val="BookText"/>
        <w:rPr/>
      </w:pPr>
      <w:r>
        <w:rPr>
          <w:rFonts w:ascii="IRNazanin" w:hAnsi="IRNazanin" w:eastAsia="IRNazanin"/>
          <w:color w:val="111111"/>
          <w:sz w:val="28"/>
          <w:sz w:val="28"/>
          <w:szCs w:val="28"/>
          <w:rtl w:val="true"/>
          <w:lang w:bidi="fa-IR"/>
        </w:rPr>
        <w:t>عن الحجّة بما لیس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یقاس المقام بالمخصّص المتصل من جهة سرایة إجماله إلی العامّ؛ لأنّه لم ینعقد هناک ظهور بعد للعامّ إلّا فی المعنون بالعنوان المجمل، بخلافه هنا، فإنّ الظهور قد استقرّ و تمّ علی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رفع الید عن الظهور الثابت إلّا بالمقدار المتیقّن</w:t>
      </w:r>
      <w:r>
        <w:rPr>
          <w:rStyle w:val="FootnoteAnchor"/>
          <w:rtl w:val="true"/>
        </w:rPr>
        <w:footnoteReference w:id="349"/>
      </w:r>
      <w:r>
        <w:rPr>
          <w:rFonts w:ascii="IRNazanin" w:hAnsi="IRNazanin" w:eastAsia="IRNazanin"/>
          <w:color w:val="111111"/>
          <w:sz w:val="28"/>
          <w:sz w:val="28"/>
          <w:szCs w:val="28"/>
          <w:rtl w:val="true"/>
          <w:lang w:bidi="fa-IR"/>
        </w:rPr>
        <w:t>، فیجوز التمسّک بالعامّ فی الشبهة المفهومیة للمخصّص المنفصل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المخصّص المجمل المنفصل مردّداً بین الأقلّ و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مردّداً بین المتباینین، فالحقّ أنّ إجماله یسری إلی العامّ حکماً، و معنی السرایة الحکمیة هو أنّه لا یجوز التمسّک بالعامّ فی واحد منهما، مع کون العامّ حجّة فی واحد معیّن واقعاً، و لا بدّ من إعمال قواعد العلم الإجمالی، و السرّ فی ذلک هو أنّه بعد الظفر بالمخصّص الکذائی، لا متیقّن فی البین حتّی یؤخذ به و یترک المشکوک فیه، کما کان فی الأقلّ و الأکثر، بل کلاهما فی الاحتمال متساویان، فلا محیص إلّا من إجراء قواعد العلم الإجمالی</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فحینئذٍ لو کان المخصّص بلسان التحریم و ظاهراً فی حرمة مورده، و کان مقتضی العامّ الوجوب، فیکون المقام من دوران الأمر بین المحذورین، و إن کان المخصّص بلسان الترخیص و رافعاً لکلفة الوجوب عن مورد التخصیص، فلازمه إکرام کلا الرجلین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یتیقّن بالبراءة</w:t>
      </w:r>
      <w:r>
        <w:rPr>
          <w:rFonts w:eastAsia="IRNazanin" w:cs="IRNazanin"/>
          <w:color w:val="111111"/>
          <w:sz w:val="28"/>
          <w:szCs w:val="28"/>
          <w:rtl w:val="true"/>
          <w:lang w:bidi="fa-IR"/>
        </w:rPr>
        <w:t>.</w:t>
      </w:r>
      <w:bookmarkStart w:id="581" w:name="pg12934_164741"/>
    </w:p>
    <w:p>
      <w:pPr>
        <w:pStyle w:val="Heading4"/>
        <w:numPr>
          <w:ilvl w:val="3"/>
          <w:numId w:val="1"/>
        </w:numPr>
        <w:rPr/>
      </w:pPr>
      <w:bookmarkStart w:id="582" w:name="__RefHeading___Toc4026453_3224264995"/>
      <w:bookmarkStart w:id="583" w:name="_Toc222"/>
      <w:bookmarkEnd w:id="581"/>
      <w:bookmarkEnd w:id="582"/>
      <w:r>
        <w:rPr>
          <w:rtl w:val="true"/>
        </w:rPr>
        <w:t>المورد الثالث فی المخصّص اللفظی المتصل أو المنفصل المجمل بحسب المصداق</w:t>
      </w:r>
      <w:bookmarkEnd w:id="583"/>
    </w:p>
    <w:p>
      <w:pPr>
        <w:pStyle w:val="Heading5"/>
        <w:numPr>
          <w:ilvl w:val="4"/>
          <w:numId w:val="1"/>
        </w:numPr>
        <w:rPr/>
      </w:pPr>
      <w:bookmarkStart w:id="584" w:name="__RefHeading___Toc4026455_3224264995"/>
      <w:bookmarkStart w:id="585" w:name="_Toc223"/>
      <w:bookmarkEnd w:id="584"/>
      <w:r>
        <w:rPr>
          <w:rtl w:val="true"/>
        </w:rPr>
        <w:t>حکم الشبهة المصداقیة للمخصّص المتصل المبیّن</w:t>
      </w:r>
      <w:bookmarkEnd w:id="585"/>
    </w:p>
    <w:p>
      <w:pPr>
        <w:pStyle w:val="BookText"/>
        <w:rPr/>
      </w:pPr>
      <w:r>
        <w:rPr>
          <w:rFonts w:ascii="IRNazanin" w:hAnsi="IRNazanin" w:eastAsia="IRNazanin"/>
          <w:color w:val="111111"/>
          <w:sz w:val="28"/>
          <w:sz w:val="28"/>
          <w:szCs w:val="28"/>
          <w:rtl w:val="true"/>
          <w:lang w:bidi="fa-IR"/>
        </w:rPr>
        <w:t>الحقّ کما علیه الأصحاب، هو أنّه لو کان مفهوم المخصّص مبیّناً و کان متصلًا بالکلام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إخراجه بالتوصیف، أو بالاستثناء؛ لأنّ الظاهر أنّ الاستثناء کالتوصیف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التمسّک بالعامّ فی فرد شکّ فی انطباق عنوان المخصّص علیه مع إحراز کونه مصداقاً للعامّ، کما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عالم غیر 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إلّا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فی زید العالم أنّه عادل، أو غیر 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الوجه فی ذلک، هو عدم انعقاد الظهور إلّا مضیّقاً، لا بأن یکون العامّ مستعملًا فی غیر العموم، بل لأجل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توضع إلّا لتکثیر مدخولها؛ کائناً ما کان، فإن کان مطلقاً فمطلق، و إن کان مقیّداً فمقیّد،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عالم غیر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الموضوع لوجوب الإکرام، الأفراد العدول من العلماء، أو غیر الفسّاق منهم، مع انحفاظ کلّ من الدوالّ و المدالیل بحاله، فکلّ من الموصوف و الصفة و التوصیف یدلّ علی معناه، فلا ینعقد الظهور بالنسبة إلی غیر العادل أیضاً؛ حتّی ینقدح احتمال التعارض البدوی المرتفع بأدنی تأمّل بین الصدر و الذیل، کما کان ینقدح ذلک فی المخصّص المنفصل، بل لا یوجد إلّا مضیّقاً، فما لم یحرز کونه عالماً عادلًا أو غیر فاسق، لا یتوجّه الحکم نحوه البتّة</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یجوز التمسّک بالعامّ فی الشبهة المصداقیة للمخصّص المتصل المبیّن المفهوم، و لم یختلف فیها أحد</w:t>
      </w:r>
      <w:r>
        <w:rPr>
          <w:rFonts w:eastAsia="IRNazanin" w:cs="IRNazanin"/>
          <w:color w:val="111111"/>
          <w:sz w:val="28"/>
          <w:szCs w:val="28"/>
          <w:rtl w:val="true"/>
          <w:lang w:bidi="fa-IR"/>
        </w:rPr>
        <w:t>.</w:t>
      </w:r>
      <w:bookmarkStart w:id="586" w:name="pg12934_164742"/>
    </w:p>
    <w:p>
      <w:pPr>
        <w:pStyle w:val="Heading5"/>
        <w:numPr>
          <w:ilvl w:val="4"/>
          <w:numId w:val="1"/>
        </w:numPr>
        <w:rPr/>
      </w:pPr>
      <w:bookmarkStart w:id="587" w:name="__RefHeading___Toc4026457_3224264995"/>
      <w:bookmarkStart w:id="588" w:name="_Toc224"/>
      <w:bookmarkEnd w:id="586"/>
      <w:bookmarkEnd w:id="587"/>
      <w:r>
        <w:rPr>
          <w:rtl w:val="true"/>
        </w:rPr>
        <w:t>حکم الشبهة المصداقیة للمخصّص المنفصل المبیّن</w:t>
      </w:r>
      <w:bookmarkEnd w:id="588"/>
    </w:p>
    <w:p>
      <w:pPr>
        <w:pStyle w:val="Heading6"/>
        <w:numPr>
          <w:ilvl w:val="5"/>
          <w:numId w:val="1"/>
        </w:numPr>
        <w:rPr/>
      </w:pPr>
      <w:bookmarkStart w:id="589" w:name="__RefHeading___Toc4026459_3224264995"/>
      <w:bookmarkStart w:id="590" w:name="_Toc225"/>
      <w:bookmarkEnd w:id="589"/>
      <w:r>
        <w:rPr>
          <w:rtl w:val="true"/>
        </w:rPr>
        <w:t>اشارة</w:t>
      </w:r>
      <w:bookmarkEnd w:id="590"/>
    </w:p>
    <w:p>
      <w:pPr>
        <w:pStyle w:val="BookText"/>
        <w:rPr/>
      </w:pPr>
      <w:r>
        <w:rPr>
          <w:rFonts w:ascii="IRNazanin" w:hAnsi="IRNazanin" w:eastAsia="IRNazanin"/>
          <w:color w:val="111111"/>
          <w:sz w:val="28"/>
          <w:sz w:val="28"/>
          <w:szCs w:val="28"/>
          <w:rtl w:val="true"/>
          <w:lang w:bidi="fa-IR"/>
        </w:rPr>
        <w:t>و أمّا الشبهة المصداقیة للمخصّص المنفصل المبیّن المفهوم، فاختلف فی جواز التمسّک بالعامّ فی ذلک، و الحقّ عندنا عدم الجواز أیضاً، کما لم یجز فی متصلها؛ و ذلک لأنّا قد أشرنا غیر مرّة إلی أنّ صحّة احتجاج المولی علی العبد و بالعکس، لیست بمجرّد تمامیة أصالة الحقیقة و انعقاد الظهور للکلام، و لذا لا یصحّ الاحتجاج بکلام من جرت عادته علی المزاح و الدعابة مع إحراز الظهور و جریان أصالة الحقیقة، بل لا بدّ من إحراز مطابقة إرادته الجدّیة للاستعمالیة، فإن کانت فی البین قرینة علی الخلاف، یحکم بعدم الجدّ بالنسبة إلی ما قامت القرینة علیه، و عدم تطابقه للاستعمال؛ و أنّ الاستعمال بنحو العامّ مثلًا کان لمصلحة التقنین، فعلی هذا إذا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یتصل به مخصّص، یحکم بأنّ إرادة المولی تعلّقت بوجوب إکرام کلّ فرد فرد من العلماء، ثمّ إذا عثر علی مخصّص منفصل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بعدم تطابق جدّه لاستعماله؛ من دون انثلام لظهور شی‌ء من تلک الدوالّ أصلًا، و لکن حیث إنّ أصالة الجدّ فی المخصّص أقوی من أصالة الجدّ فی العامّ، یحکم بتقدّمها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السرّ فی تقدیم الخاصّ علی العامّ، لا لکون الخاصّ أظهر من العامّ، فضلًا عن کونه نصّاً؛ لعدم التفاوت فیما یرجع إلی اللفظ و دلالته بالنصّ أو الظهور منهما أصلًا</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یذهب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إنّما هو فی العامّ و الخاصّ، لا المطلق و المقیّد؛ أی فیما علّق الحکم لکلّ فرد من العامّ ثم أخرج عدّة من أفراده من تحته، لا فیما علّق الحکم بعنوان ثمّ قیّد ذلک العنوان بعنوان کالعالم و العالم العادل؛ لما أشرنا أنّ مسألة العامّ و الخاصّ غیر مربوطة بمسألة المطلق و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تمامیة الحجّیة لیست بالظهور اللفظی فقط؛ لعدم الاعتداد به مع القطع به و الیقین باستعماله فی معناه الحقیقی، فضلًا عن إحرازه بأصالة الحقیقة، بل هو بتطابق الجدّ مع الاستعمال و بعد ورود المخصّص یستکشف أنّ استعماله فی مورد التخصیص لم یکن بنحو الجدّ، فیدور أمر المشتبه بین کونه مصداقاً للمخصّص، و بین عدم کونه مصداقاً له، و مع هذه الشبهة لا أصل لإحراز أحد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التمسّک بذیل أصالة الجدّ، إنّما ینفع فی مورد شکّ فی الجدّ و عدمه، و أمّا إذا شکّ فی جریان أصالة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موضع إلّا لعدم الحجّیة، کما هو الشأن فی أصالة الحقیقة، فإنّه إنّما یتمسّک بها فی إحراز ما إذا شکّ فی الحقیقة و غیرها، لا فیما إذا کانت الأصالة مشکوکة، نظیر ما إذا شکّ فی تحقّق بناء العقلاء بنفسه فی مورد، فإنّه لا سبیل إلی إحرازه، نعم إذا شکّ فی أمر یعتاده العقلاء، یسهل إحرازه ببنائهم، و کم له من 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فملخّص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الجدّ فی العامّ قبل الظفر بالمخصّص، کان بالنسبة إلی کلّ عالم؛ أی الکثرة الإجمالیة، کما کان کذلک بالنسبة إلی کلّ فاسق من العلماء، و بتقدیم الثانی علی الأوّل یصیر المحصّل و اللبّ، هو انحصار الجدّ فی العالم العادل، فیشکّ فی اندراج هذا الفرد المشکوک و عدمه، فلا وجه للتمسّک بالعامّ، کما لا وجه للتمسّک بالخاصّ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انقدح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الفرق بین الشبهة المصداقیة للمخصّص المتصل و المنفصل؛ و القول بعدم جواز التمسّک بالعامّ فی الاولی، دون الثانیة؛ بزعم أنّ الظهور فی الاولی لم ینعقد إلّا مضیّقاً؛ و هو العالم غیر الفاسق، بخلاف الثانیة، فإنّه بعد الانعقاد و تمامیة الحجّیة، غیر مفید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انقدح ضعف ما یظهر من المحقّق العراقی قدس سره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النکتة الوحیدة</w:t>
      </w:r>
      <w:bookmarkStart w:id="591" w:name="pg12934_164744"/>
    </w:p>
    <w:p>
      <w:pPr>
        <w:pStyle w:val="BookText"/>
        <w:rPr/>
      </w:pPr>
      <w:bookmarkEnd w:id="591"/>
      <w:r>
        <w:rPr>
          <w:rFonts w:ascii="IRNazanin" w:hAnsi="IRNazanin" w:eastAsia="IRNazanin"/>
          <w:color w:val="111111"/>
          <w:sz w:val="28"/>
          <w:sz w:val="28"/>
          <w:szCs w:val="28"/>
          <w:rtl w:val="true"/>
          <w:lang w:bidi="fa-IR"/>
        </w:rPr>
        <w:t>فی الاحتجاج هو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أفاد فی وجه التمسّک بالعامّ فی مفروض المسألة، أنّ ورود المخصّص المنفصل، إنّما أوجب ابتلاء ظهور العامّ بالنسبة إلی الحکم، لا الموضوع؛ لانعقاد ظهوره بالنسبة إلی جمیع ما یندرج تحته، فیبقی ظهوره بالنسبة إلی الفرد المشکوک اندراجه تحت العامّ بحاله، فینحدر حکمه نحوه</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الظهور اللفظی مع القطع به غیر مفید، فما ظنّک بإحرازه بأصالة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انضمّت إلیه أصالة الجدّ یتمّ الاحتجاج</w:t>
      </w:r>
      <w:r>
        <w:rPr>
          <w:rFonts w:eastAsia="IRNazanin" w:cs="IRNazanin"/>
          <w:color w:val="111111"/>
          <w:sz w:val="28"/>
          <w:szCs w:val="28"/>
          <w:rtl w:val="true"/>
          <w:lang w:bidi="fa-IR"/>
        </w:rPr>
        <w:t>.</w:t>
      </w:r>
    </w:p>
    <w:p>
      <w:pPr>
        <w:pStyle w:val="Heading6"/>
        <w:numPr>
          <w:ilvl w:val="5"/>
          <w:numId w:val="1"/>
        </w:numPr>
        <w:rPr/>
      </w:pPr>
      <w:bookmarkStart w:id="592" w:name="__RefHeading___Toc4026461_3224264995"/>
      <w:bookmarkStart w:id="593" w:name="_Toc226"/>
      <w:bookmarkEnd w:id="592"/>
      <w:r>
        <w:rPr>
          <w:rtl w:val="true"/>
        </w:rPr>
        <w:t>ذکر و تعقیب</w:t>
      </w:r>
      <w:bookmarkEnd w:id="593"/>
    </w:p>
    <w:p>
      <w:pPr>
        <w:pStyle w:val="BookText"/>
        <w:rPr/>
      </w:pPr>
      <w:r>
        <w:rPr>
          <w:rFonts w:ascii="IRNazanin" w:hAnsi="IRNazanin" w:eastAsia="IRNazanin"/>
          <w:color w:val="111111"/>
          <w:sz w:val="28"/>
          <w:sz w:val="28"/>
          <w:szCs w:val="28"/>
          <w:rtl w:val="true"/>
          <w:lang w:bidi="fa-IR"/>
        </w:rPr>
        <w:t>للمحقّق النائینی قدس سره کلام فی وجه عدم جواز التمسّک بالعامّ فی الشبهة المصداقیة،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ذلک فی القضیة الحقیقیة واضح؛ لأنّ مقتضی أصالة العموم قبل العثور علی المخصّص، هو أنّ عنوان العامّ تمام الموضوع للحکم الواقعی، و لا یدخل شی‌ء فی موضوع الحکم غیر عنوان العامّ، و بعد ورود التخصیص یخرج عنوان العامّ عن کونه تمام الموضوع، و یصیر جزء الموضوع، و الجزء الآخر هو عنوان الخاصّ، و تسقط أصالة العموم بالنسبة إلی ما تکفّله الخاصّ، فالموضوع لوجوب الإکرام عند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فسّاقهم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العالم غیر الفاسق، فلا بدّ من إحراز الموضوع بکلا جزأیه، و لا یکاد یمکن إحراز ذلک بالتمسّک بالعامّ، کما لم یکد ذلک فیما إذا شکّ فی کونه فرداً للعامّ؛ لأنّ کلّ دلیل لا یمکن أن یتکفّل وجود موضوعه، بل إنّما یکون متکفّلًا لإثبات الحکم علی فرض وجود موضوعه</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فی القضیة الحقیقیة، مترتّب علی العنوان بما أنّه مرآة لما ینطبق علیه من الخارجیات، لا علی الأفراد، فکیف یمکن إحراز حال الفرد المشتبه بالعامّ؟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القضیة الخارجیة، فربما یتوهّم صحّة التمسّک فیها بالعامّ؛ بلحاظ أنّ الحکم فیها یرد ابتداءً علی الأفراد بلا توسّط 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الخارجیة أیضاً لا یجوز التمسّک بالعامّ؛ لأنّ کیفیة استعمال العامّ و الخاصّ فی الخارجیة علی نهج الاستعمال فی الحقیقیة، و لا یکون الاستعمال فی الخارجیة علی غیر نحو الاستعمال فی الحقیقیة، و الفرق إنّما هو من جهة اخری، کما أشرنا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ینتقض ما ذکرناه فی الخارجیة بمثل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 إلی جماعة، و بعد 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مشیراً إلی جماعة من تلک الجماعة التی أشار إلیها أوّلًا، ثمّ شکّ فی 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لبعض ما شمله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لأنّه لا إشکال فی الأخذ بما شمله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فیما عدا المتیقّن خروجه، و إدراج المشکوک فی الإشارة الاولی فی وجوب إکرامه، لأنّ المثال المذکور من قبیل کون المخصّص مجملًا مفهوماً، لا مصداقاً، لرجوع الشکّ فیه إلی أصل وقوع الإشارة الثانیة بالنسبة إلی المشکوک من حیث تردّد مقدار الإشارة</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قد أشرنا إلی أنّ الحکم فی العامّ لم یتعلّق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حتّی یصیر موضوع الحکم بعد التخصیص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فسّاقهم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غیر الفاسق، أو العالم العادل، بل الحکم فیه تعلّق علی الأفراد علی نعت الإجمال؛ أی تعلّق علی الکثرة الإجمالیة، و بإضافته إلی العالم مثلًا یفید کثرة هذه الطبیعة، و بعد التخصیص یفید کثرة العالم غیر الفاسق، أو کثرة العالم العادل، و لا یوجب هذا تغییراً فی حریم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أفاده أجنبی عن المقام</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 حسن فی نفسه مربوط بباب المطلق و المقیّد،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ظهر بما ذکرنا أنّه لا فرق فی ذلک بین القضیة الحقیقیة و الخارجیة أصلًا؛ من حیث إنّ الحکم فیهما معلّق علی الأفراد علی نعت الإجمال، فما ذکره قدس سره أوّلًا فی التفرقة بین الحقیقیة و الخارجیة، ثمّ إثبات التسویة بینهما من حیث الاستعمال، إتعاب للنفس من غیر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الحکم فی الحقیقیة یترتّب علی العنوان بما أنّه مرآة لما ینطبق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سدید؛ لأنّ العنوان بما هو لا یکاد یمکن أن یکون مرآة للخصوصیات الفردیة، و إنّما یحکی عن نفس الطبیعة بلا خصوصیة فردیة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أوجب التخصیص تعنون العامّ، یلزم أن یری سرایة إجمال المخصّص المنفصل إلی العامّ، مع أنّه غیر ملتزم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 مرآتیته لما ینطبق علیه، هو أن تکون الأفراد موضوعاً للحکم، فإنّ المحکوم علیه علی ذلک هو المرئی، لا المرآة؛ و هذا منافٍ لقوله 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تمام الموضوع فی العامّ قبل التخصیص هو طبیعة العالم، و بعد التخصیص العالم غیر الفاسق، أو العالم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 کلامیه تهافت،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علیک ما فی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حیث إنّه لم یتعلّق بالعنوان، فینحلّ إلی قضایا شخصیة عدیدة بعدد رءوس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لأنّ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 الکثرة الإجمالیة، لا التفصیلیة، و بإضافتها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تفید تکثیر تلک الطبیعة إجمالًا، و لا تکون لتلک الجملة إلّا ظهور واحد لا انحلال فیه أصلًا</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 الاصولی برزخ بین القضیة الطبیعیة، و القضیة الدالّة علی الکثرات تفصیلًا؛ لأنّه علّق الحکم فیها علی الکثرة الإجمالیة، و بتخصیص واحد تخرج کثرات،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قضیة واحدة یراد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بإرادة واحدة تشریعیة</w:t>
      </w:r>
      <w:r>
        <w:rPr>
          <w:rFonts w:eastAsia="IRNazanin" w:cs="IRNazanin"/>
          <w:color w:val="111111"/>
          <w:sz w:val="28"/>
          <w:szCs w:val="28"/>
          <w:rtl w:val="true"/>
          <w:lang w:bidi="fa-IR"/>
        </w:rPr>
        <w:t>-</w:t>
      </w:r>
      <w:bookmarkStart w:id="594" w:name="pg12934_164747"/>
    </w:p>
    <w:p>
      <w:pPr>
        <w:pStyle w:val="BookText"/>
        <w:rPr/>
      </w:pPr>
      <w:bookmarkEnd w:id="594"/>
      <w:r>
        <w:rPr>
          <w:rFonts w:ascii="IRNazanin" w:hAnsi="IRNazanin" w:eastAsia="IRNazanin"/>
          <w:color w:val="111111"/>
          <w:sz w:val="28"/>
          <w:sz w:val="28"/>
          <w:szCs w:val="28"/>
          <w:rtl w:val="true"/>
          <w:lang w:bidi="fa-IR"/>
        </w:rPr>
        <w:t>إکرام کلّ عالم، لا المجموع من حیث المجموع، و لا ینحلّ إلی قضایا عدیدة، و إلّا یلزم أن یکون فی 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نارٍ باردة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إخبارات کاذبة متظافرة بعدد النیران المحقّقة و المقدّرة، لا خبر واحد، و الوجدان و فهم العرف و العقلاء، شهود صدق علی خلافه</w:t>
      </w:r>
      <w:r>
        <w:rPr>
          <w:rFonts w:eastAsia="IRNazanin" w:cs="IRNazanin"/>
          <w:color w:val="111111"/>
          <w:sz w:val="28"/>
          <w:szCs w:val="28"/>
          <w:rtl w:val="true"/>
          <w:lang w:bidi="fa-IR"/>
        </w:rPr>
        <w:t>.</w:t>
      </w:r>
    </w:p>
    <w:p>
      <w:pPr>
        <w:pStyle w:val="Heading5"/>
        <w:numPr>
          <w:ilvl w:val="4"/>
          <w:numId w:val="1"/>
        </w:numPr>
        <w:rPr/>
      </w:pPr>
      <w:bookmarkStart w:id="595" w:name="__RefHeading___Toc4026463_3224264995"/>
      <w:bookmarkStart w:id="596" w:name="_Toc227"/>
      <w:bookmarkEnd w:id="595"/>
      <w:r>
        <w:rPr>
          <w:rtl w:val="true"/>
        </w:rPr>
        <w:t>سرّ التمسّک بالعامّ فی الشبهة المصداقیة للمخصّص المنفصل المردّد مفهوماً</w:t>
      </w:r>
      <w:bookmarkEnd w:id="596"/>
    </w:p>
    <w:p>
      <w:pPr>
        <w:pStyle w:val="BookText"/>
        <w:rPr/>
      </w:pPr>
      <w:r>
        <w:rPr>
          <w:rFonts w:ascii="IRNazanin" w:hAnsi="IRNazanin" w:eastAsia="IRNazanin"/>
          <w:color w:val="111111"/>
          <w:sz w:val="28"/>
          <w:sz w:val="28"/>
          <w:szCs w:val="28"/>
          <w:rtl w:val="true"/>
          <w:lang w:bidi="fa-IR"/>
        </w:rPr>
        <w:t>إذا تحقّق لک سرّ عدم جواز التمسّک بالعامّ فی الشبهة المصداقیة للمخصّص المنفصل المبیّن المفهوم، فحان وقت التنبیه علی سرّ جواز التمسّک بالعامّ فی الشبهة المصداقیة للمخصّص المنفصل إذا کان مردّد المفهوم؛ و السرّ هو أنّ أصالة الجدّ و تطابق الجدّ للاستعمال، لیست ممّا تعرّض له الکتاب العزیز و السنّة؛ حتّی یتمسّک بإطلاق الآیة أو الروایة أو عمومهما فی الحکم بجریانها حتّی فی المجملات المفهومیة و نحوها، بل هی من الاصول العقلائیة المعتمد علیها فی محاورات أهل العرف و أنظمتهم، فلا بدّ من ملاحظة ما بنوا و استقرّوا علیه، و من المعلوم أنّ اعتمادهم و بناءهم علیها، إنّما هو فی مورد یکون الظهور اللفظی بحاله، و یشکّ فی تطابقه للجدّ، و أمّا فی مورد لا یکون هناک من الظهور عین و لا أثر، فلا مسرح و لا موضع لها أصلًا، و لذا لا تجری فی الألغاز و المعمّیات، کما لا تجری فی الرموز و الإشارات الخفیة، نظیر فواتح السور، فإنّها رموز بینه تعالی و بین رسوله الأکرم صلی الله علیه و آله و سلم فلا مجری لها فی موارد الإجمال المفهومی، فلا بدّ هناک من الأخذ بالقدر المتیقّن</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هذا لا تجری أصالة الجدّ فیما إذا کان المخصّص المنفصل مجملًا، بل تنحصر فی العامّ وحده، فلا وجه لرفع الید عن أصالة الجدّ فی العامّ بالنسبة إلی الفرد المشکوک کونه مصداقاً للخاصّ المجمل؛ بداهة أنّ رفع الید عنها عند ذلک، رفع للید عن الحجّة بلا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لتوضیح المقال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یشتبه و یختلط الوجدان بالحجّة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فسّاقهم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یقطع بعدم وجوب إکرام فسّاقهم و خروجهم عن إکرام العلماء، و ینحصر الوجوب فی إکرام العالم غیر الفاسق، أو العادل، فإن کان الخاصّ مجملًا مفهوماً یصیر العامّ المخصّص مجملًا أیضاً؛ لأنّه یشکّ فی وجوب إکرام العالم المرتکب للصغیرة، لعدم اتضاح مفهوم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قد أشرنا إلی أنّ الاصول العقلائیة المعتمد علیها فی المحاورات العرفیة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أصالة تطابق الجدّ للاستعمال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منصوصة فی الشریعة المقدّسة حتّی یؤخذ بإطلاقها أو عمومها، بل لا بدّ فیها من المراجعة إلی بنائهم و ما استقرّوا علیه، و من المعلوم أنّ بناءهم مقصور علی موارد الظهور، فیحکمون بتطابق الجدّ للاستعمال فیما إذا کان للّفظ ظهور استعمالی، و أمّا فیما لا ظهور له أصلًا فلا، ففی المخصّص المبیّن المفهوم استقرّ فیه تمام مراحل الحجّیة، و منها تطابق الجدّ مع الاستعمال فیه، و تحقّق أیضاً فی العام تمام مراحل الحجّیة، و یُحتجّ بکلّ منهما، فتکون هنا حجّتان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إنّ الحجّة الثانیة مقدّمة علی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فتخصّص الاولی بها، و بتخصیصها یستکشف أنّ الإرادة الجدّیة فیها لم تتعلّق بمقدار الخاصّ، فالفرد المشکوک کونه مصداقاً للخاصّ، یشکّ فی کونه مصداقاً للمخصّص حتّی یکون تحت الإرادة الجدّیة لحکم العامّ المخصّص، فحیث لا ترجّح فی البین فلا یکاد یصحّ التمسّک بالعامّ</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المخصّص المردّد المفهوم، فحیث إنّه لم تجر فیه أصالة تطابق الجدّ مع الاستعمال، لذا تکون أصالة الجدّ فی العامّ سلیمة بلا معارض، فیصحّ التمسّک بها لتعیین حال الفرد، فحصل الفرق بینهما، فتدبّر و اغتنم</w:t>
      </w:r>
      <w:r>
        <w:rPr>
          <w:rFonts w:eastAsia="IRNazanin" w:cs="IRNazanin"/>
          <w:color w:val="111111"/>
          <w:sz w:val="28"/>
          <w:szCs w:val="28"/>
          <w:rtl w:val="true"/>
          <w:lang w:bidi="fa-IR"/>
        </w:rPr>
        <w:t>.</w:t>
      </w:r>
      <w:bookmarkStart w:id="597" w:name="pg12934_164749"/>
    </w:p>
    <w:p>
      <w:pPr>
        <w:pStyle w:val="Heading5"/>
        <w:numPr>
          <w:ilvl w:val="4"/>
          <w:numId w:val="1"/>
        </w:numPr>
        <w:rPr/>
      </w:pPr>
      <w:bookmarkStart w:id="598" w:name="__RefHeading___Toc4026465_3224264995"/>
      <w:bookmarkStart w:id="599" w:name="_Toc228"/>
      <w:bookmarkEnd w:id="597"/>
      <w:bookmarkEnd w:id="598"/>
      <w:r>
        <w:rPr>
          <w:rtl w:val="true"/>
        </w:rPr>
        <w:t>تقریب لعدم جواز التمسّک بالعامّ فی الشبهة المصداقیة و ردّه</w:t>
      </w:r>
      <w:bookmarkEnd w:id="599"/>
    </w:p>
    <w:p>
      <w:pPr>
        <w:pStyle w:val="BookText"/>
        <w:rPr/>
      </w:pPr>
      <w:r>
        <w:rPr>
          <w:rFonts w:ascii="IRNazanin" w:hAnsi="IRNazanin" w:eastAsia="IRNazanin"/>
          <w:color w:val="111111"/>
          <w:sz w:val="28"/>
          <w:sz w:val="28"/>
          <w:szCs w:val="28"/>
          <w:rtl w:val="true"/>
          <w:lang w:bidi="fa-IR"/>
        </w:rPr>
        <w:t>إنّ المحقّق العراقی قدس سره بعد أن نفی بعض الوجوه المستدلّ بها علی عدم جواز التمسّک بالعامّ فی الشبهة المصداقیة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ینبغی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الحجّیة بعد ما کانت منحصرة بالظهور التصدیقی المبنی علی کون المتکلّم فی مقام الإفادة و الاستفادة، فإنّما یتحقّق مثل هذا المعنی فی فرض تعلّق قصد المتکلّم بإبراز مرامه باللفظ، و هو فرع التفات المتکلّم إلی ما تعلّق به مرامه، و إلّا فمع جهله به و احتماله خروجه عن مرامه، فکیف یتعلّق قصده بلفظه و إبرازه؟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الشبهات الموضوعیة طرّاً من هذا 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أجاد شیخنا الأعظم فیما أفاد فی وجه المنع بمثل هذا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مرجع هذا الوجه إلی منع کون المولی فی مقام إفادة المرام بالنسبة إلی ما کان هو بنفسه مشتبهاً فیه، فلا یکون الظهور حینئذٍ تصدیقیاً کی یکون واجداً لشرائط الحجّیة</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المعتبر فی مقام إعطاء القانون أو الإخبار بجملة کلّیة، إنّما هو إفادة الکبری الکلّیة، فإذا قام عنده البرهان علی أنّ کلّ نار حارّة، یمکنه التصدیق به من دون احتیاج فی ذلک إلی استقراء النیران فی العالم، و الأمر فی الإنشاء أیضاً کذلک؛ فإنّ المقنّن یری أنّ الوفاء بالعقد مثلًا، له مصلحة اجتماعیة مثلًا، فیوجب الوفاء بکلّ عقد من دون ملاحظة الأفراد و استقرائها</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أخبر عن کبری کلّیة أو أنشأ حکماً علی موضوع کلّی، لم یتعلّق غرضه بالأفراد الخارجیة، بل لا یمکن أن یتعلّق بها؛ لأنّ القضیة المحکیة الإخباریة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نار حارّة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تحکی إلّا عن عنوان کلّی، و لا یعقل أن یتعلّق غرضه</w:t>
      </w:r>
    </w:p>
    <w:p>
      <w:pPr>
        <w:pStyle w:val="BookText"/>
        <w:rPr/>
      </w:pPr>
      <w:r>
        <w:rPr>
          <w:rFonts w:ascii="IRNazanin" w:hAnsi="IRNazanin" w:eastAsia="IRNazanin"/>
          <w:color w:val="111111"/>
          <w:sz w:val="28"/>
          <w:sz w:val="28"/>
          <w:szCs w:val="28"/>
          <w:rtl w:val="true"/>
          <w:lang w:bidi="fa-IR"/>
        </w:rPr>
        <w:t>و إرادته بأکثر ممّا تدلّ علیه تلک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القضیة الإنشائیة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إلّا علی وجوب الوفاء بکلّ عقد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المخبر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نار حارّة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یکون بصدد بیان أنّ هذه نار، و تلک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لخروج بیان الصغریات عن غرض المخبر، و لا یکون فی مقام الدلالة ما یحکی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الأمر فی الإنشاء، فإنّ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بصدد أزید من إفادة وجوب إکرام العلماء، و أمّا أنّ العالم من هو؟ فلا، بل یمنع أن یکون بصدد إفادته بعد انحصار غرضه فی إفادة الحکم؛ لأنّه لم یکن بیان الصغری وضعاً و لا رفعاً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التفات المتکلّم إلی الأفراد و تشخیص الأفراد عند إعطاء الضابطة و القانون، غیر لازم؛ من غیر فرق فی ذلک بین الأفراد المقطوع بها و المشکوکة، بل اللازم عند ذلک هو إحراز کون الأفراد الواقعیة من العنوان الکلّی، محکومة بهذا الحکم، فمثلًا لا بدّ لمن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تشخیص أنّ کلّ فرد من العلماء فیه ملاک الوجوب، و أمّا أنّ زیداً مثلًا عالم أم لا، فلا تعرّض له، و لذا یصحّ منه ذلک و إن اشتبه علیه جمیع أفراد العلماء، فلا یمکن تشخیص حال الموضوع من إعطاء القاعدة الکلّیة، و لیس ذلک لعدم التفاته و علمه، فإنّ التفاته و عدمه غیر مربوط بها، و یکون کالحجر إلی جنب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عقلیة و لا لفظیة و لا طبعیة، علی أنّ زیداً مثلًا عالم، فعدم تشخیص الفرد لعدم المعقولیة، لا لعدم العلم</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لازم قوله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الظهور التصدیقی إنّما یتحقّق فی فرض تعلّق قصد المتکلّم بإبراز مرامه باللفظ، و هو فرع التفاته إلی تعلّق مرامه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عدم حجّیة العامّ بالنسبة إلی فرد من أفراد العلماء معلومها و مشکوکها، لما عرفت من أنّه لا یعقل</w:t>
      </w:r>
    </w:p>
    <w:p>
      <w:pPr>
        <w:pStyle w:val="BookText"/>
        <w:rPr/>
      </w:pPr>
      <w:r>
        <w:rPr>
          <w:rFonts w:ascii="IRNazanin" w:hAnsi="IRNazanin" w:eastAsia="IRNazanin"/>
          <w:color w:val="111111"/>
          <w:sz w:val="28"/>
          <w:sz w:val="28"/>
          <w:szCs w:val="28"/>
          <w:rtl w:val="true"/>
          <w:lang w:bidi="fa-IR"/>
        </w:rPr>
        <w:t>أن یکون بصدد بیان الأفراد الخارجیة، و لا تکون الأفراد الخارجیة ملتفتاً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الوجه الذی أفاده قدس سره لعدم جواز التمسّک بالعامّ فی الشبهة المصداقیة، غیر 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لازم ما ذکره فی عدم الجواز، هو أنّه لو اشتبه حال الفرد عند المولی و تردّد فی کون زید عادلًا أم لا، أو اعتقد أنّه فاسق، و لکن العبد أحرز عدالته، أن لا یجب إکرامه، و لا أظنّ التزامه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التزم به فلا یکون وجیهاً؛ لأنّه لا یعد العبد عند ترک إکرامه، معذوراً و إن اعتذر بأنّ المولی لم یکن فی مقام البیان بالنسبة إلی المشکوک فیه، أ لا تری أنّه إذا قال المولی لعبده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أنقذ ابنی من الغَرق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فغرق ولده و علم بذلک عبده، و لکنّ المولی اعتقد أنّ الغریق عدوّه، فیجب علیه إنقاذه، و لا یجوز له ترک إنقاذه معتذراً بأنّ المولی لم یکن فی مقام البیان بالنسبة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علی العبد الإنقاذ و إن نهی المولی عن إنقاذه؛ فیما إذا تمکّن العبد من إنقاذه مع نهیه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علم المولی و جهله بالموضوع، غیر دخیل فی موضوع الإطاعة و صحّة الاحتجاج و عدمها، و إنّما ذلک وظیفة العبد، فکلّ ما أحرز العبد أنّه موضوع لحکم المولی، یجب علیه إطاعته، و إلّا یکون معذوراً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أصل مقاله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نسبة ما ذکره إلی شیخنا الأعظم قدس سره فالذی ببالی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حسبما رأیت التقریرات سابقاً</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المولی بصدد بیان حکم الأفراد الخارجیة حتّی یصحّ التمسّک فیها به، فعلی هذا یصحّ من المولی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إحرازه وجود العالم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هذا غیر ما أفاده المحقّق العراقی قدس سره و یقرب ممّا ذکره الاستاذ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الأمر بعدُ محتاج إلی التأمّل، و ینبغی المراجعة إلی التقریرات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المقرّر حفظه اللَّه</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الشیخ الأعظم قدس سره بصدد بیان ما اخترناه، لا ما اختاره قدس سره و اللَّه العالم</w:t>
      </w:r>
      <w:r>
        <w:rPr>
          <w:rFonts w:eastAsia="IRNazanin" w:cs="IRNazanin"/>
          <w:color w:val="111111"/>
          <w:sz w:val="28"/>
          <w:szCs w:val="28"/>
          <w:rtl w:val="true"/>
          <w:lang w:bidi="fa-IR"/>
        </w:rPr>
        <w:t>.</w:t>
      </w:r>
      <w:bookmarkStart w:id="600" w:name="pg12934_164752"/>
    </w:p>
    <w:p>
      <w:pPr>
        <w:pStyle w:val="Heading5"/>
        <w:numPr>
          <w:ilvl w:val="4"/>
          <w:numId w:val="1"/>
        </w:numPr>
        <w:rPr/>
      </w:pPr>
      <w:bookmarkStart w:id="601" w:name="__RefHeading___Toc4026467_3224264995"/>
      <w:bookmarkStart w:id="602" w:name="_Toc229"/>
      <w:bookmarkEnd w:id="600"/>
      <w:bookmarkEnd w:id="601"/>
      <w:r>
        <w:rPr>
          <w:rtl w:val="true"/>
        </w:rPr>
        <w:t>تقریب آخر لجواز التمسّک فی الشبهة المصداقیة للمخصّص و دفعه</w:t>
      </w:r>
      <w:bookmarkEnd w:id="602"/>
    </w:p>
    <w:p>
      <w:pPr>
        <w:pStyle w:val="BookText"/>
        <w:rPr/>
      </w:pPr>
      <w:r>
        <w:rPr>
          <w:rFonts w:ascii="IRNazanin" w:hAnsi="IRNazanin" w:eastAsia="IRNazanin"/>
          <w:color w:val="111111"/>
          <w:sz w:val="28"/>
          <w:sz w:val="28"/>
          <w:szCs w:val="28"/>
          <w:rtl w:val="true"/>
          <w:lang w:bidi="fa-IR"/>
        </w:rPr>
        <w:t>ربما یصحّح التمسّک بالعامّ فی الشبهة المصداقیة للمخصّص المنفصل بتقریب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شیخنا العلّامة الحائری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غایة ما یمکن التقریب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لکلّ واحد من العمومات، عموماً أفرادیاً، و إطلاقاً أحوالیاً، مثلًا إنّ قول القائل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بعمومه الأفرادی علی وجوب إکرام کلّ واحد من العلماء، و بإطلاقه علی سرایة الحکم إلی کلّ حالة من الحالات التی تفرض للموضوع، و من جملة حالاته کونه مشکوک الفسق و العدالة، کما أنّه من جملة حالاته کونه معلوم العدالة، أو معلوم الفسق، و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 خروج معلوم الفسق عنهم، و لا یعلم خروج الباقی، فمقتضی أصالة العموم و الإطلاق بقاء المشکوک تحت العامّ</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الوجه أسوأ الوجوه التی أشرنا إلیها فی خلال البحث، و فیه</w:t>
      </w:r>
    </w:p>
    <w:p>
      <w:pPr>
        <w:pStyle w:val="BookText"/>
        <w:rPr/>
      </w:pPr>
      <w:r>
        <w:rPr>
          <w:rFonts w:ascii="IRNazanin" w:hAnsi="IRNazanin" w:eastAsia="IRNazanin"/>
          <w:color w:val="111111"/>
          <w:sz w:val="28"/>
          <w:sz w:val="28"/>
          <w:szCs w:val="28"/>
          <w:rtl w:val="true"/>
          <w:lang w:bidi="fa-IR"/>
        </w:rPr>
        <w:t xml:space="preserve">وجوه من الإشکال، و لا ینقضی تعجّبی من قوله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غایة 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یرد علیه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محطّ البحث إنّما هو فی تخصیص العامّ و جواز التمسّک به فی الشبهة المصداقیة للمخصّص و عدمه، لا فی تقیید المطلق و جواز التمسّک بالمطلق فی الشبهة المصداقیة للمقیّد و عدمه، و مقتضی ما ذکره هو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فسّاق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مقیّداً لإطلاق أحوالی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مخصّصاً له، و التمسّک إنّما هو بإطلاق أحوالی العامّ فی الشبهة المصداقیة، لا بعموم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منشأ التوهّم ملاحظة المثال المعروف؛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فسّاقهم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لا یخلو من إجمال، و المناقشة فی المثال لیست من دأب المحصّلین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فلنذکر مثالًا آخر؛ و هو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دلّ علی خروج العقد الربوی، فتری بوضوح أنّه لا یجری فیه ما ذکره،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التمسّک بالإطلاق الأحوالی کما ذکره، أسوأ حالًا من التمسّک بالعامّ فی الشبهة المصداقیة؛ لما أشرنا</w:t>
      </w:r>
      <w:r>
        <w:rPr>
          <w:rStyle w:val="FootnoteAnchor"/>
          <w:rtl w:val="true"/>
        </w:rPr>
        <w:footnoteReference w:id="355"/>
      </w:r>
      <w:r>
        <w:rPr>
          <w:rFonts w:ascii="IRNazanin" w:hAnsi="IRNazanin" w:eastAsia="IRNazanin"/>
          <w:color w:val="111111"/>
          <w:sz w:val="28"/>
          <w:sz w:val="28"/>
          <w:szCs w:val="28"/>
          <w:rtl w:val="true"/>
          <w:lang w:bidi="fa-IR"/>
        </w:rPr>
        <w:t>فی ردّ المحقّق النائینی قدس سره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عنوان العامّ قبل العثور علی التخصیص، کان تمام الموضوع للحکم، و بعده یصیر العامّ معنوناً بعنوان غیر المخصّص، فکما لم یجز التمسّک عند الشکّ فی فردیة شی‌ء للعامّ فکذلک إذا شکّ فی فردیته للمخصّص</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 ما ذکرناه فی 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لم یتعلّق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 العامّ، و لا فی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بالمعنون، بل تعلّق الحکم فیهما بالأفراد، لکنّه علی نعت الإجمال، فموضوع الحکم فی العامّ و الخاصّ لیس إلّا الأفراد، لا العنوان و الطبیعة کما یکون کذلک فی</w:t>
      </w:r>
    </w:p>
    <w:p>
      <w:pPr>
        <w:pStyle w:val="BookText"/>
        <w:rPr/>
      </w:pPr>
      <w:r>
        <w:rPr>
          <w:rFonts w:ascii="IRNazanin" w:hAnsi="IRNazanin" w:eastAsia="IRNazanin"/>
          <w:color w:val="111111"/>
          <w:sz w:val="28"/>
          <w:sz w:val="28"/>
          <w:szCs w:val="28"/>
          <w:rtl w:val="true"/>
          <w:lang w:bidi="fa-IR"/>
        </w:rPr>
        <w:t xml:space="preserve">المطلق و المقیّد، و إلّا فلو أوجب التخصیص تعنون العامّ، للزم سرایة إجمال المخصّص المنفصل إلی العامّ، و لم یلتزم به، فلا یکون موضوع العامّ فی المثال المعروف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الخاصّ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العامّ المخصّص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غیر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موضوع الحکم فی العامّ و الخاصّ هو الأفراد، فإذن یکون الخارج عن العامّ بعد التخصیص الأفراد، کما أنّ الباقی تحته هو الأفراد أیضاً، 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سرّ عدم جواز التمسّک بالعامّ فی الشبهة المصداقیة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موضوع الحکم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تطابق الإرادة الجدّیة مع الإرادة الاستعمالیة،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جواز التمسّک بالعامّ فی الشبهة المصداقیة للوجه الذی أشرنا إلیه، فمع ذلک لا یمکن المساعدة علی جواز التمسّک بالمطلق فی الشبهة المصداقیّة؛ لأنّ تقیید الإطلاق یوجب تعنونه، و لذا لم یقل أحد بجواز التمسّک بالمطلق فی الشبهة المصداقیة للمقیّد، مثلًا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قیّده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شکّ فی مورد بوجود الطهارة و عدمها، لا یمکن التمسّک بالمطلق و الحکم بصحّة الصلاة مع الشکّ فی الطهارة،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الذی فی کلّ واحد من العامّ و الخاصّ إمّا حکم واقعی، أو أعمّ منه و من الحکم الظاهری</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اجتماع حکمین واقعیین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و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شی‌ء واحد فی المثال المعروف؛ و ذلک لأنّ مقتضی عموم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إکرام کلّ فرد من أفراد العلماء، و مقتضی إطلاقه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بزعم المستدلّ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إکرام کلّ واحد منهم؛ سواء کان معلوم العدالة، أو مشکوکها، أو معلوم الفسق، أو مشکوکه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سائر حالاته، فإذن العادل و مشکوک العدالة، سیّان فی الواقع فی وجوب الإکرام، و هکذا</w:t>
      </w:r>
    </w:p>
    <w:p>
      <w:pPr>
        <w:pStyle w:val="BookText"/>
        <w:rPr/>
      </w:pPr>
      <w:r>
        <w:rPr>
          <w:rFonts w:ascii="IRNazanin" w:hAnsi="IRNazanin" w:eastAsia="IRNazanin"/>
          <w:color w:val="111111"/>
          <w:sz w:val="28"/>
          <w:sz w:val="28"/>
          <w:szCs w:val="28"/>
          <w:rtl w:val="true"/>
          <w:lang w:bidi="fa-IR"/>
        </w:rPr>
        <w:t>حال الخاصّ، فإنّ مقتضی ذلک حرمة إکرام کلّ فرد من أفراد الفاسق واقعاً؛ سواء کان معلوم الفسق ظاهراً، أو مشکوکه، فمشتبه الفسق إذا کان فاسقاً واقعاً، یحرم إکرامه بإطلاق دلیل الخاصّ، و یجب إکرامه بإطلاق دلیل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یکون المقام من باب اجتماع الأمر و النهی؛ لما أشرنا فی مسألة الاجتماع، من أنّه فیما إذا تعلّق حکمان علی عنوانین متصادقین فی موضوع واحد، و مفروض البحث هنا عنوانان اخذ مفهوم أحدهما فی الآخر، و أشرنا فی مسألة الاجتماع إلی أنّ دخول ذلک فی مسألة الاجتماع، لا یخلو من إشکال،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یلزم من ذلک تعلّق حکمین بعنوان واحد؛ لأنّ مقتضی الإطلاق الأحوالی لدلیل العموم، شموله لمشکوک العدالة، کما أنّ مقتضی إطلاق دلیل الخاصّ أیضاً، شموله لذلک أیضاً، فمشکوک العدالة عندهم موضوع لوجوب الإکرام، و موضوع لحرمة الإکرام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فرد العامّ واجب الإکرام واقعاً و إن کان مشکوک الفسق ظاهراً، و کذا مقطوع العدالة واجب الإکرام و إن کان فاسقاً واقعاً، مع أنّ الحکم الواقعی للفاسق الواقعی، حرمة الإکرام و إن کان مقطوع العدالة ظاهراً، فیجتمع الضدّان فی شی‌ء واحد علی عنوان واحد،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علی تقدیر کون الحکم فی کلّ من العامّ و الخاصّ واقعیاً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 ارید منه الأعمّ من الواقعی و الظاهری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فی الشبهة المصداقیة، لا الحکمیة، و مصحّح الحکم الظاهری هو الشکّ فی الحکم، لا فی المصداق، فتدبّر</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یکاد یمکن إفادة الأعمّ من الواقعی و الظاهری بدلیل واحد؛</w:t>
      </w:r>
    </w:p>
    <w:p>
      <w:pPr>
        <w:pStyle w:val="BookText"/>
        <w:rPr/>
      </w:pPr>
      <w:r>
        <w:rPr>
          <w:rFonts w:ascii="IRNazanin" w:hAnsi="IRNazanin" w:eastAsia="IRNazanin"/>
          <w:color w:val="111111"/>
          <w:sz w:val="28"/>
          <w:sz w:val="28"/>
          <w:szCs w:val="28"/>
          <w:rtl w:val="true"/>
          <w:lang w:bidi="fa-IR"/>
        </w:rPr>
        <w:t>لاستلزامه جعل الحکم الواقعی و حکم الشکّ فی ذلک الحکم المجعول بهذا الدلیل بدلیل واحد، نظیر ما قاله المحقّق الخراسانی قدس سره 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حلال حتّی تعرف الحرام منه بعینه</w:t>
      </w:r>
      <w:r>
        <w:rPr>
          <w:rFonts w:eastAsia="IRNazanin" w:cs="IRNazanin"/>
          <w:color w:val="111111"/>
          <w:sz w:val="28"/>
          <w:szCs w:val="28"/>
          <w:rtl w:val="true"/>
          <w:lang w:bidi="fa-IR"/>
        </w:rPr>
        <w:t>»</w:t>
      </w:r>
    </w:p>
    <w:p>
      <w:pPr>
        <w:pStyle w:val="BookText"/>
        <w:rPr/>
      </w:pPr>
      <w:r>
        <w:rPr>
          <w:rStyle w:val="FootnoteAnchor"/>
          <w:rtl w:val="true"/>
        </w:rPr>
        <w:footnoteReference w:id="356"/>
      </w:r>
      <w:r>
        <w:rPr>
          <w:rFonts w:ascii="IRNazanin" w:hAnsi="IRNazanin" w:eastAsia="IRNazanin"/>
          <w:color w:val="111111"/>
          <w:sz w:val="28"/>
          <w:sz w:val="28"/>
          <w:szCs w:val="28"/>
          <w:rtl w:val="true"/>
          <w:lang w:bidi="fa-IR"/>
        </w:rPr>
        <w:t>حیث استفاد من الصدر الحلّیة الواقعیة للأشیاء بعناوینها الأوّلیة، و من الذیل الحلّیة الظاهریة للأشیاء المشکوکة حلّیتها</w:t>
      </w:r>
      <w:r>
        <w:rPr>
          <w:rStyle w:val="FootnoteAnchor"/>
          <w:rtl w:val="true"/>
        </w:rPr>
        <w:footnoteReference w:id="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ما أفاده أهون ممّا ذکره المحقّق الخراسانی قدس سره لأنّه لم یرد استفادة الحلّیة الواقعیة و الظاهریة من جملة واحدة، کما فیما نحن بصدده فی مفروض البحث، بل أراد استفادة الحلّیة الواقعیة من جملة الصدر، و الحلّیة الظاهریة من جملة الذیل؛ و هی الغایة، و هما جملتان،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أشرنا غیر مرّة إلی أنّ الإطلاق لیس إلّا کون الشی‌ء تمام الموضوع للحکم، و لم یکن لشی‌ء آخر دخالة فی ترتّب الحکم علیه، فلا تعرّض فیه بالنسبة إلی الأحوال أصلًا، فما أفاده فی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یجب إکرامه سواء کان کذا، أو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من الرأس، کما سیجی‌ء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 شیخنا العلّامة الحائری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التقریب غایة التقریب فی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بسدید؛ فإنّ التقریب الذی أشرنا إلیه فی الأثناء و إن لم یکن تامّاً فی حدّ نفسه، إلّا أنّ الإشکال المتوجّه إلیه أقلّ ممّا یکون علی هذا التقریب، فلاحظهما و کن قاضیاً</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کلّه فیما إذا کان المخصّص لفظیاً</w:t>
      </w:r>
      <w:r>
        <w:rPr>
          <w:rFonts w:eastAsia="Amiri" w:cs="Amiri" w:ascii="Amiri" w:hAnsi="Amiri"/>
          <w:color w:val="111111"/>
          <w:sz w:val="28"/>
          <w:szCs w:val="28"/>
          <w:rtl w:val="true"/>
          <w:lang w:bidi="ar-SA"/>
        </w:rPr>
        <w:t>.</w:t>
      </w:r>
      <w:bookmarkStart w:id="603" w:name="pg12934_164757"/>
    </w:p>
    <w:p>
      <w:pPr>
        <w:pStyle w:val="Heading4"/>
        <w:numPr>
          <w:ilvl w:val="3"/>
          <w:numId w:val="1"/>
        </w:numPr>
        <w:rPr/>
      </w:pPr>
      <w:bookmarkStart w:id="604" w:name="__RefHeading___Toc4026469_3224264995"/>
      <w:bookmarkStart w:id="605" w:name="_Toc230"/>
      <w:bookmarkEnd w:id="603"/>
      <w:bookmarkEnd w:id="604"/>
      <w:r>
        <w:rPr>
          <w:rtl w:val="true"/>
        </w:rPr>
        <w:t>المورد الرابع فی المخصّص اللبّی</w:t>
      </w:r>
      <w:bookmarkEnd w:id="605"/>
    </w:p>
    <w:p>
      <w:pPr>
        <w:pStyle w:val="Heading5"/>
        <w:numPr>
          <w:ilvl w:val="4"/>
          <w:numId w:val="1"/>
        </w:numPr>
        <w:rPr/>
      </w:pPr>
      <w:bookmarkStart w:id="606" w:name="__RefHeading___Toc4026471_3224264995"/>
      <w:bookmarkStart w:id="607" w:name="_Toc231"/>
      <w:bookmarkEnd w:id="606"/>
      <w:r>
        <w:rPr>
          <w:rtl w:val="true"/>
        </w:rPr>
        <w:t>اشارة</w:t>
      </w:r>
      <w:bookmarkEnd w:id="607"/>
    </w:p>
    <w:p>
      <w:pPr>
        <w:pStyle w:val="BookText"/>
        <w:rPr/>
      </w:pPr>
      <w:r>
        <w:rPr>
          <w:rFonts w:ascii="IRNazanin" w:hAnsi="IRNazanin" w:eastAsia="IRNazanin"/>
          <w:color w:val="111111"/>
          <w:sz w:val="28"/>
          <w:sz w:val="28"/>
          <w:szCs w:val="28"/>
          <w:rtl w:val="true"/>
          <w:lang w:bidi="fa-IR"/>
        </w:rPr>
        <w:t>إذا کان المخصّص لبّیاً فهل یفرّق بینه و بین المخصّص اللفظی فی جواز التمسّک بالعامّ فی الشبهة المصداقیة للمخصّص اللبّی أم لا، أو یفصّل فی اللبّیات؛ فیجوز التمسّک بالعامّ فی بعضها، دون الآخر؟ وجوه، بل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ذکر ما هو الحقّ فی المسألة، ینبغی تحریر محطّ البحث و تنقیحه حتّی یظهر أنّ بعض ما قیل فی المسألة، کأنّه خارج عن محطّ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تمحیص الأمر فی الشبهة المصداقیة، و فرض جمیع ما کان معتبراً فی المخصّص اللفظی فی المخصّص اللبّی، فکما أنّ موضوع البحث فی المخصّص اللفظی، هو إخراج عنوان المخصّص عن تحت عنوان العامّ</w:t>
      </w:r>
      <w:r>
        <w:rPr>
          <w:rStyle w:val="FootnoteAnchor"/>
          <w:rtl w:val="true"/>
        </w:rPr>
        <w:footnoteReference w:id="358"/>
      </w:r>
      <w:r>
        <w:rPr>
          <w:rFonts w:ascii="IRNazanin" w:hAnsi="IRNazanin" w:eastAsia="IRNazanin"/>
          <w:color w:val="111111"/>
          <w:sz w:val="28"/>
          <w:sz w:val="28"/>
          <w:szCs w:val="28"/>
          <w:rtl w:val="true"/>
          <w:lang w:bidi="fa-IR"/>
        </w:rPr>
        <w:t>، فیشکّ فی انطباقه علی مصداق، فکذلک لا بدّ و أن یفرض فی المخصّص اللبّی، إخراج عنوان عن عنوان یشکّ فی انطباقه علی مصداقه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و أن یلاحظ فی المخصّص اللبّی، جمیع ما یلاحظ فی المخصّص اللفظی، و من یفصّل بینهما فلا بدّ و أن یکون تفصیله بلحاظ خصوصیة فی اللبّیة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موضوع البحث فی التمسّک بالعامّ فی الشبهة المصداقیة مطلقاً، متقوّم بأمرین</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العنوان موضوعاً لإخراج اللفظ و اللبّ، فإذا خرج زید و عمرو</w:t>
      </w:r>
      <w:bookmarkStart w:id="608" w:name="pg12934_164758"/>
    </w:p>
    <w:p>
      <w:pPr>
        <w:pStyle w:val="BookText"/>
        <w:rPr/>
      </w:pPr>
      <w:bookmarkEnd w:id="608"/>
      <w:r>
        <w:rPr>
          <w:rFonts w:ascii="IRNazanin" w:hAnsi="IRNazanin" w:eastAsia="IRNazanin"/>
          <w:color w:val="111111"/>
          <w:sz w:val="28"/>
          <w:sz w:val="28"/>
          <w:szCs w:val="28"/>
          <w:rtl w:val="true"/>
          <w:lang w:bidi="fa-IR"/>
        </w:rPr>
        <w:t>مثلًا علی حدة عن تحت العامّ، و شکّ فی خروج خالد، فلا تکون الشبهة شبهة مصداقیة للمخصّص، بل شبهة فی أصل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العنوان مخرجاً عن تحت دائرة العامّ، و یشکّ فی کون فرد أنّه مصداق للمخصّص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البحث عن لبّیة المخصّص المنفصل ساقط؛ لأنّه إمّا یرجع إلی اللفظ؛ لو کشف الإجماع مثلًا عن لفظ روایة، أو إلی المخصّص المتصل؛ لو کشف عن بناء العقلاء الحافّ بالعموم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ینحصر الأمر بینهما؛ لأنّه ربما یکون إجماع علی کبری کلّیة من دون کشفه عن لفظ روایة، کما لا یخفی</w:t>
      </w:r>
      <w:r>
        <w:rPr>
          <w:rFonts w:eastAsia="IRNazanin" w:cs="IRNazanin"/>
          <w:color w:val="111111"/>
          <w:sz w:val="28"/>
          <w:szCs w:val="28"/>
          <w:rtl w:val="true"/>
          <w:lang w:bidi="fa-IR"/>
        </w:rPr>
        <w:t>.</w:t>
      </w:r>
    </w:p>
    <w:p>
      <w:pPr>
        <w:pStyle w:val="Heading5"/>
        <w:numPr>
          <w:ilvl w:val="4"/>
          <w:numId w:val="1"/>
        </w:numPr>
        <w:rPr/>
      </w:pPr>
      <w:bookmarkStart w:id="609" w:name="__RefHeading___Toc4026473_3224264995"/>
      <w:bookmarkStart w:id="610" w:name="_Toc232"/>
      <w:bookmarkEnd w:id="609"/>
      <w:r>
        <w:rPr>
          <w:rtl w:val="true"/>
        </w:rPr>
        <w:t>حول کلام الشیخ الأعظم قدس سره فی المقام</w:t>
      </w:r>
      <w:bookmarkEnd w:id="610"/>
    </w:p>
    <w:p>
      <w:pPr>
        <w:pStyle w:val="BookText"/>
        <w:rPr/>
      </w:pPr>
      <w:r>
        <w:rPr>
          <w:rFonts w:ascii="IRNazanin" w:hAnsi="IRNazanin" w:eastAsia="IRNazanin"/>
          <w:color w:val="111111"/>
          <w:sz w:val="28"/>
          <w:sz w:val="28"/>
          <w:szCs w:val="28"/>
          <w:rtl w:val="true"/>
          <w:lang w:bidi="fa-IR"/>
        </w:rPr>
        <w:t>إذا أحطت خبراً بما ذکرناه فی تحریر موضوع البحث فی المخصّص اللبّی، یظهر لک أنّ بعض ما یذکر فی جواز التمسّک بالعامّ فی الشبهة المصداقیة للمخصّص اللبّی، خروج عن محطّ البحث، مثل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مرجع الشکّ فی ذلک إلی الشکّ فی أصل التخصیص، و من المعلوم جواز التمسّک عند ذلک، کما وقع من الشیخ الأعظم أعلی اللَّه مقامه علی ما ببالی و استفدته سابقاً من التقریرات، و لم یحضرنی کلامه عجالة</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لم یخرج المخصّص عنواناً؛ بأن لم یعتبر المتکلّم صفة فی موضوع الحکم غیر ما أخذه عنواناً فی العامّ، کما هو الغالب فی المخصّصات اللبّیة؛ و إن علمنا بأنّه لو فرض فی أفراد العامّ من هو فاسق لا یرید إکرامه، فیجوز التمسّک بالعامّ و إحراز حال الفرد</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علّل أعلی اللَّه مقامه فی وجهه بما یخرجه عن محطّ البحث و دخوله فی الشکّ فی أصل التخصیص؛ لأنّ محطّ البحث فی الشکّ فی مصداق المخصّص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فیما إذا کان للخاصّ عنوان إجمالی؛ حتّی یکون الشکّ فی مصداق المخصّص، و إلّا فلو أخرج المخصّص أفراداً لکان الشکّ فی أصل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وجّه کلامه أعلی اللَّه مقامه بعض الأعاظم قدس سره</w:t>
      </w:r>
      <w:r>
        <w:rPr>
          <w:rStyle w:val="FootnoteAnchor"/>
          <w:rtl w:val="true"/>
        </w:rPr>
        <w:footnoteReference w:id="3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المخصّص ربما لا یکون معنوناً بعنوان، بل یکون مخرجاً لذوات الأفراد، و لکن بحیثیة تعلیلیة و علّة ساریة، فإذا شکّ فی مصداق أنّه متحیّث بالحیثیة التعلیلیة، فیتمسّک بالعامّ</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لکنّه غیر 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تسلیمه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بالأحکام العقلیة، فلا یکاد یجری فیما إذا ثبت حکم المخصّص بالإجماع و غیره من اللبّیات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الجهات التعلیلیة فی الأحکام العقلیة، جهات تقییدیة و قیود للموضوع، بل ترجع فی الحقیقة إلی عنوان الموضوع؛ لأنّه إذا قیل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تضرب زیداً؛ لأنّه ظلم، و لا تضرب عمراً؛ لأنّه ظلم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هکذا، فالذی یدرکه العقل هو أنّ عنوان الظلم قبیح، و أمّا تشخیص المصادیق و أنّ ضرب هذا أو ذاک ظلم، فإنّما هو بقُوی اخری، فإذا لم یکن المخرج بالجهات التعلیلیة نفس الأفراد، فلا یجوز التمسّک بالعامّ</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سلّم خروج ذوات الأفراد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بحیثیة تعلیلیة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تحت دائرة</w:t>
      </w:r>
      <w:bookmarkStart w:id="611" w:name="pg12934_164760"/>
    </w:p>
    <w:p>
      <w:pPr>
        <w:pStyle w:val="BookText"/>
        <w:rPr/>
      </w:pPr>
      <w:bookmarkEnd w:id="611"/>
      <w:r>
        <w:rPr>
          <w:rFonts w:ascii="IRNazanin" w:hAnsi="IRNazanin" w:eastAsia="IRNazanin"/>
          <w:color w:val="111111"/>
          <w:sz w:val="28"/>
          <w:sz w:val="28"/>
          <w:szCs w:val="28"/>
          <w:rtl w:val="true"/>
          <w:lang w:bidi="fa-IR"/>
        </w:rPr>
        <w:t>العامّ، فیخرج عن مفروض البحث الذی هو الشکّ فی انطباق العنوان المخرج علی هذا المصداق، أو ذاک المصداق، و یکون من قبیل الشکّ فی أصل التخصیص، و قد عرفت جواز التمسّک بالعامّ عند ذلک</w:t>
      </w:r>
      <w:r>
        <w:rPr>
          <w:rFonts w:eastAsia="IRNazanin" w:cs="IRNazanin"/>
          <w:color w:val="111111"/>
          <w:sz w:val="28"/>
          <w:szCs w:val="28"/>
          <w:rtl w:val="true"/>
          <w:lang w:bidi="fa-IR"/>
        </w:rPr>
        <w:t>.</w:t>
      </w:r>
    </w:p>
    <w:p>
      <w:pPr>
        <w:pStyle w:val="Heading5"/>
        <w:numPr>
          <w:ilvl w:val="4"/>
          <w:numId w:val="1"/>
        </w:numPr>
        <w:rPr/>
      </w:pPr>
      <w:bookmarkStart w:id="612" w:name="__RefHeading___Toc4026475_3224264995"/>
      <w:bookmarkStart w:id="613" w:name="_Toc233"/>
      <w:bookmarkEnd w:id="612"/>
      <w:r>
        <w:rPr>
          <w:rtl w:val="true"/>
        </w:rPr>
        <w:t>مختارنا فی المقام</w:t>
      </w:r>
      <w:bookmarkEnd w:id="613"/>
    </w:p>
    <w:p>
      <w:pPr>
        <w:pStyle w:val="BookText"/>
        <w:rPr/>
      </w:pPr>
      <w:r>
        <w:rPr>
          <w:rFonts w:ascii="IRNazanin" w:hAnsi="IRNazanin" w:eastAsia="IRNazanin"/>
          <w:color w:val="111111"/>
          <w:sz w:val="28"/>
          <w:sz w:val="28"/>
          <w:szCs w:val="28"/>
          <w:rtl w:val="true"/>
          <w:lang w:bidi="fa-IR"/>
        </w:rPr>
        <w:t>إذا عرفت ما ذکرنا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الوجه المختار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وفاقاً للمحقّق الخراسانی قدس سره</w:t>
      </w:r>
      <w:r>
        <w:rPr>
          <w:rStyle w:val="FootnoteAnchor"/>
          <w:rtl w:val="true"/>
        </w:rPr>
        <w:footnoteReference w:id="362"/>
      </w:r>
      <w:r>
        <w:rPr>
          <w:rFonts w:ascii="IRNazanin" w:hAnsi="IRNazanin" w:eastAsia="IRNazanin"/>
          <w:color w:val="111111"/>
          <w:sz w:val="28"/>
          <w:sz w:val="28"/>
          <w:szCs w:val="28"/>
          <w:rtl w:val="true"/>
          <w:lang w:bidi="fa-IR"/>
        </w:rPr>
        <w:t>فی عدم جواز التمسّک بالعامّ فی الشبهة المصداقیة للمخصّص 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بعینه فی المخصّص اللبّی أیضاً؛ و ذلک لأنّا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عدم جواز التمسّک بالعامّ فی المصداق المشتبه للمخصّص المنفصل 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ظهور العامّ و شموله لهذا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عدم تطابق الإرادة الجدّیة مع الاستعمالیة؛ بلحاظ أنّ مجرّد الظهور، لا یکون موضوعاً للاحتجاج ما لم ینضمّ إلیه أنّه مراده جدّاً، و بعد الظفر بالمخصّص یستکشف أنّ الإرادة الجدّیة للمولی، تعلّقت بما عدا المخصّص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فکذلک الأمر فی المخصّص اللبّی؛ لأنّه بقیام الإجماع أو دلیل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استقرار الظهور للعامّ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بعدم تطابق جدّ العامّ لاستعماله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الأمر فی المخصّص اللبّی أولی من المخصّص اللفظی؛ لأنّه بعد قیام الإجماع أو دلیل العقل علی إخراج عنوان، یستکشف قطعاً عدم تعلّق جدّ المولی بهذا العنوان</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المخصّص اللبّی و المخصّص اللفظی، إلّا أنّ عدم تطابق الإرادة الجدّیة للإرادة الاستعمالیة فی اللبّی قطعی، بخلافه فی المخصّص اللفظی، فإنّه بالأصل العقلائی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الحقّ عندنا فی المسألة، فتدبّر</w:t>
      </w:r>
      <w:r>
        <w:rPr>
          <w:rFonts w:eastAsia="IRNazanin" w:cs="IRNazanin"/>
          <w:color w:val="111111"/>
          <w:sz w:val="28"/>
          <w:szCs w:val="28"/>
          <w:rtl w:val="true"/>
          <w:lang w:bidi="fa-IR"/>
        </w:rPr>
        <w:t>.</w:t>
      </w:r>
      <w:bookmarkStart w:id="614" w:name="pg12934_164761"/>
    </w:p>
    <w:p>
      <w:pPr>
        <w:pStyle w:val="Heading5"/>
        <w:numPr>
          <w:ilvl w:val="4"/>
          <w:numId w:val="1"/>
        </w:numPr>
        <w:rPr/>
      </w:pPr>
      <w:bookmarkStart w:id="615" w:name="__RefHeading___Toc4026477_3224264995"/>
      <w:bookmarkStart w:id="616" w:name="_Toc234"/>
      <w:bookmarkEnd w:id="614"/>
      <w:bookmarkEnd w:id="615"/>
      <w:r>
        <w:rPr>
          <w:rtl w:val="true"/>
        </w:rPr>
        <w:t>الأقوال فی جواز التمسّک بالعامّ فی الشبهة المصداقیة للمخصّص اللبّی و تزییفها</w:t>
      </w:r>
      <w:bookmarkEnd w:id="616"/>
    </w:p>
    <w:p>
      <w:pPr>
        <w:pStyle w:val="BookText"/>
        <w:rPr/>
      </w:pPr>
      <w:r>
        <w:rPr>
          <w:rFonts w:ascii="IRNazanin" w:hAnsi="IRNazanin" w:eastAsia="IRNazanin"/>
          <w:color w:val="111111"/>
          <w:sz w:val="28"/>
          <w:sz w:val="28"/>
          <w:szCs w:val="28"/>
          <w:rtl w:val="true"/>
          <w:lang w:bidi="fa-IR"/>
        </w:rPr>
        <w:t>ربما یقال بجواز التمسّک بالعامّ فی الشبهة المصداقیة للمخصّص اللبّی، و غایة ما یمکن أن یقال فی وجهه ما أشار إلیه المحقّق الخراسانی قدس سره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التفاوت بین المخصّص اللفظی و اللبّی، هو بإلقاء حجّتین فی اللفظی، و تکون قضیة الحجّتین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تحکیم الخاصّ و تقدیمه علی العامّ فی الحجّیة بالنسبة إلی ما یشمله العامّ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صیرورة العامّ کأنّه مقصور الحجّیة من أوّل الأمر، و کأنّه لم یکن بعامّ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المخصّص اللبّی، فإنّ الحجّة الملقاة لیست إلّا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تقم حجّة أقوی، و القطع بعدم إرادة إکرام العدوّ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جیرانی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لا یوجب رفع الید عن عمومه إلّا فیما قطع بخروجه عن تحته، و لذا لو ترک العبد إکرام واحد منهم باحتمال عداوته لمولاه، صحّ للمولی مؤاخذته و عقوبته، کما لا یخفی علی من راجع الطریقة المعروفة و السیرة المستمرّة المألوفة بین العقلاء التی هی ملاک حجّیة أصالة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کان المخصّص اللبّی من قبیل الأحکام البدیهیة للعقل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یعدّ من القرائن المتصلة المانعة عن انعقاد ظهور العامّ فی غیر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حکمه حکم المخصّص المتصل فی عدم جواز التمسّک بالعامّ</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فالعقلاء بانون علی الحجّیة بالنسبة إلی المشتبه هاهنا، بخلافه هناک</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وافقه علی مبناه المحقّق العراقی قدس سره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بنینا فی وجه المنع علی تضییق دائرة الحجّة و الشکّ فی تطبیق الحجّیة، أمکن الفرق بین المخصّص اللفظی و اللبّی؛ إذ اللفظی موجب لرفع الید عن حجّیة العامّ بمقدار مدلوله، فمع الشکّ فی تطبیق مدلول الخاصّ یشکّ فی تطبیق مقدار حجّیة العامّ، و أمّا فی المخصّص اللبّی فلا موجب لرفع الید عن حجّیة العامّ إلّا بمقدار القطع الحاصل منه، و من البدیهی أنّ القطع بکلّ عنوان لا یسری إلی مصداقه المشکوک، فبالنسبة إلی المصادیق المشکوکة، لا یکون فی البین حجّة علی خلاف العامّ واقعاً، فلا قصور حینئذٍ فی تطبیق الحجّة علی المورد</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 شعری ما الفرق بین المخصّص اللبّی و المخصّص اللفظی؛ بعد حکم العقل فی اللبّی بخروج العنوان، کعنوان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أنّه إذا قال المولی فی المخصّص اللفظی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أعدائی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ذلک حجّة علی العنوان، و لا یکاد یمکن إحراز عنوان العامّ و لا عنوان المخصّص حال الفرد المشکوک فیه، فکذلک فی المخصّص اللبّی، یکون حکم العقل حجّة علی عنوان أعدائه، فلا یکاد یمکن إحراز عنوان العامّ و لا المخصّص حال الفرد المشکوک فیه</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قد أشرنا إلی أنّ عدم جواز التمسّک بالعامّ فی اللبّی، أولی من اللفظی؛ لأنّه إذا لم یجز التمسّک بالعامّ فیما لو احرز خروج عنوان الخاصّ عن دائرة عموم العامّ، و احرز عدم تطابق الإرادة الجدّیة للإرادة الاستعمالیة بأصل عقلائی، فما ظنّک فیما إذا قطع بالخروج، و قطع بعدم تطابق الجدّ للاستعمال؟</w:t>
      </w:r>
      <w:r>
        <w:rPr>
          <w:rFonts w:eastAsia="IRNazanin" w:cs="IRNazanin"/>
          <w:color w:val="111111"/>
          <w:sz w:val="28"/>
          <w:szCs w:val="28"/>
          <w:rtl w:val="true"/>
          <w:lang w:bidi="fa-IR"/>
        </w:rPr>
        <w:t>!</w:t>
      </w:r>
      <w:bookmarkStart w:id="617" w:name="pg12934_164763"/>
    </w:p>
    <w:p>
      <w:pPr>
        <w:pStyle w:val="BookText"/>
        <w:rPr/>
      </w:pPr>
      <w:bookmarkEnd w:id="617"/>
      <w:r>
        <w:rPr>
          <w:rFonts w:ascii="IRNazanin" w:hAnsi="IRNazanin" w:eastAsia="IRNazanin"/>
          <w:color w:val="111111"/>
          <w:sz w:val="28"/>
          <w:sz w:val="28"/>
          <w:szCs w:val="28"/>
          <w:rtl w:val="true"/>
          <w:lang w:bidi="fa-IR"/>
        </w:rPr>
        <w:t>و أمّا حدیث قیام السیرة و بناء العقلاء علی التمسّک بالعامّ فی اللبّیات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وقع فی کلام المحقّق الخراسانی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أکد احصّله، و عهدة إثبات دعواه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المحقّق الخراسانی قدس سره و وافقه المحقّق العراقی قدس سره علی مبناه، غیر سدید</w:t>
      </w:r>
      <w:r>
        <w:rPr>
          <w:rFonts w:eastAsia="IRNazanin" w:cs="IRNazanin"/>
          <w:color w:val="111111"/>
          <w:sz w:val="28"/>
          <w:szCs w:val="28"/>
          <w:rtl w:val="true"/>
          <w:lang w:bidi="fa-IR"/>
        </w:rPr>
        <w:t>.</w:t>
      </w:r>
    </w:p>
    <w:p>
      <w:pPr>
        <w:pStyle w:val="Heading5"/>
        <w:numPr>
          <w:ilvl w:val="4"/>
          <w:numId w:val="1"/>
        </w:numPr>
        <w:rPr/>
      </w:pPr>
      <w:bookmarkStart w:id="618" w:name="__RefHeading___Toc4026479_3224264995"/>
      <w:bookmarkStart w:id="619" w:name="_Toc235"/>
      <w:bookmarkEnd w:id="618"/>
      <w:r>
        <w:rPr>
          <w:rtl w:val="true"/>
        </w:rPr>
        <w:t>حول کلام المحقّق الأصفهانی فی المقام</w:t>
      </w:r>
      <w:bookmarkEnd w:id="619"/>
    </w:p>
    <w:p>
      <w:pPr>
        <w:pStyle w:val="BookText"/>
        <w:rPr/>
      </w:pPr>
      <w:r>
        <w:rPr>
          <w:rFonts w:ascii="IRNazanin" w:hAnsi="IRNazanin" w:eastAsia="IRNazanin"/>
          <w:color w:val="111111"/>
          <w:sz w:val="28"/>
          <w:sz w:val="28"/>
          <w:szCs w:val="28"/>
          <w:rtl w:val="true"/>
          <w:lang w:bidi="fa-IR"/>
        </w:rPr>
        <w:t>و ممّن یظهر منه جواز التمسّک بالعامّ فی المخصّص اللبّی، المحقّق الأصفهانی قدس سره و حاصل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حکم العامّ لیس حکماً جهتیاً من حیث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فقط، بل حکم فعلی تامّ الحکمیة؛ بحیث إنّ العالم بأیّ عنوان تعنون، یکون محکوماً بوجوب الإکرام، فیکشف عن عدم المنافاة لصفة من صفاته و عنوان من عناوینه لحکمه، و شأن المخصّص إثبات منافاة عنوان الخاصّ لحکم العامّ، و هذا المقدار ممّا یشترک فیه المخصّص اللفظی و اللبّی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تخصیص اللفظی یکشف عن وجود المنافی بین أفراد العامّ أیضاً؛ إذ لولاه و لو لا الابتلاء به یکون قیام المولی مقام البیان لفظاً لغواً، و أمّا اللبّی فواضح أنّه لیس له هذا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مجرّد عدم کشف المخصّص اللبّی عن وجود المنافی بین أفراد العامّ، لا یصحّح التمسّک بالعامّ؛ لأنّ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وجود التردّد بین الدخول و الخروج، مع عدم دلالة العامّ علی دخول المشتبه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فیه اللبّی و اللفظی</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العامّ کما یدلّ علی عدم المنافاة، کذلک یدلّ علی عدم المنافی فی أفراده، و المخصّص اللفظی یدلّ علی وجود المنافی، کما یدلّ علی المنافاة، و حیث تقدّم علی العامّ فلا یکون حجّة فی المشتبه، بخلاف المخصّص</w:t>
      </w:r>
    </w:p>
    <w:p>
      <w:pPr>
        <w:pStyle w:val="BookText"/>
        <w:rPr/>
      </w:pPr>
      <w:r>
        <w:rPr>
          <w:rFonts w:ascii="IRNazanin" w:hAnsi="IRNazanin" w:eastAsia="IRNazanin"/>
          <w:color w:val="111111"/>
          <w:sz w:val="28"/>
          <w:sz w:val="28"/>
          <w:szCs w:val="28"/>
          <w:rtl w:val="true"/>
          <w:lang w:bidi="fa-IR"/>
        </w:rPr>
        <w:t>اللبّی، فإنّه یدلّ علی المنافاة فقط، فلا تزاحم للعامّ فی دلالته علی عدم المنافی فیکون العامّ حجّة فی المشتبه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دلالة العامّ علی عدم المنافی، متقوّمة بدلالته علی عدم المنافاة، فإذا اختلّت دلالته علی عدم المنافاة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بورود المخصّص اللبّی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اختلّت دلالته علی عدم المنافی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دلالة العامّ علی عدم المنافی و إن کانت ملازمة لدلالته علی عدم المنافاة، و لکن عدم الدلالة علی عدم المنافاة، لا تلازم عدم الدلالة علی عدم المنافی؛ لأنّ المنافی لفعلیة حکم العامّ وجود المنافی فی أفراده، لا ثبوت المنافاة فقط لعنوان من عناوینه لحکمه مع عدم المنافی، کما أنّ الدلالة علی المنافاة غیر ملازمة للدلالة علی المنافی، فلا یسقط العامّ فی دلالته إلّا بمقدار المزاحمة، فتدبّر</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کلامه قدس سره مواقع للنظر یطول بنا ذکرها، و لکن نشیر إلی بعض ما یرتبط بالمقام</w:t>
      </w:r>
      <w:r>
        <w:rPr>
          <w:rStyle w:val="FootnoteAnchor"/>
          <w:rtl w:val="true"/>
        </w:rPr>
        <w:footnoteReference w:id="366"/>
      </w:r>
      <w:r>
        <w:rPr>
          <w:rFonts w:ascii="IRNazanin" w:hAnsi="IRNazanin" w:eastAsia="IRNazanin"/>
          <w:color w:val="111111"/>
          <w:sz w:val="28"/>
          <w:sz w:val="28"/>
          <w:szCs w:val="28"/>
          <w:rtl w:val="true"/>
          <w:lang w:bidi="fa-IR"/>
        </w:rPr>
        <w:t>،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قد أشرنا إلی لزوم حفظ موضوع البحث و مراعاة جمیع ما یعتبر فی المخصّص اللفظی، فی المخصّص اللبّی، و لزوم قصر النظر علی اللبّیة و اللفظیة فقط، ففرض کون مقتضی المخصّص اللبّی هو الدلالة علی المنافاة فقط دون وجود المنافی، یخرج الشبهة عن کونها شبهة مصداقیة للمخصّص اللبّی و یدخلها فی موارد الشکّ فی أصل التخصیص، و معلوم أنّه إذا کان الأمر کذلک فی المخصّص</w:t>
      </w:r>
    </w:p>
    <w:p>
      <w:pPr>
        <w:pStyle w:val="BookText"/>
        <w:rPr/>
      </w:pPr>
      <w:r>
        <w:rPr>
          <w:rFonts w:ascii="IRNazanin" w:hAnsi="IRNazanin" w:eastAsia="IRNazanin"/>
          <w:color w:val="111111"/>
          <w:sz w:val="28"/>
          <w:sz w:val="28"/>
          <w:szCs w:val="28"/>
          <w:rtl w:val="true"/>
          <w:lang w:bidi="fa-IR"/>
        </w:rPr>
        <w:t>اللفظی، فیجوز التمسّک بالعامّ أیضاً، فلا بدّ من فرض کون المخصّص اللبّی بحیث یکشف عن أنّ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یطابق إرادته الجدّیة للإرادة الاستعمالیة علی عمومیته، بل خرج منه أفراد الفسّاق من العلماء، ثمّ شکّ فی فرد أنّه ینطبق علیه عنوان المخصّص أو لا، فإذن لا فرق بین اللبّیة و اللفظیة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عدم جواز التمسّک بالعامّ فی الشبهة المصداقیة للمخصّص، لیس کون المخصّص لفظیاً، بل لأجل خروج عنوان شکّ فی انطباقه علی هذا الفرد، فإحراز وجود الأفراد للمخصّص مفروغ عنه، و معلوم أنّه لا فرق فی ذلک بین اللفظیة و اللبّیة، ففرض المسألة فیما إذا لم یعلم وجود المنافی للعامّ فی الخارج مع إحراز التنافی، خارج عن موضوع البحث، و داخل فی الشکّ فی أصل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 هنا یظهر النظر فیما قاله المحقّق النائینی قدس سره فإنّ موضوع البحث فی کلامه أیضاً مختلط</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حاصل مقال المحقّق النائینی قدس سره فهو أنّ المخصّص قد یکون من العناوین التی لا تصلح إلّا أن تکون قیداً للموضوع، و لا یکون إحراز انطباق ذلک العنوان علی مصادیقه، من وظیفة الآمر، بل من وظیفة المأمور، و ذلک کما فی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إلی رجل منکم قد روی حدیثنا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حیث إنّه عامّ یشمل العادل و غیره، إلّا أنّه قام الإجماع علی اعتبار العدالة فی المجتهد الذی یرجع إلیه فی القضاء، فتکون العدالة قیداً فی الموضوع، فلا یجوز التمسّک بالعامّ، و الکلام فیه فی المخصّص اللبّی، هو الکلام فی المخصّص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المخصّص من العناوین التی لا تکون قیداً للموضوع، و کان إحرازها ما من وظیفة الآمر، فإن کان من قبیل الملاکات فیجوز التمسّک بالعامّ فی الشبهة المصداقیة، و ذلک کقوله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العن بنی امیّة قاطبة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من المعلوم أنّ اللعن لا یصیب المؤمن منهم، فالمؤمن منهم خارج عن العامّ؛ لانتفاء ملاکه، و هو الشقاوة، فإلقاء هذا العموم لا یصحّ إلّا بعد إحراز ذلک، فلو علمنا من الخارج أنّ خالد بن یزید مثلًا مؤمن، کان ذلک موجباً لعدم اندراجه تحت العموم، و عدم تنبیه الآمر لمصلحة هناک اقتضت ذلک، فلو شککنا فی إیمان واحد منهم فاللازم جواز لعنه؛ تمسّکاً بالعموم، لأنّه من نفس العموم یستکشف أنّه لیس بمؤمن؛ و أنّ الآمر أحرز ذلک، لکونه من وظیفته، و إلّا لما جاز إلقاء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حاصل 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فهو أنّا قد أشرنا غیر مرّة إلی أنّ محطّ الکلام، إنّما هو فیما إذا شکّ فی انطباق عنوان المخصّص علی المشکوک فیه، 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خروج خالد بن یزید مثلًا إن کان لانطباق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فلا یکاد یفترق الأمر فیه بین المخصّص اللبّی و اللفظی؛ من حیث عدم جواز التمسّک بالعامّ فیه، و أمّا إن کان لخصوصیة قائمة علی نفس خالد بن یزید، فمرجع الشکّ فی غیره إلی الشکّ فی تخصیص زائد، فیخرج عن محطّ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التفصیل غیر مختصّ بالمخصّص اللبّی، بل یعمّ اللفظی أیضاً، کما لا یخفی،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وسائل الشیعة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کتاب القضاء، أبواب صفات القاضی، الباب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الاصول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0" w:name="pg12934_164767"/>
    </w:p>
    <w:p>
      <w:pPr>
        <w:pStyle w:val="BookText"/>
        <w:rPr/>
      </w:pPr>
      <w:bookmarkEnd w:id="620"/>
      <w:r>
        <w:rPr>
          <w:rFonts w:ascii="IRNazanin" w:hAnsi="IRNazanin" w:eastAsia="IRNazanin"/>
          <w:color w:val="111111"/>
          <w:sz w:val="28"/>
          <w:sz w:val="28"/>
          <w:szCs w:val="28"/>
          <w:rtl w:val="true"/>
          <w:lang w:bidi="fa-IR"/>
        </w:rPr>
        <w:t>التنبیه الأوّل</w:t>
      </w:r>
    </w:p>
    <w:p>
      <w:pPr>
        <w:pStyle w:val="Heading4"/>
        <w:numPr>
          <w:ilvl w:val="3"/>
          <w:numId w:val="1"/>
        </w:numPr>
        <w:rPr/>
      </w:pPr>
      <w:bookmarkStart w:id="621" w:name="__RefHeading___Toc4026481_3224264995"/>
      <w:bookmarkStart w:id="622" w:name="_Toc236"/>
      <w:bookmarkEnd w:id="621"/>
      <w:r>
        <w:rPr>
          <w:rtl w:val="true"/>
        </w:rPr>
        <w:t>تنبیهات</w:t>
      </w:r>
      <w:bookmarkEnd w:id="622"/>
    </w:p>
    <w:p>
      <w:pPr>
        <w:pStyle w:val="Heading5"/>
        <w:numPr>
          <w:ilvl w:val="4"/>
          <w:numId w:val="1"/>
        </w:numPr>
        <w:rPr/>
      </w:pPr>
      <w:bookmarkStart w:id="623" w:name="__RefHeading___Toc4026483_3224264995"/>
      <w:bookmarkStart w:id="624" w:name="_Toc237"/>
      <w:bookmarkEnd w:id="623"/>
      <w:r>
        <w:rPr>
          <w:rtl w:val="true"/>
        </w:rPr>
        <w:t>اشارة</w:t>
      </w:r>
      <w:bookmarkEnd w:id="624"/>
    </w:p>
    <w:p>
      <w:pPr>
        <w:pStyle w:val="BookText"/>
        <w:rPr/>
      </w:pPr>
      <w:r>
        <w:rPr>
          <w:rFonts w:ascii="IRNazanin" w:hAnsi="IRNazanin" w:eastAsia="IRNazanin"/>
          <w:color w:val="111111"/>
          <w:sz w:val="28"/>
          <w:sz w:val="28"/>
          <w:szCs w:val="28"/>
          <w:rtl w:val="true"/>
          <w:lang w:bidi="fa-IR"/>
        </w:rPr>
        <w:t>تنبیهات</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و بینما قرب موعد شروع دروس الحوزة العلمیة، فوجئ العالم الإسلامی بفقد زعیمه مرجع الامّة الإسلامیة، و زعیم الحوزات العلمیة، قائد الفرقة المحقّة الإمامیة الاثنی عشریة، سیّدنا الأعظم، و استاذنا المفخّم؛ الحاج آقا حسین الطباطبائی البروجردی تغمّده اللَّه بغفرانه، و أسکنه بحبوحات جنّاته، و کان یوم وفاته یوماً مشهوداً؛ ألا و هو یوم الخمیس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المکرّم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شهور سنة ألف و ثلاث مائة و ثمانین</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قمریة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ارتحال سماحته، تعطّلت دروس الحوزة العلمیة، و امتدت التعطیلات لأجل عقد مجالس التأبین؛ إلی أن شرع سماحة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بالبحث یوم السبت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سنة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وفّقنا لما تحبّ و ترضی، و اجعلنا من المتمسّکین بولایة أمیر المؤمنین علیّ بن أبی طالب و الأئمّة المعصومین علیهم السلام</w:t>
      </w:r>
      <w:r>
        <w:rPr>
          <w:rFonts w:eastAsia="IRNazanin" w:cs="IRNazanin"/>
          <w:color w:val="111111"/>
          <w:sz w:val="28"/>
          <w:szCs w:val="28"/>
          <w:rtl w:val="true"/>
          <w:lang w:bidi="fa-IR"/>
        </w:rPr>
        <w:t>.</w:t>
      </w:r>
    </w:p>
    <w:p>
      <w:pPr>
        <w:pStyle w:val="Heading5"/>
        <w:numPr>
          <w:ilvl w:val="4"/>
          <w:numId w:val="1"/>
        </w:numPr>
        <w:rPr/>
      </w:pPr>
      <w:bookmarkStart w:id="625" w:name="__RefHeading___Toc4026485_3224264995"/>
      <w:bookmarkStart w:id="626" w:name="_Toc238"/>
      <w:bookmarkEnd w:id="625"/>
      <w:r>
        <w:rPr>
          <w:rtl w:val="true"/>
        </w:rPr>
        <w:t>التنبیه الأوّل فی إحراز المصداق بالأصل فی الشبهة المصداقیة</w:t>
      </w:r>
      <w:bookmarkEnd w:id="626"/>
    </w:p>
    <w:p>
      <w:pPr>
        <w:pStyle w:val="Heading6"/>
        <w:numPr>
          <w:ilvl w:val="5"/>
          <w:numId w:val="1"/>
        </w:numPr>
        <w:rPr/>
      </w:pPr>
      <w:bookmarkStart w:id="627" w:name="__RefHeading___Toc4026487_3224264995"/>
      <w:bookmarkStart w:id="628" w:name="_Toc239"/>
      <w:bookmarkEnd w:id="627"/>
      <w:r>
        <w:rPr>
          <w:rtl w:val="true"/>
        </w:rPr>
        <w:t>اشارة</w:t>
      </w:r>
      <w:bookmarkEnd w:id="628"/>
    </w:p>
    <w:p>
      <w:pPr>
        <w:pStyle w:val="BookText"/>
        <w:rPr/>
      </w:pPr>
      <w:r>
        <w:rPr>
          <w:rFonts w:ascii="IRNazanin" w:hAnsi="IRNazanin" w:eastAsia="IRNazanin"/>
          <w:color w:val="111111"/>
          <w:sz w:val="28"/>
          <w:sz w:val="28"/>
          <w:szCs w:val="28"/>
          <w:rtl w:val="true"/>
          <w:lang w:bidi="fa-IR"/>
        </w:rPr>
        <w:t>بعد ما ثبت عدم جواز التمسّک بالعامّ فی الشبهة المصداقیة، وقع الکلام فی إمکان إحراز موضوع دلیل العامّ بالأصل؛ و تنقیح موضوعه به، و إجراء حکم العامّ علیه؛ فذهب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کالمحقّق العراقی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عدم الجواز مطلقاً، و قال بعض کالمحقّق الخراسانی قدس سره و شیخنا العلّامة الحائری، بالجواز مطلقاً، و فصّل ثالث فی بعض المقامات بما سیجی‌ء</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بالأصل هو استصحاب العدم الأزلی، و ذلک فیما إذا لم یکن للفرد حالة سابقة من فسق أو عدالة فی المثال المعروف، و إلّا فلا إشکال و لا خلاف</w:t>
      </w:r>
      <w:bookmarkStart w:id="629" w:name="pg12934_164768"/>
    </w:p>
    <w:p>
      <w:pPr>
        <w:pStyle w:val="BookText"/>
        <w:rPr/>
      </w:pPr>
      <w:bookmarkEnd w:id="629"/>
      <w:r>
        <w:rPr>
          <w:rFonts w:ascii="IRNazanin" w:hAnsi="IRNazanin" w:eastAsia="IRNazanin"/>
          <w:color w:val="111111"/>
          <w:sz w:val="28"/>
          <w:sz w:val="28"/>
          <w:szCs w:val="28"/>
          <w:rtl w:val="true"/>
          <w:lang w:bidi="fa-IR"/>
        </w:rPr>
        <w:t>فی جریان استصحاب حالته السابقة من فسق زید أو عدالته، و ینقّح بذلک موضوع دلیل العامّ أو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باستصحاب العدم الأزلی، أنّه إذا کان اتصاف الشی‌ء بصفة أو ضدّها من لوازم وجوده الخارجی، کالقرشیة، و غیر القرشیة، فإنّ المرأة قبل وجودها الخارجی لا تتّصف بالقرشیة، و لا بعدمها، بل إذا وجدت وجدت إمّا قرشیة، أو غیرها، فإذا شکّ فی امرأة أنّها قرشیة أم لا، فیقع الکلام فی إجراء استصحاب عدم القرشیة و عدمه فی حقّها، و یثبت بذلک أنّ الدم الذی تراه بین الخمسین و الستّین دم استحاضة و کذا فی قابلیة الحیوان للتذکیة و عدمها؛ لأنّ من شروط حلّیة الذبیحة قبولها لورود التذکیة علیها، فإذا شکّ فی حیوان أنّه یقبل التذکیة أم لا، فیقع البحث فی إمکان إجراء عدم قابلیتها للتذکیة بالأصل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الحال فی مخالفة الشرط و الصلح للکتاب و عدمها</w:t>
      </w:r>
      <w:r>
        <w:rPr>
          <w:rFonts w:eastAsia="IRNazanin" w:cs="IRNazanin"/>
          <w:color w:val="111111"/>
          <w:sz w:val="28"/>
          <w:szCs w:val="28"/>
          <w:rtl w:val="true"/>
          <w:lang w:bidi="fa-IR"/>
        </w:rPr>
        <w:t>.</w:t>
      </w:r>
    </w:p>
    <w:p>
      <w:pPr>
        <w:pStyle w:val="Heading6"/>
        <w:numPr>
          <w:ilvl w:val="5"/>
          <w:numId w:val="1"/>
        </w:numPr>
        <w:rPr/>
      </w:pPr>
      <w:bookmarkStart w:id="630" w:name="__RefHeading___Toc4026489_3224264995"/>
      <w:bookmarkStart w:id="631" w:name="_Toc240"/>
      <w:bookmarkEnd w:id="630"/>
      <w:r>
        <w:rPr>
          <w:rtl w:val="true"/>
        </w:rPr>
        <w:t>مستند عدم جواز التمسّک بالأصل لتنقیح موضوع العامّ و تزییفه</w:t>
      </w:r>
      <w:bookmarkEnd w:id="631"/>
    </w:p>
    <w:p>
      <w:pPr>
        <w:pStyle w:val="BookText"/>
        <w:rPr/>
      </w:pPr>
      <w:r>
        <w:rPr>
          <w:rFonts w:ascii="IRNazanin" w:hAnsi="IRNazanin" w:eastAsia="IRNazanin"/>
          <w:color w:val="111111"/>
          <w:sz w:val="28"/>
          <w:sz w:val="28"/>
          <w:szCs w:val="28"/>
          <w:rtl w:val="true"/>
          <w:lang w:bidi="fa-IR"/>
        </w:rPr>
        <w:t>و کیفما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 المحقّق العراقی قدس سره لعدم جریان الأصل فی إحراز الموضوع</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جریان الأصل السلبی و إجراء حکم العامّ، إنّما یتمّ بناءً علی توهّم إجراء التقیید علی التخصیص؛ و أنّ المخصّص یقلب العامّ عن تمام الموضوعیة إلی جزئها، و إلّا فبناءً علی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باب التخصیص غیر مرتبط بباب التقیید، و إنّما یکون شأن المخصّص، إخراج الفرد الخاصّ مع بقاء العامّ علی تمامیة موضوعه بالإضافة إلی البقیة؛ بلا انقلاب فی العامّ، نظیر صورة موت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یبقی مجال لجریان الأصل المذکور؛ إذ الأصل السلبی لیس شأنه إلّا نفی حکم الخاصّ عنه، لا إثبات حکم العامّ؛ لأنّ هذا الفرد حینئذٍ مورد العلم الإجمالی بکونه محکوماً بحکم الخاصّ، أو</w:t>
      </w:r>
    </w:p>
    <w:p>
      <w:pPr>
        <w:pStyle w:val="BookText"/>
        <w:rPr/>
      </w:pPr>
      <w:r>
        <w:rPr>
          <w:rFonts w:ascii="IRNazanin" w:hAnsi="IRNazanin" w:eastAsia="IRNazanin"/>
          <w:color w:val="111111"/>
          <w:sz w:val="28"/>
          <w:sz w:val="28"/>
          <w:szCs w:val="28"/>
          <w:rtl w:val="true"/>
          <w:lang w:bidi="fa-IR"/>
        </w:rPr>
        <w:t>محکوماً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تغیّر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بحکم العامّ، و نفی أحد الحکمین بالأصل لا یثبت الآخر،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مثل الشکّ فی مخالفة الشرط أو الصلح للکتاب، أمکن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الشبهة المصداقیة الناشئة عن الجهل بالمخالفة، الذی کان أمر رفعه بید المولی، و فی مثله لا بأس بالتمسّک بالعامّ فی الشبهة المصداقیة؛ من دون احتیاج فی مثله إلی الأصل، و لعلّ بناء المشهور فی تمسّکهم بالعامّ فی الشبهة المصداقیة، مختصّ بأمثال المورد</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المحقّق مفصّل فی الحقیقة فی مسألة جواز التمسّک بالعامّ فی الشبهة المصداقیة، و أمّا من حیث جریان الأصل الذی هو محطّ البحث، فقد منعه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أراد بالفرق الذی ذکره بین التخصیص و التقیید، أنّ التقیید یعنون موضوع المطلق زائداً علی ما کان علیه قبل عروض القید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التخصیص؛ لأنّ التخصیص لا یفید عنواناً زائداً بحسب الظهور الاستعمالی علی ما اخذ موضوعاً فی موضوع دلیل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حقّ لا سترة علیه، بل هو الفرق بین التخصیص و التقیید، کما أشرنا، و لکن لا یوجب ذلک عدم جریان الأصل، کما لا یخفی</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أراد أنّ التخصیص کما لا یوجب تغیّر العنوان ظاهراً لا یوجبه واقعاً أیضاً، و أنّ موضوع حکم العامّ بعد التخصیص جدّاً و واقعاً هو الذی کان قبله، فهو غیر سدید؛ لما أشرنا إلیه غیر مرّة من أنّ الموضوع جدّاً فی المثل المعروف بعد التخصیص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 غیر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العالم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یجعل حکم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عنوان عامّ،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التخصیص یستکشف أنّ الموضوع لبّاً و واقعاً، هو المعنون بغیر عنوان الخاصّ، فلم یبقَ موضوع العامّ واقعاً و فی نفس الأمر علی ما هو علیه بعد التخصیص، فهنا حکمان و موضوعان؛ فموضوع الدلیل الاجتهادی لبّاً العالم غیر الفاسق، فکما یجوز إحراز کلا جزأیه بالوجدان، فکذلک یجوز إحراز أحد جزأیه بالوجدان، و الثانی بالأصل، کما فی المقام، حیث إنّه فی زید العالم المشکوک فسقه، یکون أحد الجزءین محرزاً بالوجدان، و أمّا الجزء الآخر فحیث إنّه متیقّن عدمه، فیستصحب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التخصیص و إن لم ینقلب الموضوع الظاهری فی العامّ عن موضوعیته، و لکن لا یضرّ ذلک بإجراء الأصل بعد کون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 و فی نفس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غیر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تنظیر التخصیص بموت الفرد، غیر وجیه؛ لأنّ الدلیل غیر متعرّض لحال الأفراد الخارجیة، و لم تکن الحوادث الخارجیة مورداً للقانون، فموت الأفراد و سائر الأعذار الخارجیة، لا یوجب تغییراً فی الموضوع؛ لا ظاهراً، و لا واقعاً، بخلاف إخراج بعض الأفراد، فهو یوجب تغییراً فی الموضوع واقعاً، کما لا یخفی</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التفصیل الذی أفاده فی جواز التمسّک بالعامّ فی الشبهة المصداقیة، غیر وجیه؛ لأنّ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راجعاً إلی الشبهة المصداقیة، و معلوم أنّ رفعها لیس بید المولی؛ لأنّ منشأ الاشتباه الامور الخارجیة، فإذن حتّی لو کان رفع الشبهة بید المولی، و لکن حیث إنّ الموضوع لبّاً لم یکن مرسلًا بل مقیّداً، یکون الفرد المشتبه شبهة مصداقیة لما یکون موضوعاً جدّاً و حقیقة للحکم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الأمثلة التی ذکرها لا یکون رفع الشبهة فیها بید المولی؛ لأنّ المراد بالکتاب الکتاب الموجود خارجاً بین یدی المسلمین، و فیه عمومات، و مخصّصات، فلو ورد دلیل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شرط نافذ إلّا ما خالف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الصلح جائز إلّا ما خالف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عرضه علی الکتاب العزیز الموجود، فإن وافقه یکون نافذاً، و إلّا فیطرح، و معلوم بدیهة أنّه لو شکّ فی موافقة شرطه أو مخالفته للکتاب الموجود مثلًا، فرفع ذلک الشکّ إنّما هو بید المکلّف، لا الشارع الأقدس، فحدیث کون رفع الشبهة فی بعض الموارد بید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انقطاع الوحی و تبلیغ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وجیه، بل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مراده قدس سره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لعلّ بناء المشهور أیضاً فی تمسّکهم بالعامّ فی الشبهة المصداقیة، مختصّ بأمثال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المشهور تمسّکوا بالعامّ فی المثالین اللذین ذکرهما؛ أی الشرط، و الصلح</w:t>
      </w:r>
      <w:r>
        <w:rPr>
          <w:rStyle w:val="FootnoteAnchor"/>
          <w:rtl w:val="true"/>
        </w:rPr>
        <w:footnoteReference w:id="370"/>
      </w:r>
      <w:r>
        <w:rPr>
          <w:rFonts w:ascii="IRNazanin" w:hAnsi="IRNazanin" w:eastAsia="IRNazanin"/>
          <w:color w:val="111111"/>
          <w:sz w:val="28"/>
          <w:sz w:val="28"/>
          <w:szCs w:val="28"/>
          <w:rtl w:val="true"/>
          <w:lang w:bidi="fa-IR"/>
        </w:rPr>
        <w:t>،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المخصّص منهما متصل بالکلام؛ لقوله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 إلا ما حرّم حلالًا أو حلّل حراماً</w:t>
      </w:r>
      <w:r>
        <w:rPr>
          <w:rFonts w:eastAsia="IRNazanin" w:cs="IRNazanin"/>
          <w:color w:val="111111"/>
          <w:sz w:val="28"/>
          <w:szCs w:val="28"/>
          <w:rtl w:val="true"/>
          <w:lang w:bidi="fa-IR"/>
        </w:rPr>
        <w:t>»</w:t>
      </w:r>
    </w:p>
    <w:p>
      <w:pPr>
        <w:pStyle w:val="BookText"/>
        <w:rPr/>
      </w:pPr>
      <w:r>
        <w:rPr>
          <w:rStyle w:val="FootnoteAnchor"/>
          <w:rtl w:val="true"/>
        </w:rPr>
        <w:footnoteReference w:id="37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الصلح جائز بین المسلمین إلّا صلحاً أحلّ حراماً أو حرّم حلالًا</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72"/>
      </w:r>
      <w:r>
        <w:rPr>
          <w:rFonts w:ascii="IRNazanin" w:hAnsi="IRNazanin" w:eastAsia="IRNazanin"/>
          <w:color w:val="111111"/>
          <w:sz w:val="28"/>
          <w:sz w:val="28"/>
          <w:szCs w:val="28"/>
          <w:rtl w:val="true"/>
          <w:lang w:bidi="fa-IR"/>
        </w:rPr>
        <w:t>و لا خلاف و لا ارتیاب فی عدم جواز التمسّک بالعامّ فی الشبهة المصداقیة للمخصّص المتصل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أراد أنّ نظر المشهور إلی غیر المثالین، فلو کان مستندهم فی جواز التمسّک فی المخصّصات المنفصلة ما أشار إلیه، فقد عرفت ضعفه و لعلّهم علی تقدیر صحّة النسبة استندوا فی ذلک إلی وجوه اخر، و اللَّه العالم</w:t>
      </w:r>
      <w:r>
        <w:rPr>
          <w:rFonts w:eastAsia="IRNazanin" w:cs="IRNazanin"/>
          <w:color w:val="111111"/>
          <w:sz w:val="28"/>
          <w:szCs w:val="28"/>
          <w:rtl w:val="true"/>
          <w:lang w:bidi="fa-IR"/>
        </w:rPr>
        <w:t>.</w:t>
      </w:r>
      <w:bookmarkStart w:id="632" w:name="pg12934_164772"/>
    </w:p>
    <w:p>
      <w:pPr>
        <w:pStyle w:val="Heading6"/>
        <w:numPr>
          <w:ilvl w:val="5"/>
          <w:numId w:val="1"/>
        </w:numPr>
        <w:rPr/>
      </w:pPr>
      <w:bookmarkStart w:id="633" w:name="__RefHeading___Toc4026491_3224264995"/>
      <w:bookmarkStart w:id="634" w:name="_Toc241"/>
      <w:bookmarkEnd w:id="632"/>
      <w:bookmarkEnd w:id="633"/>
      <w:r>
        <w:rPr>
          <w:rtl w:val="true"/>
        </w:rPr>
        <w:t>مستند جواز التمسّک بالأصل لتنقیح موضوع العامّ و تزییفه</w:t>
      </w:r>
      <w:bookmarkEnd w:id="634"/>
    </w:p>
    <w:p>
      <w:pPr>
        <w:pStyle w:val="BookText"/>
        <w:rPr/>
      </w:pPr>
      <w:r>
        <w:rPr>
          <w:rFonts w:ascii="IRNazanin" w:hAnsi="IRNazanin" w:eastAsia="IRNazanin"/>
          <w:color w:val="111111"/>
          <w:sz w:val="28"/>
          <w:sz w:val="28"/>
          <w:szCs w:val="28"/>
          <w:rtl w:val="true"/>
          <w:lang w:bidi="fa-IR"/>
        </w:rPr>
        <w:t>ممّن ذهب إلی إجراء الأصل مطلقاً لتنقیح موضوع دلیل العامّ، شیخنا العلّامة الحائری قدس سره فأفاد فی مجلس الدرس تقریباً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العوارض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من قبیل لوازم الماهیة التی تعرضها مع قطع النظر عن الوجودین؛ الذهنی، و الخارجی، کالزوجیة للأربعة، و مساواة الزوایا الثلاث للمثلّث للزاویتین القائمتین، و قابلیة الإنسان للصنعة و الکتابة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و واضح أنّه لم تکن لهذه العوارض حالة سابقة علی الماهیة، بل هی کما تکون أزلیة، فکذلک العوارض اللازمة لها، فلم تکن لنا حالة سابقة منفکّة عن الماهیة لتستصحب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من قبیل عوارض وجودها الخارجی کالسواد و البیاض، و هو إمّا لازم، أو مفارق، و القرشیة مثلًا من عوارض الوجود؛ لأنّ المرأة قبل وجودها الخارجی و فی تقرّرها الماهوی، لم تکن قرشیة، کما لم تکن غیر قرشیة، و إنّما تتصف بأحدهما بلحاظ وجودها الخارجی؛ لأنّها إن تکوّنت و ولدت من ماء من انتسب إلی قریش تکون قرشیة، و إلّا فغیر قرشیة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مخالفة الشرط و الصلح للکتاب العزیز، أیضاً من هذا القبیل؛ فإنّ مخالفة الشرط أو الصلح للکتاب قبل تحقّقها خارجاً، لا تکون داخلة فی ماهیتهما، بل بعد تحقّقهما و ملاحظتهما للکتاب الموجود خارجاً توافقاه تارة، و تخالفاه اخری</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یمکنک أن تشیر إلی ماهیة المرأة المشکوک کونها قرشیة مجرّداً إیّاها عن الوجود؛ أی تلحظ الوجود منظوراً به، لا منظوراً فیه،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المرأة قبل وجودها لم تکن قرشیة، و لا غیر قرشیة، و بعد وجودها یشکّ فی أنّها وجدت قرشیة أم لا، فیستصحب عدم القرشیة، و یترتّب علیه حکم العامّ، و یشملها</w:t>
      </w:r>
    </w:p>
    <w:p>
      <w:pPr>
        <w:pStyle w:val="BookText"/>
        <w:rPr/>
      </w:pPr>
      <w:r>
        <w:rPr>
          <w:rFonts w:ascii="IRNazanin" w:hAnsi="IRNazanin" w:eastAsia="IRNazanin"/>
          <w:color w:val="111111"/>
          <w:sz w:val="28"/>
          <w:sz w:val="28"/>
          <w:szCs w:val="28"/>
          <w:rtl w:val="true"/>
          <w:lang w:bidi="fa-IR"/>
        </w:rPr>
        <w:t>عموم ما دلّ علی أنّ المرأة التی لیس بینها و بین قریش انتساب، تحیض إلی خمسین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یقرب من هذا التقریب التقریب الذی ذکره المحقّق الخراسانی قدس سره</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أفاده سماحة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المتراءی من النظر فی عبارته، أنّ ما قرّبه المحقّق الخراسانی قدس سره أقرب إلی التقریب الثانی من التقریب الأوّل؛ لأنّه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و إن کانت إذا وجدت إمّا قرشیة أو غیرها، فلا أصل یحرز به أنّها قرشیة أو غیرها، إلّا أنّ أصالة عدم تحقّق الانتساب بینها و بین قریش، تجدی فی تنقیح أنّها ممّن لا تحیض إلّا إلی خمسین؛ لأنّ المرأة التی لا یکون بینها و بین قریش انتساب، أیضاً باقیة تحت ما دلّ علی أنّ المرأة إنّما تری الحمرة إلی خمسین، و الخارج عن تحته هی القرشیة، فتأمّل تعرف،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المقرّر حفظه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هناک تقریب آخر لجریان الأصل،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حکم العامّ معلّق علی عنوان، و بمعرفة إطلاق المتعلّق، یشمل الحکم جمیع أفراد ذلک العنوان بأیّ عنوان تعنون، فالمرأة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قرشیة کانت أو غیرها، نبطیة کانت أو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محکومة بحکم العامّ، و لم یخرج منه إلّا عنوان خاصّ؛ و هو المرأة القرشیة مثلًا؛ لأنّها تری الدم، و بقی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عدم القرشیة بعنوان السلب التحصیلی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العامّ، فیلاحظ ماهیة المرأة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قبل وجودها لم تکن منتسبةً إلی قریش، أو لم تکن قرشیة، و بعد وجودها یشکّ فی تحقّق الانتساب، فیستصحب عدم انتسابها إلی قریش، أو عدم قرشیتها، و ینقّح بذلک موضوع العامّ</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یقال فی تقریبه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الحکم إذا رتّب علی موضوع ذی نعت و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الناقصة و کون رابط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القرشیة تری الدم إلی 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یقتضی أخذ عدم تلک الطبیعة نعتاً فی موضوع، عدمَ ذلک الحکم بنحو السلب</w:t>
      </w:r>
      <w:bookmarkStart w:id="635" w:name="pg12934_164774"/>
    </w:p>
    <w:p>
      <w:pPr>
        <w:pStyle w:val="BookText"/>
        <w:rPr/>
      </w:pPr>
      <w:bookmarkEnd w:id="635"/>
      <w:r>
        <w:rPr>
          <w:rFonts w:ascii="IRNazanin" w:hAnsi="IRNazanin" w:eastAsia="IRNazanin"/>
          <w:color w:val="111111"/>
          <w:sz w:val="28"/>
          <w:sz w:val="28"/>
          <w:szCs w:val="28"/>
          <w:rtl w:val="true"/>
          <w:lang w:bidi="fa-IR"/>
        </w:rPr>
        <w:t>الناقص، بل عدم ذلک الحکم لعدم اتصاف ذات الموضوع بذلک القید علی نحو السالبة المحصّلة، فإذن لیس مقابل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القرشیة تری الدم إلی 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التی لم تکن أو لا تکون من قریش بعنوان الموجبة المعدولة المحمول، أو السالبة المحمول؛ بل هی المرأة التی لا تتّصف بکونها من قریش، تری الحمرة إلی خمسین علی نحو السالبة المحصّلة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المستثنی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تری الحمرة إلی خمسین، إلّا إذا کانت 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المتصفة بکونها من قریش تری الدم إلی ستّین، و مقابله هی المرأة التی لا تتصف بکونها قرشیة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نحو السالبة المحصّلة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الدم إلی خمسین لا المرأة المتصفة بأن لا تکون من قریش، فعلی هذا حیث یکون للسلب التحصیلی حالة سابقة، فلا مانع من جریان الأصل لإحراز موضوع العامّ</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التقاریب متقاربة المفهوم، و أساسها أمر واحد؛ و هو إرجاع الأمر إلی السلب التحصیلی و إثبات حالة سابقة له</w:t>
      </w:r>
      <w:r>
        <w:rPr>
          <w:rFonts w:eastAsia="IRNazanin" w:cs="IRNazanin"/>
          <w:color w:val="111111"/>
          <w:sz w:val="28"/>
          <w:szCs w:val="28"/>
          <w:rtl w:val="true"/>
          <w:lang w:bidi="fa-IR"/>
        </w:rPr>
        <w:t>.</w:t>
      </w:r>
    </w:p>
    <w:p>
      <w:pPr>
        <w:pStyle w:val="Heading6"/>
        <w:numPr>
          <w:ilvl w:val="5"/>
          <w:numId w:val="1"/>
        </w:numPr>
        <w:rPr/>
      </w:pPr>
      <w:bookmarkStart w:id="636" w:name="__RefHeading___Toc4026493_3224264995"/>
      <w:bookmarkStart w:id="637" w:name="_Toc242"/>
      <w:bookmarkEnd w:id="636"/>
      <w:r>
        <w:rPr>
          <w:rtl w:val="true"/>
        </w:rPr>
        <w:t>التحقیق فی جریان الأصل المحرز لموضوع العامّ</w:t>
      </w:r>
      <w:bookmarkEnd w:id="637"/>
    </w:p>
    <w:p>
      <w:pPr>
        <w:pStyle w:val="Heading6"/>
        <w:numPr>
          <w:ilvl w:val="5"/>
          <w:numId w:val="1"/>
        </w:numPr>
        <w:rPr/>
      </w:pPr>
      <w:bookmarkStart w:id="638" w:name="__RefHeading___Toc4026495_3224264995"/>
      <w:bookmarkStart w:id="639" w:name="_Toc243"/>
      <w:bookmarkEnd w:id="638"/>
      <w:r>
        <w:rPr>
          <w:rtl w:val="true"/>
        </w:rPr>
        <w:t>اشارة</w:t>
      </w:r>
      <w:bookmarkEnd w:id="639"/>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المسألة کثیرة الدوران فی الفقه، و لها فوائد لا یستغنی الفقیه عنها، و قد استقصی سماحة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عن هذا الأصل فی البراءة و الاستصحاب، إلّا أنّه تعرّض لمختاره هنا إجمالًا، و بالإحاطة به یظهر الخلل فی کثیر من التقریبات التی ذکرها الأعلام، فأفاد أنّ الإشارة الإجمالیة إلی ما هو الحقّ فی المسألة، تتوقّف علی ذکر مقدّمات</w:t>
      </w:r>
      <w:r>
        <w:rPr>
          <w:rFonts w:eastAsia="IRNazanin" w:cs="IRNazanin"/>
          <w:color w:val="111111"/>
          <w:sz w:val="28"/>
          <w:szCs w:val="28"/>
          <w:rtl w:val="true"/>
          <w:lang w:bidi="fa-IR"/>
        </w:rPr>
        <w:t>:</w:t>
      </w:r>
      <w:bookmarkStart w:id="640" w:name="pg12934_164775"/>
    </w:p>
    <w:p>
      <w:pPr>
        <w:pStyle w:val="Heading6"/>
        <w:numPr>
          <w:ilvl w:val="5"/>
          <w:numId w:val="1"/>
        </w:numPr>
        <w:rPr/>
      </w:pPr>
      <w:bookmarkStart w:id="641" w:name="__RefHeading___Toc4026497_3224264995"/>
      <w:bookmarkStart w:id="642" w:name="_Toc244"/>
      <w:bookmarkEnd w:id="640"/>
      <w:bookmarkEnd w:id="641"/>
      <w:r>
        <w:rPr>
          <w:rtl w:val="true"/>
        </w:rPr>
        <w:t>المقدّمة الاولی</w:t>
      </w:r>
      <w:r>
        <w:rPr>
          <w:rtl w:val="true"/>
        </w:rPr>
        <w:t xml:space="preserve">: </w:t>
      </w:r>
      <w:r>
        <w:rPr>
          <w:rtl w:val="true"/>
        </w:rPr>
        <w:t>فیما اشتهر من أنّ القضایا برمّتها مشتملة علی النسبة</w:t>
      </w:r>
      <w:bookmarkEnd w:id="642"/>
    </w:p>
    <w:p>
      <w:pPr>
        <w:pStyle w:val="BookText"/>
        <w:rPr/>
      </w:pPr>
      <w:r>
        <w:rPr>
          <w:rFonts w:ascii="IRNazanin" w:hAnsi="IRNazanin" w:eastAsia="IRNazanin"/>
          <w:color w:val="111111"/>
          <w:sz w:val="28"/>
          <w:sz w:val="28"/>
          <w:szCs w:val="28"/>
          <w:rtl w:val="true"/>
          <w:lang w:bidi="fa-IR"/>
        </w:rPr>
        <w:t>قد اشتهر بینهم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القضایا برمّتها، مشتملة علی النسبة فی موجباتها و سوالبها بأقسامها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أرسلوها إرسال المسلّمات، و بنوا علیه ما بنوا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فی وضع الهَیئات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 إطلاقه غیر مستقیم؛ لأنّ القضایا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حملیة حقیقیة غیر مأوّلة، و حملیة مأوّلة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یکون مفادها الهوهویة و الإخبار بأنّ الموضوع هو المحمول؛ بلا تخلّل أداة فی حمل المحمول علی الموضوع،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تکن کذلک، فیتخلّل و یتوسّط بین المحمول و الموضوع أداة،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علی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له القیام</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نسبة فی القضایا التی یکون مفادها الهوهویة؛ لأنّ القضیة الملفوظة تحکی عن القضیة الذهنیة، و هی عن الخارجیة، و معلوم أنّه لم یکن فی الخارج فی قولک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 محمول، و نسبة؛ حتّی تحکی القضیة الملفوظة عنها، أ تری من نفسک أنّ فی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إنّ تحقّق النسبة بین الشی‌ء و نفسه ممتنع، و کذا فی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فی الخارج وراء زید شی‌ء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یحمل و ینسب لزید، و المراد بقولک هذا هو أنّ القیام و الوصف العرضی حاصل لزید؛ لأنّ القائم هو الذات المتصفة</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اغمض عمّا ذکرنا، فهل تری فی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تعالی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الخارج</w:t>
      </w:r>
    </w:p>
    <w:p>
      <w:pPr>
        <w:pStyle w:val="BookText"/>
        <w:rPr/>
      </w:pPr>
      <w:r>
        <w:rPr>
          <w:rFonts w:ascii="IRNazanin" w:hAnsi="IRNazanin" w:eastAsia="IRNazanin"/>
          <w:color w:val="111111"/>
          <w:sz w:val="28"/>
          <w:sz w:val="28"/>
          <w:szCs w:val="28"/>
          <w:rtl w:val="true"/>
          <w:lang w:bidi="fa-IR"/>
        </w:rPr>
        <w:t>ذاتاً مقدّسة، و ثبت الوجود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لو قلنا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له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لکانت قضیة کاذبة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لعلّ التلفّظ بها مع الالتفات إلی ما تتضمّنه، موجب للکفر،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فمقتضی مطابقة القضیة الحاکیة للخارج، عدم وجود ما یدلّ علی النسبة فیها، بل غایة ما تدلّ علیه الهیئة فی أمثال هذه القضایا، هی الحکایة عن الهوهویة؛ و أنّ الموضوع هو المحمول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اشتهر بینهم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القضایا برمّتها مشتملة علی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مستقیم علی إطلاقه، نعم فی القضایا الحملیة المؤوّلة، تکون فیها النسبة؛ فإنّ فی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له 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فی الخارج ذات زید تحکی عنه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بیاض تحکی عنه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انتساب البیاض لزید تحکی عنه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مثل هذه القضایا یکون لکلّ من القضیة الملفوظة و الذهنیة و الخارجیة، 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الموجبات بقسمیها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القضایا السالبة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من الحملیة الحقیقیة غیر المؤوّلة، أو الحملیة المؤوّلة فلا تشتمل علی النسبة أصلًا؛ فإنّ الهیئة فیها لسلب النسبة، أو نفی الهوهویة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القضیة السالبة المؤوّلة و إن کانت مشتملة ظاهراً علی النسبة، إلّا أنّه جی‌ء بها لسلب النسبة و قطعها، فالنسبة بمعنی موجود، و بمعنی آخر غیر موجود، فتدبّر</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القضایا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حملیة غیر مأوّلة، و حملیة مأوّلة، و موجبات القسم الثانی مشتملة علی النسبة فقط، و أمّا سوالبها مطلقاً فلا تکون فیها النسبة، فجی‌ء بحرف الربط فیها لقطع النسبة و الربط، فتدبّر</w:t>
      </w:r>
      <w:r>
        <w:rPr>
          <w:rFonts w:eastAsia="IRNazanin" w:cs="IRNazanin"/>
          <w:color w:val="111111"/>
          <w:sz w:val="28"/>
          <w:szCs w:val="28"/>
          <w:rtl w:val="true"/>
          <w:lang w:bidi="fa-IR"/>
        </w:rPr>
        <w:t>.</w:t>
      </w:r>
      <w:bookmarkStart w:id="643" w:name="pg12934_164777"/>
    </w:p>
    <w:p>
      <w:pPr>
        <w:pStyle w:val="Heading6"/>
        <w:numPr>
          <w:ilvl w:val="5"/>
          <w:numId w:val="1"/>
        </w:numPr>
        <w:rPr/>
      </w:pPr>
      <w:bookmarkStart w:id="644" w:name="__RefHeading___Toc4026499_3224264995"/>
      <w:bookmarkStart w:id="645" w:name="_Toc245"/>
      <w:bookmarkEnd w:id="643"/>
      <w:bookmarkEnd w:id="644"/>
      <w:r>
        <w:rPr>
          <w:rtl w:val="true"/>
        </w:rPr>
        <w:t>المقدّمة الثانیة</w:t>
      </w:r>
      <w:r>
        <w:rPr>
          <w:rtl w:val="true"/>
        </w:rPr>
        <w:t xml:space="preserve">: </w:t>
      </w:r>
      <w:r>
        <w:rPr>
          <w:rtl w:val="true"/>
        </w:rPr>
        <w:t>مناط احتمال الصدق و الکذب فی القضیة و مناط صدقها و کذبها</w:t>
      </w:r>
      <w:bookmarkEnd w:id="645"/>
    </w:p>
    <w:p>
      <w:pPr>
        <w:pStyle w:val="BookText"/>
        <w:rPr/>
      </w:pPr>
      <w:r>
        <w:rPr>
          <w:rFonts w:ascii="IRNazanin" w:hAnsi="IRNazanin" w:eastAsia="IRNazanin"/>
          <w:color w:val="111111"/>
          <w:sz w:val="28"/>
          <w:sz w:val="28"/>
          <w:szCs w:val="28"/>
          <w:rtl w:val="true"/>
          <w:lang w:bidi="fa-IR"/>
        </w:rPr>
        <w:t>أمّا مناط احتمال الصدق و الکذب فی القضیة، فالمشهور علی أنّ القضیة إن اشتملت علی النسبة التامّة، فهی محتملة لهما، و إلّا فلا، و لکنّه غیر سدید؛ لأنّه کثیراً ما تکون لنا قضایا غیر مشتملة علی النسبة، فضلًا عن کونها تامّة، و مع ذلک تحتمل الصدق و الکذب، کالقضایا الحملیة غیر المؤوّلة، و السوالب برمّتها، فإنّها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 إلیه فی المقدّمة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مشتملة علی النسبة، و مع ذلک تحتمل الصدق و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فالمناط فی ذلک، إنّما هو الحکایة التصدیقیة عن نفس الأمر؛ فکلّ قضیة إذا کانت مشتملة علی الحکایة التصدیقیة؛ أعنی بها ما یفید فائدة تامّة یصحّ السکوت علیها، سواء تعلّقت بالهوهویة؛ أی بأنّ هذا ذاک تصدیقاً،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سلب الهوهویة و نفی هذا عن ذاک،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لیس بحجر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تعلّقت بالکون الرابط علی نحو الإثبات،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علی نحو النفی،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لیس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جمیع ذلک یحتمل الصدق و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خلا الکلام عن ذلک، سواء دلّ علی الاتحاد التصوّری،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علی النسبة التصوّریة، کما فی الإضافات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فینتفی مناط احتمال الصدق و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احتمال الصدق و الکذب، هو ما إذا حکت القضیة حکایة تصدیقیة عن نفس الأمر؛ سواء اشتملت علی النسبة، أم لا، و لذا لو القیت القضیة بصورة الشکّ و التردید فقیل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أدری أ قائم زید أم 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فیها احتمال الصدق و الکذب؛ لعدم الحکایة التصدیقیة فیها مع اشتمال القضیة علی النسبة</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حیث إنّه لنفی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حکایة تصدیقیة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أنّها تحکی عن حالة فی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لها احتمال الصدق و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یذهب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یتوقّف احتمال الصدق و الکذب؛ علی الجزم الواقعی و التصدیق به کذلک، بل غایة ما یعتبر هی القضیة بصورة الجزم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مناط احتمال الصدق و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مناط صدق القضیة و کذبها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بما تصیر القضیة صادقة أو کاذبة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عبارة عن مطابقة الحکایة التصدیقیة لنفس الأمر و عدمها، فإذا لوحظت صفحة الوجود و الخارج، یُری أنّ بعض الأشیاء له تحقّق و وجود فیها، و بعضها لا تحقّق له فیها، فإذا القیت 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بصورة الحملیة غیر المؤوّلة، أو المؤوّلة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طابقت المحکی و صفحة الوجود فهی صادقة، و إلّا فکاذبة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الوجود عین ذاته المقدّسة، لا أمر طارئ علی ذاته تعالی، فإذا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تعالی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القضیة صادقة؛ لأنّها تحکی حکایة تصدیقیة عن الهوهویة و الاتحاد بینهما، و المحکی أیضاً کذلک، و أمّا إذا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تعالی له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فکاذبة؛ لأنّها تحکی حکایة تصدیقیة عن عروض الوجود له تعالی، و نفس الأمر و الواقع لم یکن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حال الموجبات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السوالب، فحیث إنّه لم یکن للعدم مصداق و واقع، فمناط صدق القضیة و کذبها هو حکایتها عن سلب الهوهویة، أو سلب الکون الرابط، فعدم مصداق واقعی للهوهویة و النسبة فی صفحة الوجود، مناط لصدق القضیة السالبة، کما أنّ اشتمال صفحة الوجود علی واحد منهما مناط کذبها</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فحیث إنّه لیس لذاته المقدّسة شریک فی الخارج و صفحة الوجود خالیة منه، فإن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شریک الباری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نحو السلب التحصیلی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القضیة صادقة؛ لأنّها تحکی حکایة تصدیقیة عن سلب الهوهویة، و نفس الأمر أیضاً کذلک، و أمّا إن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شریک الباری غیر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نحو الموجبة المعدولة، أو</w:t>
      </w:r>
      <w:bookmarkStart w:id="646" w:name="pg12934_164779"/>
    </w:p>
    <w:p>
      <w:pPr>
        <w:pStyle w:val="BookText"/>
        <w:rPr/>
      </w:pPr>
      <w:bookmarkEnd w:id="6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نحو الموجبة السالبة المحمول،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الباری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فکاذبة؛ لأنّه یعتبر فی صدق القضیة الموجبة وجود الموضوع؛ لقاعدة الفرعیة، کما سنشیر إلیها؛ سواء کانت معدولة المحمول، أو سالبته؛ أی سواء کانت معدولة، أو محصّلة، و لا موضوع للقضیة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اوّلت القضیة إلی السالبة المحصّلة، 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بموجود البتّة، تصیر صادقة،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ظهر و تحقّق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میزان الصدق و الکذب فی القضایا، هو الحکایة التصدیقیة لنفس الأمر، لا ما اشتهر بینهم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أنّه عبارة عن تطابق النسبة الکلامیة مع النسبة الواقعیة،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 عرفت أنّه لا یکون للقضایا السالبة نسبة حتّی توافقها أو لا توافقها، و مع ذلک یکون لها صدق و کذب، و کذا فی الحملیة غیر المؤوّلة، فإنّها غیر مشتملة علی النسبة، و مع ذلک یطرأ علیها الصدق و الکذب، فتدبّر</w:t>
      </w:r>
      <w:r>
        <w:rPr>
          <w:rFonts w:eastAsia="IRNazanin" w:cs="IRNazanin"/>
          <w:color w:val="111111"/>
          <w:sz w:val="28"/>
          <w:szCs w:val="28"/>
          <w:rtl w:val="true"/>
          <w:lang w:bidi="fa-IR"/>
        </w:rPr>
        <w:t>.</w:t>
      </w:r>
    </w:p>
    <w:p>
      <w:pPr>
        <w:pStyle w:val="Heading6"/>
        <w:numPr>
          <w:ilvl w:val="5"/>
          <w:numId w:val="1"/>
        </w:numPr>
        <w:rPr/>
      </w:pPr>
      <w:bookmarkStart w:id="647" w:name="__RefHeading___Toc4026501_3224264995"/>
      <w:bookmarkStart w:id="648" w:name="_Toc246"/>
      <w:bookmarkEnd w:id="647"/>
      <w:r>
        <w:rPr>
          <w:rtl w:val="true"/>
        </w:rPr>
        <w:t>المقدّمة الثالثة</w:t>
      </w:r>
      <w:r>
        <w:rPr>
          <w:rtl w:val="true"/>
        </w:rPr>
        <w:t xml:space="preserve">: </w:t>
      </w:r>
      <w:r>
        <w:rPr>
          <w:rtl w:val="true"/>
        </w:rPr>
        <w:t>فی القضایا المفتقرة إلی وجود الموضوع</w:t>
      </w:r>
      <w:bookmarkEnd w:id="648"/>
    </w:p>
    <w:p>
      <w:pPr>
        <w:pStyle w:val="BookText"/>
        <w:rPr/>
      </w:pPr>
      <w:r>
        <w:rPr>
          <w:rFonts w:ascii="IRNazanin" w:hAnsi="IRNazanin" w:eastAsia="IRNazanin"/>
          <w:color w:val="111111"/>
          <w:sz w:val="28"/>
          <w:sz w:val="28"/>
          <w:szCs w:val="28"/>
          <w:rtl w:val="true"/>
          <w:lang w:bidi="fa-IR"/>
        </w:rPr>
        <w:t xml:space="preserve">هذه المقدّمة من أهمّ المقدّمات، بل أساس المطلب لجریان الأصل؛ و هی أنّ القضایا تنقسم إلی الموجبة، و السالبة، و هما إلی البسیطة، و المرکّبة، و الجمیع إلی المحصّلة، و المعدولة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القضیة الموجبة المحصّلة منها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الموجبة المعدولة منها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لا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الموجبة السالبة للمحمول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هو الذی لیس بقائم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تحتاج إلی وجود الموضوع فی ظرف ثبوت الحکم؛ لقاعدة الفرعیة غیر القابلة للتخصیص، ضرورة أنّ ثبوت شی‌ء لشی‌ء، فرع ثبوت المثبت له فی ظرف ثبوت الحکم؛ سواء کان الثابت وجودیاً، أو لا و کذا اتحاد شی‌ء مع شی‌ء فی ظرفٍ فرع تحقّقهما فیه، و هذا واضح فی القضیة الموجبة المحصّلة</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الأمر فی القضیة الموجبة المعدولة المحمول، أو الموجبة السالبة المحمول؛</w:t>
      </w:r>
      <w:bookmarkStart w:id="649" w:name="pg12934_164780"/>
    </w:p>
    <w:p>
      <w:pPr>
        <w:pStyle w:val="BookText"/>
        <w:rPr/>
      </w:pPr>
      <w:bookmarkEnd w:id="649"/>
      <w:r>
        <w:rPr>
          <w:rFonts w:ascii="IRNazanin" w:hAnsi="IRNazanin" w:eastAsia="IRNazanin"/>
          <w:color w:val="111111"/>
          <w:sz w:val="28"/>
          <w:sz w:val="28"/>
          <w:szCs w:val="28"/>
          <w:rtl w:val="true"/>
          <w:lang w:bidi="fa-IR"/>
        </w:rPr>
        <w:t>لأنّه یراد منهما إثبات معنی عدولی أو عدمی للموضوع، فلا بدّ و أن یکون له تحقّق و وجود حتّی یحمل علیه ذلک المعنی العدولی أو العدمی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السوالب المحصّلة، فبما أنّها لسلب النسبة و الهوهویة و قطع الربط، فلا یحتاج إلی وجود الموضوع، و لذا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الباری لیس بموجود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قضیة صادقة؛ لعدم وجود مصداق لها فی الخارج، 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الباری لا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قضیة کاذبة؛ لدلالتها علی إثبات اللاموجود لشریک الباری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تمهّد لک ما ذکرنا، فلا بدّ من ملاحظة الدلیل المثبت للحکم علی الموضوع؛ و أنّه من أیّ قسم من هذه القضایا، و أنّه هل تعلّق علی نحو السالبة المحصّلة، أو الموجبة المعدولة المحمول، أو السالبة المحمول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غیر ذلک؛ لاختلاف الحکم بحسبها</w:t>
      </w:r>
      <w:r>
        <w:rPr>
          <w:rFonts w:eastAsia="IRNazanin" w:cs="IRNazanin"/>
          <w:color w:val="111111"/>
          <w:sz w:val="28"/>
          <w:szCs w:val="28"/>
          <w:rtl w:val="true"/>
          <w:lang w:bidi="fa-IR"/>
        </w:rPr>
        <w:t>.</w:t>
      </w:r>
    </w:p>
    <w:p>
      <w:pPr>
        <w:pStyle w:val="Heading6"/>
        <w:numPr>
          <w:ilvl w:val="5"/>
          <w:numId w:val="1"/>
        </w:numPr>
        <w:rPr/>
      </w:pPr>
      <w:bookmarkStart w:id="650" w:name="__RefHeading___Toc4026503_3224264995"/>
      <w:bookmarkStart w:id="651" w:name="_Toc247"/>
      <w:bookmarkEnd w:id="650"/>
      <w:r>
        <w:rPr>
          <w:rtl w:val="true"/>
        </w:rPr>
        <w:t>المقدّمة الرابعة</w:t>
      </w:r>
      <w:r>
        <w:rPr>
          <w:rtl w:val="true"/>
        </w:rPr>
        <w:t xml:space="preserve">: </w:t>
      </w:r>
      <w:r>
        <w:rPr>
          <w:rtl w:val="true"/>
        </w:rPr>
        <w:t>فی لزوم کون موضوع الحکم مفرداً أو فی حکم المفرد</w:t>
      </w:r>
      <w:bookmarkEnd w:id="651"/>
    </w:p>
    <w:p>
      <w:pPr>
        <w:pStyle w:val="BookText"/>
        <w:rPr/>
      </w:pPr>
      <w:r>
        <w:rPr>
          <w:rFonts w:ascii="IRNazanin" w:hAnsi="IRNazanin" w:eastAsia="IRNazanin"/>
          <w:color w:val="111111"/>
          <w:sz w:val="28"/>
          <w:sz w:val="28"/>
          <w:szCs w:val="28"/>
          <w:rtl w:val="true"/>
          <w:lang w:bidi="fa-IR"/>
        </w:rPr>
        <w:t>إنّ موضوع کلّ 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إنشائیة کانت أو إخباریة، إیجابیة کانت أم سلبیة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و أن یکون مفرداً، أو فی حکمه، کالجمل الناقصة، حتّی أنّ الشرطیة التی تتألّف من قضیتین، تخرجان بذلک عن التمامیة، و تصیران کالجمل الناقصة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السرّ فی ذلک أنّ الحکایة عن موضوع الحکم فقط أو محموله کذلک، لا بدّ و أن تکون حکایة تصوّریة، کما أنّ الحکایة عن اتحادهما أو حصول أحدهما فی الآخر، لا بدّ و أن تکون حکایة تصدیقیة، و هی الملاک لکون الجملة قضیة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الحکایة التصوّریة متقدّمة علی الحکایة التصدیقیة</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هیئة الجملة تحکی حکایة تصدیقیة عن الهوهویة، أو الکون الرابط، و یصحّ السکوت علیها،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 طالعة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تحکی حکایة تصدیقیة، و یصحّ</w:t>
      </w:r>
    </w:p>
    <w:p>
      <w:pPr>
        <w:pStyle w:val="BookText"/>
        <w:rPr/>
      </w:pPr>
      <w:r>
        <w:rPr>
          <w:rFonts w:ascii="IRNazanin" w:hAnsi="IRNazanin" w:eastAsia="IRNazanin"/>
          <w:color w:val="111111"/>
          <w:sz w:val="28"/>
          <w:sz w:val="28"/>
          <w:szCs w:val="28"/>
          <w:rtl w:val="true"/>
          <w:lang w:bidi="fa-IR"/>
        </w:rPr>
        <w:t>السکوت علیها، و لکن إذا جعلت تلو أداة الشرط و صارت مقدّمة للقضیة الشرطیة فقیل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کانت الشمس طالعة فالنهار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تکاد تکون لها دلالة تصدیقیة یصحّ السکوت علیها، بل ما دامت مقدّمة للشرطیة یکون لها دلالة تصوّریة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أن یکون لها باعتبارین حکایتان؛ فمن حیث کونها جملة برأسها تحکی حکایة تصدیقیة، و من حیث کونها مقدّمة للشرطیة لها حکایة تصوّریة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هذا یؤدّی إلی اجتماع النقیضین، و اجتماع النقص و التمام فی جملة واحدة فی زمان واحد، و هو کما تری، فیلزم أن یصحّ السکوت علی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 طالعة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لا یصحّ، و لا یجتمع النقص و التمام فی جملة واحدة و فی حال واحد؛ و لو بتکرّر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اشتهر بینهم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الأخبار بعد العلم بها أوصاف، و الأوصاف قبل العلم بها 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صحّة کون شی‌ء واحد باعتبارین خبراً و 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ما یستفاد من ذلک هی أنّ الخبر بعد العلم به یصیر ما علم به وصفاً، لا بلحاظ کونه خبراً وصفاً، فتدبّر</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محیص من کون الموضوع أمراً مفرداً، أو مأوّلًا به؛ لما أشرنا من أنّه لا تجتمع الدلالة التصوّریة مع الدلالة التصدیقیة، و لا یجتمع النقص و التمام فی جملة واحدة و فی حال واحد، فلو قلت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قائم، غیر عمرو 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الحکایة التصدیقیة فیه إلّا عن مغایرة الجملتین، لا عن قیام زید و قعود عمرو، و کذا الحال فی موضوع الأحکام الإنشائیة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انحلّت القضیة خرج کلّ واحد منهما من النقص، و صار قضیة تامّة موجبة محصّلة، أو سالبة محصّلة، کما فی المثالین، و ربما صارت سالبة معدولة، أو موجبة سالبة المحمول،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غیر القرشیة حکمها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التی لیست بقرشیة حکمها کذا</w:t>
      </w:r>
      <w:r>
        <w:rPr>
          <w:rFonts w:eastAsia="IRNazanin" w:cs="IRNazanin"/>
          <w:color w:val="111111"/>
          <w:sz w:val="28"/>
          <w:szCs w:val="28"/>
          <w:rtl w:val="true"/>
          <w:lang w:bidi="fa-IR"/>
        </w:rPr>
        <w:t>».</w:t>
      </w:r>
      <w:bookmarkStart w:id="652" w:name="pg12934_164782"/>
    </w:p>
    <w:p>
      <w:pPr>
        <w:pStyle w:val="Heading6"/>
        <w:numPr>
          <w:ilvl w:val="5"/>
          <w:numId w:val="1"/>
        </w:numPr>
        <w:rPr/>
      </w:pPr>
      <w:bookmarkStart w:id="653" w:name="__RefHeading___Toc4026505_3224264995"/>
      <w:bookmarkStart w:id="654" w:name="_Toc248"/>
      <w:bookmarkEnd w:id="652"/>
      <w:bookmarkEnd w:id="653"/>
      <w:r>
        <w:rPr>
          <w:rtl w:val="true"/>
        </w:rPr>
        <w:t>المقدّمة الخامسة</w:t>
      </w:r>
      <w:r>
        <w:rPr>
          <w:rtl w:val="true"/>
        </w:rPr>
        <w:t xml:space="preserve">: </w:t>
      </w:r>
      <w:r>
        <w:rPr>
          <w:rtl w:val="true"/>
        </w:rPr>
        <w:t>فی اعتبارات موضوع العامّ المخصّص</w:t>
      </w:r>
      <w:bookmarkEnd w:id="654"/>
    </w:p>
    <w:p>
      <w:pPr>
        <w:pStyle w:val="BookText"/>
        <w:rPr/>
      </w:pPr>
      <w:r>
        <w:rPr>
          <w:rFonts w:ascii="IRNazanin" w:hAnsi="IRNazanin" w:eastAsia="IRNazanin"/>
          <w:color w:val="111111"/>
          <w:sz w:val="28"/>
          <w:sz w:val="28"/>
          <w:szCs w:val="28"/>
          <w:rtl w:val="true"/>
          <w:lang w:bidi="fa-IR"/>
        </w:rPr>
        <w:t>قد أشرنا إلی أنّ موضوع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و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العامّ المخصّص المتصل أو المنفصل، لیس جمیع الأفراد المندرجة تحت العامّ، بل الموضوع هو الأفراد الباقیة بعد التخصیص؛ و ذلک لأنّ المولی الملتفت إلی موضوع حکمه، لا تکاد تتعلّق إرادته الجدّیة بالحکم علیه إلّا بعد تحقّق المقتضی و عدم المانع، فلو کان المقتضی لوجوب الإکرام مثلًا موجوداً فی جمیع أفراد العلماء، فلا وجه لذکر المخصّص، و أمّا إن کان المقتضی منحصراً فی عدول العلماء، و کان لإکرام فسّاقهم مفسدة ملزمة، أو کان فی إکرامهم مصلحة، إلّا أنّه مع مفسدة راجحة، فلا تتعلّق إرادته الجدّیة بإکرام جمیع العلماء؛ لأنّ الحکم علیهم حینئذٍ حکم بلا ملاک، فیکون جزافاً، فموضوع حکم العامّ جدّاً بطروّ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منفصلًا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بقی بعد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التخصیص مطلقاً، یکشف عن تضییق ما هو موضوع العامّ بحسب الإرادة الجدّیة، و لا یمکن تعلّق الحکم الفعلی الجدّی بوجوب إکرام کلّ عالم بلا قید مع کونه مخصّصاً بعدم إکرام الفسّاق منهم، بل الحکم تعلّق بإکرام عدولهم، أو ما عدا فسّاقهم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ذلک لأجل التضادّ بین الحکمین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المحذور یرتفع بتکثّر العنوان، بل لأجل أنّ الإرادة الجدّیة إذا تعلّقت بحرمة إکرام کلّ واحد من الفسّاق منهم، تمتنع تعلّق إرادة اخری بإکرام کلّ واحد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تخصیص مع العلم بأنّ بعض العلماء فاسق، و یؤول ذلک الامتناع إلی نفس التکلیف</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یقاس المقام بباب التزاحم؛ إذ المولی لم یحرز فی الأفراد المخصّصة مصلحة، بل ربما أحرز مفسدة فی إکرامهم، فلا یعقل عند ذلک فعلیة الحکم فی حقّهم، بخلاف</w:t>
      </w:r>
    </w:p>
    <w:p>
      <w:pPr>
        <w:pStyle w:val="BookText"/>
        <w:rPr/>
      </w:pPr>
      <w:r>
        <w:rPr>
          <w:rFonts w:ascii="IRNazanin" w:hAnsi="IRNazanin" w:eastAsia="IRNazanin"/>
          <w:color w:val="111111"/>
          <w:sz w:val="28"/>
          <w:sz w:val="28"/>
          <w:szCs w:val="28"/>
          <w:rtl w:val="true"/>
          <w:lang w:bidi="fa-IR"/>
        </w:rPr>
        <w:t>المتزاحمین، فعند ذلک یسقط ما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المزاحمة فی مقام العمل لا توجب رفع فعلیة الحکم عن 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موضوع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الإرادة الجدّیة و متن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التخصیص یتصوّر علی أحد وجوه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الموضوع متقیّداً بالعدم النعتی علی حذو العدول؛ أعنی علی نحو الإیجاب العدولی،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غیر الفسّاق أکرمهم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غیر القرشیة تری الدم إلی خمسین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موضوع العامّ متقیّداً بالعدم النعتی علی حذو السالبة المحمول؛ أعنی الموجبة السالبة المحمول،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الذین لا یکونون فسّاقاً أکرمهم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التی لا تکون قرشیة تری الدم إلی خمسین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موضوع العامّ علی حذو السالبة المحصّلة مع وجود الموضوع،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الموجودون إذا لم یکونوا فسّاقاً أکرمهم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الموجودة إذا لم تکن من قریش تری الدم إلی 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إرجاع هذا إلی الوجه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موضوع العامّ علی حذو السالبة المحصّلة الأعمّ من وجود الموضوع،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إذا لم یکونوا فسّاقاً أکرمهم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إذا لم تکن من قریش تری الدم إلی خمسین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الوجوه المتصوّرة</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سبیل إلی الرابع؛ لأنّ جعل الحکم الإیجابی علی موضوع فی حال عدمه، محال، و الحکایة بالإیجاب عن موضوع معدوم، حکایة عن أمر محال؛ لأدائها فی المثال المعروف إلی أنّه إذا لم تکن المرأة قرشیة و کانت غیر موجودة، فهی تری الدم إلی خمسین</w:t>
      </w:r>
      <w:r>
        <w:rPr>
          <w:rFonts w:eastAsia="IRNazanin" w:cs="IRNazanin"/>
          <w:color w:val="111111"/>
          <w:sz w:val="28"/>
          <w:szCs w:val="28"/>
          <w:rtl w:val="true"/>
          <w:lang w:bidi="fa-IR"/>
        </w:rPr>
        <w:t>.</w:t>
      </w:r>
      <w:bookmarkStart w:id="655" w:name="pg12934_164784"/>
    </w:p>
    <w:p>
      <w:pPr>
        <w:pStyle w:val="BookText"/>
        <w:rPr/>
      </w:pPr>
      <w:bookmarkEnd w:id="655"/>
      <w:r>
        <w:rPr>
          <w:rFonts w:ascii="IRNazanin" w:hAnsi="IRNazanin" w:eastAsia="IRNazanin"/>
          <w:color w:val="111111"/>
          <w:sz w:val="28"/>
          <w:sz w:val="28"/>
          <w:szCs w:val="28"/>
          <w:rtl w:val="true"/>
          <w:lang w:bidi="fa-IR"/>
        </w:rPr>
        <w:t>فإذن السالبة المحصّلة بما أنّها تصدق بانتفاء الموضوع، یمتنع أن تقع موضوعاً لحکم إیجابی، و أمّا غیره من الوجوه و الاعتبارات، فیمکن أخذها قیداً لموضوع العامّ المخصّص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فالاعتبارات التی یمکن أخذها قیداً لموضوع العامّ المخصّص إمّا العدم النعتی العدولی، أو السالبة المحمول، أو السالبة المحصّلة بشرط اعتبار وجود الموضوع، و إلّا یلزم جعل الحکم علی المعدوم، و عدم إرجاعه إلی التقیید و النعت، و إلّا یرجع إلی السالبة المحمول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هذه المقدّمات التی ذکرنا بعضها تبرّعاً و استیفاء لحکم الأقسام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کون موضوع حکم العامّ المخصّص، الموجبة المعدولة المحمول، أو الموجبة السالبة المحمول، أو السالبة المحصّلة مع حفظ الموضوع، فهل یجری استصحاب العدم الأزلی مطلقاً، أو لا یجری کذلک، أو یفصّل بین الموارد؟ وجوه، أقواها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الأوصاف و العناوین العرضیة المقارنة لموصوفها المعنون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الأوصاف اللازمة و العناوین اللازمة لموصوفها و المعنون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فالکلام یقع فی مقامین</w:t>
      </w:r>
      <w:r>
        <w:rPr>
          <w:rFonts w:eastAsia="IRNazanin" w:cs="IRNazanin"/>
          <w:color w:val="111111"/>
          <w:sz w:val="28"/>
          <w:szCs w:val="28"/>
          <w:rtl w:val="true"/>
          <w:lang w:bidi="fa-IR"/>
        </w:rPr>
        <w:t>.</w:t>
      </w:r>
    </w:p>
    <w:p>
      <w:pPr>
        <w:pStyle w:val="Heading6"/>
        <w:numPr>
          <w:ilvl w:val="5"/>
          <w:numId w:val="1"/>
        </w:numPr>
        <w:rPr/>
      </w:pPr>
      <w:bookmarkStart w:id="656" w:name="__RefHeading___Toc4026507_3224264995"/>
      <w:bookmarkStart w:id="657" w:name="_Toc249"/>
      <w:bookmarkEnd w:id="656"/>
      <w:r>
        <w:rPr>
          <w:rtl w:val="true"/>
        </w:rPr>
        <w:t>المقام الأوّل</w:t>
      </w:r>
      <w:r>
        <w:rPr>
          <w:rtl w:val="true"/>
        </w:rPr>
        <w:t xml:space="preserve">: </w:t>
      </w:r>
      <w:r>
        <w:rPr>
          <w:rtl w:val="true"/>
        </w:rPr>
        <w:t>فی الأوصاف و العناوین العرضیة</w:t>
      </w:r>
      <w:bookmarkEnd w:id="657"/>
    </w:p>
    <w:p>
      <w:pPr>
        <w:pStyle w:val="BookText"/>
        <w:rPr/>
      </w:pPr>
      <w:r>
        <w:rPr>
          <w:rFonts w:ascii="IRNazanin" w:hAnsi="IRNazanin" w:eastAsia="IRNazanin"/>
          <w:color w:val="111111"/>
          <w:sz w:val="28"/>
          <w:sz w:val="28"/>
          <w:szCs w:val="28"/>
          <w:rtl w:val="true"/>
          <w:lang w:bidi="fa-IR"/>
        </w:rPr>
        <w:t>إنّ موضوع حکم العامّ بعد التخصیص، لا یخلو إمّا أن یکون مرکّباً من جزءین، کالعالم، و غیر الفاسق، أو موصوفاً و متقیّداً بقید، کالعالم غیر الفاسق</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الأوّل، کما یمکن إحراز کلا الجزءین بالأصل إن کان لهما حالة سابقة، و ینقّح بذلک موضوع دلیل العامّ، فکذلک إن کان لأحدهما حالة سابقة، و کان الآخر محرزاً بالوجدان، حیث ینقّح بذلک موضوع دلیل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إن کان لکلّ من الصفة و الموصوف و تقیید الصفة بالموصوف، حالة 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کان زید سابقاً عالماً، أو غیر فاسق فی زمان، فشکّ فیه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إجراء الأصل، فینقّح به موضوع دلیل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إن لم یکن کذلک؛ سواء کانت الصفة معلومة سابقاً دون الموصوف، بأن کان المعلوم سابقاً عدم فسقه أو عدالته، أو کان الموصوف معلوماً دون الصفة؛ بأن کان المعلوم سابقاً أنّه عالم، أو کان کلّ من الصفة و الموصوف معلوماً، و لکنّ الاتصاف غیر معلوم؛ بأن علم أنّ زیداً عالم یوم الخمیس، ثمّ علم یوم الجمعة أنّه غیر فاسق، و لکن لم یکن علمه فی حال عدم فسقه متیقّناً؛ حتّی یکون المعلوم العالم غیر الفاسق، فشکّ یوم السبت فی بقائهما، فلا یکاد یجری الأصل فی شی‌ء من الموارد لتنقیح موضوع دلیل العامّ؛ و ذلک لأنّ عنوان موضوع العامّ الذی یکون حجّة، هو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غیر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فکلّما اقتضی الأصل إثبات هذا العنوان، لما کان إشکال فی إجرائه؛ و ذلک فیما إذا علم کون الفرد الموجود متصفاً فی زمان واحد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متصف بعنوان الخاصّ سابقاً؛ بحیث کان غیر فاسق فی زمان، فشکّ بعد ذلک فی انقلاب أحد القیدین إلی ضدّه</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المعلوم سابقاً عدالة زید دون علمه، أو علمه دون عدالته، أو عدالته و علمه و لکن لم یکن علمه فی حال عدم فسقه متیقّناً، فلا یکاد یحرز بذلک موضوع دلیل العامّ إلّا بالأصل المثبت؛ لأنّ غایة ما یقتضیه استصحاب عدالة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علم بعدالته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بقاء عدالته، و هذا العنوان لم یکن موضوعاً لحکم شرعی، و الموضوع لذلک إنّما هو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موضوع جواز الاقتداء و صحّة الشهادة و التقلید و غیرها، هو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مقتضی العلم بعدالة زید و إن أثبت عقلًا کونه عادلًا، و لکنّه مثبت، فتدبّر</w:t>
      </w:r>
      <w:r>
        <w:rPr>
          <w:rFonts w:eastAsia="IRNazanin" w:cs="IRNazanin"/>
          <w:color w:val="111111"/>
          <w:sz w:val="28"/>
          <w:szCs w:val="28"/>
          <w:rtl w:val="true"/>
          <w:lang w:bidi="fa-IR"/>
        </w:rPr>
        <w:t>.</w:t>
      </w:r>
      <w:bookmarkStart w:id="658" w:name="pg12934_164786"/>
    </w:p>
    <w:p>
      <w:pPr>
        <w:pStyle w:val="BookText"/>
        <w:rPr/>
      </w:pPr>
      <w:bookmarkEnd w:id="658"/>
      <w:r>
        <w:rPr>
          <w:rFonts w:ascii="IRNazanin" w:hAnsi="IRNazanin" w:eastAsia="IRNazanin"/>
          <w:color w:val="111111"/>
          <w:sz w:val="28"/>
          <w:sz w:val="28"/>
          <w:szCs w:val="28"/>
          <w:rtl w:val="true"/>
          <w:lang w:bidi="fa-IR"/>
        </w:rPr>
        <w:t>و کذا فیما إذا علم أنّ زیداً غیر فاسق فی زمان، و لکن لم یکن علمه فی حال عدم فسقه متیقّناً، بل علم أنّه عالم فی الحال؛ لأنّ استصحاب عدم کون زید فاسقاً أو غیر فاسق مع العلم بأنّه عالم فی الحال؛ و إن کان یلزمه عقلًا أنّ زیداً العالم غیر فاسق علی نحو النعت و التقیید، و لکنّه 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یکاد یجدی إحراز موضوع العامّ بالأصل و الوجدان إذا کان الموضوع متصفاً و متقیّداً بقید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الموضوع مرکّباً من جزءین، فیمکن إحرازه بالأصل و 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استظهار کون الموضوع متصفاً أو متقیّداً؛ فیما إذا کان دلیل العامّ بعد التخصیص، موجبة معدولة المحمول، أو موجبة سالبة المحمول، و أمّا استظهار کون الموضوع مرکّباً، فمرهون بکون موضوع دلیل العامّ سالبة محصّلة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المقام الأوّل؛ و هو فیما إذا کان الوصف من الأوصاف العرضیة المقارنة لموصوفها</w:t>
      </w:r>
      <w:r>
        <w:rPr>
          <w:rFonts w:eastAsia="IRNazanin" w:cs="IRNazanin"/>
          <w:color w:val="111111"/>
          <w:sz w:val="28"/>
          <w:szCs w:val="28"/>
          <w:rtl w:val="true"/>
          <w:lang w:bidi="fa-IR"/>
        </w:rPr>
        <w:t>.</w:t>
      </w:r>
    </w:p>
    <w:p>
      <w:pPr>
        <w:pStyle w:val="Heading6"/>
        <w:numPr>
          <w:ilvl w:val="5"/>
          <w:numId w:val="1"/>
        </w:numPr>
        <w:rPr/>
      </w:pPr>
      <w:bookmarkStart w:id="659" w:name="__RefHeading___Toc4026509_3224264995"/>
      <w:bookmarkStart w:id="660" w:name="_Toc250"/>
      <w:bookmarkEnd w:id="659"/>
      <w:r>
        <w:rPr>
          <w:rtl w:val="true"/>
        </w:rPr>
        <w:t>المقام الثانی</w:t>
      </w:r>
      <w:r>
        <w:rPr>
          <w:rtl w:val="true"/>
        </w:rPr>
        <w:t xml:space="preserve">: </w:t>
      </w:r>
      <w:r>
        <w:rPr>
          <w:rtl w:val="true"/>
        </w:rPr>
        <w:t>فی الأوصاف و العناوین اللازمة لموصوفها</w:t>
      </w:r>
      <w:bookmarkEnd w:id="660"/>
    </w:p>
    <w:p>
      <w:pPr>
        <w:pStyle w:val="BookText"/>
        <w:rPr/>
      </w:pPr>
      <w:r>
        <w:rPr>
          <w:rFonts w:ascii="IRNazanin" w:hAnsi="IRNazanin" w:eastAsia="IRNazanin"/>
          <w:color w:val="111111"/>
          <w:sz w:val="28"/>
          <w:sz w:val="28"/>
          <w:szCs w:val="28"/>
          <w:rtl w:val="true"/>
          <w:lang w:bidi="fa-IR"/>
        </w:rPr>
        <w:t xml:space="preserve">قد یکون الاتصاف أو عدمه من العناوین اللازمة لوجود المعنون، کالقرشیة و اللاقرشیة فی المرأة، فإنّها إن تکوّنت من ماء من انتسب إلی قریش فهی قرشیة، و إلّا فغیر قرشیة، و کقابلیة الحیوان للذبح أو عدمها فی الحیوان، و کمخالفة الشرط للکتاب أو عدمها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فیقع الکلام فی إمکان إحراز موضوع دلیل العامّ بالأصل و الاستصحاب و عدمه</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عدم إمکان جریان الأصل مطلقاً؛ سواء کان موضوع دلیل العامّ فی مسألة القرشیة لُبّاً بعد التخصیص، المرأة غیر القرشیة علی نعت الموجبة المعدولة المحمول، أو المرأة التی لیست من قریش علی نعت الموجبة السالبة المحمول،</w:t>
      </w:r>
    </w:p>
    <w:p>
      <w:pPr>
        <w:pStyle w:val="BookText"/>
        <w:rPr/>
      </w:pPr>
      <w:r>
        <w:rPr>
          <w:rFonts w:ascii="IRNazanin" w:hAnsi="IRNazanin" w:eastAsia="IRNazanin"/>
          <w:color w:val="111111"/>
          <w:sz w:val="28"/>
          <w:sz w:val="28"/>
          <w:szCs w:val="28"/>
          <w:rtl w:val="true"/>
          <w:lang w:bidi="fa-IR"/>
        </w:rPr>
        <w:t>أو المرأة لیست بقرشیة علی نعت السالبة المحصّلة؛ 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الأوّلین فواضح؛ لأنّه علی کلیهما ینطبق و یتصف الموضوع لُبّاً بصفة عدمیة، فإنّه کما یکون الموضوع فی المعدولة المرأة المتصفة بأنّها غیر قرشیة، فکذلک فی سالبة المحمول تکون المرأة متصفة بأنّها لیست قرشیة، و لا فرق بینهما فیما هو المهمّ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وزان الثانیة وزان السالبة المحصّلة التی لا توجب تقییداً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ناشئ من الغفلة و خلط اعتبار الموجبة السالبة المحمول بالسالبة المحصّلة، و ما لا تقیید فیها هی الثانیة، دون الاولی،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فالإرادة الجدّیة بعد التخصیص، تعلّقت بالموضوع المتّصف إمّا بنحو الموجبة المعدولة المحمول، أو بنحو الموجبة السالبة المحمول، ففی کلیهما اتصاف، و مقتضی اتصاف الموضوع بوصف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الوصف عدمیاً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وجوده فی الخارج؛ لقاعدة الفرعیة، لأنّ المعدوم المطلق باطل محض و لا شی‌ء صرف، و ما شأنه کذلک لا یعقل الإخبار عنه، و لا اتصافه بشی‌ء، و معلوم أنّ الموضوع المتصف لم تکن له حالة سابقة متیقّنة حتّی تستصحب؛ لأنّه لم یعلم فی زمان أنّ هذه المرأة المشکوک کونها قرشیة أم لا، متصفة بغیر القرشیة، أو بأنّها لیست بقرشیة؛ لأنّ هذه الأوصاف ملازمة لوجود الفرد من مبدأ تکوّنه لا ینفکّ عنه، لأنّها إن تکوّنت من ماء من انتسب إلی قریش فقرشیة، و إلّا فغیر قرشیة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ما إذا کان اعتبار القید علی نعت السالبة المحصّلة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قسماً علی حدة، فقد عرفت أنّها تتصوّر علی نحوین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السالبة مع اعتبار وجود الموضوع</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السالبة الأعمّ منه</w:t>
      </w:r>
      <w:r>
        <w:rPr>
          <w:rFonts w:eastAsia="IRNazanin" w:cs="IRNazanin"/>
          <w:color w:val="111111"/>
          <w:sz w:val="28"/>
          <w:szCs w:val="28"/>
          <w:rtl w:val="true"/>
          <w:lang w:bidi="fa-IR"/>
        </w:rPr>
        <w:t>.</w:t>
      </w:r>
      <w:bookmarkStart w:id="661" w:name="pg12934_164788"/>
    </w:p>
    <w:p>
      <w:pPr>
        <w:pStyle w:val="BookText"/>
        <w:rPr/>
      </w:pPr>
      <w:bookmarkEnd w:id="661"/>
      <w:r>
        <w:rPr>
          <w:rFonts w:ascii="IRNazanin" w:hAnsi="IRNazanin" w:eastAsia="IRNazanin"/>
          <w:color w:val="111111"/>
          <w:sz w:val="28"/>
          <w:sz w:val="28"/>
          <w:szCs w:val="28"/>
          <w:rtl w:val="true"/>
          <w:lang w:bidi="fa-IR"/>
        </w:rPr>
        <w:t>لا سبیل إلی الثانی؛ لأنّه و إن لم توجب السالبة المحصّلة تقییداً فی الموضوع، فلا یحتاج فی صدقه من هذه الجهة إلی وجود الموضوع، إلّا أنّه حیث وقع موضوعاً لحکم إیجابی هو حکم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رؤیة الدم فی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له من اعتبار وجود فیها، و إلّا یلزم أن تری المرأة الدم فی حال العدم، و الشرط فی حال العدم مخالف للکتاب، فإذن یرد علیه ما ورد علی الأوّلین من انتفاء حالة سابقة یقینیة</w:t>
      </w:r>
      <w:r>
        <w:rPr>
          <w:rFonts w:eastAsia="IRNazanin" w:cs="IRNazanin"/>
          <w:color w:val="111111"/>
          <w:sz w:val="28"/>
          <w:szCs w:val="28"/>
          <w:rtl w:val="true"/>
          <w:lang w:bidi="fa-IR"/>
        </w:rPr>
        <w:t>.</w:t>
      </w:r>
    </w:p>
    <w:p>
      <w:pPr>
        <w:pStyle w:val="Heading6"/>
        <w:numPr>
          <w:ilvl w:val="5"/>
          <w:numId w:val="1"/>
        </w:numPr>
        <w:rPr/>
      </w:pPr>
      <w:bookmarkStart w:id="662" w:name="__RefHeading___Toc4026511_3224264995"/>
      <w:bookmarkStart w:id="663" w:name="_Toc251"/>
      <w:bookmarkEnd w:id="662"/>
      <w:r>
        <w:rPr>
          <w:rtl w:val="true"/>
        </w:rPr>
        <w:t>ذکر و إرشاد</w:t>
      </w:r>
      <w:bookmarkEnd w:id="663"/>
    </w:p>
    <w:p>
      <w:pPr>
        <w:pStyle w:val="BookText"/>
        <w:rPr/>
      </w:pPr>
      <w:r>
        <w:rPr>
          <w:rFonts w:ascii="IRNazanin" w:hAnsi="IRNazanin" w:eastAsia="IRNazanin"/>
          <w:color w:val="111111"/>
          <w:sz w:val="28"/>
          <w:sz w:val="28"/>
          <w:szCs w:val="28"/>
          <w:rtl w:val="true"/>
          <w:lang w:bidi="fa-IR"/>
        </w:rPr>
        <w:t>إذا تمهّد لک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لک ضعف ما أفاده شیخنا العلّامة الحائری قدس سره فی مجلس الدرس، لأنّه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یمکن أن یشار إلی ماهیة المرأة المشکوک کونها من قریش،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مشیراً إلی هذه المرأة الموجودة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قبل تحقّقها لم تکن من قریش، و الآن یشکّ فی أنّها وجدت قرشیة أم لا، فیستصحب عدم قرشیتها؛ و یحکم علیها بأنّها تری الحمرة إلی خمسین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بدّ فی الاستصحاب من وحدة القضیة المشکوکة مع القضیة المتیقّنة؛ و ذلک إنّما یکون فی المقام إذا حفظت الهذیة فی المرأة قبل وجودها، و معلوم أنّ المرأة قبل وجودها لا ماهیة لها و معدوم صرف، فلا یمکن الإشارة إلیها؛ لا حسّاً و لا عقلًا، فقولکم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المرأة قبل وجودها لم تکن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کاذبة، و إنّما أحدثها الخیال و اخترعها، فلم یکن لها متیقّن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إمکان الإشارة إلی الماهیة قبل وجودها، و لکن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الموضوع لتعلّق الحکم، هل هو نفس الماهیة الأعمّ من الموجودة و غیرها، أو الماهیة الموجودة؟</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الأوّل، یکون استصحاب ذلک و إثبات الحکم للأخصّ مثبتاً؛ لکون</w:t>
      </w:r>
      <w:bookmarkStart w:id="664" w:name="pg12934_164789"/>
    </w:p>
    <w:p>
      <w:pPr>
        <w:pStyle w:val="BookText"/>
        <w:rPr/>
      </w:pPr>
      <w:bookmarkEnd w:id="664"/>
      <w:r>
        <w:rPr>
          <w:rFonts w:ascii="IRNazanin" w:hAnsi="IRNazanin" w:eastAsia="IRNazanin"/>
          <w:color w:val="111111"/>
          <w:sz w:val="28"/>
          <w:sz w:val="28"/>
          <w:szCs w:val="28"/>
          <w:rtl w:val="true"/>
          <w:lang w:bidi="fa-IR"/>
        </w:rPr>
        <w:t>انطباق العامّ علی الخاصّ فی ظرف الوجود عقلی، نظیر استصحاب بقاء الحیوان فی الدار و إثبات حکم قسم منه؛ بواسطة العلم بالانحصار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فلا تکون له حالة سابقة؛ لأنّ الماهیة فی حال العدم، لا تکون شیئاً و عدماً صرفاً، فلا تقبل الاتصاف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یجری استصحاب الأعدام الأزلیة فی أمثال المقام مطلقاً؛ سواء عبّرت بالموجبة المعدولة المحمول، أو الموجبة السالبة المحمول، أو السالبة المحصّلة؛ لعدم الحالة السابقة لهذا الأصل تارة، و کونه مثبتاً اخری</w:t>
      </w:r>
      <w:r>
        <w:rPr>
          <w:rFonts w:eastAsia="IRNazanin" w:cs="IRNazanin"/>
          <w:color w:val="111111"/>
          <w:sz w:val="28"/>
          <w:szCs w:val="28"/>
          <w:rtl w:val="true"/>
          <w:lang w:bidi="fa-IR"/>
        </w:rPr>
        <w:t>.</w:t>
      </w:r>
    </w:p>
    <w:p>
      <w:pPr>
        <w:pStyle w:val="Heading6"/>
        <w:numPr>
          <w:ilvl w:val="5"/>
          <w:numId w:val="1"/>
        </w:numPr>
        <w:rPr/>
      </w:pPr>
      <w:bookmarkStart w:id="665" w:name="__RefHeading___Toc4026513_3224264995"/>
      <w:bookmarkStart w:id="666" w:name="_Toc252"/>
      <w:bookmarkEnd w:id="665"/>
      <w:r>
        <w:rPr>
          <w:rtl w:val="true"/>
        </w:rPr>
        <w:t>تفصیل المحقّق النائینی فی المقام و دفعه</w:t>
      </w:r>
      <w:bookmarkEnd w:id="666"/>
    </w:p>
    <w:p>
      <w:pPr>
        <w:pStyle w:val="BookText"/>
        <w:rPr/>
      </w:pPr>
      <w:r>
        <w:rPr>
          <w:rFonts w:ascii="IRNazanin" w:hAnsi="IRNazanin" w:eastAsia="IRNazanin"/>
          <w:color w:val="111111"/>
          <w:sz w:val="28"/>
          <w:sz w:val="28"/>
          <w:szCs w:val="28"/>
          <w:rtl w:val="true"/>
          <w:lang w:bidi="fa-IR"/>
        </w:rPr>
        <w:t>ثمّ إنّ للمحقّق النائینی قدس سره تفصیلًا فی المقام تعرّض له فی مسألة اللباس المشکوک فیه، و ذکره هنا، و به وجّه ما ذهب إلیه المشهور من الحکم بضمان الید المشتبه کونها یداً عادیة، فلا بأس بذکر ما یتعلّق بالعامّ المخصّص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المشهور حکموا بالضمان عند تردّد الید بین کونها عادیة أو غیر عادیة، فتوهّم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من باب الرجوع إلی العامّ فی الشبهة المصداقیة للمخصّص، بل قد یتخیّل أنّ ذلک من باب الرجوع إلی العامّ فی الشبهة المصداقیة للعامّ، و ذلک بلحاظ أنّه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 حتّی تؤدّی</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76"/>
      </w:r>
      <w:r>
        <w:rPr>
          <w:rFonts w:ascii="IRNazanin" w:hAnsi="IRNazanin" w:eastAsia="IRNazanin"/>
          <w:color w:val="111111"/>
          <w:sz w:val="28"/>
          <w:sz w:val="28"/>
          <w:szCs w:val="28"/>
          <w:rtl w:val="true"/>
          <w:lang w:bidi="fa-IR"/>
        </w:rPr>
        <w:t>یعمّ العادیة و المأذونة، و تکون الید المأذون فیها خارجة بالتخصیص، فتکون الید المشکوک کونها عادیة من الشبهة المصداقیة لعنوان المخصّص، و أمّا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یستفاد منه إلّا خصوص الید العادیة، و تکون غیر العادیة خارجة عنه بالتخصّص لا التخصیص، فتکون الید المشکوک کونها عادیة من الشبهة المصداقیة لعنوان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التوهّم فی غیر محلّه، و لذا حکم المشهور بالضمان فی الشبهة المصداقیة لعنوان العامّ الذی لم یقل به أحد، بل حکم المشهور بالضمان هناک لأجل أنّ هناک أصلًا موضوعیاً ینقّح حال المشکوک؛ و یدرّج المشکوک تحت عنوان العامّ، فیتمسّک بالعامّ لإثبات حکمه؛ و هو أصالة عدم إذن المالک و رضاه بالتصرّف، فیکون المقام من صغریات الموضوعات المرکّبة المحرز بعض أجزائها بالأصل، و بعضها بالوجدان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قدس سره فی بیانه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عنوان المقیّد و المخصّص، لا یخلو إمّا أن یکون من قبیل الأوصاف اللاحقة لذات الموضوع، کالعادل و الفاسق بالنسبة إلی العالم، و کالقرشیة و النبطیة بالنسبة إلی المرأة، فلا محالة یکون موضوع الحکم فی عالم الثبوت مرکّباً من العرض و محلّه؛ لأنّ العامّ بعد ورود التخصیص یخرج عن کونه تمام الموضوع للحکم، و یصیر جزء الموضوع، و یکون جزؤه الآخر نقیض الخارج بدلیل المخصّص، کالعالم غیر الفاسق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إلّا فسّاقهم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غیر الفاسق من أوصاف العالم و نعوته اللاحقة لذاته، کان موضوع الحکم مرکّباً من العرض و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من قبیل المقارنات الاتفاقیة، أو الدائمة، کما إذا قیّد وجوب إکرام العالم بوجود زید، أو مجی‌ء عمرو، أو وُفور ماء الفرات، و ما شابه ذلک، فإنّ هذه الامور لیست من أوصاف العالم، بل من مقارناتها، و لا یمکن أن تکون نعتاً و وصفاً للعالم؛ فإنّ وجود زید مثلًا لیس من أوصاف العالم و الانقسامات اللاحقة له لذاته، بل یکون من مقارناته، و علی هذا و إن کان موضوع الحکم أیضاً مرکّباً، لکنّه لا من العرض و محلّه، بل إمّا یکون مرکّباً من جوهرین، أو عرضین لمحلّین، أو من جوهر و عرض لمحلّ آخر، أو من عرضین لمحلّ واحد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ففیما إذا لم یکن الموضوع مرکّباً من العرض و محلّه، فحیث إنّ الامور المتقاربة</w:t>
      </w:r>
    </w:p>
    <w:p>
      <w:pPr>
        <w:pStyle w:val="BookText"/>
        <w:rPr/>
      </w:pPr>
      <w:r>
        <w:rPr>
          <w:rFonts w:ascii="IRNazanin" w:hAnsi="IRNazanin" w:eastAsia="IRNazanin"/>
          <w:color w:val="111111"/>
          <w:sz w:val="28"/>
          <w:sz w:val="28"/>
          <w:szCs w:val="28"/>
          <w:rtl w:val="true"/>
          <w:lang w:bidi="fa-IR"/>
        </w:rPr>
        <w:t>فی الزمان لا ربط بینها سوی الاجتماع فی عمود الزمان، فمجرّد إحراز اجتماعهما فی الزمان یکفی فی ترتّب الأثر؛ سواء کان إحرازهما بالوجدان، أو بالأصل، أو بعضها بالوجدان، و بعضها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موضوع الأثر العنوان البسیط المنتزع أو المتولّد من اجتماع الأجزاء فی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کعنوان التقدّم، و التأخّر، و التقارن، و القبلیة، و البعدیة،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یکاد یجدی إحراز بعض الأجزاء بالوجدان و بعضها بالأصل لإثبات ذلک العنوان البسیط، إلّا علی القول بالأصل المثبت؛ و ذلک کما فی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أدرک المأموم الإمام قبل رفع رأس الإمام </w:t>
      </w:r>
      <w:r>
        <w:rPr>
          <w:rFonts w:eastAsia="IRNazanin" w:cs="IRNazanin"/>
          <w:color w:val="111111"/>
          <w:sz w:val="28"/>
          <w:szCs w:val="28"/>
          <w:rtl w:val="true"/>
          <w:lang w:bidi="fa-IR"/>
        </w:rPr>
        <w:t>...»</w:t>
      </w:r>
    </w:p>
    <w:p>
      <w:pPr>
        <w:pStyle w:val="BookText"/>
        <w:rPr/>
      </w:pPr>
      <w:r>
        <w:rPr>
          <w:rStyle w:val="FootnoteAnchor"/>
          <w:rtl w:val="true"/>
        </w:rPr>
        <w:footnoteReference w:id="377"/>
      </w:r>
      <w:r>
        <w:rPr>
          <w:rFonts w:ascii="IRNazanin" w:hAnsi="IRNazanin" w:eastAsia="IRNazanin"/>
          <w:color w:val="111111"/>
          <w:sz w:val="28"/>
          <w:sz w:val="28"/>
          <w:szCs w:val="28"/>
          <w:rtl w:val="true"/>
          <w:lang w:bidi="fa-IR"/>
        </w:rPr>
        <w:t>فإنّ استصحاب عدم رفع رأس الإمام عن الرکوع إلی حال رکوع المأموم، لا یثبت عنوان القبلیّة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ذکرنا یظهر وجه حکم المشهور بالضمان عند الشکّ فی کون الید یداً عادیة؛ من جهة أنّ موضوع الضمان مرکّب من الید و الاستیلاء الذی هو فعل الغاصب، و من عدم إذن المالک و رضاه الذی هو عرض قائم بالمالک، و أصالة عدم رضا المالک تثبت کون الید یداً عادیة؛ إذ الید العادیة لیست إلّا عبارة عن ذلک، و هذا المعنی یتحقّق بضمّ الوجدان إلی الأصل</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حکم المشهور بالضمان، لیس من جهة التمسّک بالعامّ فی الشبهة المصداقیة، بل من جهة جریان الأصل الموضوعی المنقّح حال المشتبه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 علیه سائر الموضوعات المرکّبة من غیر العرض و محلّه؛ لأنّه فی الجمیع یکفی إحراز الأجزاء بالأُصول الجاریة بمفاد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التامّتین، إلّا إذا کان العنوان المتولّد موضوعاً للأثر، فإنّ الأصل یکون مثبتاً،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إذا کان الموضوع مرکّباً من العرض و محلّه، فحیث إنّ العرض بالنسبة إلی محلّه إنّما یکون نعتاً و وصفاً له، و یکون للجهة النعتیة و التوصیفیة دخل لا محالة، فلا یمکن أخذ العرض شیئاً بحیال ذاته فی مقابل المحلّ القائم به؛ لأنّ وجود العرض بنفسه و لنفسه، عین وجوده لمحلّه و بمحلّه، فلا یفید الأصل بمفاد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التامّتین إلّا علی الأصل المثبت، فلا محیص من أخذ العرض بما هو قائم بمحلّه موضوعاً للحکم، و هذا لا یکون إلّا بتوصیف المحلّ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فکلّ أصل أحرز التوصیف و التنعیت کان جاریاً، و إلّا فلا، و لا یکون هذا إلّا إذا کانت جهة التوصیف مسبوقة بالتحقّق بعد تحقّق الموصوف، و لا یکون ذلک فی الأوصاف المساوقة وجوداً و زماناً لوجود موصوفها؛ لعدم وجود الحالة السابقة، و إنّما یکون فی الأوصاف اللاحقة لموصوفها بعد وجوده </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إلی آخر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أفاده قدس سره بطوله مواقع للنظر</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رکّب الشی‌ء من العرض و محلّه، لا یکاد یمکن إحرازه بالأصل، بخلاف غیره فیجوز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من إشکال، و لعلّه من سبق قلم المقرّر رحمه الله</w:t>
      </w:r>
      <w:r>
        <w:rPr>
          <w:rStyle w:val="FootnoteAnchor"/>
          <w:rtl w:val="true"/>
        </w:rPr>
        <w:footnoteReference w:id="379"/>
      </w:r>
      <w:r>
        <w:rPr>
          <w:rFonts w:ascii="IRNazanin" w:hAnsi="IRNazanin" w:eastAsia="IRNazanin"/>
          <w:color w:val="111111"/>
          <w:sz w:val="28"/>
          <w:sz w:val="28"/>
          <w:szCs w:val="28"/>
          <w:rtl w:val="true"/>
          <w:lang w:bidi="fa-IR"/>
        </w:rPr>
        <w:t>لأنّ المهمّ و المیزان فی الجریان هو لحاظ الصفة نعتاً للذات؛ بأن تکون الذات الموصوفة موضوعاً للحکم، لا الذات و الصفة، فإن لوحظ شیئان علی نعت الاتصاف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لوحظت الذات موصوفة، لا الذات و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یکاد یجری الاستصحاب إلّا علی الأصل المثبت؛ من غیر فرق فی ذلک بین کونهما من قبیل العرض و محلّه، أو من قبیل الجوهرین، أو العرض لمحلّین، أو من الجوهر و العرض لمحلّ آخر، أو من</w:t>
      </w:r>
    </w:p>
    <w:p>
      <w:pPr>
        <w:pStyle w:val="BookText"/>
        <w:rPr/>
      </w:pPr>
      <w:r>
        <w:rPr>
          <w:rFonts w:ascii="IRNazanin" w:hAnsi="IRNazanin" w:eastAsia="IRNazanin"/>
          <w:color w:val="111111"/>
          <w:sz w:val="28"/>
          <w:sz w:val="28"/>
          <w:szCs w:val="28"/>
          <w:rtl w:val="true"/>
          <w:lang w:bidi="fa-IR"/>
        </w:rPr>
        <w:t>العرضین لمحلّ واحد، و قد أشرنا إلی وجهه آنفاً،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لم یلحظ کذلک، بل لوحظ الموضوع مرکّباً من الذات و الصفة، فلا ینبغی الإشکال فی جریان الأصل فیه، فلا ینبغی التفصیل بین العرض و محلّه، و بین غیره، بل الحقیق التفصیل بین صورة اتصاف الموضوع بصفة، و بین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لا یذهب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الإشکال غیر مهمّ و أشبه بالإشکال اللفظی منه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سبیل إلی التفصیل الذی ذکره فی العامّ المخصّص، و إنّما یتمشّی فی غیره إذا اخذ جزءان فصاعداً موضوعاً للحکم؛ و ذلک لأنّ لنطاق موضوع العامّ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قبل التخصیص سعة؛ لشموله لکلّ فرد من أفراد العلماء، و بعد التخصیص یتضیّق نطاق ذاک الموضوع لبّاً و جدّاً، فیصیر الموضوع العالم العادل، أو غیر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یبق موضوع العامّ المخصّص علی ما هو علیه قبل التخصیص، بل یصیر مضیّقاً و مقیّداً بحسب اللبّ؛ من غیر فرق فی ذلک بین کون عنوان المخصّص، من قبیل أوصاف نفس عنوان العامّ، أو من الأوصاف اللاحقة له، و علی الثانی لا فرق فیه بین کون الصفة من الأوصاف الحقیقیة کالفسق، أو من الأوصاف الانتزاعیة، کلحاظ حال فوران ماء الفرات لوجوب إکرام العالم؛ فإنّها أیضاً من الانقسامات اللاحقة لموضوع العامّ، خلافاً لهذا المحقّق قدس سره حیث جعله من مقارنات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سبیل فی العامّ المخصّص أن یقال إنّ جدّ المولی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یتعلّق بالموضوع المتصف و المتقیّد 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یتعلّق بالموضوع المرکّب من جزءین، بل فی جمیع الموارد، یکشف المخصّص عن کونه بحسب الجدّ متقیّداً أو متصفاً</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منشأ ما ذکره قدس سره هو تخیّل أنّ مقتضی التقیید، صیرورة الجوهر نعتاً</w:t>
      </w:r>
    </w:p>
    <w:p>
      <w:pPr>
        <w:pStyle w:val="BookText"/>
        <w:rPr/>
      </w:pPr>
      <w:r>
        <w:rPr>
          <w:rFonts w:ascii="IRNazanin" w:hAnsi="IRNazanin" w:eastAsia="IRNazanin"/>
          <w:color w:val="111111"/>
          <w:sz w:val="28"/>
          <w:sz w:val="28"/>
          <w:szCs w:val="28"/>
          <w:rtl w:val="true"/>
          <w:lang w:bidi="fa-IR"/>
        </w:rPr>
        <w:t xml:space="preserve">لجوهر، أو العرض نعتاً لعرض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مع أنّه لم یرد القائل بالتقیید ذلک، کما لا یخفی</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وجّه به مقال المشهور فی غیر محلّه؛ لأنّه إمّا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المستفاد من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 الید العادیة، و واضح أنّه من قبیل وصف الشی‌ء و ذاته، فتکون الید العادیة عبارة عن الاستیلاء علی الشی‌ء مع عدم إذن المالک، فلا یجری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المستفاد منه الأعمّ منها و من المأذونة، غایة الأمر ورد من الخارج أنّ الید الأمینة لا ضمان علیها، فبعد التخصیص تبقی الید غیر الأمینة موضوعاً لدلیل الضمان؛ لأنّه عبارة عن عنوان الید غیر الأمینة، و لیس مرکّباً من الید و عدم الأمانة، و قد صرّح قدس سره بعدم جریان الأصل فیما لو کان الأثر مترتّباً علی العنوان البسیط المنتزع من المتصف بالصفة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فتوی المشهور بالضمان فی الید المشکوکة، لیس لما ذکره قدس سره</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 المستفاد من دیدن قدماء الأصحاب، عدم اعتنائهم بهذه المباحث التی عنونها المتأخّرون، و عدم بنائهم حلّ المسائل و المشاکل علی أمثال هذه المطالب، کما لعلّه غیر خفی علی من له إلمام بکلماتهم، فقولهم بالضمان لا بدّ و أن یکون مستنداً إلی أمر آخر، فتدبّر</w:t>
      </w:r>
      <w:r>
        <w:rPr>
          <w:rFonts w:eastAsia="IRNazanin" w:cs="IRNazanin"/>
          <w:color w:val="111111"/>
          <w:sz w:val="28"/>
          <w:szCs w:val="28"/>
          <w:rtl w:val="true"/>
          <w:lang w:bidi="fa-IR"/>
        </w:rPr>
        <w:t>.</w:t>
      </w:r>
      <w:bookmarkStart w:id="667" w:name="pg12934_164795"/>
    </w:p>
    <w:p>
      <w:pPr>
        <w:pStyle w:val="BookText"/>
        <w:rPr/>
      </w:pPr>
      <w:bookmarkEnd w:id="667"/>
      <w:r>
        <w:rPr>
          <w:rFonts w:ascii="IRNazanin" w:hAnsi="IRNazanin" w:eastAsia="IRNazanin"/>
          <w:color w:val="111111"/>
          <w:sz w:val="28"/>
          <w:sz w:val="28"/>
          <w:szCs w:val="28"/>
          <w:rtl w:val="true"/>
          <w:lang w:bidi="fa-IR"/>
        </w:rPr>
        <w:t>التنبیه الثانی</w:t>
      </w:r>
    </w:p>
    <w:p>
      <w:pPr>
        <w:pStyle w:val="Heading5"/>
        <w:numPr>
          <w:ilvl w:val="4"/>
          <w:numId w:val="1"/>
        </w:numPr>
        <w:rPr/>
      </w:pPr>
      <w:bookmarkStart w:id="668" w:name="__RefHeading___Toc4026515_3224264995"/>
      <w:bookmarkStart w:id="669" w:name="_Toc253"/>
      <w:bookmarkEnd w:id="668"/>
      <w:r>
        <w:rPr>
          <w:rtl w:val="true"/>
        </w:rPr>
        <w:t>التنبیه الثانی فی التمسّک بعمومات النذر و أمثاله لکشف حال الفرد</w:t>
      </w:r>
      <w:bookmarkEnd w:id="669"/>
    </w:p>
    <w:p>
      <w:pPr>
        <w:pStyle w:val="BookText"/>
        <w:rPr/>
      </w:pPr>
      <w:r>
        <w:rPr>
          <w:rFonts w:ascii="IRNazanin" w:hAnsi="IRNazanin" w:eastAsia="IRNazanin"/>
          <w:color w:val="111111"/>
          <w:sz w:val="28"/>
          <w:sz w:val="28"/>
          <w:szCs w:val="28"/>
          <w:rtl w:val="true"/>
          <w:lang w:bidi="fa-IR"/>
        </w:rPr>
        <w:t>بعد ما عرفت عدم جواز التمسّک بالعامّ فی الشبهة المصداقیة یقع الکلام فی أنّه هل یجوز التمسّک بالعمومات فیما لو شکّ فی حکم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العلم بفردیّته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جهة التخصیص، بل من جهة اخری، کما إذا کان الشکّ لاحتمال فقدان شرطٍ، أو وجود مانع؟ فلو شکّ فی صحّة الوضوء أو الغسل بمائع مضاف، و لم یکن ناشئاً من الشکّ فی التخصیص، بل کان ناشئاً من احتمال اشتراط صحّة الوضوء أو الغسل بالماء المطلق؛ لو فرض إجمال فی أدلّة تشریع الوضوء أو الغسل من هذه الجهة، فهل یصحّ التمسّک بعموم أدلّة وجوب الوفاء بالنذر لتصحیح هذا الوضوء أو الغسل إذا تعلّق النذر به، فیحکم ببراءة الذمّة من النذر أم لا؟ وجهان، بل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یظهر من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تمسّک بعموم الوفاء بالنذر لتصحیح الوضوء أو الغسل بالماء المشکوک کونه مضافاً، أو بالمضاف المشکوک جواز التوضّؤ به، و استکشف من ذلک حال الفرد فیما إذا وقع الماء الکذائی، متعلّقاً للنذر، بتقریب أنّه یجب الإتیان بهذا الوضوء أو الغسل امتثالًا لعموم أدلّة لزوم الوفاء بالنذر، و کلّ ما یجب الوفاء به لا محالة یکون صحیحاً؛ للقطع بأنّه لو لا صحّته لما وجب الوفاء به، فبعد کشف حال الفرد فی الموضوعی أو الحکمی، یجوز التوضّؤ بالماءین الکذائیین لمن لم ینذر</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المحقّق الخراسانی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 یؤیّد ذلک بما ورد من صحّة الإحرام و الصیام</w:t>
      </w:r>
    </w:p>
    <w:p>
      <w:pPr>
        <w:pStyle w:val="BookText"/>
        <w:rPr/>
      </w:pPr>
      <w:r>
        <w:rPr>
          <w:rFonts w:ascii="IRNazanin" w:hAnsi="IRNazanin" w:eastAsia="IRNazanin"/>
          <w:color w:val="111111"/>
          <w:sz w:val="28"/>
          <w:sz w:val="28"/>
          <w:szCs w:val="28"/>
          <w:rtl w:val="true"/>
          <w:lang w:bidi="fa-IR"/>
        </w:rPr>
        <w:t>قبل المیقات و فی السفر إذا تعلّق بهما النذر کذلک</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أضاف شیخنا العلّامة الحائری قدس سره مثالًا آخر؛ و هو صحّة النافلة فی وقت الفریضة إذا تعلّق بها النذر؛ بناءً علی المنع عنها</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من باب التمسّک بالعامّ فی الشبهة المصداقیة؛ لأنّه بعد تخصیص عموم الوفاء بالنذر بما دلّ علی أنّه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نذر إلّا فی طاعة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یکون متعلّق الإرادة الجدّیة مقیّداً أو مخصصاً بعنوان طاعة اللَّه، أو بما لم یکن فی معصیة اللَّه، فلا بدّ من إحراز موضوع الراجح، فالتمسّک بعموم وجوب الوفاء فی الماء المشکوک کونه مضافاً، تمسّک بالعامّ فی الشبهة المصداقیة، و قد عرفت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الأمثلة المذکورة خارجة عمّا نحن بصدده، فلا تکاد تؤیّد الدعوی؛ لأنّ المدّعی صحّة التمسّک بالعامّ المخصّص لکشف حال الفرد المشکوک کونه مصداقاً للمخصّص، و أین هذا من صیرورة الشی‌ء واجباً بالنذر بدلیل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الإحرام قبل المیقات حرام، و بالنذر یصیر واجباً بدلالة الأخبار، و کذا الصوم فی السفر، فإنّه حرام، و بالنذر یصیر واجباً بدلالة الدلیل، و کذا لا یجوز التطوّع فی وقت الفریضة، و بالنذر یصیر واجباً؛ بناءً علی المنع عنها</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شی‌ء بالنذر لدلالة دلیل خاصّ علیه، غیر التمسّک بالعامّ فی الشبهة المصداقیة لکشف حال الفرد، و الکلام فی الثانی دون الأوّل، فالتأیید فی غیر محلّه، فتدبّر</w:t>
      </w:r>
      <w:r>
        <w:rPr>
          <w:rFonts w:eastAsia="IRNazanin" w:cs="IRNazanin"/>
          <w:color w:val="111111"/>
          <w:sz w:val="28"/>
          <w:szCs w:val="28"/>
          <w:rtl w:val="true"/>
          <w:lang w:bidi="fa-IR"/>
        </w:rPr>
        <w:t>.</w:t>
      </w:r>
      <w:bookmarkStart w:id="670" w:name="pg12934_164797"/>
    </w:p>
    <w:p>
      <w:pPr>
        <w:pStyle w:val="BookText"/>
        <w:rPr/>
      </w:pPr>
      <w:bookmarkEnd w:id="670"/>
      <w:r>
        <w:rPr>
          <w:rFonts w:ascii="IRNazanin" w:hAnsi="IRNazanin" w:eastAsia="IRNazanin"/>
          <w:color w:val="111111"/>
          <w:sz w:val="28"/>
          <w:sz w:val="28"/>
          <w:szCs w:val="28"/>
          <w:rtl w:val="true"/>
          <w:lang w:bidi="fa-IR"/>
        </w:rPr>
        <w:t>التنبیه الثالث</w:t>
      </w:r>
    </w:p>
    <w:p>
      <w:pPr>
        <w:pStyle w:val="Heading5"/>
        <w:numPr>
          <w:ilvl w:val="4"/>
          <w:numId w:val="1"/>
        </w:numPr>
        <w:rPr/>
      </w:pPr>
      <w:bookmarkStart w:id="671" w:name="__RefHeading___Toc4026517_3224264995"/>
      <w:bookmarkStart w:id="672" w:name="_Toc254"/>
      <w:bookmarkEnd w:id="671"/>
      <w:r>
        <w:rPr>
          <w:rtl w:val="true"/>
        </w:rPr>
        <w:t>التنبیه الثالث فی التمسّک بالعامّ عند الشکّ بین التخصیص و التخصّص</w:t>
      </w:r>
      <w:bookmarkEnd w:id="672"/>
    </w:p>
    <w:p>
      <w:pPr>
        <w:pStyle w:val="Heading6"/>
        <w:numPr>
          <w:ilvl w:val="5"/>
          <w:numId w:val="1"/>
        </w:numPr>
        <w:rPr/>
      </w:pPr>
      <w:bookmarkStart w:id="673" w:name="__RefHeading___Toc4026519_3224264995"/>
      <w:bookmarkStart w:id="674" w:name="_Toc255"/>
      <w:bookmarkEnd w:id="673"/>
      <w:r>
        <w:rPr>
          <w:rtl w:val="true"/>
        </w:rPr>
        <w:t>اشارة</w:t>
      </w:r>
      <w:bookmarkEnd w:id="674"/>
    </w:p>
    <w:p>
      <w:pPr>
        <w:pStyle w:val="BookText"/>
        <w:rPr/>
      </w:pPr>
      <w:r>
        <w:rPr>
          <w:rFonts w:ascii="IRNazanin" w:hAnsi="IRNazanin" w:eastAsia="IRNazanin"/>
          <w:color w:val="111111"/>
          <w:sz w:val="28"/>
          <w:sz w:val="28"/>
          <w:szCs w:val="28"/>
          <w:rtl w:val="true"/>
          <w:lang w:bidi="fa-IR"/>
        </w:rPr>
        <w:t>إذا علم عدم محکومیة فرد بحکم العامّ و خروجه عن حکمه، و لکن شکّ فی کونه فرداً له حتّی یکون خروجه تخصیصاً للعامّ، أو لیس بفرد له حتّی یکون خروجه تخصّصاً، مثلًا إذا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یجب إکرام زید، و لکن یشکّ فی أنّ زیداً مع کونه عالماً لا یجب إکرامه؛ حتّی یکون تخصیصاً لذلک العامّ، أو أنّه لیس بعالم حتّی یکون خروجه بعنوان التخصّص، فیحکم علیه بسائر ما لغیر العالم من الأحکام، فهل یجوز التمسّک بعموم العامّ لکشف حال الفرد؛ و أنّ عدم إکرام زید لأجل کونه غیر عالم، أو لا؟</w:t>
      </w:r>
    </w:p>
    <w:p>
      <w:pPr>
        <w:pStyle w:val="BookText"/>
        <w:rPr/>
      </w:pPr>
      <w:r>
        <w:rPr>
          <w:rFonts w:ascii="IRNazanin" w:hAnsi="IRNazanin" w:eastAsia="IRNazanin"/>
          <w:color w:val="111111"/>
          <w:sz w:val="28"/>
          <w:sz w:val="28"/>
          <w:szCs w:val="28"/>
          <w:rtl w:val="true"/>
          <w:lang w:bidi="fa-IR"/>
        </w:rPr>
        <w:t>وجهان، بل قولان</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بعضهم إلی جواز التمسّک بعموم العامّ لکشف حال الفرد؛ و أنّه لیس بعالم فی المثال، و غایة ما یمکن أن یقال فی تقریبه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قرّر فی محلّه أنّ لازم صدق کلّ قضیة خبریة، صدق عکس نقیضها، مثلًا لازم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نار حارّة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ما لیس بحارّ لیس بنار، فیقال بذلک أیضاً فی القضیة الإنشائیة، فلازم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من لیس بعالم لا یجب إکرامه، و معلوم أنّ أصالة العموم من الاصول اللفظیة و الأدلّة الاجتهادیة التی ثبت حجّیة لوازمها و ملزوماتها، فإذن لازم إنشاء حکم وجوب الإکرام کلّیة علی کلّ عالم، هو حجّیة لوازمه، و منها حجّیة عکس نقیضه، فیصحّ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من لا یجب إکرامه لیس بعالم، فزید الذی لا یجب إکرامه لیس بعالم</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یناقش فی ذلک؛ و یذکر وجه لعدم جواز التمسّک بالعامّ لکشف حال الفرد، و لعلّه یشیر إلیه المحقّق الخراسانی قدس سره</w:t>
      </w:r>
      <w:r>
        <w:rPr>
          <w:rStyle w:val="FootnoteAnchor"/>
          <w:rtl w:val="true"/>
        </w:rPr>
        <w:footnoteReference w:id="386"/>
      </w:r>
      <w:r>
        <w:rPr>
          <w:rFonts w:ascii="IRNazanin" w:hAnsi="IRNazanin" w:eastAsia="IRNazanin"/>
          <w:color w:val="111111"/>
          <w:sz w:val="28"/>
          <w:sz w:val="28"/>
          <w:szCs w:val="28"/>
          <w:rtl w:val="true"/>
          <w:lang w:bidi="fa-IR"/>
        </w:rPr>
        <w:t>بل اختاره شیخنا العلّامة الحائری قدس سره سابقاً، و لکنّه عدل عنه أخیراً</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مختارنا فی المقام</w:t>
      </w:r>
    </w:p>
    <w:p>
      <w:pPr>
        <w:pStyle w:val="BookText"/>
        <w:rPr/>
      </w:pPr>
      <w:r>
        <w:rPr>
          <w:rFonts w:ascii="IRNazanin" w:hAnsi="IRNazanin" w:eastAsia="IRNazanin"/>
          <w:color w:val="111111"/>
          <w:sz w:val="28"/>
          <w:sz w:val="28"/>
          <w:szCs w:val="28"/>
          <w:rtl w:val="true"/>
          <w:lang w:bidi="fa-IR"/>
        </w:rPr>
        <w:t>و کیفما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المختار عندنا عدم الجواز؛ لأنّ التمسّک بالعموم أو الإطلاق، لیس من الامور التی یقطع بها مطلقاً، بل لأجل بناء العقلاء فی محاوراتهم علیه، فلا بدّ من ملاحظة حالهم فی التمسّک بها، و هو دلیل 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إنّ أصالتی العموم و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کأصالة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الاصول المرادیة الجاریة لکشف مراد المتکلّم، و المتیقّن من بناء العقلاء فی جریان الاصول المرادیة و حجّیتها، هو ما إذا کان المراد مشکوکاً فیه، و أمّا إذا کان المراد معلوماً فلا یکون لهم بناء فی ذلک، و لا أقلّ من الشکّ فی ذلک، و لذا یتمسّک بأصالة الحقیقة عند الشکّ فی استعمال اللفظ فی معناه الحقیقی، و أمّا إذا کان المراد معلوماً، و لکن شکّ فی کونه معناه الحقیقی أو المجازی، فلا یتمسّک بها</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قد یجمع بین قول السیّد الأجلّ المرتضی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الأصل فی الاستعمال الحقیقة</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و بین قول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الاستعمال أعمّ من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بأنّ نظر السیّد قدس سره فیما إذا کان المراد مشکوکاً فیه، و نظر المشهور فیما إذا کان المراد معلوماً، فتدبّر</w:t>
      </w:r>
      <w:r>
        <w:rPr>
          <w:rFonts w:eastAsia="IRNazanin" w:cs="IRNazanin"/>
          <w:color w:val="111111"/>
          <w:sz w:val="28"/>
          <w:szCs w:val="28"/>
          <w:rtl w:val="true"/>
          <w:lang w:bidi="fa-IR"/>
        </w:rPr>
        <w:t>.</w:t>
      </w:r>
      <w:bookmarkStart w:id="675" w:name="pg12934_164799"/>
    </w:p>
    <w:p>
      <w:pPr>
        <w:pStyle w:val="BookText"/>
        <w:rPr/>
      </w:pPr>
      <w:bookmarkEnd w:id="675"/>
      <w:r>
        <w:rPr>
          <w:rFonts w:ascii="IRNazanin" w:hAnsi="IRNazanin" w:eastAsia="IRNazanin"/>
          <w:color w:val="111111"/>
          <w:sz w:val="28"/>
          <w:sz w:val="28"/>
          <w:szCs w:val="28"/>
          <w:rtl w:val="true"/>
          <w:lang w:bidi="fa-IR"/>
        </w:rPr>
        <w:t>و فیما نحن فیه أیضاً کذلک؛ لأنّ المعلوم من بنائهم فی التمسّک بأصالة العموم، هو فیما إذا لم یکن المراد معلوماً، و أمّا فیما إذا کان المراد معلوماً فلا، و معلوم أنّ المراد فی المقام معلوم؛ للعلم بأنّ زیداً لا یجب إکرامه، و إنّما الشکّ فی أنّ خروجه عن العامّ بنحو التخصیص، أو التخصّص، فتدبّر</w:t>
      </w:r>
      <w:r>
        <w:rPr>
          <w:rFonts w:eastAsia="IRNazanin" w:cs="IRNazanin"/>
          <w:color w:val="111111"/>
          <w:sz w:val="28"/>
          <w:szCs w:val="28"/>
          <w:rtl w:val="true"/>
          <w:lang w:bidi="fa-IR"/>
        </w:rPr>
        <w:t>.</w:t>
      </w:r>
    </w:p>
    <w:p>
      <w:pPr>
        <w:pStyle w:val="Heading6"/>
        <w:numPr>
          <w:ilvl w:val="5"/>
          <w:numId w:val="1"/>
        </w:numPr>
        <w:rPr/>
      </w:pPr>
      <w:bookmarkStart w:id="676" w:name="__RefHeading___Toc4026521_3224264995"/>
      <w:bookmarkStart w:id="677" w:name="_Toc256"/>
      <w:bookmarkEnd w:id="676"/>
      <w:r>
        <w:rPr>
          <w:rtl w:val="true"/>
        </w:rPr>
        <w:t>مختار المحقّق العراقی قدس سره و نقده</w:t>
      </w:r>
      <w:bookmarkEnd w:id="677"/>
    </w:p>
    <w:p>
      <w:pPr>
        <w:pStyle w:val="BookText"/>
        <w:rPr/>
      </w:pPr>
      <w:r>
        <w:rPr>
          <w:rFonts w:ascii="IRNazanin" w:hAnsi="IRNazanin" w:eastAsia="IRNazanin"/>
          <w:color w:val="111111"/>
          <w:sz w:val="28"/>
          <w:sz w:val="28"/>
          <w:szCs w:val="28"/>
          <w:rtl w:val="true"/>
          <w:lang w:bidi="fa-IR"/>
        </w:rPr>
        <w:t>و یظهر من المحقّق العراقی قدس سره وجه آخر لعدم جواز التمسّک بأصالة العموم فی المقام، و جعله مراد استاذه المحقّق الخراسانی قدس سره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أصالة العموم و أصالة الصحّة فی عمل الغیر و إن کانتا أمارتین علی الواقع، و لکن لیس کلّ أمارة تکون مثبتاتها و لوازمها حجّة، بل کلّما کان المولی بصدد إفادة ذلک اللازم و کان ناظراً إلیه یکون حجّة، و إلّا فلا، و لم یکن نظر المولی فیما نحن فیه إلّا فی بیان الکبری و إثباتها، و أمّا تعیین الصغری و تعیین مصادیقها نفیاً و إثباتاً، فلا یکون منظوراً فیهما، و لذلک قلنا بعدم جواز التمسّک بالعامّ فی الشبهة المصداقیة، و مبنی کلتا المسألتین واحد؛ و إن کان بینهما فرق من جهة أنّ المقصود من أصالة العموم هناک، إدخال المشکوک فیه فی العامّ، و هنا إخراج المشکوک فیه عن العامّ مصداقاً بعد الجزم بخروجه حکماً، فکون عکس النقیض لازماً للکبری الکلّیة و إن کان فی غایة المتانة، إلّا أنّ المهمّ فی أصالتی العموم و الإطلاق و غیرهما من القضایا التعبّدیة، ملاحظة مقدار التعبّد و البناء، و لم یثبت لنا بناء من العرف و العقلاء علی إثبات تلک الامور، فلا مجال للتشبّث بقاعدة منطقیة مفادها حجّیة عکس نقیض القضیة الموجبة الکلّیة عقلًا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 فی المقام، کی لا تغشّک القواعد المنطقیة العقلیة</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قد أشرنا إلی أنّ مراد المحقّق الخراسانی قدس سره هو الذی ذکرناه، لا ما ذکره هذا المحقّق قدس سره و الأمر سهل</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کیفما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کون عکس النقیض لازم الکبری الکلّیة، غیر مربوطة بکشف حال الفرد و عدمه؛ لأنّه إن ثبت وجوب إکرام کلّ فرد من العلماء و تطابق الجدّ مع الاستعمال، فلا یعقل الشکّ بعد ذلک فی فرد عالم أنّه غیر واجب الإکرام، فمن لم یجب إکرامه لا یکون عالماً، فبعد تسلیم جریان أصالة العموم و تطابق الجدّ مع الاستعمال فی المقام و أنّها من الأمارات بالنسبة إلی لوازمها، فلا مجال لإنکار حجّیتها بالنسبة إلی عکس نقیضها اللازم لها غیر المنفکّ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بأصالة العموم یلازم القول بعکس النقیض، و لکن لا یرتبط ذلک بتشخیص المولی حال الفرد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الذی یسهّل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جریان أصالة العموم فی المقام؛ لما أشرنا من أنّها من الاصول المرادیة، و مجراها الشکّ فی المراد، لا مثل المقام الذی یکون المراد معلوماً و الشکّ من جهة اخری</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وجه عدم جواز التمسّک بالعامّ فی الشبهة المصداقیة، فقد أشرنا إلی أنّه لیس لأجل عدم لحاظ المولی ذلک، بل لأجل محالیة تعرّض الکبری الکلّیة لتعیین</w:t>
      </w:r>
      <w:bookmarkStart w:id="678" w:name="pg12934_164801"/>
    </w:p>
    <w:p>
      <w:pPr>
        <w:pStyle w:val="BookText"/>
        <w:rPr/>
      </w:pPr>
      <w:bookmarkEnd w:id="678"/>
      <w:r>
        <w:rPr>
          <w:rFonts w:ascii="IRNazanin" w:hAnsi="IRNazanin" w:eastAsia="IRNazanin"/>
          <w:color w:val="111111"/>
          <w:sz w:val="28"/>
          <w:sz w:val="28"/>
          <w:szCs w:val="28"/>
          <w:rtl w:val="true"/>
          <w:lang w:bidi="fa-IR"/>
        </w:rPr>
        <w:t>الصغری و تشخیص الفرد؛ سواء کان ممّا لاحظه المولی،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لوازم الأمارة غیر مرهونة بلحاظ المتکلّم و نظره، و لذا تری فی الإخبارات، أنّه لو أخبر بشی‌ء یحتجّ علیه بلازمه؛ و إن کان المتکلّم غافلًا عنه</w:t>
      </w:r>
      <w:r>
        <w:rPr>
          <w:rStyle w:val="FootnoteAnchor"/>
          <w:rtl w:val="true"/>
        </w:rPr>
        <w:footnoteReference w:id="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التنبیه الرابع</w:t>
      </w:r>
    </w:p>
    <w:p>
      <w:pPr>
        <w:pStyle w:val="Heading5"/>
        <w:numPr>
          <w:ilvl w:val="4"/>
          <w:numId w:val="1"/>
        </w:numPr>
        <w:rPr/>
      </w:pPr>
      <w:bookmarkStart w:id="679" w:name="__RefHeading___Toc4026523_3224264995"/>
      <w:bookmarkStart w:id="680" w:name="_Toc257"/>
      <w:bookmarkEnd w:id="679"/>
      <w:r>
        <w:rPr>
          <w:rtl w:val="true"/>
        </w:rPr>
        <w:t>التنبیه الرابع فی التمسّک بالعامّ إذا کان المخصّص مجملًا</w:t>
      </w:r>
      <w:bookmarkEnd w:id="680"/>
    </w:p>
    <w:p>
      <w:pPr>
        <w:pStyle w:val="BookText"/>
        <w:rPr/>
      </w:pPr>
      <w:r>
        <w:rPr>
          <w:rFonts w:ascii="IRNazanin" w:hAnsi="IRNazanin" w:eastAsia="IRNazanin"/>
          <w:color w:val="111111"/>
          <w:sz w:val="28"/>
          <w:sz w:val="28"/>
          <w:szCs w:val="28"/>
          <w:rtl w:val="true"/>
          <w:lang w:bidi="fa-IR"/>
        </w:rPr>
        <w:t>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ثمّ ورد فی دلیل منفصل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تردّد زید بین کونه زید بن عمرو العالم، و بین کونه زید بن خالد الجاهل، فهل یجوز التمسّک بأصالة العموم لنفی کون زید جاهلًا، أم لا؟</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فرق بین هذا التنبیه و التنبیه السابق، فإنّ المراد هناک معلوم، و الشکّ فی کیفیة الإرادة، و أمّا هنا فالمراد مشکوک فیه؛ من جهة أنّه لا یعلم أنّ الإرادة الاستعمالیة فی زید العالم مطابقة للجدّیة أم لا، فإذن بعد تمامیة حجّیة العامّ و انعقاد ظهوره، لو ورد دلیل مجمل مردّد بین کونه زیداً العالم، أو زیداً الجاهل، فلا یکون حجّة بالنسبة إلی زید العالم، فلا یخصّص العامّ به، بل یصحّ التمسّک بالعامّ فی زید العالم، فیجب إکرام زید العالم، و لازمه حرمة إکرام زید الجاهل، فانحلّ العلم الإجمالی</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الإجمالی و الحجّة الإجمالیة و إن کانت فی نفسها حجّة؛ بحیث لو لم یکن العامّ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متابعتها، و مقتضاه فی المثال عدم جواز إکرام واحد من زید العالم، و زید الجاهل، و لکن بعد ملاحظة العامّ و تحکیم العامّ، تنحلّ الحجّة بالنسبة إلی زید العالم حکماً</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bookmarkStart w:id="681" w:name="pg12934_164803"/>
    </w:p>
    <w:p>
      <w:pPr>
        <w:pStyle w:val="BookText"/>
        <w:rPr/>
      </w:pPr>
      <w:bookmarkEnd w:id="681"/>
      <w:r>
        <w:rPr>
          <w:rFonts w:ascii="IRNazanin" w:hAnsi="IRNazanin" w:eastAsia="IRNazanin"/>
          <w:color w:val="111111"/>
          <w:sz w:val="28"/>
          <w:sz w:val="28"/>
          <w:szCs w:val="28"/>
          <w:rtl w:val="true"/>
          <w:lang w:bidi="fa-IR"/>
        </w:rPr>
        <w:t>الفحص عن المخصّص</w:t>
      </w:r>
    </w:p>
    <w:p>
      <w:pPr>
        <w:pStyle w:val="Heading3"/>
        <w:numPr>
          <w:ilvl w:val="2"/>
          <w:numId w:val="1"/>
        </w:numPr>
        <w:rPr/>
      </w:pPr>
      <w:bookmarkStart w:id="682" w:name="__RefHeading___Toc4026525_3224264995"/>
      <w:bookmarkStart w:id="683" w:name="_Toc258"/>
      <w:bookmarkEnd w:id="682"/>
      <w:r>
        <w:rPr>
          <w:rtl w:val="true"/>
        </w:rPr>
        <w:t>المبحث الثالث حول جواز التمسّک بالعامّ أو المطلق أو الظاهر أو</w:t>
      </w:r>
      <w:bookmarkEnd w:id="683"/>
    </w:p>
    <w:p>
      <w:pPr>
        <w:pStyle w:val="Heading4"/>
        <w:numPr>
          <w:ilvl w:val="3"/>
          <w:numId w:val="1"/>
        </w:numPr>
        <w:rPr/>
      </w:pPr>
      <w:bookmarkStart w:id="684" w:name="__RefHeading___Toc4026527_3224264995"/>
      <w:bookmarkStart w:id="685" w:name="_Toc259"/>
      <w:bookmarkEnd w:id="684"/>
      <w:r>
        <w:rPr>
          <w:rtl w:val="true"/>
        </w:rPr>
        <w:t>اشارة</w:t>
      </w:r>
      <w:bookmarkEnd w:id="685"/>
    </w:p>
    <w:p>
      <w:pPr>
        <w:pStyle w:val="BookText"/>
        <w:rPr/>
      </w:pPr>
      <w:r>
        <w:rPr>
          <w:rFonts w:ascii="IRNazanin" w:hAnsi="IRNazanin" w:eastAsia="IRNazanin"/>
          <w:color w:val="111111"/>
          <w:sz w:val="28"/>
          <w:sz w:val="28"/>
          <w:szCs w:val="28"/>
          <w:rtl w:val="true"/>
          <w:lang w:bidi="fa-IR"/>
        </w:rPr>
        <w:t>إجراء الأصل قبل الفحص عن المخصّص أو المقیّد أو المعارض أو الأدلّة</w:t>
      </w:r>
    </w:p>
    <w:p>
      <w:pPr>
        <w:pStyle w:val="BookText"/>
        <w:rPr/>
      </w:pPr>
      <w:r>
        <w:rPr>
          <w:rFonts w:ascii="IRNazanin" w:hAnsi="IRNazanin" w:eastAsia="IRNazanin"/>
          <w:color w:val="111111"/>
          <w:sz w:val="28"/>
          <w:sz w:val="28"/>
          <w:szCs w:val="28"/>
          <w:rtl w:val="true"/>
          <w:lang w:bidi="fa-IR"/>
        </w:rPr>
        <w:t>اختلفوا فی جواز العمل بالعامّ قبل الفحص عن المخصّص؛ و إن حکی نفی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یذکر بعنوان المقدّمة و تحریر محطّ البحث، امور لا بأس بالإشارة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المحقّق الخراسانی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محطّ البحث فی حجّیة أصالة العموم مطلقاً أو بعد الفحص عن المخصّص و الیأس عن الظفر به؛ فیما إذا کان اعتبار أصالة العموم من باب الظنّ النوعی، لا الشخصی</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کذلک؛ ضرورة أنّ الشخصی منه تابع لحصوله، و لا دخل للفحص و عدمه فیه، فکلّ مورد حصل فیه الظنّ الشخصی یکون حجّة؛ سواء کان قبل الفحص أم بعده، و أمّا النوعی منه فلا، کما لا یخفی</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قدس سره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محطّ البحث فیما إذا کان اعتبار أصالة العموم و الظواهر؛ للمشافهین و غیرهم</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أیضاً متین؛ لأنّه لو کانت حجّیتها مختصّة بالمشافهین، لما کان الفحص نافعاً لغیر المشافهین و إن حصل الظنّ الشخصی بعد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اعتبر عدم وجود العلم الإجمالی بالتخصیص فی البین؛ ضرورة أنّه لو علم بورود مخصّصات فی البین، لما کان وجه لإنکار لزوم الفحص قبل الانحلال</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أیضاً متین، کما سیمرّ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الظاهر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 استدلالهم للزوم الفحص بالعلم الإجمالی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أعمّیة البحث بالنسبة إلی فرضی العلم الإجمالی و عدمه</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محطّ البحث فی لزوم الفحص عن المخصّص إنّما هو عن المخصّص المنفصل، و أمّا عن المتّصل فخارج عن محطّ البحث، و لا یلزم الفحص عنه بلا خلاف؛ لأنّ احتمال وجود المخصّص المتّصل و عدم وصوله إلینا، إمّا لاحتمال إسقاط الراوی ذلک عمداً، و هو منافٍ لوثاقته و أمانته، أو لسقوطه عنه خطأً أو نسیاناً، و هو خلاف الأصل العقلائی</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محطّ البحث فی المخصّصات المنفصلة دون المتصلة؛ لأنّ احتمال عدم وصول القید المتصل، إمّا لاسقاط الراوی عمداً، أو خطأً، أو نسیاناً، و کلّ منها غیر معتنی به عند العقلاء؛ لأنّ الأوّل مخالف لفرض وثاقته و أمانته، و الأخیران مخالفان للأصل العقلائی</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bookmarkStart w:id="686" w:name="pg12934_164805"/>
    </w:p>
    <w:p>
      <w:pPr>
        <w:pStyle w:val="BookText"/>
        <w:rPr/>
      </w:pPr>
      <w:bookmarkEnd w:id="686"/>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یظهر منه و صدّقه علیه المحقّق النائینی قدس سره و هو أنّه فرق بین الفحص المبحوث عنه هنا، و بین الفحص المبحوث عنه فی الاصول العملیة، فإنّه فی المقام عمّا یزاحم الحجّیة، بخلافه هناک، فإنّه من متمّمات الحجّة؛ ضرورة أنّ حکم العقل بالبراءة العقلیة مثلًا، تعلّق علی موضوع عدم البیان من الشارع علی النحو المتعارف، و قبل الفحص عن البیان فی الکتب و الجوامع التی بأیدینا، لا یتحقّق موضوع قاعدة القبح بلا بیان، فلا بدّ فیه من الفحص حتّی یتحقّق موضوع القاعدة</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سیظهر لک عند ذکر لزوم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الفحص فی کلا المقامین من متمّمات الحجّة، لا عن مزاحماتها، فارتقب حتّی 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لزوم الفحص لا یختصّ بجواز العمل بالعامّ، بل یجری فی المطلق أیضاً؛ فإنّه لا یجوز العمل به قبل الفحص عن المقیّد، بل و فی الظاهر قبل الفحص عن معارضه، و فی الاصول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غیر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الفحص عن الأدلّة الاجتهادیة؛ لأنّ ملاک الفحص فی الجمیع واحد، کما سیظهر لک إن شاء اللَّه</w:t>
      </w:r>
      <w:r>
        <w:rPr>
          <w:rFonts w:eastAsia="IRNazanin" w:cs="IRNazanin"/>
          <w:color w:val="111111"/>
          <w:sz w:val="28"/>
          <w:szCs w:val="28"/>
          <w:rtl w:val="true"/>
          <w:lang w:bidi="fa-IR"/>
        </w:rPr>
        <w:t>.</w:t>
      </w:r>
    </w:p>
    <w:p>
      <w:pPr>
        <w:pStyle w:val="Heading4"/>
        <w:numPr>
          <w:ilvl w:val="3"/>
          <w:numId w:val="1"/>
        </w:numPr>
        <w:rPr/>
      </w:pPr>
      <w:bookmarkStart w:id="687" w:name="__RefHeading___Toc4026529_3224264995"/>
      <w:bookmarkStart w:id="688" w:name="_Toc260"/>
      <w:bookmarkEnd w:id="687"/>
      <w:r>
        <w:rPr>
          <w:rtl w:val="true"/>
        </w:rPr>
        <w:t>الاستدلال علی لزوم الفحص بمعرضیة العامّ للتخصیص</w:t>
      </w:r>
      <w:bookmarkEnd w:id="688"/>
    </w:p>
    <w:p>
      <w:pPr>
        <w:pStyle w:val="BookText"/>
        <w:rPr/>
      </w:pPr>
      <w:r>
        <w:rPr>
          <w:rFonts w:ascii="IRNazanin" w:hAnsi="IRNazanin" w:eastAsia="IRNazanin"/>
          <w:color w:val="111111"/>
          <w:sz w:val="28"/>
          <w:sz w:val="28"/>
          <w:szCs w:val="28"/>
          <w:rtl w:val="true"/>
          <w:lang w:bidi="fa-IR"/>
        </w:rPr>
        <w:t>إذا تمهّدت لک هذه الامور، فالحقّ عدم جواز التمسّک قبل الفحص، و وجهه ما أشار إلیه المحقّق الخراسانی قدس سره من أنّ معرضیة العامّ للتخصیص توجب سقوط احتجاجات العقلاء، و لا أقلّ من الشکّ فی ذلک</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ما أفاده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الاحتجاج بأصالتی العموم و الإطلاق و غیرهما من الاصول و القواعد، إنّما هو بعد طیّ مراحل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إحراز کون المتکلّم فی مقام التفهیم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ظهور لکلامه عرفاً و 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إحراز استعماله فی معناه الحقیقی أو الظاهر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تمامیة هذه الامور، لا بدّ من إثبات أنّ إرادته الجدّیة مطابقة لإرادته الاستعمالیة، و هو العمدة فی الاحتجاج، و لولاه لما صحّ الاحتجاج أصلًا و لو تمّت سائر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یصحّ الاحتجاج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احرز أنّ المتکلّم لم یتکلّم لقلقة للسانه، بل لغرض التفهیم، و الأصل العقلائی علی إتیانه کذلک، و بعد ثبوت ظهور للکلام و استعماله فی معناه الحقیقی لا الظاهری، لا بدّ و أن یحرز أنّ إرادته الجدّیة مطابقة لإرادته الاستعمالیة، و إلّا فلو احتمل عدم المطابقة، لما صحّ الاحتجاج و إن کان ظهور الدلالة الاستعمالیة تامّاً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إحراز التطابق لا یکون فی جمیع الموارد علی نَسَقٍ واحد، بل یختلف باختلاف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المتکلّم من الموالی العرفیین مع عبیدهم، أو من متعارف الناس مع مصاحبیهم، فحیث إنّه لا یکون بناؤهم فی العمومات و المطلقات علی التعویل علی المخصّصات و المقیّدات المنفصلة، و لو أرادوا التخصیص أو التقیید لوصلوه بالکلام، فیصحّ إحراز التطابق بعد تمامیة کلام المتکلّم قبل الفحص، فیصحّ العمل بالعمومات و المطلقات الکذائیة قبل الفحص عن مؤخّر و مقدّم</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المتکلّم ممّن یکون بناؤه علی التعویل فی العمومات و المطلقات علی ذکر المخصّصات و المقیّدات المنفصلة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کمحیط وضع القوانین؛ عرفیة کانت، أم شرعیة، حیث جرت العادة فی محیط التقنین علی التفکیک بین العامّ و مخصّصه،</w:t>
      </w:r>
    </w:p>
    <w:p>
      <w:pPr>
        <w:pStyle w:val="BookText"/>
        <w:rPr/>
      </w:pPr>
      <w:r>
        <w:rPr>
          <w:rFonts w:ascii="IRNazanin" w:hAnsi="IRNazanin" w:eastAsia="IRNazanin"/>
          <w:color w:val="111111"/>
          <w:sz w:val="28"/>
          <w:sz w:val="28"/>
          <w:szCs w:val="28"/>
          <w:rtl w:val="true"/>
          <w:lang w:bidi="fa-IR"/>
        </w:rPr>
        <w:t>و المطلق و مقیّده، فربما یذکر العامّ مثلًا فی فصل، و تذکر مخصّصاته تدریجاً فی فصول اخر بعنوان التبصرة، أو المادّة الواحدة، و نحوهما، أو فی کتاب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یکاد یحرز التطابق إلّا بعد الفحص عن مظانّ المخصّصات و المقیّدات؛ لمعرضیة العمومات و المطلقات للتقیید و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ینکر التعویل فی وضع القوانین المتعارفة عند الامم الراقیة و المتمدّنة، علی المخصّصات و المقیّدات المنفصلة، و کذا العمومات و المطلقات الشرعیة، فتری أنّه تعالی ذکر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Style w:val="FootnoteAnchor"/>
          <w:rtl w:val="true"/>
        </w:rPr>
        <w:footnoteReference w:id="400"/>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الْبَیْعَ</w:t>
      </w:r>
      <w:r>
        <w:rPr>
          <w:rFonts w:eastAsia="Amiri" w:cs="Amiri" w:ascii="Amiri" w:hAnsi="Amiri"/>
          <w:color w:val="111111"/>
          <w:sz w:val="28"/>
          <w:szCs w:val="28"/>
          <w:rtl w:val="true"/>
          <w:lang w:bidi="ar-SA"/>
        </w:rPr>
        <w:t>»</w:t>
      </w:r>
      <w:r>
        <w:rPr>
          <w:rStyle w:val="FootnoteAnchor"/>
          <w:rtl w:val="true"/>
        </w:rPr>
        <w:footnoteReference w:id="401"/>
      </w:r>
      <w:r>
        <w:rPr>
          <w:rFonts w:ascii="IRNazanin" w:hAnsi="IRNazanin" w:eastAsia="IRNazanin"/>
          <w:color w:val="111111"/>
          <w:sz w:val="28"/>
          <w:sz w:val="28"/>
          <w:szCs w:val="28"/>
          <w:rtl w:val="true"/>
          <w:lang w:bidi="fa-IR"/>
        </w:rPr>
        <w:t>فی موضع، و ذکر مخصّصاته و مقیّداته فی مواضع اخر، و لذا اشتهر بینهم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ما من عامّ إلّا و قد 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مطلق إلّا و قد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سبر التأریخ و لاحظ حالات أصحاب أئمّة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کزرارة، و محمّد بن مسلم، و نظرائهما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 أنّهم لم یکد یعملون بروایة بمجرّد سماعها، بل یعرضونها علی الکتاب أو السنّة، فإن خالفتهما أو أحدهما یطرحونها، و لذا ورد عنهم علیهم السلام فی علاج الخبرین المتعارضین أو المتخالفین ما هو مذکور فی بابه</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قیام عادة الشریعة القویمة علی التعویل فی العمومات و المطلقات علی المخصّصات و المقیّدات، یوجب معرضیتهما لهما، فلا یکاد تحرز أصالة تطابق الجدّ للاستعمال قبل الفحص عنهما فی مظانّهما، فإن فحص بالمقدار اللازم فلم یظفر بالمخصّص أو المقیّد یصحّ الاحتجاج بالعموم أو الإطلاق</w:t>
      </w:r>
      <w:r>
        <w:rPr>
          <w:rFonts w:eastAsia="IRNazanin" w:cs="IRNazanin"/>
          <w:color w:val="111111"/>
          <w:sz w:val="28"/>
          <w:szCs w:val="28"/>
          <w:rtl w:val="true"/>
          <w:lang w:bidi="fa-IR"/>
        </w:rPr>
        <w:t>.</w:t>
      </w:r>
      <w:bookmarkStart w:id="689" w:name="pg12934_164808"/>
    </w:p>
    <w:p>
      <w:pPr>
        <w:pStyle w:val="BookText"/>
        <w:rPr/>
      </w:pPr>
      <w:bookmarkEnd w:id="689"/>
      <w:r>
        <w:rPr>
          <w:rFonts w:ascii="IRNazanin" w:hAnsi="IRNazanin" w:eastAsia="IRNazanin"/>
          <w:color w:val="111111"/>
          <w:sz w:val="28"/>
          <w:sz w:val="28"/>
          <w:szCs w:val="28"/>
          <w:rtl w:val="true"/>
          <w:lang w:bidi="fa-IR"/>
        </w:rPr>
        <w:t>فظهر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لزوم الفحص لا یدور مدار العلم بوجود المخصّص أو المقیّد، بل یدور مدار المعرضیة لهما، فکلّ عامّ أو مطلق إذا کان معرضاً لهما، لا یصحّ الاحتجاج به إلّا بعد الفحص بمقدار یخرج عن المعرضیة؛ حتّی و إن لم یعلم وجود مخصّص أو مقیّد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الفحص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الفحص فی الاصول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متمّمات الحجّیة؛ لتوقّف الاحتجاج بأصالة العموم علی تمامیة امور، منها إحراز تطابق الجدّ للاستعمال، و لا یکاد یحرز ذلک فی محیط التقنین</w:t>
      </w:r>
      <w:r>
        <w:rPr>
          <w:rFonts w:eastAsia="IRNazanin" w:cs="IRNazanin"/>
          <w:color w:val="111111"/>
          <w:sz w:val="28"/>
          <w:szCs w:val="28"/>
          <w:rtl w:val="true"/>
          <w:lang w:bidi="fa-IR"/>
        </w:rPr>
        <w:t>.</w:t>
      </w:r>
    </w:p>
    <w:p>
      <w:pPr>
        <w:pStyle w:val="Heading4"/>
        <w:numPr>
          <w:ilvl w:val="3"/>
          <w:numId w:val="1"/>
        </w:numPr>
        <w:rPr/>
      </w:pPr>
      <w:bookmarkStart w:id="690" w:name="__RefHeading___Toc4026531_3224264995"/>
      <w:bookmarkStart w:id="691" w:name="_Toc261"/>
      <w:bookmarkEnd w:id="690"/>
      <w:r>
        <w:rPr>
          <w:rtl w:val="true"/>
        </w:rPr>
        <w:t>حول کلام المحقّق النائینی قدس سره فی المقام</w:t>
      </w:r>
      <w:bookmarkEnd w:id="691"/>
    </w:p>
    <w:p>
      <w:pPr>
        <w:pStyle w:val="BookText"/>
        <w:rPr/>
      </w:pPr>
      <w:r>
        <w:rPr>
          <w:rFonts w:ascii="IRNazanin" w:hAnsi="IRNazanin" w:eastAsia="IRNazanin"/>
          <w:color w:val="111111"/>
          <w:sz w:val="28"/>
          <w:sz w:val="28"/>
          <w:szCs w:val="28"/>
          <w:rtl w:val="true"/>
          <w:lang w:bidi="fa-IR"/>
        </w:rPr>
        <w:t>ثمّ إنّ فی کلام المحقّق النائینی قدس سره هنا صدراً و ذیلًا، نحو تنافٍ؛ و ذلک لأنّه صرّح فی کلامه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الفحص فی الاصول العملیة عن أصل الحجّیة، و لیس لها اقتضاء قبل الفحص، فالفحص فیها لإحراز المقتضی لجریانها</w:t>
      </w:r>
      <w:r>
        <w:rPr>
          <w:rFonts w:eastAsia="IRNazanin" w:cs="IRNazanin"/>
          <w:color w:val="111111"/>
          <w:sz w:val="28"/>
          <w:szCs w:val="28"/>
          <w:rtl w:val="true"/>
          <w:lang w:bidi="fa-IR"/>
        </w:rPr>
        <w:t>»</w:t>
      </w:r>
      <w:r>
        <w:rPr>
          <w:rStyle w:val="FootnoteAnchor"/>
          <w:rtl w:val="true"/>
        </w:rPr>
        <w:footnoteReference w:id="403"/>
      </w:r>
      <w:r>
        <w:rPr>
          <w:rFonts w:ascii="Amiri" w:hAnsi="Amiri" w:eastAsia="Amiri" w:cs="Amiri"/>
          <w:color w:val="111111"/>
          <w:sz w:val="28"/>
          <w:sz w:val="28"/>
          <w:szCs w:val="28"/>
          <w:rtl w:val="true"/>
          <w:lang w:bidi="ar-SA"/>
        </w:rPr>
        <w:t>یعنی أنّه من متمّمات الحجّیة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 ذکر فی الدلیل النقلی للزوم الفحص فی الاصول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لو سلّم إطلاق أدلّة الاصول لما قبل الفحص، إلّا أنّه قام الإجماع علی اعتبار الفحص؛ و أنّه لا مجری للُاصول إلّا بعد الفحص</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مقتضی ذلک صیرورة الفحص فی إجراء الأصل العملی، عمّا یزاحم الحجّیة، لا عن متمّماتها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قدس سره بعد تصریحه بکون الفحص فی الاصول اللفظیة عمّا تزاحم الحجّیة و عن معارضاتها، ذکر فی وجهه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الإجمالی بوجود مقیّدات و مخصّصات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بأیدینا من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للعمومات و الإطلاقات، و ذلک معلوم لکلّ من راجع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معرضیة العمومات و المطلقات للتخصیص و التقیید</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مقتضاهما صیرورة الفحص من متمّمات الحجّیة، لا عمّا یزاحم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قدس سره قال أخیراً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لوجوب الفحص فی کلّ من الاصول العملیة و اللفظیة، مدرکین یشترکان فی أحدهما؛ و هو العلم الإجمالی، و یفترقان فی الآخر؛ لأنّ المدرک الآخر لوجوب الفحص فی الاصول العملیة، هو استقلال العقل بلزوم حرکة العبد علی ما تقتضیه وظیفته بالبیان 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أنّ حکم العقل بقبح العقاب، إنّما هو بعد الفحص و حرکة العبد علی طبق ما تقتضیه وظیفة العبودیة من البحث عن مرادات المولی، و حکم العقل بوجوب الفحص، یکون من صغریات حکمه بوجوب النظر فی معجزة من یدّعی النبوّة؛ حتّی لا یلزم إفحام الأنبیاء، و ذلک واضح</w:t>
      </w:r>
      <w:r>
        <w:rPr>
          <w:rFonts w:eastAsia="IRNazanin" w:cs="IRNazanin"/>
          <w:color w:val="111111"/>
          <w:sz w:val="28"/>
          <w:szCs w:val="28"/>
          <w:rtl w:val="true"/>
          <w:lang w:bidi="fa-IR"/>
        </w:rPr>
        <w:t>»</w:t>
      </w:r>
      <w:r>
        <w:rPr>
          <w:rStyle w:val="FootnoteAnchor"/>
          <w:rtl w:val="true"/>
        </w:rPr>
        <w:footnoteReference w:id="40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الاصول اللفظیة هو کون العامّ فی معرض التخصیص و التقیید</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مقتضی الوجوه المذکورة فی لزوم الفحص فی الاصول اللفظیة و العملیة، هو کون الفحص من متمّمات الحجّیة، لا عمّا یزاحم الحجّیة، فتدبّر</w:t>
      </w:r>
      <w:r>
        <w:rPr>
          <w:rFonts w:eastAsia="IRNazanin" w:cs="IRNazanin"/>
          <w:color w:val="111111"/>
          <w:sz w:val="28"/>
          <w:szCs w:val="28"/>
          <w:rtl w:val="true"/>
          <w:lang w:bidi="fa-IR"/>
        </w:rPr>
        <w:t>.</w:t>
      </w:r>
      <w:bookmarkStart w:id="692" w:name="pg12934_164810"/>
    </w:p>
    <w:p>
      <w:pPr>
        <w:pStyle w:val="Heading4"/>
        <w:numPr>
          <w:ilvl w:val="3"/>
          <w:numId w:val="1"/>
        </w:numPr>
        <w:rPr/>
      </w:pPr>
      <w:bookmarkStart w:id="693" w:name="__RefHeading___Toc4026533_3224264995"/>
      <w:bookmarkStart w:id="694" w:name="_Toc262"/>
      <w:bookmarkEnd w:id="692"/>
      <w:bookmarkEnd w:id="693"/>
      <w:r>
        <w:rPr>
          <w:rtl w:val="true"/>
        </w:rPr>
        <w:t>حول الاستدلال للزوم الفحص بالعلم الإجمالی</w:t>
      </w:r>
      <w:bookmarkEnd w:id="694"/>
    </w:p>
    <w:p>
      <w:pPr>
        <w:pStyle w:val="BookText"/>
        <w:rPr/>
      </w:pPr>
      <w:r>
        <w:rPr>
          <w:rFonts w:ascii="IRNazanin" w:hAnsi="IRNazanin" w:eastAsia="IRNazanin"/>
          <w:color w:val="111111"/>
          <w:sz w:val="28"/>
          <w:sz w:val="28"/>
          <w:szCs w:val="28"/>
          <w:rtl w:val="true"/>
          <w:lang w:bidi="fa-IR"/>
        </w:rPr>
        <w:t>ربما یستدلّ للزوم الفحص بالعلم الإجمالی؛ بتقریب أنّ من راجع الکتب و الجوامع الحدیثیة الموجودة بأیدینا، یعلم إجمالًا بطروّ مخصّصات و مقیّدات علی العمومات و المطلقات الواردة فی الکتاب و السنّة و مقتضی هذا العلم الإجمالی لزوم الاحتیاط قبل الفحص</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اورد علی هذا 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بأعمّیة الدلیل من المدعی من جهة، و بأخصّیته منها من جهة اخری</w:t>
      </w:r>
      <w:r>
        <w:rPr>
          <w:rStyle w:val="FootnoteAnchor"/>
          <w:rtl w:val="true"/>
        </w:rPr>
        <w:footnoteReference w:id="4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الأعمّیة فحاصلها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المدعی هو الاحتیاط قبل الفحص فیما بأیدینا من الکتب و الجوامع الحدیثیة، و أمّا بعد الفحص فیها فیجوز العمل بالعمومات و المطلقات، و طریقة أصحابنا الإمامیة رضوان اللَّه علیهم و بناؤهم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 عن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فإنّهم یحتاطون و لا یتمسّکون بالعمومات و المطلقات قبل الفحص فیما بأیدیهم من الکتب و الجوامع الحدیثیة، و أمّا بعد الفحص عنهما و عدم الظفر بالمخصّص أو المقیّد، فلا یزالون یتمسّکون بهما، و مقتضی التقریب المتقدّم هو الاحتیاط مطلقاً؛ قبل الفحص فیها، و بعده لأنّ المخصّصات و المقیّدات المعلوم وجودها، لا تنحصر فیما بأیدینا من الکتب و الجوامع الحدیثیة، بل لعلّ کثیراً منها لم یصل إلینا؛ لفقد بعض الجوامع الحدیثیة الأوّلیة باحتراق مثل مکتبة شابور فی بغداد و غیرها</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الاصول و الکتب المدوّنة الحدیثیة فی عهد الصادقین علیهما السلام کانت محتویة علی مخصّصات و مقیّدات کثیرة، و قد أخفتها و أعدمتها الأیادی الخبیثة</w:t>
      </w:r>
    </w:p>
    <w:p>
      <w:pPr>
        <w:pStyle w:val="BookText"/>
        <w:rPr/>
      </w:pPr>
      <w:r>
        <w:rPr>
          <w:rFonts w:ascii="IRNazanin" w:hAnsi="IRNazanin" w:eastAsia="IRNazanin"/>
          <w:color w:val="111111"/>
          <w:sz w:val="28"/>
          <w:sz w:val="28"/>
          <w:szCs w:val="28"/>
          <w:rtl w:val="true"/>
          <w:lang w:bidi="fa-IR"/>
        </w:rPr>
        <w:t>و اللئیمة، و مقتضی ذلک عدم انحلال العلم الإجمالی بالفحص فیما بأیدینا، بل یلزم الاحتیاط بعد ذلک أیضاً، مع أنّ بناء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قدیماً و حدیثاً، خلفاً عن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 الاحتیاط بعد الفحص فیها، فیستکشف من ذلک أنّ وجه لزوم الفحص لیس العلم الإجمالی، بل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ینحصر العلم الإجمالی بوجود مخصّصات و مقیّدات صادرة عن الشارع و أئمّة أهل البیت علیهم السلام فی خصوص ما بأیدینا من الأخبار، و هذا یوجب عدم انحلال العلم الإجمالی بالفحص فیما بأیدینا من الجوامع الحدیثیة و إن بلغ الفحص ما 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الأخصّیة من المدعی فحاصلها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الواضح أنّ طریقة الأصحاب و بناءهم من الصدر إلی زماننا، علی الفحص حتّی فیما لم یکن هناک علم إجمالی، فتراهم إذا ظفروا بمقدار متیقّن من المخصّصات و المقیّدات، و مع ذلک بناؤهم علی الفحص عند کلّ شبهة إذا کان العامّ أو المطلق، معرضاً للتخصیص أو التقیید؛ بأن کان طروّهما لهما عقلائیاً، فلو کان العلم الإجمالی دلیلًا علی الفحص، لکان ینبغی الأخذ بالعامّ أو المطلق بلا فحص عند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فحاصل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ینبغی أن یعدّ العلم الإجمالی دلیلًا علی لزوم الفحص عن المخصّصات أو المقیّدات؛ لأعمّیته من المدعی فی وجه، و أخصّیته منها فی وجه آخر</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الجواب عن إشکال الأعمّیة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علم بفقدان و ضیاع الاصول و الجوامع الحدیثیة، فلعلّ المحترق فی مکتبة شابور و غیرها، لم یکن من الکتب الحدیثیة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سلّم کونها من الکتب الحدیثیة، و لکن لم یعلم أنّ المفقود منها غیر موجود فی مصادر الکتب الحدیثیة التی بأیدینا، فضلًا عن کونها متضمّنة للأحکام، و فضلًا عن کونها مشتملة علی مخصّصات أو مقیّدات غیر موجودة فیما بأیدینا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 ذلک کلّه، فمن أین حصل العلم بوجوب العمل بها لو عثرنا علیها، فلعلّها کانت أخباراً ضعیفة غیر معمول بها، أو صحیحة معرضاً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یقم لدینا علم بوجود مخصّصات أو مقیّدات غیر ما بأیدینا من الکتب الحدیثیة، و لیس ذلک إلّا احتمالًا محضاً، و إنّما ادعی بعض فقدان بعض الاصول علی نحو الإجمال، و مثله لا یورث علماً بأصلها فضلًا عن مشتملاتها، فإشکال الأعمّیة ساقط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المهمّ هو إشکال الأخصّیة، و قد أتعب العلمان العراقی و النائینی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أنفسهما فی الجواب عنه، و حاولا إثبات وجود أثر للعلم الإجمالی عند الشبهة، و لکلّ منهما طریق و تقریب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أجاب به المحقّق العراقی قدس سره فحاصله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مقدار المعلوم بالإجمال و إن کان معلوماً عدداً؛ بحیث یرجع فی الزائد منه إلی البراءة، إلّا أنّه حیث یکون المعلوم بالإجمال منتشراً فی أبواب الفقه من أوّله إلی آخره، فتصیر جمیع الشکوک فی تمام الأبواب طرفاً لهذا العلم، فیمنع عن الأخذ به قبل الفحص، و علی هذا لا یفید الظفر بالمعارض بمقدار المعلوم لانحلاله؛ إذ مثل هذا العلم الحاصل جدیداً، نظیر العلوم الحاصلة بعد العلم الإجمالی غیر القابلة للانحلال</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العلم الإجمالی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العلم بانتشار المخصّصات و المقیّدات فی جمیع أبواب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 فی کلّ شبهة، و منجّز للواقع بمقدار استعداده، فالعلم الحاصل بالمقدار المعلوم بعد ذلک، لا یوجب العمل بالعمومات و المطلقات قبل الفحص عند الشبهة</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الاعتراف بکون مقدار المخصّصات أو المقیّدات معلوماً، فنفرضه ألفاً، قلتم إنّ المعلوم بالإجمال منتشر فی جمیع أبواب الفقه؛ بحیث یکون فی کلّ باب طائفة منها، فبعد الفحص فی جمیع الأبواب إن ظفرنا بألف مخصّص أو مقیّد، فینحلّ العلم الإجمالی و لو حکماً؛ ضرورة انطباق المعلوم من الأوّل علی هذا المقدار، ففی الزائد عن ذلک المقدار لو شکّ لا یجب الفحص؛ لعدم العلم مع لزوم الفحص عند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بعد الفحص فی بعض الأبواب، فلو ظفرنا بألف مخصّص أو مقیّد قبل الفحص فی سائر الأبواب، فلا محالة یکون أحد العلمین خطأً؛ إمّا علمه بأنّ المخصّصات أو المقیّدات منتشرة فی جمیع الأبواب، فینحلّ العلم الإجمالی، فلا یجب الفحص فی عمومات أو مطلقات سائر الأبواب، أو علمه بانحصار المخصّص أو المقیّد فی ألف، فیحصل له علم آخر بأنّ مقدار المخصّص أو المقیّد أزید ممّا علمه أوّلًا، و لکنّه خلاف الفرض؛ لأنّه فیما إذا لم یحصل له علم إلّا بالمقدار المعلوم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أجاب به المحقّق النائینی قدس سره فحاصله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المعلوم بالإجمال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مرسلًا غیر مُعْلَمٍ بعلامة یشار إلیه بها، کما إذا علم أنّه مدین لزید مثلًا، و شکّ فی أنّه عشرة أو عشرون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مُعْلَماً بعلامة، کما لو علم أنّه مدین لزید بما فی الدفتر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انحلال العلم الإجمالی بالعثور علی المقدار المتیقّن، إنّما یکون فی القسم الأوّل؛ لدوران الأمر بین الأقلّ و الأکثر، فتجری البراءة بالنسبة إلی الزائد عن المقدار المتیقّن، لأنّ هذا المقدار معلوم من الأوّل، و الزائد مشکوک فیه</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القسم الثانی فلا ینحلّ فیه العلم الإجمالی بذلک، بل یکون حاله حال دوران الأمر بین المتباینین، فکلّ ما اندرج تحت تلک العلامة و انطبقت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w:t>
      </w:r>
    </w:p>
    <w:p>
      <w:pPr>
        <w:pStyle w:val="BookText"/>
        <w:rPr/>
      </w:pPr>
      <w:r>
        <w:rPr>
          <w:rFonts w:ascii="IRNazanin" w:hAnsi="IRNazanin" w:eastAsia="IRNazanin"/>
          <w:color w:val="111111"/>
          <w:sz w:val="28"/>
          <w:sz w:val="28"/>
          <w:szCs w:val="28"/>
          <w:rtl w:val="true"/>
          <w:lang w:bidi="fa-IR"/>
        </w:rPr>
        <w:t>کان أقلّ أو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منجّزاً علیه؛ لمکان تعلّق العلم بعلامته، فحینئذٍ لو کان الأکثر هو الثابت فی الواقع، فقد تعلّق العلم به؛ لمکان تعلّقه بعلامته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نحن فیه من قبیل القسم الثانی؛ لأنّ العلم قد تعلّق بأنّ فی الکتب التی بأیدینا مقیّدات و مخصّصات، فلا ینحلّ العلم الإجمالی بالعثور علی المقدار المتیقّن، بل لا بدّ فیه من الفحص التامّ فی جمیع ما بأیدینا من الکتب، فتأمّل فیما ذکرناه من قسمی العلم الإجمالی؛ فإنّه لا یخلو من دقّة، انتهی</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أجاب به هذا المحقّق قدس سره عن الإشکال، غیر تامّ أیضاً؛ لأنّ مجرّد اقتران المعلوم بالإجمال بعنوان غیر ذی أثر شرعی، لا یوجب تنجّز الأکثر، بل لا بدّ من لحاظ ما هو المنشأ للأثر، و إلّا یلزم عدم الانحلال فی جمیع الموارد؛ إذ کثیراً ما یقترن العلم الإجمالی بعدّة عناوین و لوازم قلّما تنفکّ عنه، کعنوان ما فی الدار، أو ما فی المسجد، أو ما أقرضتنی، أو ما أعطیتنی، أو ما فی الدکّان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فلا توجب مقارنة هذه العناوین تنجّز الأکثر، بل لا یزید علی الدوران بین الأقلّ و الأکثر شیئاً، کما هو الشأن فیما إذا صار ما فی الکیس مضموناً علیه، فإنّه لا یوجب الضمان بعنوان ما فی الکیس حتّی یتنجّز الأکثر، بل لا یزید عن الدوران بین الأقلّ و الأکثر، ففیما نحن فیه لو عثرنا علی المقدار المعلوم بالإجمال لا نحلّ العلم الإجمالی، فلا یجب الفحص فی الزائد علیه</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اقتران المعلوم بالإجمال بعلامة، لا یوجب تنجّز الأکثر، و إلّا یلزم تنجّز الأکثر فیما إذا أقرضه ما فی الکیس، أو فی المسجد و نحوهما، و تردّد ما فی الکیس أو المسجد بین الأقلّ و الأکثر، و الظاهر أنّه قدس سره غیر ملتزم به أیضاً</w:t>
      </w:r>
      <w:r>
        <w:rPr>
          <w:rFonts w:eastAsia="IRNazanin" w:cs="IRNazanin"/>
          <w:color w:val="111111"/>
          <w:sz w:val="28"/>
          <w:szCs w:val="28"/>
          <w:rtl w:val="true"/>
          <w:lang w:bidi="fa-IR"/>
        </w:rPr>
        <w:t>.</w:t>
      </w:r>
      <w:bookmarkStart w:id="695" w:name="pg12934_164815"/>
    </w:p>
    <w:p>
      <w:pPr>
        <w:pStyle w:val="BookText"/>
        <w:rPr/>
      </w:pPr>
      <w:bookmarkEnd w:id="695"/>
      <w:r>
        <w:rPr>
          <w:rFonts w:ascii="IRNazanin" w:hAnsi="IRNazanin" w:eastAsia="IRNazanin"/>
          <w:color w:val="111111"/>
          <w:sz w:val="28"/>
          <w:sz w:val="28"/>
          <w:szCs w:val="28"/>
          <w:rtl w:val="true"/>
          <w:lang w:bidi="fa-IR"/>
        </w:rPr>
        <w:t>نعم، إن کان العلم الإجمالی متعلّقاً بعنوان بسیط مبیّن مفهوماً، و لکن شکّ فی المحصّل له بین الأقلّ و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تعلّق الأمر بعنوان الطهارة، و شکّ فی أنّ المحصّل لها عشرة أجزاء أو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مثل ذلک یکون مقتضی القاعدة الاشتغال و الإتیان بالأکثر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إشکال أخصّیة الدلیل من المدعی، لا زال علی قوّته، و لا یصلح شی‌ء من جوابی العلمین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العراقی و النائینی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لإثبات لزوم الفحص عند کلّ 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الذی یسهّل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مدرک لزوم الفحص، ما أشرنا إلیه من معرضیة العمومات و المطلقات للتخصیص و التقیید، لا العلم الإجمالی، فیجب الفحص فیما إذا کانا فی معرض التخصیص و التقیید، فتدبّر و اغتنم</w:t>
      </w:r>
      <w:r>
        <w:rPr>
          <w:rFonts w:eastAsia="IRNazanin" w:cs="IRNazanin"/>
          <w:color w:val="111111"/>
          <w:sz w:val="28"/>
          <w:szCs w:val="28"/>
          <w:rtl w:val="true"/>
          <w:lang w:bidi="fa-IR"/>
        </w:rPr>
        <w:t>.</w:t>
      </w:r>
    </w:p>
    <w:p>
      <w:pPr>
        <w:pStyle w:val="Heading4"/>
        <w:numPr>
          <w:ilvl w:val="3"/>
          <w:numId w:val="1"/>
        </w:numPr>
        <w:rPr/>
      </w:pPr>
      <w:bookmarkStart w:id="696" w:name="__RefHeading___Toc4026535_3224264995"/>
      <w:bookmarkStart w:id="697" w:name="_Toc263"/>
      <w:bookmarkEnd w:id="696"/>
      <w:r>
        <w:rPr>
          <w:rtl w:val="true"/>
        </w:rPr>
        <w:t>تذنیب</w:t>
      </w:r>
      <w:r>
        <w:rPr>
          <w:rtl w:val="true"/>
        </w:rPr>
        <w:t xml:space="preserve">: </w:t>
      </w:r>
      <w:r>
        <w:rPr>
          <w:rtl w:val="true"/>
        </w:rPr>
        <w:t>فی مقدار الفحص</w:t>
      </w:r>
      <w:bookmarkEnd w:id="697"/>
    </w:p>
    <w:p>
      <w:pPr>
        <w:pStyle w:val="BookText"/>
        <w:rPr/>
      </w:pPr>
      <w:r>
        <w:rPr>
          <w:rFonts w:ascii="IRNazanin" w:hAnsi="IRNazanin" w:eastAsia="IRNazanin"/>
          <w:color w:val="111111"/>
          <w:sz w:val="28"/>
          <w:sz w:val="28"/>
          <w:szCs w:val="28"/>
          <w:rtl w:val="true"/>
          <w:lang w:bidi="fa-IR"/>
        </w:rPr>
        <w:t>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مقدار الفحص یختلف باختلاف المبانی فی لزوم الفحص؛ فإن کان المبنی فی إیجاب الفحص العلم الإجمالی بوجود المخصّصات و المقیّدات و المعارض، فلا بدّ و أن یتفحّص بمقدار ینحلّ العلم الإجمالی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عرفت عدم تمامیة ذلک، بل عرفت أنّ المبنی التامّ المختار، معرضیة العمومات و المطلقات القانونیة للتخصیص و التقیید، فلا بدّ و أن یتفحّص حتّی یسقطا عن المعرضیّة لهما، و یحصل له الیأس من المخصّص و المقیّد و المعارض</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یلزم العلم الوجدانی بالعدم؛ لاستلزامه العسر و الحرج، بل یکفی الاطمئنان بالعدم؛ لأنّه طریق عقلائی یعتمد علیه العقلاء فی حیاتهم الاجتماعیة، کما یعتمدون علی العلم الوجدانی</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فی أمثال زماننا، سهل لا صعوبة فیه؛ لإتعاب الأصحاب و مشایخ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اللَّه مساعیهم الجمیلة، و 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أنفسهم القدسیة فی جمع الأخبار و تبویبها، و ذکر روایات کلّ ما یرتبط بباب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 بل و ذکر الفقهاء العظام رضوان الله تعالی علیهم فی کتبهم الاستدلالیة ما یستدلّ به لکلّ مسألة؛ بحیث لا یکاد ینقدح غالباً للفاحص المتدرّب، وجود مخصّص أو مقیّد أو معارض فی غیر الباب الذی یتعرّض فیه للمسألة المفروضة، مثلًا لا ینقدح فی ذهن المتدرّب الباحث فی کتاب الطهارة و مسألة الوضوء مثلًا، وجود مخصّص أو مقیّد أو معارض فی کتاب الدیات و القصاص مثلًا</w:t>
      </w:r>
      <w:r>
        <w:rPr>
          <w:rFonts w:eastAsia="IRNazanin" w:cs="IRNazanin"/>
          <w:color w:val="111111"/>
          <w:sz w:val="28"/>
          <w:szCs w:val="28"/>
          <w:rtl w:val="true"/>
          <w:lang w:bidi="fa-IR"/>
        </w:rPr>
        <w:t>.</w:t>
      </w:r>
      <w:bookmarkStart w:id="698" w:name="pg12934_164817"/>
    </w:p>
    <w:p>
      <w:pPr>
        <w:pStyle w:val="BookText"/>
        <w:rPr/>
      </w:pPr>
      <w:bookmarkEnd w:id="698"/>
      <w:r>
        <w:rPr>
          <w:rFonts w:ascii="IRNazanin" w:hAnsi="IRNazanin" w:eastAsia="IRNazanin"/>
          <w:color w:val="111111"/>
          <w:sz w:val="28"/>
          <w:sz w:val="28"/>
          <w:szCs w:val="28"/>
          <w:rtl w:val="true"/>
          <w:lang w:bidi="fa-IR"/>
        </w:rPr>
        <w:t>الخطابات الشفاهیة</w:t>
      </w:r>
    </w:p>
    <w:p>
      <w:pPr>
        <w:pStyle w:val="Heading3"/>
        <w:numPr>
          <w:ilvl w:val="2"/>
          <w:numId w:val="1"/>
        </w:numPr>
        <w:rPr/>
      </w:pPr>
      <w:bookmarkStart w:id="699" w:name="__RefHeading___Toc4026537_3224264995"/>
      <w:bookmarkStart w:id="700" w:name="_Toc264"/>
      <w:bookmarkEnd w:id="699"/>
      <w:r>
        <w:rPr>
          <w:rtl w:val="true"/>
        </w:rPr>
        <w:t>المبحث الرابع فی عموم الخطابات الشفاهیة</w:t>
      </w:r>
      <w:bookmarkEnd w:id="700"/>
    </w:p>
    <w:p>
      <w:pPr>
        <w:pStyle w:val="Heading4"/>
        <w:numPr>
          <w:ilvl w:val="3"/>
          <w:numId w:val="1"/>
        </w:numPr>
        <w:rPr/>
      </w:pPr>
      <w:bookmarkStart w:id="701" w:name="__RefHeading___Toc4026539_3224264995"/>
      <w:bookmarkStart w:id="702" w:name="_Toc265"/>
      <w:bookmarkEnd w:id="701"/>
      <w:r>
        <w:rPr>
          <w:rtl w:val="true"/>
        </w:rPr>
        <w:t>اشارة</w:t>
      </w:r>
      <w:bookmarkEnd w:id="702"/>
    </w:p>
    <w:p>
      <w:pPr>
        <w:pStyle w:val="BookText"/>
        <w:rPr/>
      </w:pPr>
      <w:r>
        <w:rPr>
          <w:rFonts w:ascii="IRNazanin" w:hAnsi="IRNazanin" w:eastAsia="IRNazanin"/>
          <w:color w:val="111111"/>
          <w:sz w:val="28"/>
          <w:sz w:val="28"/>
          <w:szCs w:val="28"/>
          <w:rtl w:val="true"/>
          <w:lang w:bidi="fa-IR"/>
        </w:rPr>
        <w:t>لغیر الحاضرین من الغائبین و المعدومین</w:t>
      </w:r>
    </w:p>
    <w:p>
      <w:pPr>
        <w:pStyle w:val="Heading4"/>
        <w:numPr>
          <w:ilvl w:val="3"/>
          <w:numId w:val="1"/>
        </w:numPr>
        <w:rPr/>
      </w:pPr>
      <w:bookmarkStart w:id="703" w:name="__RefHeading___Toc4026541_3224264995"/>
      <w:bookmarkStart w:id="704" w:name="_Toc266"/>
      <w:bookmarkEnd w:id="703"/>
      <w:r>
        <w:rPr>
          <w:rtl w:val="true"/>
        </w:rPr>
        <w:t>و الکلام فیه یقع فی موارد</w:t>
      </w:r>
      <w:r>
        <w:rPr>
          <w:rtl w:val="true"/>
        </w:rPr>
        <w:t>:</w:t>
      </w:r>
      <w:bookmarkEnd w:id="704"/>
    </w:p>
    <w:p>
      <w:pPr>
        <w:pStyle w:val="Heading5"/>
        <w:numPr>
          <w:ilvl w:val="4"/>
          <w:numId w:val="1"/>
        </w:numPr>
        <w:rPr/>
      </w:pPr>
      <w:bookmarkStart w:id="705" w:name="__RefHeading___Toc4026543_3224264995"/>
      <w:bookmarkStart w:id="706" w:name="_Toc267"/>
      <w:bookmarkEnd w:id="705"/>
      <w:r>
        <w:rPr>
          <w:rtl w:val="true"/>
        </w:rPr>
        <w:t>المورد الأوّل</w:t>
      </w:r>
      <w:r>
        <w:rPr>
          <w:rtl w:val="true"/>
        </w:rPr>
        <w:t xml:space="preserve">: </w:t>
      </w:r>
      <w:r>
        <w:rPr>
          <w:rtl w:val="true"/>
        </w:rPr>
        <w:t>فی تحدید مصبّ النزاع</w:t>
      </w:r>
      <w:bookmarkEnd w:id="706"/>
    </w:p>
    <w:p>
      <w:pPr>
        <w:pStyle w:val="BookText"/>
        <w:rPr/>
      </w:pPr>
      <w:r>
        <w:rPr>
          <w:rFonts w:ascii="IRNazanin" w:hAnsi="IRNazanin" w:eastAsia="IRNazanin"/>
          <w:color w:val="111111"/>
          <w:sz w:val="28"/>
          <w:sz w:val="28"/>
          <w:szCs w:val="28"/>
          <w:rtl w:val="true"/>
          <w:lang w:bidi="fa-IR"/>
        </w:rPr>
        <w:t>ظاهر عبارات القوم فی عنوان البحث، یشعر بکون محطّ البحث فی الخطابات الشفاهیة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هل تختصّ تلک الخطابات بالحاضرین مجلس الخطاب، أو تعم غیرهم من الغائبین و المعدومین؟ مع أنّ البحث کذلک غیر مناسب لمبحث العامّ؛ لأنّ إمکان مخاطبتهما و عدمه غیر مرتبط به، و واضح البطلان فی نفسه؛ لاستحالة توجّه الخطاب للغائب و المعدوم، لأنّ المعدوم لا یکون شیئاً حتّی یصحّ مخاطبته</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عنوان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کظاهر بعض استدلالاتهم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یشعر بأنّ النزاع عندهم فی جواز مخاطبة المعدوم و الغائب، و یکون النزاع عقلیاً فی إمکانه و عدمه، و هو مع عدم مناسبته لمبحث العام یکون أحد طرفی المسألة واضح البطلان؛ لاستحالة مخاطبة المعدوم و الغائب، فلا ینبغی إسناده إلی قائل</w:t>
      </w:r>
      <w:r>
        <w:rPr>
          <w:rFonts w:eastAsia="IRNazanin" w:cs="IRNazanin"/>
          <w:color w:val="111111"/>
          <w:sz w:val="28"/>
          <w:szCs w:val="28"/>
          <w:rtl w:val="true"/>
          <w:lang w:bidi="fa-IR"/>
        </w:rPr>
        <w:t>.</w:t>
      </w:r>
      <w:bookmarkStart w:id="707" w:name="pg12934_164818"/>
    </w:p>
    <w:p>
      <w:pPr>
        <w:pStyle w:val="BookText"/>
        <w:rPr/>
      </w:pPr>
      <w:bookmarkEnd w:id="707"/>
      <w:r>
        <w:rPr>
          <w:rFonts w:ascii="Amiri" w:hAnsi="Amiri" w:eastAsia="Amiri" w:cs="Amiri"/>
          <w:color w:val="111111"/>
          <w:sz w:val="28"/>
          <w:sz w:val="28"/>
          <w:szCs w:val="28"/>
          <w:rtl w:val="true"/>
          <w:lang w:bidi="ar-SA"/>
        </w:rPr>
        <w:t>نعم، لا یبعد ذلک عن مثل بعض الحنفیة، حیث جعل محطّ البحث ما ذکرناه، و ذهب إلی جوازه مستدلّاً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شَیْئاً أَنْ یَقُولَ لَهُ کُنْ فَیَکُونُ</w:t>
      </w:r>
      <w:r>
        <w:rPr>
          <w:rFonts w:eastAsia="Amiri" w:cs="Amiri" w:ascii="Amiri" w:hAnsi="Amiri"/>
          <w:color w:val="111111"/>
          <w:sz w:val="28"/>
          <w:szCs w:val="28"/>
          <w:rtl w:val="true"/>
          <w:lang w:bidi="ar-SA"/>
        </w:rPr>
        <w:t>»</w:t>
      </w:r>
      <w:r>
        <w:rPr>
          <w:rStyle w:val="FootnoteAnchor"/>
          <w:rtl w:val="true"/>
        </w:rPr>
        <w:footnoteReference w:id="412"/>
      </w:r>
      <w:r>
        <w:rPr>
          <w:rFonts w:ascii="IRNazanin" w:hAnsi="IRNazanin" w:eastAsia="IRNazanin"/>
          <w:color w:val="111111"/>
          <w:sz w:val="28"/>
          <w:sz w:val="28"/>
          <w:szCs w:val="28"/>
          <w:rtl w:val="true"/>
          <w:lang w:bidi="fa-IR"/>
        </w:rPr>
        <w:t>بتوهّم أنّ أمره و إرادته تعالی، لا یمکن أن یتعلّقا بالموجود؛ لأنّه تحصیل للحاصل، فلا بدّ و أن یتعلّقا بالمعدوم بأن یوجد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فینبغی طرح محطّ البحث بنحو عقلی معقول؛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العنوان الذی یلی تلک الأداة الخطابیة، هل یعمّ غیر الحاضرین و یمکن استفادة أحکامهم من تلک الخطابات، أم لا؟ لأنّه علی هذا یمکن أن یکون لکلّ من القولین وجه و مستند، فمستند القائل بالمنع هو أنّ تعمیم ألفاظ العموم لغیر الحاضرین یستلزم شمول الخطاب لهم، و هو باطل، و مستند القائل بالجواز هو عدم استلزام التعمیم ذلک، فتری أنّ طرح محطّ النزاع علی ما ذکرنا، لم یکن واضحاً و بیّن الفساد؛ و إن کان القول به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البحث صغرویاً؛ و فی استلزام التعمیم للغائبین و المعدومین الأمر المستحیل عقلًا، لا کبرویاً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کلّه فلیس هذا المبحث بمهمّ</w:t>
      </w:r>
      <w:r>
        <w:rPr>
          <w:rFonts w:eastAsia="IRNazanin" w:cs="IRNazanin"/>
          <w:color w:val="111111"/>
          <w:sz w:val="28"/>
          <w:szCs w:val="28"/>
          <w:rtl w:val="true"/>
          <w:lang w:bidi="fa-IR"/>
        </w:rPr>
        <w:t>.</w:t>
      </w:r>
    </w:p>
    <w:p>
      <w:pPr>
        <w:pStyle w:val="Heading5"/>
        <w:numPr>
          <w:ilvl w:val="4"/>
          <w:numId w:val="1"/>
        </w:numPr>
        <w:rPr/>
      </w:pPr>
      <w:bookmarkStart w:id="708" w:name="__RefHeading___Toc4026545_3224264995"/>
      <w:bookmarkStart w:id="709" w:name="_Toc268"/>
      <w:bookmarkEnd w:id="708"/>
      <w:r>
        <w:rPr>
          <w:rtl w:val="true"/>
        </w:rPr>
        <w:t>المورد الثانی</w:t>
      </w:r>
      <w:r>
        <w:rPr>
          <w:rtl w:val="true"/>
        </w:rPr>
        <w:t xml:space="preserve">: </w:t>
      </w:r>
      <w:r>
        <w:rPr>
          <w:rtl w:val="true"/>
        </w:rPr>
        <w:t>عموم البحث للتکالیف غیر المصدّرة بأداة الخطاب و النداء</w:t>
      </w:r>
      <w:bookmarkEnd w:id="709"/>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یعمّ البحث ما لم یصدّر بألفاظ النداء و أداة الخطاب،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لِلَّهِ عَلَی النَّاسِ حِجُّ الْبَیْتِ </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لِلرِّجالِ نَصِیبٌ مِمَّا تَرَکَ الْوالِدانِ </w:t>
      </w:r>
      <w:r>
        <w:rPr>
          <w:rFonts w:eastAsia="Amiri" w:cs="Amiri" w:ascii="Amiri" w:hAnsi="Amiri"/>
          <w:color w:val="111111"/>
          <w:sz w:val="28"/>
          <w:szCs w:val="28"/>
          <w:rtl w:val="true"/>
          <w:lang w:bidi="ar-SA"/>
        </w:rPr>
        <w:t>...»</w:t>
      </w:r>
      <w:r>
        <w:rPr>
          <w:rStyle w:val="FootnoteAnchor"/>
          <w:rtl w:val="true"/>
        </w:rPr>
        <w:footnoteReference w:id="414"/>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الْمُؤْمِنُونَ </w:t>
      </w:r>
      <w:r>
        <w:rPr>
          <w:rFonts w:eastAsia="Amiri" w:cs="Amiri" w:ascii="Amiri" w:hAnsi="Amiri"/>
          <w:color w:val="111111"/>
          <w:sz w:val="28"/>
          <w:szCs w:val="28"/>
          <w:rtl w:val="true"/>
          <w:lang w:bidi="ar-SA"/>
        </w:rPr>
        <w:t>...»*</w:t>
      </w:r>
      <w:r>
        <w:rPr>
          <w:rStyle w:val="FootnoteAnchor"/>
          <w:rtl w:val="true"/>
        </w:rPr>
        <w:footnoteReference w:id="415"/>
      </w:r>
      <w:r>
        <w:rPr>
          <w:rFonts w:ascii="IRNazanin" w:hAnsi="IRNazanin" w:eastAsia="IRNazanin"/>
          <w:color w:val="111111"/>
          <w:sz w:val="28"/>
          <w:sz w:val="28"/>
          <w:szCs w:val="28"/>
          <w:rtl w:val="true"/>
          <w:lang w:bidi="fa-IR"/>
        </w:rPr>
        <w:t>، إلی غیر ذلک، أو مختصّ</w:t>
      </w:r>
    </w:p>
    <w:p>
      <w:pPr>
        <w:pStyle w:val="BookText"/>
        <w:rPr/>
      </w:pPr>
      <w:r>
        <w:rPr>
          <w:rFonts w:ascii="IRNazanin" w:hAnsi="IRNazanin" w:eastAsia="IRNazanin"/>
          <w:color w:val="111111"/>
          <w:sz w:val="28"/>
          <w:sz w:val="28"/>
          <w:szCs w:val="28"/>
          <w:rtl w:val="true"/>
          <w:lang w:bidi="fa-IR"/>
        </w:rPr>
        <w:t>بالبیانات المصدّرة بأداة الخطاب و ألفاظ النداء؟</w:t>
      </w:r>
    </w:p>
    <w:p>
      <w:pPr>
        <w:pStyle w:val="BookText"/>
        <w:rPr/>
      </w:pPr>
      <w:r>
        <w:rPr>
          <w:rFonts w:ascii="Amiri" w:hAnsi="Amiri" w:eastAsia="Amiri" w:cs="Amiri"/>
          <w:color w:val="111111"/>
          <w:sz w:val="28"/>
          <w:sz w:val="28"/>
          <w:szCs w:val="28"/>
          <w:rtl w:val="true"/>
          <w:lang w:bidi="ar-SA"/>
        </w:rPr>
        <w:t>یظهر من الشیخ الأعظم أعلی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ببالی حسبما راجعته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النزاع فی المسألة، مختصّ بما إذا کان التکلیف مصدّراً بأداة الخطاب، کقوله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غیره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عَلَی النَّاسِ حِجُّ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فخارج عن محطّ النزاع، و أنّه لم یعهد من أحد إنکار شموله لهما</w:t>
      </w:r>
      <w:r>
        <w:rPr>
          <w:rStyle w:val="FootnoteAnchor"/>
          <w:rtl w:val="true"/>
        </w:rPr>
        <w:footnoteReference w:id="416"/>
      </w:r>
      <w:r>
        <w:rPr>
          <w:rFonts w:ascii="IRNazanin" w:hAnsi="IRNazanin" w:eastAsia="IRNazanin"/>
          <w:color w:val="111111"/>
          <w:sz w:val="28"/>
          <w:sz w:val="28"/>
          <w:szCs w:val="28"/>
          <w:rtl w:val="true"/>
          <w:lang w:bidi="fa-IR"/>
        </w:rPr>
        <w:t>فالقائل بعدم الجواز فی المصدّر بالخطاب، قد یجوّز غیر المصدّر به</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الاصول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القول بعدم الجواز فی المصدّر بالخطاب، یلزمه القول بعدمه فی غیر المصدّر أیضاً؛ لوحدة الملاک، فإنّ الملاک کلّ الملاک فی عدم الجواز، هو أنّ المعدوم لا یکون شیئاً، فکما لا یصلح مخاطبة المعدوم و الحدیث معه، فکذلک لا یصلح توجیه حکم تکلیفی أو وضعی إلیه؛ بداهة أنّه لا یصلح إیجاب الحجّ أو الدین مثلًا علی من کان معدوماً</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bookmarkStart w:id="710" w:name="pg12934_164820"/>
    </w:p>
    <w:p>
      <w:pPr>
        <w:pStyle w:val="BookText"/>
        <w:rPr/>
      </w:pPr>
      <w:bookmarkEnd w:id="710"/>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عنوان البحث و إن کان مختصّاً بما کان مصدّراً بأداة الخطاب و ألفاظ النداء، و لکنّ الحقّ تعمیم البحث بالنسبة إلی غیر المصدّر بهما ممّا علّق الحکم فیه علی العنوان</w:t>
      </w:r>
      <w:r>
        <w:rPr>
          <w:rFonts w:eastAsia="IRNazanin" w:cs="IRNazanin"/>
          <w:color w:val="111111"/>
          <w:sz w:val="28"/>
          <w:szCs w:val="28"/>
          <w:rtl w:val="true"/>
          <w:lang w:bidi="fa-IR"/>
        </w:rPr>
        <w:t>.</w:t>
      </w:r>
    </w:p>
    <w:p>
      <w:pPr>
        <w:pStyle w:val="Heading5"/>
        <w:numPr>
          <w:ilvl w:val="4"/>
          <w:numId w:val="1"/>
        </w:numPr>
        <w:rPr/>
      </w:pPr>
      <w:bookmarkStart w:id="711" w:name="__RefHeading___Toc4026547_3224264995"/>
      <w:bookmarkStart w:id="712" w:name="_Toc269"/>
      <w:bookmarkEnd w:id="711"/>
      <w:r>
        <w:rPr>
          <w:rtl w:val="true"/>
        </w:rPr>
        <w:t>المورد الثالث</w:t>
      </w:r>
      <w:r>
        <w:rPr>
          <w:rtl w:val="true"/>
        </w:rPr>
        <w:t xml:space="preserve">: </w:t>
      </w:r>
      <w:r>
        <w:rPr>
          <w:rtl w:val="true"/>
        </w:rPr>
        <w:t>فی القضیة الحقیقیة و الخارجیة و الفرق بینهما</w:t>
      </w:r>
      <w:bookmarkEnd w:id="712"/>
    </w:p>
    <w:p>
      <w:pPr>
        <w:pStyle w:val="BookText"/>
        <w:rPr/>
      </w:pPr>
      <w:r>
        <w:rPr>
          <w:rFonts w:ascii="IRNazanin" w:hAnsi="IRNazanin" w:eastAsia="IRNazanin"/>
          <w:color w:val="111111"/>
          <w:sz w:val="28"/>
          <w:sz w:val="28"/>
          <w:szCs w:val="28"/>
          <w:rtl w:val="true"/>
          <w:lang w:bidi="fa-IR"/>
        </w:rPr>
        <w:t>حیث إنّ حلّ الإشکال فی بعض الصور مبنیّ علی بیان القضیة الحقیقیة، و إنّ المختار فی المسألة هو الجواز و کان ذلک علی ذمّة القضیة الحقیقیة، فلا بأس بالإشارة إجمالًا إلی بیان حالها، و حال القضیة الخارجیة، و بیان الفرق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تشترک القضیة الحقیقیة و الخارجیة؛ فی أنّ المقسم لهما القضیة الکلّیة البتّیة المعتبرة فی العلوم</w:t>
      </w:r>
      <w:r>
        <w:rPr>
          <w:rStyle w:val="FootnoteAnchor"/>
          <w:rtl w:val="true"/>
        </w:rPr>
        <w:footnoteReference w:id="419"/>
      </w:r>
      <w:r>
        <w:rPr>
          <w:rFonts w:ascii="IRNazanin" w:hAnsi="IRNazanin" w:eastAsia="IRNazanin"/>
          <w:color w:val="111111"/>
          <w:sz w:val="28"/>
          <w:sz w:val="28"/>
          <w:szCs w:val="28"/>
          <w:rtl w:val="true"/>
          <w:lang w:bidi="fa-IR"/>
        </w:rPr>
        <w:t>، غایة الأمر أنّ العنوان فی الخارجیة قد اخذ بنحو لا ینطبق إلّا علی الموجود فی الحال، کما إذا قیّد مدخول أداة العموم بنحو لا ینطبق إلّا علیها،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موجود 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فی هذا المعسکر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الحکم علی أفراد عنوان ذاتی، أو انتزاعی، أو عرضی، فلفظة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لاستغراق أفراد مدخولها، و العنوان التالی لها بعد التقیید المذکور، لا ینطبق إلّا علی الأفراد المحقّقة، و واضح أنّ مجرّد انطباقه علی خصوص الموجودین فی الخارج لا یصیّرها جزئیاً و شخصیاً، نظیر الکلّی المنحصر نوعه فی فرد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العنوان المأخوذ فی القضیة الحقیقیة، فهو ینطبق علی الموجود فی</w:t>
      </w:r>
    </w:p>
    <w:p>
      <w:pPr>
        <w:pStyle w:val="BookText"/>
        <w:rPr/>
      </w:pPr>
      <w:r>
        <w:rPr>
          <w:rFonts w:ascii="IRNazanin" w:hAnsi="IRNazanin" w:eastAsia="IRNazanin"/>
          <w:color w:val="111111"/>
          <w:sz w:val="28"/>
          <w:sz w:val="28"/>
          <w:szCs w:val="28"/>
          <w:rtl w:val="true"/>
          <w:lang w:bidi="fa-IR"/>
        </w:rPr>
        <w:t>الحال، و المتصرّم، و الآتی،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نار حارّة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 نفس الطبیعة القابلة للصدق علی الأفراد، لا بمعنی کون الطبیعة حاکیة عنها، بل لا تدلّ إلّا علی نفس الطبیعة، و هی قابلة للصدق علی الأفراد، و متحدة معها فی الخارج، و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دالّة علی استغراق أفراد مدخولها؛ من غیر أن تدلّ علی الوجود أو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أشباهها من أیّة لغة کانت، لم توضع للأفراد بقید الوجود، أو فی حال العدم، و لذا یصحّ أن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کلّ فرد من الطبیعة إمّا موجود، أو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تأوّل، و 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الطبیعة تدلّ علی استغراق مدخولها، و لمّا لم تتقیّد الطبیعة بما یجعلها منحصرة الانطباق علی الأفراد المتحقّقة، فلا محالة یکون الحکم علی فرد من الطبیعة فی الماضی، و الحال، و الاستقبال؛ کلّ فی موطنه، فالعقل یحکم بامتناع الصدق علی المعدوم، فلم تکن الطبیعة طبیعة و لا أفرادها أفراداً حال العدم، فلا محالة یکون الحکم فی ظرف صدق الطبیعة علی الأفراد،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نار حارّة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عن مصادیق النار بدلالة تصدیقیة، و المعدوم لیس مصداقاً لشی‌ء، کما أنّ الموجود الذهنی لیس فرداً بالحمل الشائع، فینحصر الصدق فی ظرف الوجود الخارجی من غیر أن یکون الوجود قیداً، و من غیر أن یفرض للمعدوم وجود، أو ینزّل منزلة الوجود، و من غیر أن تکون القضیة متضمّنة للشرط</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فی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تلک التکلّفات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کونها خلاف الوجدان فی إخباراتنا؛ ضرورة أنّ کلّ من أخبر بأنّ النار حارّة، لا یخطر بباله الأفراد المعدومة، فضلًا عن تنزیلها منزلة الوجود، أو الاشتراط بأنّه إذا وجدت کانت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ناشئة من تخیّل أنّ للطبیعة أفراداً معدومة، و تکون الطبیعة صادقة علیها حال العدم، و لمّا لم یصدق علیها الحکم لا بدّ من تنزیلها منزلة الموجود، أو اشتراط الوجود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القضیة الحقیقیة، قضیة کلّیة بتّیة شاملة لغیر الموجود فی الحال، لا قضیة شرطیة غیر بتّیة، و التعبیر بالفرض و التقدیر کما ربما یوجد فی کلمات بعض الحکماء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 کلّ ما قدّر و تحقّق فهو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هو لتیسیر التعلیم و التعلّم، لا بیان ماهیة القضیة الحقیقیة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هذا أورث اشتباه غیر المتدرّب فی فنّ المعقول؛ فتخیّل أنّ القضیة الحقیقیة نفسها عبارة عن ذلک</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العنوان المأخوذ تلو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الخارجیة، مقیّد بنحو لا ینطبق إلّا علی الموجود فی الحال، و أمّا فی الحقیقیة فإمّا أن لا یکون مقیّداً بقید، کقولک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یکون مقیّداً بقید یوجب انحصاره فی الموجود فی الخارج فی الحال و إن کان مقیّداً بغیره، نحو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عالم عادل کذا</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أشرنا إلی أنّه حیث إنّ ترتّب المحمول، إنّما هو علی مصداق من الطبیعة بحمل الموضوع علیه بالحمل الشائع لا غیره، فما لم یتحقّق الموضوع خارجاً لا یترتّب المحمول و الحکم علیه؛ لأنّ الموجود الذهنی لا یصدق علیه عنوانه و طبیعیه بالحمل الشائع، إذ المعتبر فی الحمل الشائع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اندراج الفرد تحت مفهوم ذلک الطبیعی و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ترتّب آثاره المطلوبة و المترتّبة علی ذلک الفرد، و واضح أنّ الموجود الذهنی و إن صدق علیه مفهوم الطبیعی باعتبار ما، إلّا أنّه لا یوجب ترتّب آثار الطبیعی، فانحصر الصدق فی ظرف الوجود الخارجی؛ من غیر أن یکون الوجود قیداً، و من غیر أن یفرض للمعدوم وجود، و من غیر أن تکون القضیة متضمّنة للشرط، فتدبّر</w:t>
      </w:r>
      <w:r>
        <w:rPr>
          <w:rFonts w:eastAsia="IRNazanin" w:cs="IRNazanin"/>
          <w:color w:val="111111"/>
          <w:sz w:val="28"/>
          <w:szCs w:val="28"/>
          <w:rtl w:val="true"/>
          <w:lang w:bidi="fa-IR"/>
        </w:rPr>
        <w:t>.</w:t>
      </w:r>
      <w:bookmarkStart w:id="713" w:name="pg12934_164823"/>
    </w:p>
    <w:p>
      <w:pPr>
        <w:pStyle w:val="Heading4"/>
        <w:numPr>
          <w:ilvl w:val="3"/>
          <w:numId w:val="1"/>
        </w:numPr>
        <w:rPr/>
      </w:pPr>
      <w:bookmarkStart w:id="714" w:name="__RefHeading___Toc4026549_3224264995"/>
      <w:bookmarkStart w:id="715" w:name="_Toc270"/>
      <w:bookmarkEnd w:id="713"/>
      <w:bookmarkEnd w:id="714"/>
      <w:r>
        <w:rPr>
          <w:rtl w:val="true"/>
        </w:rPr>
        <w:t>إشکالا عموم الخطابات الشفاهیة لغیر الحاضرین و جوابهما</w:t>
      </w:r>
      <w:bookmarkEnd w:id="715"/>
    </w:p>
    <w:p>
      <w:pPr>
        <w:pStyle w:val="BookText"/>
        <w:rPr/>
      </w:pPr>
      <w:r>
        <w:rPr>
          <w:rFonts w:ascii="IRNazanin" w:hAnsi="IRNazanin" w:eastAsia="IRNazanin"/>
          <w:color w:val="111111"/>
          <w:sz w:val="28"/>
          <w:sz w:val="28"/>
          <w:szCs w:val="28"/>
          <w:rtl w:val="true"/>
          <w:lang w:bidi="fa-IR"/>
        </w:rPr>
        <w:t>إذا تمهّد لک ما ذکرنا، فقد أشرنا إلی أنّه یمکن تقریر الإشکال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تعمیم الحکم فی العنوان المأخوذ موضوعاً للحکم بالنسبة إلی المعدوم، حیث إنّه یلزم منه توجّه التکلیف نحو المعدوم بما هو معدوم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تعمیم الخطاب الثابت للمعدوم، و معلوم أنّ المعدوم بما هو معدوم، لا یصلح لإثبات شی‌ء له، و لا علیه، و لا لتوجّه الخطاب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فملاک الإشکال و الإیراد فیهما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تخلّص عن الإشکال کلّ بوجه</w:t>
      </w:r>
      <w:r>
        <w:rPr>
          <w:rFonts w:eastAsia="IRNazanin" w:cs="IRNazanin"/>
          <w:color w:val="111111"/>
          <w:sz w:val="28"/>
          <w:szCs w:val="28"/>
          <w:rtl w:val="true"/>
          <w:lang w:bidi="fa-IR"/>
        </w:rPr>
        <w:t>.</w:t>
      </w:r>
    </w:p>
    <w:p>
      <w:pPr>
        <w:pStyle w:val="Heading4"/>
        <w:numPr>
          <w:ilvl w:val="3"/>
          <w:numId w:val="1"/>
        </w:numPr>
        <w:rPr/>
      </w:pPr>
      <w:bookmarkStart w:id="716" w:name="__RefHeading___Toc4026551_3224264995"/>
      <w:bookmarkStart w:id="717" w:name="_Toc271"/>
      <w:bookmarkEnd w:id="716"/>
      <w:r>
        <w:rPr>
          <w:rtl w:val="true"/>
        </w:rPr>
        <w:t>التحقیق فی جواب الإشکال الأوّل</w:t>
      </w:r>
      <w:bookmarkEnd w:id="717"/>
    </w:p>
    <w:p>
      <w:pPr>
        <w:pStyle w:val="BookText"/>
        <w:rPr/>
      </w:pPr>
      <w:r>
        <w:rPr>
          <w:rFonts w:ascii="Amiri" w:hAnsi="Amiri" w:eastAsia="Amiri" w:cs="Amiri"/>
          <w:color w:val="111111"/>
          <w:sz w:val="28"/>
          <w:sz w:val="28"/>
          <w:szCs w:val="28"/>
          <w:rtl w:val="true"/>
          <w:lang w:bidi="ar-SA"/>
        </w:rPr>
        <w:t>و الذی یقتضیه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یجاب عن الإشکال الأوّل بکون الحکم فیها علی نهج القضیة الحقیقیة، و ذلک لأنّ الموضوع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عَلَی النَّاسِ حِجُّ الْبَیْتِ مَنِ اسْتَطاعَ إِلَیْهِ سَبِیلًا</w:t>
      </w:r>
      <w:r>
        <w:rPr>
          <w:rFonts w:eastAsia="Amiri" w:cs="Amiri" w:ascii="Amiri" w:hAnsi="Amiri"/>
          <w:color w:val="111111"/>
          <w:sz w:val="28"/>
          <w:szCs w:val="28"/>
          <w:rtl w:val="true"/>
          <w:lang w:bidi="ar-SA"/>
        </w:rPr>
        <w:t>»</w:t>
      </w:r>
      <w:r>
        <w:rPr>
          <w:rStyle w:val="FootnoteAnchor"/>
          <w:rtl w:val="true"/>
        </w:rPr>
        <w:footnoteReference w:id="421"/>
      </w:r>
      <w:r>
        <w:rPr>
          <w:rFonts w:ascii="IRNazanin" w:hAnsi="IRNazanin" w:eastAsia="IRNazanin"/>
          <w:color w:val="111111"/>
          <w:sz w:val="28"/>
          <w:sz w:val="28"/>
          <w:szCs w:val="28"/>
          <w:rtl w:val="true"/>
          <w:lang w:bidi="fa-IR"/>
        </w:rPr>
        <w:t xml:space="preserve">هو الناس، و لم یؤخذ وجود الموضوع فی الحال شرطاً، و لا عدمه کذلک مانعاً عن تعلّق الحکم؛ بداهة أنّ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یصدق علی الموجودین فی زمان نزول الآیة المبارکة، فکذلک یصدق علی الموجودین قبله، و أمّا من لم یوجد فی ذاک الزمان، فحیث إنّه لم یکن شیئاً، لا یصدق علیه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 یلزم من ذلک عدم صدقه علیهم متی وجدوا، فمتی تحقّق وجود المستطیع خارجاً، یجب علیه الحجّ بلا تفاوت بین الأزمنة بعضها مع بعض، و الأمکنة کذلک</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شئت مزید توضیح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فی القضیة الخبریة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نار حارّة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علّق علی کلّ فرد من أفراد النار؛ موجودة کانت، أو ستوجد فیما بعد، و لا یلزم من ذلک تعلّق الحکم بالمعدومات؛ لأنّ صدق ماهیة النار و انطباق تلک الماهیة علی أفرادها، یتوقّف علی وجودها خارجاً، لا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مقیّد بوجودها الخارجی، بل حیث إنّ الإخبار، عن أفراد النار، و ما لم تکن موجودة لیست ناراً، فلا یصحّ الإخبار عنها، و لکن مع ذلک لا یلزم اختصاص الحکم بالنیران الموجودة حال الإخبار، بل یعمّها و ما ستوجد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المعدوم حیث إنّه لا شی‌ء محض، لا یصدق علیه عنوان من العناوین، بل یتوقّف صدق العنوان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صدقاً واقعیاً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وجوده الخارجی، فحیث إنّه لم یکن العنوان مقیّداً و مشروطاً بوقت، فمقتضی الإخبار عنه أنّه کلّما کان فرد حقیقی و مصداق شائع للنار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موجوداً فی الحال، أو سیوجد فی الاستقبال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حال القضیة الخبریّة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الأحکام المجعولة المتعلّقة بالعناوین، تکون شبیهة بالقضایا الحقیقیة؛ سواء تعلّق الحکم بکلّ فرد من أفراد العنوان، کما فی القضیة المحصورة، أو علی العنوان القابل للانطباق علی الأفراد، کما فی غیرها،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واضح أنّ کلّ ما یصدق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حلالًا، فما لم یوجد حیث إنّه لم یکن شیئاً فلا یصدق علیه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مع هذا لا یکون مخصوصاً بالبیوع الموجودة حال نزول الآیة الشریفة، بل یعمّها و ما یتحقّق و یوجد فی المستقبل</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لعمر الحقّ، إنّه لم ینقدح فی ذهن صحابی و لا فی خاطره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لا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الآیة الشریفة مختصّة بالبیوع المتحقّقة و الموجودة وقت ذاک، بل فهموا منها أنّها وظیفة مجعولة عند تحقّق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أو سیوجد</w:t>
      </w:r>
      <w:r>
        <w:rPr>
          <w:rFonts w:eastAsia="IRNazanin" w:cs="IRNazanin"/>
          <w:color w:val="111111"/>
          <w:sz w:val="28"/>
          <w:szCs w:val="28"/>
          <w:rtl w:val="true"/>
          <w:lang w:bidi="fa-IR"/>
        </w:rPr>
        <w:t>.</w:t>
      </w:r>
      <w:bookmarkStart w:id="718" w:name="pg12934_164825"/>
    </w:p>
    <w:p>
      <w:pPr>
        <w:pStyle w:val="BookText"/>
        <w:rPr/>
      </w:pPr>
      <w:bookmarkEnd w:id="718"/>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الحکم علی هذا، لا یستلزم توجّه التکلیف إلی المعدوم، بل غایة ما هناک جعل الحکم علی العنوان الذی لا ینطبق إلّا علی الموجود خارجاً، فالإشکال الأوّل ساقط</w:t>
      </w:r>
      <w:r>
        <w:rPr>
          <w:rFonts w:eastAsia="IRNazanin" w:cs="IRNazanin"/>
          <w:color w:val="111111"/>
          <w:sz w:val="28"/>
          <w:szCs w:val="28"/>
          <w:rtl w:val="true"/>
          <w:lang w:bidi="fa-IR"/>
        </w:rPr>
        <w:t>.</w:t>
      </w:r>
    </w:p>
    <w:p>
      <w:pPr>
        <w:pStyle w:val="Heading4"/>
        <w:numPr>
          <w:ilvl w:val="3"/>
          <w:numId w:val="1"/>
        </w:numPr>
        <w:rPr/>
      </w:pPr>
      <w:bookmarkStart w:id="719" w:name="__RefHeading___Toc4026553_3224264995"/>
      <w:bookmarkStart w:id="720" w:name="_Toc272"/>
      <w:bookmarkEnd w:id="719"/>
      <w:r>
        <w:rPr>
          <w:rtl w:val="true"/>
        </w:rPr>
        <w:t>التحقیق فی جواب الإشکال الثانی</w:t>
      </w:r>
      <w:bookmarkEnd w:id="720"/>
    </w:p>
    <w:p>
      <w:pPr>
        <w:pStyle w:val="BookText"/>
        <w:rPr/>
      </w:pPr>
      <w:r>
        <w:rPr>
          <w:rFonts w:ascii="IRNazanin" w:hAnsi="IRNazanin" w:eastAsia="IRNazanin"/>
          <w:color w:val="111111"/>
          <w:sz w:val="28"/>
          <w:sz w:val="28"/>
          <w:szCs w:val="28"/>
          <w:rtl w:val="true"/>
          <w:lang w:bidi="fa-IR"/>
        </w:rPr>
        <w:t>و أمّا 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عدم صلاحیة المعدوم لتوجّه الخطاب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تنحلّ عقدته بالقضیة الحقیقیة، کما انحلّ الإشکال الأوّل بها، خلافاً للمحقّق النائینی قدس سره حیث تصدّی لدفع الإشکال الثانی بالقضیة الحقیقیة أیضاً؛ و ذلک لأنّ الموضوع له فی أدوات الخطاب و النداء، لیس معنی کلّیاً شمولیاً، بل جزئیاً شخصیاً، فالخطاب و التخاطب یتوجّه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نحو التوجّه التکوینی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المتکلّم و المخاطَب، فإذا لم یکن المخاطَب موجوداً متحقّقاً فلا یصدق الخطاب و المخاطبة، فلا یمکن إیقاع التخاطب علی العنوان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أدوات الخطاب و النداء وضعت لإیجاد الخطاب و النداء، لا مفهومهما، و المخاطبة نحو توجّه إلی المخاطب توجهاً جزئیاً مشخّصاً، فلا یمکن أن یکون متوجّهاً بنحو الخطاب الحقیقی إلی أفراد العنوان؛ حتّی یکون کلّ فرد مخاطباً بالخطاب الحقیقی فی ظرف وجوده، فإذن لا یتصوّر 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کلّی، فلا یمکن تصحیحه بالقضیة الحقیقیة، فلا بدّ من حلّ العقدة و الإشکال من طریق آخر</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التحقیق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خطابات اللَّه تعالی فی القرآن، لم تقع بینه تعالی و بین المؤمنین، و لم یکن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الحاضرین مجلس الوحی أو فی مسجد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مخاطبین بها؛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بِهِ الرُّوحُ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قَلْبِکَ لِتَکُونَ مِنَ</w:t>
      </w:r>
    </w:p>
    <w:p>
      <w:pPr>
        <w:pStyle w:val="BookText"/>
        <w:rPr/>
      </w:pPr>
      <w:r>
        <w:rPr>
          <w:rFonts w:ascii="Amiri" w:hAnsi="Amiri" w:eastAsia="Amiri" w:cs="Amiri"/>
          <w:color w:val="111111"/>
          <w:sz w:val="28"/>
          <w:sz w:val="28"/>
          <w:szCs w:val="28"/>
          <w:rtl w:val="true"/>
          <w:lang w:bidi="ar-SA"/>
        </w:rPr>
        <w:t>الْمُنْذِرِینَ</w:t>
      </w:r>
      <w:r>
        <w:rPr>
          <w:rFonts w:eastAsia="Amiri" w:cs="Amiri" w:ascii="Amiri" w:hAnsi="Amiri"/>
          <w:color w:val="111111"/>
          <w:sz w:val="28"/>
          <w:szCs w:val="28"/>
          <w:rtl w:val="true"/>
          <w:lang w:bidi="ar-SA"/>
        </w:rPr>
        <w:t>»</w:t>
      </w:r>
      <w:r>
        <w:rPr>
          <w:rStyle w:val="FootnoteAnchor"/>
          <w:rtl w:val="true"/>
        </w:rPr>
        <w:footnoteReference w:id="422"/>
      </w:r>
      <w:r>
        <w:rPr>
          <w:rFonts w:ascii="IRNazanin" w:hAnsi="IRNazanin" w:eastAsia="IRNazanin"/>
          <w:color w:val="111111"/>
          <w:sz w:val="28"/>
          <w:sz w:val="28"/>
          <w:szCs w:val="28"/>
          <w:rtl w:val="true"/>
          <w:lang w:bidi="fa-IR"/>
        </w:rPr>
        <w:t>، فإنّه نصّ علی أنّ الوحی إنّما کان علی شخص رسول اللَّه صلی الله علیه و آله و سلم بل الغالب فی 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الآیات و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الوحی بواسطة أمین وحیه جبرائیل علیه السلام فجبرائیل غالباً کان حاکیاً لتلک الخطابات منه تعالی إلی رسوله، فالقرآن هو حکایة الخطاب بلا واسطة، أو بواسطة أمین الوحی، و علی أیّ حال لم یکن الحاضرون مجلس الوحی مخاطبین، فضلًا عن غیرهم؛ لأنّ کلام اللَّه تعالی و خطاباته، لم تکن مسموعة لأحد من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لو کان تصدیر الحکم بأداة الخطاب أو النداء موجباً للتّزلزل و الاضطراب بالنسبة إلی المعدوم حال الخطاب، فلا بدّ و أن یکون موجباً له بالنسبة إلی الموجودین فی زمن الخطاب و النداء أیضاً، بل بالنسبة إلی الحاضرین مجلس الوحی أیضاً؛ لعدم المخاطبة المباشرة بینه تعالی و بین العباد، فجبرائیل علیه السلام غالباً حاکٍ لرسول اللَّه صلی الله علیه و آله و سلم و هو صلی الله علیه و آله و سلم حاکٍ بالواسطة، فحال الحاضرین زمن النبی صلی الله علیه و آله و سلم و مجلس الوحی، حال غیرهم من حیث عدم خطاب لفظی من اللَّه سبحانه إلیهم، و لا یکون الناس صالحین لمخاطبته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کلّه حکایة لما أنزله اللَّه تعالی علی قلب رسوله الأعظم، فقوله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إِذا نُودِیَ لِلصَّلاةِ مِنْ یَوْمِ الْجُمُعَةِ </w:t>
      </w:r>
      <w:r>
        <w:rPr>
          <w:rFonts w:eastAsia="Amiri" w:cs="Amiri" w:ascii="Amiri" w:hAnsi="Amiri"/>
          <w:color w:val="111111"/>
          <w:sz w:val="28"/>
          <w:szCs w:val="28"/>
          <w:rtl w:val="true"/>
          <w:lang w:bidi="ar-SA"/>
        </w:rPr>
        <w:t>...»</w:t>
      </w:r>
      <w:r>
        <w:rPr>
          <w:rStyle w:val="FootnoteAnchor"/>
          <w:rtl w:val="true"/>
        </w:rPr>
        <w:footnoteReference w:id="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حکایة لخطابه تعالی إیّاه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یکن رسول اللَّه صلی الله علیه و آله و سلم مخاطَباً، بل مبلّغاً لما أوحی اللَّه تعالی لقلبه</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نظیر قولک لصاحبک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لفلان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الخطابات القرآنیة شبیهة</w:t>
      </w:r>
      <w:bookmarkStart w:id="721" w:name="pg12934_164827"/>
    </w:p>
    <w:p>
      <w:pPr>
        <w:pStyle w:val="BookText"/>
        <w:rPr/>
      </w:pPr>
      <w:bookmarkEnd w:id="721"/>
      <w:r>
        <w:rPr>
          <w:rFonts w:ascii="IRNazanin" w:hAnsi="IRNazanin" w:eastAsia="IRNazanin"/>
          <w:color w:val="111111"/>
          <w:sz w:val="28"/>
          <w:sz w:val="28"/>
          <w:szCs w:val="28"/>
          <w:rtl w:val="true"/>
          <w:lang w:bidi="fa-IR"/>
        </w:rPr>
        <w:t>بالخطابات المصدّرة فی أوائل الکتب و الرسائل،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اعلم أیّدک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الخطابات الکتابیة باقیة إلی زماننا و نسبة الأوّلین و الآخرین إلیها علی حدّ سواء، فکذلک الخطابات القرآنیة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المحذور کلّ المحذور فی عدم إجراء القضیة الحقیقیة، هو عدم معقولیة أصل الخطاب، و أمّا حکایة الخطاب فیمکن إجراؤها فیه، فتنحلّ العقدة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المنهج الذی أشرنا إلیه فی وضع القوانین و تبلیغها، لم یکن مختصاً بالقوانین الإسلامیة، بل هو جارٍ و متداول بین جمیع أرباب القوانین؛ ضرورة أنّ مقنّن القوانین عندهم غیر مبلّغها، فلکلّ شأن یخصّه، فتری أنّ المقنّن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واحداً، أو متعدّداً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یضع القوانین، و بعد وضعها یتشبّث فی إبلاغها و إعلامها بالکتب و الصحف و المذیاع و التلفزیون و نحوها، فالهیئة المقنّنة غیر الهیئة المبلّغة، فلیس الأمر فی القوانین العرفیة و السیاسیة، نظیر الخطابات أو النداءات، و لم یکن المبلّغ مخاطِباً و منادیاً لأفراد الحکومة، بل کان ناقلًا و حاکیاً للخطاب و 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جریانها علی نهج الخطاب و النداء فی هذه القوانین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الرسول الأکرم صلی الله علیه و آله و سلم ناقل لخطاب اللَّه تعالی لا مخاطب، و أنّ الصحابة و الحاضرین مجلس الوحی و مسجد النبی، لیسوا بمخاطبین، فحالهم و المعدومون سواء من هذه الجهة، فتأمّل و تدبّر فیما ذکرنا، و کن من الشاکرین</w:t>
      </w:r>
      <w:r>
        <w:rPr>
          <w:rFonts w:eastAsia="IRNazanin" w:cs="IRNazanin"/>
          <w:color w:val="111111"/>
          <w:sz w:val="28"/>
          <w:szCs w:val="28"/>
          <w:rtl w:val="true"/>
          <w:lang w:bidi="fa-IR"/>
        </w:rPr>
        <w:t>.</w:t>
      </w:r>
    </w:p>
    <w:p>
      <w:pPr>
        <w:pStyle w:val="Heading4"/>
        <w:numPr>
          <w:ilvl w:val="3"/>
          <w:numId w:val="1"/>
        </w:numPr>
        <w:rPr/>
      </w:pPr>
      <w:bookmarkStart w:id="722" w:name="__RefHeading___Toc4026555_3224264995"/>
      <w:bookmarkStart w:id="723" w:name="_Toc273"/>
      <w:bookmarkEnd w:id="722"/>
      <w:r>
        <w:rPr>
          <w:rtl w:val="true"/>
        </w:rPr>
        <w:t>تتمّة</w:t>
      </w:r>
      <w:r>
        <w:rPr>
          <w:rtl w:val="true"/>
        </w:rPr>
        <w:t xml:space="preserve">: </w:t>
      </w:r>
      <w:r>
        <w:rPr>
          <w:rtl w:val="true"/>
        </w:rPr>
        <w:t>فی ثمرة النزاع</w:t>
      </w:r>
      <w:bookmarkEnd w:id="723"/>
    </w:p>
    <w:p>
      <w:pPr>
        <w:pStyle w:val="BookText"/>
        <w:rPr/>
      </w:pPr>
      <w:r>
        <w:rPr>
          <w:rFonts w:ascii="IRNazanin" w:hAnsi="IRNazanin" w:eastAsia="IRNazanin"/>
          <w:color w:val="111111"/>
          <w:sz w:val="28"/>
          <w:sz w:val="28"/>
          <w:szCs w:val="28"/>
          <w:rtl w:val="true"/>
          <w:lang w:bidi="fa-IR"/>
        </w:rPr>
        <w:t>حکی المحقّق الخراسانی قدس سره ثمرتین لعموم الخطابات الشفاهیة للمعدومین</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الثمرة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کانت ألفاظ العمومات شاملة للمعدومین، لکانت ظواهر الکتاب العزیز حجّة لنا، کما کانت للمشافهین، فیصحّ لنا التمسّک</w:t>
      </w:r>
    </w:p>
    <w:p>
      <w:pPr>
        <w:pStyle w:val="BookText"/>
        <w:rPr/>
      </w:pPr>
      <w:r>
        <w:rPr>
          <w:rFonts w:ascii="IRNazanin" w:hAnsi="IRNazanin" w:eastAsia="IRNazanin"/>
          <w:color w:val="111111"/>
          <w:sz w:val="28"/>
          <w:sz w:val="28"/>
          <w:szCs w:val="28"/>
          <w:rtl w:val="true"/>
          <w:lang w:bidi="fa-IR"/>
        </w:rPr>
        <w:t>بهذه الألفاظ، و أمّا لو قلنا باختصاصها بالمشافهین فتنحصر حجّیة الظهور بالمشافهین، فلا یصحّ للغائبین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المعدومین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 بظواهر خطابات الکتاب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ناقش المحقّق الخراسانی قدس سره فی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مبنیّة علی اختصاص حجّیة الظهور بمن قصد إفهامه، دون غیره، کما هی مقالة المحقّق القمّی قدس سره</w:t>
      </w:r>
      <w:r>
        <w:rPr>
          <w:rStyle w:val="FootnoteAnchor"/>
          <w:rtl w:val="true"/>
        </w:rPr>
        <w:footnoteReference w:id="424"/>
      </w:r>
      <w:r>
        <w:rPr>
          <w:rFonts w:ascii="IRNazanin" w:hAnsi="IRNazanin" w:eastAsia="IRNazanin"/>
          <w:color w:val="111111"/>
          <w:sz w:val="28"/>
          <w:sz w:val="28"/>
          <w:szCs w:val="28"/>
          <w:rtl w:val="true"/>
          <w:lang w:bidi="fa-IR"/>
        </w:rPr>
        <w:t>و علی کون غیر المخاطبین غیر مقصودین بالإفهام، مع أنّه قد حقّق فی محلّه عدم اختصاص حجّیة الظواهر بمن قصد إفهامه، بل تعمّ غیرهم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سلّم اختصاصها بمن قصد إفهامه، و لکن 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الناس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مقصودون بالإفهام، کما نطق به غیر واحد من الأخبار، فلا ثمرة فی البین</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مراده قدس سره بعدم الثمرة، هو عدم الثمرة العملیة؛ لأنّ من المعلوم أنّها مقصورة علی ما إذا قلنا باختصاص الخطاب بالمشافهین، و کانوا هم المقصودین بالإفهام فقط؛ ضرورة أنّه علی ذلک لا یصحّ لنا التمسّک بظواهر الخطابات المتوجّهة إلی المشافهین، حتّی یجری فی حقّنا بدلیل اشتراک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قلنا بعدم اختصاص حجّیة الظواهر بمن قصد إفهامه، و أنّه یجوز لغیرهم التمسّک بها أیضاً، فیجوز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کنّا غیر مقصودین بالإفهام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بها، حال المقصودین بالإفهام؛ بدلیل اشتراک التکلیف من الإجماع و الضرورة، فتثبت علینا الأحکام الثابتة فی حقّهم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یصحّ تمسّکنا بها لو کنّا نحن أیضاً مقصودین بالإفهام، و هو واضح</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الثمرة إنّما تترتّب فی صورة کون حجّیة الظهور، مختصّة بمن قصد إفهامه، و کان المشافهون هم المقصودین بالإفهام،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أنکر المحقّق النائینی قدس سره ابتناء الثمرة علی مقالة المحقّق القمّی قدس سره القائل باختصاص الظواهر بمن قصد إفهامه، کما یراه المحقّق الخراسانی قدس سره قائلًا 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الخطابات الشفاهیة لو کانت مقصورة علی المشافهین و لا تعمّ غیرهم، فلا معنی للرجوع إلیها و حجّیتها فی حقّ الغیر؛ سواء قلنا بمقالة المحقّق القمّی قدس سره أو لم نقل، فلا ابتناء للثمرة علی ذلک أصلًا</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ما لا یخفی، و کأنّه قدس سره لم یدقّق النظر فی مقال المحقّق الخراسانی قدس سره فتوهّم أنّه یرید إثبات حکم المعدومین بنفس الخطابات، و لذا أورد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علی القول باختصاصها بالمشافهین، لا معنی لرجوع المعدومین، مع أنّه لم یرد ذلک، و لم یرد علی القول بالتعمیم صحّة التمسّک بالظواهر، بل بصدد بیان أنّ المحقّق فی محلّه اشتراکنا معهم فی التکلیف، و عدم اختصاص حجّیة الظواهر بمن قصد إفهامه، فیمکننا استظهار ما یکون ثابتاً فی حقّهم، فیتمسّک لإثباته فی حقّنا بدلیل اشتراک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قلنا باختصاص فهم الظواهر بمن کان حاضراً مجلس الوحی، فلا یمکننا استظهار ما یکون ثابتاً فی حقّهم؛ حتّی یسری فی حقّنا بدلیل الاشتراک فی التکلیف،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الإشکال إنّما یتوجّه علی المحقّق الخراسانی قدس سره لو أراد استفادة حکم المعدومین من نفس دلیل الخطاب، مع أنّه لم یرد ذلک، بل أراد استظهار ما یکون ثابتاً فی حقّهم، ثمّ إثباته فی حقّنا بدلیل الاشتراک، فتدبّر</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و أمّا الثمرة الثانیة فمحطّ النظر فیها، هو صحّة تمسّک المعدومین بإطلاقات الخطابات لتکلیف أنفسهم و عدمها، فإن قلنا بتعمیم الخطاب للمعدومین فیصحّ لهم التمسّک بها مطلقاً؛ سواء احرزت وحدة الصنف مع المشافهین أولا، و أمّا إن قلنا باختصاصها بالمشافهین، فلا یصحّ للمعدومین التمسّک بها، فلا بدّ لإثبات الحکم فی حقّهم من التشبّث بدلیل الاشتراک، و حیث إنّه لم یکن لدلیل الاشتراک إطلاق فیقتصر فیما إذا احرزت وحدة الصنف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تصویر ثمرتین للنزاع، تکون إحداهما مبنیّة علی مقالة المحقّق القمّی قدس سره دون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أحطت خبراً بما ذکرنا، یظهر النظر فیما قاله المحقّق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لم یظهر لنا الفرق بین الثمرتین، بل مرجعهما إلی أمر واحد، و إنّما التفاوت فی التعبیر فقط، فجعل إحدی الثمرتین مبنیة علی مقالة المحقّق القمّی قدس سره دون الاخری، لا وجه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 و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المقرّر حفظه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الاصول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الثمرة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التمسّک بإطلاقات الخطابات القرآنیة بناءً علی شمولها للمعدومین بعد وجودهم و بلوغهم؛ و إن لم یکونوا متحدین مع المشافهین فی الصنف، و عدم صحّة التمسّک بها لهم بناءً علی عدم الشمول؛ لعدم کونها حینئذٍ متکفّلة لأحکام غیر المشافهین فی الأحکام، لأنّه لا دلیل علی الاشتراک إلّا الإجماع و الضرورة، و القدر المتیقّن منهما هوما إذا اتحدا فی الصنف</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ناقش المحقّق الخراسانی قدس سره فی هذه الثمرة أیضاً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إثبات الاتحاد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الصنف و دفع دخل ما یحتمل دخالته فی توجّه الخطاب إلی المشافهین دوننا بإطلاق الخطاب؛ لأنّ مقتضی إطلاق الخطاب و عدم تقییده بقید دالّ علی اختصاصه بالمشافهین، هو صحّة التمسّک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فیما إذا کان القید المحتمل</w:t>
      </w:r>
    </w:p>
    <w:p>
      <w:pPr>
        <w:pStyle w:val="BookText"/>
        <w:rPr/>
      </w:pPr>
      <w:r>
        <w:rPr>
          <w:rFonts w:ascii="IRNazanin" w:hAnsi="IRNazanin" w:eastAsia="IRNazanin"/>
          <w:color w:val="111111"/>
          <w:sz w:val="28"/>
          <w:sz w:val="28"/>
          <w:szCs w:val="28"/>
          <w:rtl w:val="true"/>
          <w:lang w:bidi="fa-IR"/>
        </w:rPr>
        <w:t>دخالته، مقارناً غیر ملازم لهم؛ حتّی یصحّ أن یقال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کان دخیلًا فلا بدّ و أن یذکر فی لسان الخطاب، و إلّا یلزم نقض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القید لازماً لهم، فلا یکاد یصحّ التمسّک بإطلاق الخطاب؛ لعدم لزوم نقض الغرض لو ارید القید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احتملنا أنّ التکلیف المتوجّه إلی المشافهین، مشروط بشرط کانوا واجدین له دوننا، فلا یکاد یصحّ التمسّک بالإطلاق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یبعد دعوی ذلک، فلا ثمرة فی البین</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شیخنا العلّامة الحائری قدس سره فظاهره الاعتراف بأصل الثمرة، و لکنّه أنکر وجودها خارجاً؛ لأنّه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 الخارج أمر یشترک فیه جمیع المشافهین إلی آخر عمرهم، و لا یوجد عندنا، و حینئذٍ لو احتملنا اشتراط شی‌ء یوجد فی بعضهم دون آخر أو فی بعض الحالات دون اخری، تدفعه أصالة الإطلاق</w:t>
      </w:r>
      <w:r>
        <w:rPr>
          <w:rFonts w:eastAsia="IRNazanin" w:cs="IRNazanin"/>
          <w:color w:val="111111"/>
          <w:sz w:val="28"/>
          <w:szCs w:val="28"/>
          <w:rtl w:val="true"/>
          <w:lang w:bidi="fa-IR"/>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یمکن القول بظهور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مثل دخالة حضور الرسول الأعظم و الإمام المعظّم صلوات اللَّه علیهما فی وجوب أمر، أو إحرازه، مثلًا لو احتمل أنّ حضور المعصوم صلوات اللَّه علیه شرط لوجوب صلاة الجمعة أو جوازها، فعلی القول بتعمیم الخطاب لغیر المشافهین یصحّ التمسّک لهم بإطلاق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إِذا نُودِیَ لِلصَّلاةِ مِنْ یَوْمِ الْجُمُعَةِ فَاسْعَوْا إِلی ذِکْرِ اللَّهِ</w:t>
      </w:r>
      <w:r>
        <w:rPr>
          <w:rFonts w:eastAsia="Amiri" w:cs="Amiri" w:ascii="Amiri" w:hAnsi="Amiri"/>
          <w:color w:val="111111"/>
          <w:sz w:val="28"/>
          <w:szCs w:val="28"/>
          <w:rtl w:val="true"/>
          <w:lang w:bidi="ar-SA"/>
        </w:rPr>
        <w:t>»</w:t>
      </w:r>
      <w:r>
        <w:rPr>
          <w:rStyle w:val="FootnoteAnchor"/>
          <w:rtl w:val="true"/>
        </w:rPr>
        <w:footnoteReference w:id="430"/>
      </w:r>
      <w:r>
        <w:rPr>
          <w:rFonts w:ascii="IRNazanin" w:hAnsi="IRNazanin" w:eastAsia="IRNazanin"/>
          <w:color w:val="111111"/>
          <w:sz w:val="28"/>
          <w:sz w:val="28"/>
          <w:szCs w:val="28"/>
          <w:rtl w:val="true"/>
          <w:lang w:bidi="fa-IR"/>
        </w:rPr>
        <w:t>و تدفع بذلک شرطیة الحضور؛ لأنّه لو کان شرطاً لکان علیه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قلنا باختصاص الخطاب بالمشافهین، فیصحّ التمسّک لهم دوننا، و لا یلزم من عدم ذکر شرطیة الحضور، نقض فی حقّهم بعد تحقّق الشرط بالنسبة إلیهم إلی آخر أعمار الحاضرین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من بقی منهم إلی غیبة بقیة اللَّه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من کلّ مکروه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یشکل تمسّکه</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 تصویر وجود الثمرة فی الجملة، فتدبّر</w:t>
      </w:r>
      <w:r>
        <w:rPr>
          <w:rFonts w:eastAsia="IRNazanin" w:cs="IRNazanin"/>
          <w:color w:val="111111"/>
          <w:sz w:val="28"/>
          <w:szCs w:val="28"/>
          <w:rtl w:val="true"/>
          <w:lang w:bidi="fa-IR"/>
        </w:rPr>
        <w:t>.</w:t>
      </w:r>
      <w:bookmarkStart w:id="724" w:name="pg12934_164833"/>
    </w:p>
    <w:p>
      <w:pPr>
        <w:pStyle w:val="BookText"/>
        <w:rPr/>
      </w:pPr>
      <w:bookmarkEnd w:id="724"/>
      <w:r>
        <w:rPr>
          <w:rFonts w:ascii="IRNazanin" w:hAnsi="IRNazanin" w:eastAsia="IRNazanin"/>
          <w:color w:val="111111"/>
          <w:sz w:val="28"/>
          <w:sz w:val="28"/>
          <w:szCs w:val="28"/>
          <w:rtl w:val="true"/>
          <w:lang w:bidi="fa-IR"/>
        </w:rPr>
        <w:t>العامّ المتعقّب بالضمیر</w:t>
      </w:r>
    </w:p>
    <w:p>
      <w:pPr>
        <w:pStyle w:val="Heading3"/>
        <w:numPr>
          <w:ilvl w:val="2"/>
          <w:numId w:val="1"/>
        </w:numPr>
        <w:rPr/>
      </w:pPr>
      <w:bookmarkStart w:id="725" w:name="__RefHeading___Toc4026557_3224264995"/>
      <w:bookmarkStart w:id="726" w:name="_Toc274"/>
      <w:bookmarkEnd w:id="725"/>
      <w:r>
        <w:rPr>
          <w:rtl w:val="true"/>
        </w:rPr>
        <w:t>المبحث الخامس فی أنّ العامّ المتعقّب بضمیر علم إرادة بعض</w:t>
      </w:r>
      <w:bookmarkEnd w:id="726"/>
    </w:p>
    <w:p>
      <w:pPr>
        <w:pStyle w:val="Heading4"/>
        <w:numPr>
          <w:ilvl w:val="3"/>
          <w:numId w:val="1"/>
        </w:numPr>
        <w:rPr/>
      </w:pPr>
      <w:bookmarkStart w:id="727" w:name="__RefHeading___Toc4026559_3224264995"/>
      <w:bookmarkStart w:id="728" w:name="_Toc275"/>
      <w:bookmarkEnd w:id="727"/>
      <w:r>
        <w:rPr>
          <w:rtl w:val="true"/>
        </w:rPr>
        <w:t>اشارة</w:t>
      </w:r>
      <w:bookmarkEnd w:id="728"/>
    </w:p>
    <w:p>
      <w:pPr>
        <w:pStyle w:val="BookText"/>
        <w:rPr/>
      </w:pPr>
      <w:r>
        <w:rPr>
          <w:rFonts w:ascii="Amiri" w:hAnsi="Amiri" w:eastAsia="Amiri" w:cs="Amiri"/>
          <w:color w:val="111111"/>
          <w:sz w:val="28"/>
          <w:sz w:val="28"/>
          <w:szCs w:val="28"/>
          <w:rtl w:val="true"/>
          <w:lang w:bidi="ar-SA"/>
        </w:rPr>
        <w:t>أفراد العامّ جدّاً، هل یوجب تخصیص العامّ، أم لا؟</w:t>
      </w:r>
    </w:p>
    <w:p>
      <w:pPr>
        <w:pStyle w:val="BookText"/>
        <w:rPr/>
      </w:pPr>
      <w:r>
        <w:rPr>
          <w:rFonts w:ascii="IRNazanin" w:hAnsi="IRNazanin" w:eastAsia="IRNazanin"/>
          <w:color w:val="111111"/>
          <w:sz w:val="28"/>
          <w:sz w:val="28"/>
          <w:szCs w:val="28"/>
          <w:rtl w:val="true"/>
          <w:lang w:bidi="fa-IR"/>
        </w:rPr>
        <w:t>عنون القوم 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تعقّب العامّ بضمیر یرجع إلی بعض أفراد العامّ، فهل یوجب ذلک تخصیص العامّ به،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المناسب ترکه؛ لأنّ ظاهره تسلیم رجوع الضمیر إلی بعض الأفراد، مع أنّه لم یعلم ذلک، بل غایة ما هناک العلم باختصاص الحکم فی مورد الضمیر ببعض أفراد العامّ جدّاً، لا أنّ الضمیر یرجع إلی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 فی عنوان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تعقّب العامّ بکلام متصل أو منفصل مشتمل علی ضمیر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نفس الکلام، أو من قرینة عقلیة أو نحوها أنّه ارید منه بعض أفراد العامّ جدّاً، فهل یوجب ذلک تخصیصاً فی العامّ مطلقاً، أو یفصّل بین الموارد؟</w:t>
      </w:r>
    </w:p>
    <w:p>
      <w:pPr>
        <w:pStyle w:val="Heading4"/>
        <w:numPr>
          <w:ilvl w:val="3"/>
          <w:numId w:val="1"/>
        </w:numPr>
        <w:rPr/>
      </w:pPr>
      <w:bookmarkStart w:id="729" w:name="__RefHeading___Toc4026561_3224264995"/>
      <w:bookmarkStart w:id="730" w:name="_Toc276"/>
      <w:bookmarkEnd w:id="729"/>
      <w:r>
        <w:rPr>
          <w:rtl w:val="true"/>
        </w:rPr>
        <w:t>تحدید محطّ البحث فی المقام</w:t>
      </w:r>
      <w:bookmarkEnd w:id="730"/>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محطّ البحث ما إذا اشتمل کلّ من العامّ و المشتمل علی الضمیر علی حکم علی حدة؛ سواء کان الحکمان مختلفین،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الْمُطَلَّقاتُ یَتَرَبَّصْنَ</w:t>
      </w:r>
    </w:p>
    <w:p>
      <w:pPr>
        <w:pStyle w:val="BookText"/>
        <w:rPr/>
      </w:pPr>
      <w:r>
        <w:rPr>
          <w:rFonts w:ascii="Amiri" w:hAnsi="Amiri" w:eastAsia="Amiri" w:cs="Amiri"/>
          <w:color w:val="111111"/>
          <w:sz w:val="28"/>
          <w:sz w:val="28"/>
          <w:szCs w:val="28"/>
          <w:rtl w:val="true"/>
          <w:lang w:bidi="ar-SA"/>
        </w:rPr>
        <w:t>بِأَنْفُسِهِنَّ ثَلاثَةَ قُرُوءٍ وَ لا یَحِلُّ لَهُنَّ أَنْ یَکْتُمْنَ ما خَلَقَ اللَّهُ فِی أَرْحامِهِنَّ إِنْ کُنَّ یُؤْمِنَّ بِاللَّهِ وَ الْیَوْمِ الْآخِرِ وَ بُعُولَتُهُنَّ أَحَقُّ بِرَدِّهِنَّ فِی ذلِکَ</w:t>
      </w:r>
      <w:r>
        <w:rPr>
          <w:rFonts w:eastAsia="Amiri" w:cs="Amiri" w:ascii="Amiri" w:hAnsi="Amiri"/>
          <w:color w:val="111111"/>
          <w:sz w:val="28"/>
          <w:szCs w:val="28"/>
          <w:rtl w:val="true"/>
          <w:lang w:bidi="ar-SA"/>
        </w:rPr>
        <w:t>»</w:t>
      </w:r>
      <w:r>
        <w:rPr>
          <w:rStyle w:val="FootnoteAnchor"/>
          <w:rtl w:val="true"/>
        </w:rPr>
        <w:footnoteReference w:id="431"/>
      </w:r>
      <w:r>
        <w:rPr>
          <w:rFonts w:ascii="IRNazanin" w:hAnsi="IRNazanin" w:eastAsia="IRNazanin"/>
          <w:color w:val="111111"/>
          <w:sz w:val="28"/>
          <w:sz w:val="28"/>
          <w:szCs w:val="28"/>
          <w:rtl w:val="true"/>
          <w:lang w:bidi="fa-IR"/>
        </w:rPr>
        <w:t>، حیث إنّ من المعلوم أنّ حکم حقّ الرجوع مختصّ بالرجعیات، لا البائنات، فالضمیر راجع إلی بعض مدلول المطلّقات، أو کانا من سنخ واحد،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 و خدّامهم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من الخارج أنّ المراد خصوص خدّام عدولهم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الحکم واحداً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المطلّقات أزواجهنّ أحقّ بردّهنّ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خارج عن محطّ البحث، و لا إشکال فی تخصیصه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هل یختصّ محطّ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إذا علم من دلیل خارجی منفصل، عدم إرادة العموم، کالآیة المبارکة، حیث علم من الخارج و من السنّة، أنّ حقّ الرجوع لیس إلّا للرجعیات، و إلّا فظاهر الآیة التعمیم لجمیع المطلّقات، أو یکون مختصّاً بما إذا علم عدم إرادة العموم بقرینة عقلیة، أو لفظیة حافّة بالکلام،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أهن الفسّاق و اقتلهم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نعلم بضرورة الشرع، أنّ مطلق مرتکب الفسق لا یجوز قتله، فما ظنّک بوجوبه؟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مختصّ ببعضهم، کالمرتدّ و نحوه، أو محطّ البحث یعمّهما؟</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منهم عدم اختصاص محطّ البحث بما إذا علم عدم إرادة العموم بقرینة عقلیة أو لفظیة حافّة بالکلام، بل یعمّ ما إن علم من دلیل خارجی منفصل عدم إرادة العموم؛ بقرینة تمثیلهم بالآیة المبارکة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فی خواطرک من هذه النسبة شی‌ء، فهذا غیر مهمّ بعد إمکان عقد البحث علی النحو العامّ استیفاء لجوانب المسألة</w:t>
      </w:r>
      <w:r>
        <w:rPr>
          <w:rFonts w:eastAsia="IRNazanin" w:cs="IRNazanin"/>
          <w:color w:val="111111"/>
          <w:sz w:val="28"/>
          <w:szCs w:val="28"/>
          <w:rtl w:val="true"/>
          <w:lang w:bidi="fa-IR"/>
        </w:rPr>
        <w:t>.</w:t>
      </w:r>
      <w:bookmarkStart w:id="731" w:name="pg12934_164835"/>
    </w:p>
    <w:p>
      <w:pPr>
        <w:pStyle w:val="Heading4"/>
        <w:numPr>
          <w:ilvl w:val="3"/>
          <w:numId w:val="1"/>
        </w:numPr>
        <w:rPr/>
      </w:pPr>
      <w:bookmarkStart w:id="732" w:name="__RefHeading___Toc4026563_3224264995"/>
      <w:bookmarkStart w:id="733" w:name="_Toc277"/>
      <w:bookmarkEnd w:id="731"/>
      <w:bookmarkEnd w:id="732"/>
      <w:r>
        <w:rPr>
          <w:rtl w:val="true"/>
        </w:rPr>
        <w:t>بیان مختارنا و أنّه التفصیل</w:t>
      </w:r>
      <w:bookmarkEnd w:id="733"/>
    </w:p>
    <w:p>
      <w:pPr>
        <w:pStyle w:val="BookText"/>
        <w:rPr/>
      </w:pPr>
      <w:r>
        <w:rPr>
          <w:rFonts w:ascii="IRNazanin" w:hAnsi="IRNazanin" w:eastAsia="IRNazanin"/>
          <w:color w:val="111111"/>
          <w:sz w:val="28"/>
          <w:sz w:val="28"/>
          <w:szCs w:val="28"/>
          <w:rtl w:val="true"/>
          <w:lang w:bidi="fa-IR"/>
        </w:rPr>
        <w:t>التحقیق فی المقام هو التفصیل؛ فإذا لم یکن فی الکلام قرینة متصلة توجب اختصاص الحکم فی ناحیة الضمیر ببعض أفراد العامّ، بل فهم ذلک من دلیل منفصل، فلا یوجب ذلک قدحاً فی عموم العامّ و مجازیته فیه، بل حکمه حکم سائر العمومات، و قد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بما لا مزید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ألفاظ العموم مستعملة فی معانیها؛ ففی الآیة المبارکة اطلقت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ارید منها جمیع المطلّقات، و لو لا قیام الدلیل من الخارج و السنّة علی اختصاص الحکم فی مورد الضمیر بالرجعیات لحکمنا برجوع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بُعُولَتُهُنَّ أَحَقُّ بِرَدِّهِنَّ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جمیع المطلّقات، فالعلم بعدم تطابق الجدّ للاستعمال فی مورد الضمیر و أنّ أحقّیة الردّ مختصّة بالرجعیات، لا یوجب رفع الید عن ظهور المرجع فی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العموم فی مثل هذه الموارد، و بین سائر موارد العموم المخصّص، فکما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التخصیص لا یوجب تغییراً فی ناحیة الاستعمال، و تکون ألفاظ العموم مستعملة فی العموم، و لا یکون العامّ المخصّص مجازاً فیما بقی، فکذلک فی المقام، و غایة ما أوجبه الدلیل الخارجی، عدم تطابق الجدّ للاستعمال فی مورد الضمیر، إلّا أنّ تخصیص مورد الضمیر فی الآیة المبارکة ببعض الأفراد، لا یوجب تخصیص المرجع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شکّ فی ذلک فأصالة العموم محکّمة، نظیر سائر موارد العمومات من دون فرق بینها أصلًا،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و تعقیب</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العجب من بعضهم؛ حیث یظهر منه الفرق بین العامّ و سائر العمومات و ذلک لأنّ المحقّق النائینی قدس سره حکی أوّلًا عن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فی المقام یدور بین تخصیص</w:t>
      </w:r>
    </w:p>
    <w:p>
      <w:pPr>
        <w:pStyle w:val="BookText"/>
        <w:rPr/>
      </w:pPr>
      <w:r>
        <w:rPr>
          <w:rFonts w:ascii="IRNazanin" w:hAnsi="IRNazanin" w:eastAsia="IRNazanin"/>
          <w:color w:val="111111"/>
          <w:sz w:val="28"/>
          <w:sz w:val="28"/>
          <w:szCs w:val="28"/>
          <w:rtl w:val="true"/>
          <w:lang w:bidi="fa-IR"/>
        </w:rPr>
        <w:t xml:space="preserve">المرجع، و بین الاستخدام فی الضمیر؛ لأنّ لازم إرادة العموم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الاستخدام فی ناحیة الضمیر؛ لرجوعه حینئذٍ إلی بعض أفراد المرجع، لا ما هو المراد من المرجع، کما أنّ لازم عدم الاستخدام، تخصیص العامّ و أنّ المراد منه خصوص الرجعیات، فکما أنّ أصالة العموم تقتضی الاستخدام، کذلک أصالة عدم الاستخدام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أصل عقلائی فی باب المحاورات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تقتضی تخصیص العامّ، فیتعارض الإطلاق من الطرفین، و حینئذٍ لا طریق إلی إثبات تعلّق الأحکام السابقة علی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بُعُولَتُهُنَّ أَحَقُّ بِرَدِّهِنَّ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بمطلق المطلّقات</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قدس سره تصدّی للتخلّص من المعارضة بوجوه تأمّل فی جمیعها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أصالة عدم الاستخدام لا تجری فی المقام؛ لأنّ الاستخدام یبتنی علی مجازیة العامّ المخصّص، و لم نقل به، فبناءً علی کون العامّ المخصّص حقیقة فی الباقی، لا یتحقّق شی‌ء من أسباب المغایرة بین المرجع و الضمیر؛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موضوعة لنفس الطبیعة، و کان العموم و الشمول فی مصبّ العموم، مستفاداً من مقدّمات الحکمة؛ علی ما تقدّم تفصیله، و معلوم أنّ المعنی الموضوع له 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فی المطلّقات الرجعیات، و لیس ذلک معنی مجازیاً لمعنی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المشترکات اللفظیة حتّی تکون المطلّقات الرجعیات إحدی معانیها، فأین المغایرة بین المرجع و الضمیر حتّی یتحقّق الاستخدام؟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فی الصدر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العامّ المخصّص حقیقة لا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فعلیه یلزمه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الضمیر أیضاً یرجع إلی ذلک، و بعد دلالة الدلیل علی اختصاص الضمیر ببعض أفراد المرجع یستکشف عدم تعلّق الإرادة الجدّیة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بُعُولَتُهُنَّ أَحَقُّ بِرَدِّهِنَّ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بالنسبة إلی جمیع المطلّقات، و لکن لم یقل ذلک، بل تصدّی لدفع المغایرة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موضوعة لنفس الطبیعة، و الشمول مستفاد من مقدّمات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قد أشرنا سابقاً إلی أنّ استفادة العموم و الشمول فی العموم، بدلالة لفظیة، لا بمقدّمات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مدّعاه غیر تامّ و لو مع غضّ النظر عمّا ذکرنا فی عدم المجازیة و قصر النظر فی مقدّمات الحکمة؛ لأنّ استعمال اللفظ الموضوع لنفس الطبیعة فی الطبیعة المقیّدة، مجاز إن کان هناک مصحّح لاستعماله، و إلّا یکون الاستعمال غلطاً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استعمل اللفظ الموضوع لنفس الطبیعة فی معناها، و لکنّه اطلق علی الفرد، فلا یلزم المجاز؛ لأنّه استعمل کلّ منهما فی معناه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لنفس الطبیعة، و لو استعمل فی الطبیعة المتقیّدة یکون مجازاً إن کان مصحّح للادعاء، و إلّا یکون غلطاً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الرجعیات التی هی قسم منها، إن کان مع المصحّح یکون مجازاً، و إلّا یکون غلطاً، فإنکار الاستخدام فی الضمیر لا وجه له</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قدس سره ثانیاً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الاستخدام إنّما یتوهّم فی المقام لو کان المراد من الضمیر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بُعُولَتُهُنَّ أَحَقُّ بِرَدِّهِنَّ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خصوص الرجعیات، و لم یستفد ذلک منه؛ لأنّ الضمیر یرجع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استفید ذلک من عقد الحمل؛</w:t>
      </w:r>
    </w:p>
    <w:p>
      <w:pPr>
        <w:pStyle w:val="BookText"/>
        <w:rPr/>
      </w:pPr>
      <w:r>
        <w:rPr>
          <w:rFonts w:ascii="Amiri" w:hAnsi="Amiri" w:eastAsia="Amiri" w:cs="Amiri"/>
          <w:color w:val="111111"/>
          <w:sz w:val="28"/>
          <w:sz w:val="28"/>
          <w:szCs w:val="28"/>
          <w:rtl w:val="true"/>
          <w:lang w:bidi="ar-SA"/>
        </w:rPr>
        <w:t>و هو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أَحَقُّ بِرَدِّهِنَّ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فتکون من باب تعدّد الدالّ و المدلول، فأین الاستخدام؟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کان لعقد الحمل دلالة علی کون المراد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أَحَقُّ بِرَدِّهِنَّ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خصوص الرجعیات، فیکون هذا قرینة علی کون المراد من الضمیر خصوص الرجعیات، و إن لم یکن له دلالة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یستفاد من مجرّد عقد الحمل ذلک؛ ضرورة أنّه لو لا دلالة السنّة علی أنّ حقّ الرجوع مختصّ بالرجعیات، لقلنا بالأحقّیة فی مطلق المطلّقات، کما لا یخفی،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قدس سره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أشار إلی هذا الوجه المحقّق الخراسانی قدس سره</w:t>
      </w:r>
      <w:r>
        <w:rPr>
          <w:rStyle w:val="FootnoteAnchor"/>
          <w:rtl w:val="true"/>
        </w:rPr>
        <w:footnoteReference w:id="435"/>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أصالة عدم الاستخدام من الاصول العقلائیة، و هی إنّما تجری عند الشکّ فی المراد لتشخیص المراد، و واضح أنّ المراد من الضمیر معلوم؛ و هو المطلّقات الرجعیات، و بعد العلم بما ارید من الضمیر، لا تجری أصالة عدم الاستخدام حتّی یلزم التخصیص فی ناحیة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فتأمّل؛ فإنّ ذلک لا یخلو من إشکال</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معلومیة المراد هنا لم تکن من نفس الدلیل، بل من دلیل خارجی، و إلّا فلو قطع النظر عن الدلیل الخارجی لم یکن المراد معلوماً، و المیزان فی جریان الاصول المرادیة و عدمه، إنّما هو فی معلومیة المراد و عدمها من نفس الدلیل، لا من دلیل خارجی، فیجری ذاک الأصل،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إذا کانت استفادة اختصاص الضمیر ببعض أفراد العامّ، من دلیل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لو استفید ذلک من قرینة عقلیة أو لفظیة حافّة بالکلام، فالظاهر طروّ الإجمال فی الغالب؛ لعدم إحراز بناء العقلاء علی إجراء أصالة التطابق فی مثل ما إذا حُفّت الکلام بما یصلح للاعتماد علیه، فصحّة الاحتجاج بمثل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أهن الفسّاق و اقتلهم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لإهانة غیر الکفّار، مشکلة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التمسّک بعموم العامّ فی مثل المقام؛ لعدم إحراز بناء العقلاء علی تطابق الجدّ للاستعمال عند ذلک بعد احتفاف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 الإلقاء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یصلح أن یکون قرینة علی تخصیصه، و لا أقلّ من الشکّ فی ذلک، فیشکل الاحتجاج بعموم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أهن الفسّاق و اقتلهم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وجوب إهانة الفسّاق من غیر المرتدّ و الکفّار</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مناهج الوصول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4" w:name="pg12934_164840"/>
    </w:p>
    <w:p>
      <w:pPr>
        <w:pStyle w:val="BookText"/>
        <w:rPr/>
      </w:pPr>
      <w:bookmarkEnd w:id="734"/>
      <w:r>
        <w:rPr>
          <w:rFonts w:ascii="IRNazanin" w:hAnsi="IRNazanin" w:eastAsia="IRNazanin"/>
          <w:color w:val="111111"/>
          <w:sz w:val="28"/>
          <w:sz w:val="28"/>
          <w:szCs w:val="28"/>
          <w:rtl w:val="true"/>
          <w:lang w:bidi="fa-IR"/>
        </w:rPr>
        <w:t>تخصیص العامّ بالمفهوم</w:t>
      </w:r>
    </w:p>
    <w:p>
      <w:pPr>
        <w:pStyle w:val="Heading3"/>
        <w:numPr>
          <w:ilvl w:val="2"/>
          <w:numId w:val="1"/>
        </w:numPr>
        <w:rPr/>
      </w:pPr>
      <w:bookmarkStart w:id="735" w:name="__RefHeading___Toc4026565_3224264995"/>
      <w:bookmarkStart w:id="736" w:name="_Toc278"/>
      <w:bookmarkEnd w:id="735"/>
      <w:r>
        <w:rPr>
          <w:rtl w:val="true"/>
        </w:rPr>
        <w:t>المبحث السادس فی تخصیص العامّ بالمفهوم</w:t>
      </w:r>
      <w:bookmarkEnd w:id="736"/>
    </w:p>
    <w:p>
      <w:pPr>
        <w:pStyle w:val="Heading4"/>
        <w:numPr>
          <w:ilvl w:val="3"/>
          <w:numId w:val="1"/>
        </w:numPr>
        <w:rPr/>
      </w:pPr>
      <w:bookmarkStart w:id="737" w:name="__RefHeading___Toc4026567_3224264995"/>
      <w:bookmarkStart w:id="738" w:name="_Toc279"/>
      <w:bookmarkEnd w:id="737"/>
      <w:r>
        <w:rPr>
          <w:rtl w:val="true"/>
        </w:rPr>
        <w:t>اشارة</w:t>
      </w:r>
      <w:bookmarkEnd w:id="738"/>
    </w:p>
    <w:p>
      <w:pPr>
        <w:pStyle w:val="BookText"/>
        <w:rPr/>
      </w:pPr>
      <w:r>
        <w:rPr>
          <w:rFonts w:ascii="IRNazanin" w:hAnsi="IRNazanin" w:eastAsia="IRNazanin"/>
          <w:color w:val="111111"/>
          <w:sz w:val="28"/>
          <w:sz w:val="28"/>
          <w:szCs w:val="28"/>
          <w:rtl w:val="true"/>
          <w:lang w:bidi="fa-IR"/>
        </w:rPr>
        <w:t>المبحث السادس فی تخصیص العامّ بالمفهوم</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اختلفوا فی تخصیص العامّ بالمفهوم المخالف؛ بعد اتفاقهم علی جواز تخصیصه بالمفهوم الموافق، و حیث إنّه لا یصحّ الاستدلال علی المسألة بالإجماع؛ لعدم کونها من المسائل التعبّدیة، فالإجماع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تمامیته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القواعد العرفیة و العقلیة، فلا یکاد یکشف الإجماع عن رأی المعصوم علیه السلام فالمفهوم الموافق أیضاً داخل فی محطّ البحث، فتنقیح البحث یستدعی البحث فی کل من المفهوم الموافق و المفهوم المخالف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یقتضیه النظر، هو أنّ مورد الخلاف فی المفهوم المخالف و الاتفاق فی المفهوم الموافق، إنّما هو فی المخصّص المنفصل، و أمّا المخصّص المتصل فیبعد أن یکون مورداً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کیفما کان</w:t>
      </w:r>
      <w:r>
        <w:rPr>
          <w:rFonts w:eastAsia="IRNazanin" w:cs="IRNazanin"/>
          <w:color w:val="111111"/>
          <w:sz w:val="28"/>
          <w:szCs w:val="28"/>
          <w:rtl w:val="true"/>
          <w:lang w:bidi="fa-IR"/>
        </w:rPr>
        <w:t>:</w:t>
      </w:r>
    </w:p>
    <w:p>
      <w:pPr>
        <w:pStyle w:val="Heading4"/>
        <w:numPr>
          <w:ilvl w:val="3"/>
          <w:numId w:val="1"/>
        </w:numPr>
        <w:rPr/>
      </w:pPr>
      <w:bookmarkStart w:id="739" w:name="__RefHeading___Toc4026569_3224264995"/>
      <w:bookmarkStart w:id="740" w:name="_Toc280"/>
      <w:bookmarkEnd w:id="739"/>
      <w:r>
        <w:rPr>
          <w:rtl w:val="true"/>
        </w:rPr>
        <w:t>یقع الکلام فی مقامین</w:t>
      </w:r>
      <w:r>
        <w:rPr>
          <w:rtl w:val="true"/>
        </w:rPr>
        <w:t>:</w:t>
      </w:r>
      <w:bookmarkEnd w:id="740"/>
    </w:p>
    <w:p>
      <w:pPr>
        <w:pStyle w:val="Heading5"/>
        <w:numPr>
          <w:ilvl w:val="4"/>
          <w:numId w:val="1"/>
        </w:numPr>
        <w:rPr/>
      </w:pPr>
      <w:bookmarkStart w:id="741" w:name="__RefHeading___Toc4026571_3224264995"/>
      <w:bookmarkStart w:id="742" w:name="_Toc281"/>
      <w:bookmarkEnd w:id="741"/>
      <w:r>
        <w:rPr>
          <w:rtl w:val="true"/>
        </w:rPr>
        <w:t>المقام الأوّل</w:t>
      </w:r>
      <w:r>
        <w:rPr>
          <w:rtl w:val="true"/>
        </w:rPr>
        <w:t xml:space="preserve">: </w:t>
      </w:r>
      <w:r>
        <w:rPr>
          <w:rtl w:val="true"/>
        </w:rPr>
        <w:t>فی تخصیص العامّ بالمفهوم الموافق</w:t>
      </w:r>
      <w:bookmarkEnd w:id="742"/>
    </w:p>
    <w:p>
      <w:pPr>
        <w:pStyle w:val="Heading6"/>
        <w:numPr>
          <w:ilvl w:val="5"/>
          <w:numId w:val="1"/>
        </w:numPr>
        <w:rPr/>
      </w:pPr>
      <w:bookmarkStart w:id="743" w:name="__RefHeading___Toc4026573_3224264995"/>
      <w:bookmarkStart w:id="744" w:name="_Toc282"/>
      <w:bookmarkEnd w:id="743"/>
      <w:r>
        <w:rPr>
          <w:rtl w:val="true"/>
        </w:rPr>
        <w:t>اشارة</w:t>
      </w:r>
      <w:bookmarkEnd w:id="744"/>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الکلام فیه یقع فی موردین</w:t>
      </w:r>
      <w:r>
        <w:rPr>
          <w:rFonts w:eastAsia="IRNazanin" w:cs="IRNazanin"/>
          <w:color w:val="111111"/>
          <w:sz w:val="28"/>
          <w:szCs w:val="28"/>
          <w:rtl w:val="true"/>
          <w:lang w:bidi="fa-IR"/>
        </w:rPr>
        <w:t>:</w:t>
      </w:r>
      <w:bookmarkStart w:id="745" w:name="pg12934_164841"/>
    </w:p>
    <w:p>
      <w:pPr>
        <w:pStyle w:val="Heading6"/>
        <w:numPr>
          <w:ilvl w:val="5"/>
          <w:numId w:val="1"/>
        </w:numPr>
        <w:rPr/>
      </w:pPr>
      <w:bookmarkStart w:id="746" w:name="__RefHeading___Toc4026575_3224264995"/>
      <w:bookmarkStart w:id="747" w:name="_Toc283"/>
      <w:bookmarkEnd w:id="745"/>
      <w:bookmarkEnd w:id="746"/>
      <w:r>
        <w:rPr>
          <w:rtl w:val="true"/>
        </w:rPr>
        <w:t>المورد الأوّل</w:t>
      </w:r>
      <w:r>
        <w:rPr>
          <w:rtl w:val="true"/>
        </w:rPr>
        <w:t xml:space="preserve">: </w:t>
      </w:r>
      <w:r>
        <w:rPr>
          <w:rtl w:val="true"/>
        </w:rPr>
        <w:t>فی تفسیر المفهوم الموافق</w:t>
      </w:r>
      <w:bookmarkEnd w:id="747"/>
    </w:p>
    <w:p>
      <w:pPr>
        <w:pStyle w:val="BookText"/>
        <w:rPr/>
      </w:pPr>
      <w:r>
        <w:rPr>
          <w:rFonts w:ascii="IRNazanin" w:hAnsi="IRNazanin" w:eastAsia="IRNazanin"/>
          <w:color w:val="111111"/>
          <w:sz w:val="28"/>
          <w:sz w:val="28"/>
          <w:szCs w:val="28"/>
          <w:rtl w:val="true"/>
          <w:lang w:bidi="fa-IR"/>
        </w:rPr>
        <w:t xml:space="preserve">یتصوّر للمفهوم الموافق أقسام، و یعبّر عنها بعناوین و إن لم یطلق علی تمامها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یکون ذلک فی الحقیقة مفهوماً، و لکن مع ذلک تشترک جمیع الأقسام فی کونها غیر مذکورة فی محلّ النطق، و لکنّها تفهم من محلّ النطق، و توافقه إیجاباً و سلباً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الأقسام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یعبّر عنه المتأخّرون بإلغاء الخصوصیة،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شکّ بین الثلاث و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أصاب ثوبی دم رعاف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لو القیت الجملتان علی العرف، لما انقدح فی ذهنهم خصوصیة للرجولیة فی البناء علی الأکثر، و لا خصوصیة لدم زرارة و رعافه و ثوبه، بل یرون أنّ الحکم للشاکّ رجلًا کان أو امرأة فی المثال الأوّل، و لغیر زرارة من سائر الناس و لأثوابهم و رعافهم فی المثال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العرف یری أنّ تمام الموضوع للحکم فی الجملة الاولی، هو الشکّ، و فی الثانیة ذات الدم من غیر المأکول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أظنّ أنّ هذا القسم فی الحقیقة، معدود من دلالة المنطوق لا المفهوم، و لو اطلق علیه المفهوم فهو علی سبیل المسامحة، فتدبّر</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یکون المنطوق معنی کنائیاً؛ بحیث لا یراد ما جعل موضوعاً للحکم فی ظاهر الدلیل،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تَقُلْ لَهُما أُفٍّ</w:t>
      </w:r>
      <w:r>
        <w:rPr>
          <w:rFonts w:eastAsia="Amiri" w:cs="Amiri" w:ascii="Amiri" w:hAnsi="Amiri"/>
          <w:color w:val="111111"/>
          <w:sz w:val="28"/>
          <w:szCs w:val="28"/>
          <w:rtl w:val="true"/>
          <w:lang w:bidi="ar-SA"/>
        </w:rPr>
        <w:t>»</w:t>
      </w:r>
      <w:r>
        <w:rPr>
          <w:rStyle w:val="FootnoteAnchor"/>
          <w:rtl w:val="true"/>
        </w:rPr>
        <w:footnoteReference w:id="439"/>
      </w:r>
      <w:r>
        <w:rPr>
          <w:rFonts w:ascii="IRNazanin" w:hAnsi="IRNazanin" w:eastAsia="IRNazanin"/>
          <w:color w:val="111111"/>
          <w:sz w:val="28"/>
          <w:sz w:val="28"/>
          <w:szCs w:val="28"/>
          <w:rtl w:val="true"/>
          <w:lang w:bidi="fa-IR"/>
        </w:rPr>
        <w:t xml:space="preserve">علی احتمال أن تکون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کنایة عن الإیذاء بالضرب و الشتم و نحوهما، و أمّا التلفّظ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محکوماً بحکم، کما لا یبعد، فالمحرّم هو الإیذاء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نظیره فی الفارسیة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نمی‌تواند به سایه فلانی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کنایة عن شدّة بغضه له، و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کالصورة السابقة، و لکنّه اخذ المنطوق موضوعاً للحکم من جهة کونه أخفّ المصادیق للانتقال إلی سائرها</w:t>
      </w:r>
      <w:r>
        <w:rPr>
          <w:rStyle w:val="FootnoteAnchor"/>
          <w:rtl w:val="true"/>
        </w:rPr>
        <w:footnoteReference w:id="440"/>
      </w:r>
      <w:r>
        <w:rPr>
          <w:rFonts w:ascii="IRNazanin" w:hAnsi="IRNazanin" w:eastAsia="IRNazanin"/>
          <w:color w:val="111111"/>
          <w:sz w:val="28"/>
          <w:sz w:val="28"/>
          <w:szCs w:val="28"/>
          <w:rtl w:val="true"/>
          <w:lang w:bidi="fa-IR"/>
        </w:rPr>
        <w:t xml:space="preserve">، کالآیة السابقة علی احتمال أن یکون التلفّظ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محکوماً بالحرمة، فذکر أخفّ المصادیق فی الآیة المبارکة للانتقال إلی سائرها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الحکم المذکور فی محلّ النطق معلّلًا،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تشرب الخمر؛ لأنّه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فیستفاد من عموم التعلیل حکم غیر المذکور، کالفقّاع أو النبیذ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الأولویة القطعیة؛ و هی ما إذا لم یذکر الحکم، لکنّ العقل یقطع به بالمناط القطعی من الحکم المذکور، و هذا ما یعبّر عنه فی ألسنة المتأخّرین بالمناسبة العقلیة بین الحکم و الموضوع و دارج بینهم، و ذلک کما إذا قیل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خدّام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العقل یحکم بوجوب إکرام العلماء بتّاً</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بالمفهوم الموافق بعض هذه الاحتمالات المذکورة، أو جمیعها؛ أی ما لم یکن واقعاً فی محلّ النطق، مع الموافقة بینه و بین المنطوق فی الإیجاب و السلب</w:t>
      </w:r>
      <w:r>
        <w:rPr>
          <w:rFonts w:eastAsia="IRNazanin" w:cs="IRNazanin"/>
          <w:color w:val="111111"/>
          <w:sz w:val="28"/>
          <w:szCs w:val="28"/>
          <w:rtl w:val="true"/>
          <w:lang w:bidi="fa-IR"/>
        </w:rPr>
        <w:t>.</w:t>
      </w:r>
      <w:bookmarkStart w:id="748" w:name="pg12934_164843"/>
    </w:p>
    <w:p>
      <w:pPr>
        <w:pStyle w:val="Heading6"/>
        <w:numPr>
          <w:ilvl w:val="5"/>
          <w:numId w:val="1"/>
        </w:numPr>
        <w:rPr/>
      </w:pPr>
      <w:bookmarkStart w:id="749" w:name="__RefHeading___Toc4026577_3224264995"/>
      <w:bookmarkStart w:id="750" w:name="_Toc284"/>
      <w:bookmarkEnd w:id="748"/>
      <w:bookmarkEnd w:id="749"/>
      <w:r>
        <w:rPr>
          <w:rtl w:val="true"/>
        </w:rPr>
        <w:t>المورد الثانی</w:t>
      </w:r>
      <w:r>
        <w:rPr>
          <w:rtl w:val="true"/>
        </w:rPr>
        <w:t xml:space="preserve">: </w:t>
      </w:r>
      <w:r>
        <w:rPr>
          <w:rtl w:val="true"/>
        </w:rPr>
        <w:t>فی حکم هذه الأقسام</w:t>
      </w:r>
      <w:bookmarkEnd w:id="750"/>
    </w:p>
    <w:p>
      <w:pPr>
        <w:pStyle w:val="BookText"/>
        <w:rPr/>
      </w:pPr>
      <w:r>
        <w:rPr>
          <w:rFonts w:ascii="IRNazanin" w:hAnsi="IRNazanin" w:eastAsia="IRNazanin"/>
          <w:color w:val="111111"/>
          <w:sz w:val="28"/>
          <w:sz w:val="28"/>
          <w:szCs w:val="28"/>
          <w:rtl w:val="true"/>
          <w:lang w:bidi="fa-IR"/>
        </w:rPr>
        <w:t>حکی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صورة استفادة المفهوم من الأولویة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و الاتفاق علی تقدیم المفهوم الموافق علی العامّ و تخصیص العامّ به مطلقاً؛ و لو کانت النسبة بین العامّ و المفهوم، عموماً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أری اتفاقهم علی التقدیم مطلقاً</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نهایة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یکون ذلک فیما لو کان المفهوم الموافق أخصّ مطلقاً من العامّ، و لعلّ منشأ توهّم الإطلاق إطلاق القول فی تقدیم المفهوم الموافق علی العامّ، و لم یتفطّن إلی أنّ ذلک إنّما هو حکم المفهوم الأخصّ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أبیت عمّا ذکرنا فلا نتحاشی عن الاتفاق غیر الکاشف عن رأی المعصوم علیه السلام لما أشرنا من أنّ الإجماع فی أمثال هذه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ثبوته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علی القواعد العرفیة و الاعتبارات العقلائیة</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المفهوم الموافق أخصّ مطلقاً من العامّ، فواضح أنّه یقدّم علی العامّ؛ قضاءً لحقّ الدلیلین المتخالفین اللذین یکون أحدهما أخصّ من الآخر، فکما یقدّم الأخصّ علی العامّ إذا کان منطوقاً، فکذلک إذا کان مفهوماً؛ لوحدة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المفهوم الموافق بمنزلة ظاهر دلیل القی إلی الشخص، فکما أنّه یخصّص العامّ بظاهر دلیل الخاصّ، فکذلک ما هو بمنزلته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 حال ما لو کانت النسبة بین المفهوم الموافق و العامّ، عموماً من وجه، فإنّه یعامل معهما معاملة الدلیلین المتعارضین اللذین یکون بین منطوقیهما عموم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استفید المفهوم من الأولویة القطعیة، فربما یشکل جریان حکم سائر أقسام المفهوم الموافق فیه، بل یقدّم المفهوم علی العامّ مطلقاً و إن کانت النسبة بینهما عموماً من وجه؛ لأنّه بعد امتناع رفع الید عقلًا عن المفهوم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لأدائه إلی التفکیک بین الملزوم و 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یدور الأمر بین رفع الید عن العامّ، و بین رفع الید عن المفهوم و المنطوق، و معلوم أنّه لا یصار إلی الثانی؛ لأنّه تصرّف فی دلیلین لا یکون لأحدهما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المنطوق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مزاحمة مع العامّ، فیتعیّن التصرّف فی العامّ و تخصیصه بغیر مورد المفهوم</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بین الشیئین تلازم، و کان أحدهما معارضاً لشی‌ء، یکون التعارض أوّلًا و بالذات بینه و بین ذاک الشی‌ء و بِتَبعِ ذلک یقع التعارض بین ذلک الشی‌ء و ما یکون ملازماً له، ففیما نحن فیه حیث یکون بین المنطوق و المفهوم ملازمة، و کان التعارض أوّلًا و بالذات بین المفهوم و العامّ، و لکنّه ثانیاً و بالعرض بین المنطوق و العامّ، فنفی التعارض بین المنطوق و العامّ لا وجه له، فإذن لو فرض تقدّم العامّ علی المفهوم لمرجّح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أظهر فی عمومه من اشتمال القضیة علی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لکشف عن عدم تعلّق الحکم بالمنطوق بمقداره؛ لأنّه لو لا ذلک للزم التفکیک</w:t>
      </w:r>
    </w:p>
    <w:p>
      <w:pPr>
        <w:pStyle w:val="BookText"/>
        <w:rPr/>
      </w:pPr>
      <w:r>
        <w:rPr>
          <w:rFonts w:ascii="IRNazanin" w:hAnsi="IRNazanin" w:eastAsia="IRNazanin"/>
          <w:color w:val="111111"/>
          <w:sz w:val="28"/>
          <w:sz w:val="28"/>
          <w:szCs w:val="28"/>
          <w:rtl w:val="true"/>
          <w:lang w:bidi="fa-IR"/>
        </w:rPr>
        <w:t>بین المتلازمین فظهر أنّ رفع الید عن المنطوق لا یکون بلا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المحذور کما یمکن بتخصیص العامّ بالمفهوم، کذلک یمکن برفع الید عن حکم المنطوق و المفهوم، بل المعارضة و إن کانت ابتداءً بین العامّ و المفهوم، و لکن لمّا کان رفع الید عن اللازم مستلزماً لرفع الید عن ملزومه، یقع التعارض بینهما عرضاً،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المحقّق النائینی قدس سره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التعارض دائماً یکون بین المنطوق و العامّ، و لا یمکن أن یکون المفهوم معارضاً للعامّ من دون معارضة منطوقه؛ لأنّا فرضنا کون المفهوم موافقاً له، و أنّه سیق للدلالة علیه، و مع هذا کیف یعقل أن یکون المنطوق أجنبیاً عن العامّ و غیر معارض له، مع کون المفهوم معارضاً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فالتعارض فی المفهوم إنّما یقع ابتداءً بین المنطوق و العامّ و یتبعه وقوعه بین المفهوم و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کلّما فرض التعارض بین المفهوم الموافق و العامّ، فلا محالة یکون التعارض بین المنطوق و العامّ و لا بدّ أوّلًا من علاج التعارض بین المنطوق و العامّ، و یلزمه العلاج بین المفهوم و العامّ</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ذکره غیر مستقیم علی إطلاقه؛ لأنّه ربما لا یکون بین المنطوق و العامّ تعارض أبداً، و لکن یکون بین مفهومه و العامّ تعارض،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خدّام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فرضنا أولویة إکرام علماء النحو من هذا الدلیل، مع قیام دلیل علی حرمة إکرام الصرفیین، فإنّ من الواضح أنّه لا تنافی بین الحکم المتعلّق بخدّام النحویین، و بین الحکم المتعلّق بعدم إکرام الصرفیین؛ حتّی یقع التعارض بینهما، و لکن مع ذلک فبین مفهومه الموافق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وجوب إکرام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w:t>
      </w:r>
    </w:p>
    <w:p>
      <w:pPr>
        <w:pStyle w:val="BookText"/>
        <w:rPr/>
      </w:pPr>
      <w:r>
        <w:rPr>
          <w:rFonts w:ascii="IRNazanin" w:hAnsi="IRNazanin" w:eastAsia="IRNazanin"/>
          <w:color w:val="111111"/>
          <w:sz w:val="28"/>
          <w:sz w:val="28"/>
          <w:szCs w:val="28"/>
          <w:rtl w:val="true"/>
          <w:lang w:bidi="fa-IR"/>
        </w:rPr>
        <w:t>الصرفیین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من وجه؛ لافتراق المفهوم فی النحوی غیر الصرفی، و العامّ فی الصرفی غیر النحوی، و قد یجتمعان، کالصرفی النحوی، فالتعارض أوّلًا و بالذات إنّما هو بین المفهوم و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یقع التعارض ثانیاً و بالعرض بین المنطوق و العامّ أیضاً؛ بلحاظ أنّه إذا قدّم العامّ علی المفهوم، ترفع الید عن المنطوق بمقداره، فلا بدّ من علاج التعارض بینهما؛ لکون التعارض فیه أوّلًا و بالذات، و هو هنا عبارة عن المفهوم و العامّ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التعارض دائماً بین المنطوق و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وجیه، بل ربما لا یکون بین العامّ و المنطوق تعارض أصلًا و لو عرضاً، مع معارضة مفهومه له،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تَقُلْ لَهُما أُفٍّ</w:t>
      </w:r>
      <w:r>
        <w:rPr>
          <w:rFonts w:eastAsia="Amiri" w:cs="Amiri" w:ascii="Amiri" w:hAnsi="Amiri"/>
          <w:color w:val="111111"/>
          <w:sz w:val="28"/>
          <w:szCs w:val="28"/>
          <w:rtl w:val="true"/>
          <w:lang w:bidi="ar-SA"/>
        </w:rPr>
        <w:t>»</w:t>
      </w:r>
      <w:r>
        <w:rPr>
          <w:rStyle w:val="FootnoteAnchor"/>
          <w:rtl w:val="true"/>
        </w:rPr>
        <w:footnoteReference w:id="445"/>
      </w:r>
      <w:r>
        <w:rPr>
          <w:rFonts w:ascii="IRNazanin" w:hAnsi="IRNazanin" w:eastAsia="IRNazanin"/>
          <w:color w:val="111111"/>
          <w:sz w:val="28"/>
          <w:sz w:val="28"/>
          <w:szCs w:val="28"/>
          <w:rtl w:val="true"/>
          <w:lang w:bidi="fa-IR"/>
        </w:rPr>
        <w:t>، علی تقدیر کون المنطوق معنی کنائیاً، فلم یثبت الحکم للمنطوق حسب الفرض، فإن کان عموم علی خلاف المعنی المکنیّ به، یقع التعارض بین العامّ و المفهوم، و أمّا المنطوق فحیث إنّه لم یثبت فیه حکم، فلا یقع التعارض بینه و بین العامّ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یکن بین المنطوق و العامّ تعارض، بل کان التعارض مقصوراً علی المفهوم و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بین المنطوق و العامّ تعارض بالذات، فإن کان المنطوق أخصّ مطلقاً فیقدّم، و یتبعه تقدّم المفهوم علی العامّ أیضاً مطلقاً و لو فیما إذا کانت النسبة بین المفهوم و العامّ، عموماً من وجه</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المفهوم لازم للمنطوق بحکم العقل، فلا یعقل التفکیک بینهما وجوداً، فإذا تقدّم المنطوق الخاصّ علی العامّ ببناء العقلاء و تقدّم الخاصّ فی محیط التقنین علی العامّ، فلا بدّ و أن یقدّم المفهوم أیضاً، و إلّا یلزم التفکیک بین المتلازمین</w:t>
      </w:r>
      <w:r>
        <w:rPr>
          <w:rFonts w:eastAsia="IRNazanin" w:cs="IRNazanin"/>
          <w:color w:val="111111"/>
          <w:sz w:val="28"/>
          <w:szCs w:val="28"/>
          <w:rtl w:val="true"/>
          <w:lang w:bidi="fa-IR"/>
        </w:rPr>
        <w:t>.</w:t>
      </w:r>
      <w:bookmarkStart w:id="751" w:name="pg12934_164847"/>
    </w:p>
    <w:p>
      <w:pPr>
        <w:pStyle w:val="BookText"/>
        <w:rPr/>
      </w:pPr>
      <w:bookmarkEnd w:id="751"/>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یقدّم المفهوم علی هذا التقدیر علی العامّ، یلزم 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التفکیک بین المتلازمین لو خصّصنا العامّ بالمنطوق دون المفهوم، أو عدم تقدیم الأخصّ المطلق علی العامّ إذا لم یخصّصه بالمنطوق أیضاً، و الأوّل محال عقلًا، و الثانی مخالف لبناء العقلاء، و مخالف لما هو ثابت فی محیط التقنین من تقدیم الخاصّ علی العامّ، فیجب تقدیم المفهوم علی العامّ بتبع تقدّم المنطوق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کانت النسبة بین العامّ و المنطوق عموماً من وجه، فإن رجح جانب العامّ فلا کلام، و أمّا إن رجح جانب المنطوق فیقدّم مفهومه علی العامّ أیضاً حتّی و إن کانت النسبة بین المفهوم و العامّ، عموماً من وجه، و کان الترجیح بملاحظة المفهوم للعامّ، و الوجه فیه ما ذکرناه فی تقدیم مفهوم الأخصّ المطلق، فتدبّر</w:t>
      </w:r>
      <w:r>
        <w:rPr>
          <w:rFonts w:eastAsia="IRNazanin" w:cs="IRNazanin"/>
          <w:color w:val="111111"/>
          <w:sz w:val="28"/>
          <w:szCs w:val="28"/>
          <w:rtl w:val="true"/>
          <w:lang w:bidi="fa-IR"/>
        </w:rPr>
        <w:t>.</w:t>
      </w:r>
    </w:p>
    <w:p>
      <w:pPr>
        <w:pStyle w:val="Heading5"/>
        <w:numPr>
          <w:ilvl w:val="4"/>
          <w:numId w:val="1"/>
        </w:numPr>
        <w:rPr/>
      </w:pPr>
      <w:bookmarkStart w:id="752" w:name="__RefHeading___Toc4026579_3224264995"/>
      <w:bookmarkStart w:id="753" w:name="_Toc285"/>
      <w:bookmarkEnd w:id="752"/>
      <w:r>
        <w:rPr>
          <w:rtl w:val="true"/>
        </w:rPr>
        <w:t>المقام الثانی</w:t>
      </w:r>
      <w:r>
        <w:rPr>
          <w:rtl w:val="true"/>
        </w:rPr>
        <w:t xml:space="preserve">: </w:t>
      </w:r>
      <w:r>
        <w:rPr>
          <w:rtl w:val="true"/>
        </w:rPr>
        <w:t>فی مفهوم المخالفة</w:t>
      </w:r>
      <w:bookmarkEnd w:id="753"/>
    </w:p>
    <w:p>
      <w:pPr>
        <w:pStyle w:val="Heading6"/>
        <w:numPr>
          <w:ilvl w:val="5"/>
          <w:numId w:val="1"/>
        </w:numPr>
        <w:rPr/>
      </w:pPr>
      <w:bookmarkStart w:id="754" w:name="__RefHeading___Toc4026581_3224264995"/>
      <w:bookmarkStart w:id="755" w:name="_Toc286"/>
      <w:bookmarkEnd w:id="754"/>
      <w:r>
        <w:rPr>
          <w:rtl w:val="true"/>
        </w:rPr>
        <w:t>تحدید محلّ النزاع</w:t>
      </w:r>
      <w:bookmarkEnd w:id="755"/>
    </w:p>
    <w:p>
      <w:pPr>
        <w:pStyle w:val="BookText"/>
        <w:rPr/>
      </w:pPr>
      <w:r>
        <w:rPr>
          <w:rFonts w:ascii="IRNazanin" w:hAnsi="IRNazanin" w:eastAsia="IRNazanin"/>
          <w:color w:val="111111"/>
          <w:sz w:val="28"/>
          <w:sz w:val="28"/>
          <w:szCs w:val="28"/>
          <w:rtl w:val="true"/>
          <w:lang w:bidi="fa-IR"/>
        </w:rPr>
        <w:t xml:space="preserve">ظاهر عناوین القوم أنّ النزاع إنّما هو بعد الفراغ عن اشتمال القضیة علی المفهوم؛ و وقوع التعارض بین المفهوم و ما له المفهوم فی حدّ نفسه، سواء کانت النسبة بینهما عموماً مطلقاً، کما لو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فلا تهن فسّاق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کانت النسبة عموماً من وجه، کما لو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 الفسّاق</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الوجه فی تعمیم محطّ البحث لصورة کون النسبة بین العامّ و المفهوم عموماً مطلقاً، أنّ أقوائیة العامّ توجب ضعف اشتمال ظهور القضیة علی المفهوم؛ و إن کان المفهوم أخصّ مطلقاً من العامّ، و هذا لا ینافی اشتمال القضیة فی حدّ ذاتها علی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یظهر من بعض الأکابر</w:t>
      </w:r>
      <w:r>
        <w:rPr>
          <w:rStyle w:val="FootnoteAnchor"/>
          <w:rtl w:val="true"/>
        </w:rPr>
        <w:footnoteReference w:id="446"/>
      </w:r>
      <w:r>
        <w:rPr>
          <w:rFonts w:ascii="IRNazanin" w:hAnsi="IRNazanin" w:eastAsia="IRNazanin"/>
          <w:color w:val="111111"/>
          <w:sz w:val="28"/>
          <w:sz w:val="28"/>
          <w:szCs w:val="28"/>
          <w:rtl w:val="true"/>
          <w:lang w:bidi="fa-IR"/>
        </w:rPr>
        <w:t xml:space="preserve">، و شیخنا العلّامة الحائری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الکلام فی تخصیص العامّ بالمفهوم المخالف عند القدماء فی الحقیقة، هو الکلام بین المطلق و المقیّد، و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إحراز وحدة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حمل المطلق علی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أوضحه بعض الأکابر قدس سره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قوله 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الماء طهوراً لا ینجّسه شی‌ء إلّا ما غیّر لونه و طعمه</w:t>
      </w:r>
      <w:r>
        <w:rPr>
          <w:rFonts w:eastAsia="Amiri" w:cs="Amiri" w:ascii="Amiri" w:hAnsi="Amiri"/>
          <w:color w:val="111111"/>
          <w:sz w:val="28"/>
          <w:szCs w:val="28"/>
          <w:rtl w:val="true"/>
          <w:lang w:bidi="ar-SA"/>
        </w:rPr>
        <w:t>»</w:t>
      </w:r>
    </w:p>
    <w:p>
      <w:pPr>
        <w:pStyle w:val="BookText"/>
        <w:rPr/>
      </w:pPr>
      <w:r>
        <w:rPr>
          <w:rStyle w:val="FootnoteAnchor"/>
          <w:rtl w:val="true"/>
        </w:rPr>
        <w:footnoteReference w:id="447"/>
      </w:r>
      <w:r>
        <w:rPr>
          <w:rFonts w:ascii="IRNazanin" w:hAnsi="IRNazanin" w:eastAsia="IRNazanin"/>
          <w:color w:val="111111"/>
          <w:sz w:val="28"/>
          <w:sz w:val="28"/>
          <w:szCs w:val="28"/>
          <w:rtl w:val="true"/>
          <w:lang w:bidi="fa-IR"/>
        </w:rPr>
        <w:t>، هو أنّ تمام الموضوع لعدم التنجّس، هو عنوان الماء، و لا دخالة لقید آخر فی هذا الحکم، و یستفاد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الماء قدر کرّ لا ینجّسه شی‌ء</w:t>
      </w:r>
      <w:r>
        <w:rPr>
          <w:rFonts w:eastAsia="IRNazanin" w:cs="IRNazanin"/>
          <w:color w:val="111111"/>
          <w:sz w:val="28"/>
          <w:szCs w:val="28"/>
          <w:rtl w:val="true"/>
          <w:lang w:bidi="fa-IR"/>
        </w:rPr>
        <w:t>»</w:t>
      </w:r>
    </w:p>
    <w:p>
      <w:pPr>
        <w:pStyle w:val="BookText"/>
        <w:rPr/>
      </w:pPr>
      <w:r>
        <w:rPr>
          <w:rStyle w:val="FootnoteAnchor"/>
          <w:rtl w:val="true"/>
        </w:rPr>
        <w:footnoteReference w:id="448"/>
      </w:r>
      <w:r>
        <w:rPr>
          <w:rFonts w:ascii="IRNazanin" w:hAnsi="IRNazanin" w:eastAsia="IRNazanin"/>
          <w:color w:val="111111"/>
          <w:sz w:val="28"/>
          <w:sz w:val="28"/>
          <w:szCs w:val="28"/>
          <w:rtl w:val="true"/>
          <w:lang w:bidi="fa-IR"/>
        </w:rPr>
        <w:t>، أنّ الماء بقید الکرّیة موضوع لعدم التنجّس، و لأجل ذلک یستفاد منه المفهوم، و مفاده أنّ عنوان الماء جزء الموضوع، و جزؤه الآخر عبارة عن الکرّیة، فالتعارض بین الدلیلین تعارض الإطلاق و التقیید، و حیث إنّ ظهور القید فی کونه دخیلًا أقوی من ظهور المطلق فی مفاده، فلا محالة یحمل المطلق علی المقیّد</w:t>
      </w:r>
      <w:r>
        <w:rPr>
          <w:rStyle w:val="FootnoteAnchor"/>
          <w:rtl w:val="true"/>
        </w:rPr>
        <w:footnoteReference w:id="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افید خروج عن محطّ البحث و عنوانه بلا دلیل</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و الذی یتوجّه علیه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غایة ما یقتضیه أخذ القید بما أنّه فعل اختیاری، دخالته فی ترتّب الحکم علی الموضوع، و أین هذا من إثبات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أن ینضمّ إلیه کون القید علّة منحصرة، و الکلام بعد فی ثبوت ما له المفهوم حال المقابلة مع العامّ؛ و إن کان له مفهوم لو خلّی و طبعه، فالتعارض بین العامّ و دلالة الجملة الشرطیة، و لذا یختلف الحال بین استفادة العموم و المفهوم من ناحیة الوضع، أو مقدّمات الحکمة، کما سنشیر إلیه، لا بین العامّ و المفهوم الأخصّ منه أو الأعمّ منه من وجه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وقع الخلاف هنا فی تقدیم العامّ علی المفهوم المخالف، مع اتفاقهم علی تقدیم الخاصّ علی العامّ لو کانت النسبة بین الدلیلین عموماً مطلقاً، و أخذهم بما هو الأرجح لو کانت النسبة بینهما عموماً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مقتضی انحصار القید استفادة المفهوم، و المفهوم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أخصّ من العامّ، 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تیسّر لی عجالة فی فهم مقالة سماحة استاذنا الأعظم البروجردی قدس سره و إشکال سماحة الاستاذ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و اللَّه العالم بحقیقة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المقرّر حفظه اللَّه</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محطّ</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البحث تعارض العامّ مع ما یشتمل علی المفهوم، و مجرّد دخالة شی‌ء فی حکم غیر المفهوم؛ لأنّ غایة ما یستفاد من ذکر القید دخالته فی ترتّب الحکم علی الموضوع، و هذا غیر وافٍ بإثبات الحکم ما لم ینضمّ إلیه کون القید علّة منحصرة، و بعد استفادة العلّیة المنحصرة یکون له مفهوم؛ و هو فی المثال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یبلغ الماء قدر کرّ</w:t>
      </w:r>
      <w:bookmarkStart w:id="756" w:name="pg12934_164850"/>
    </w:p>
    <w:p>
      <w:pPr>
        <w:pStyle w:val="BookText"/>
        <w:rPr/>
      </w:pPr>
      <w:bookmarkEnd w:id="756"/>
      <w:r>
        <w:rPr>
          <w:rFonts w:ascii="IRNazanin" w:hAnsi="IRNazanin" w:eastAsia="IRNazanin"/>
          <w:color w:val="111111"/>
          <w:sz w:val="28"/>
          <w:sz w:val="28"/>
          <w:szCs w:val="28"/>
          <w:rtl w:val="true"/>
          <w:lang w:bidi="fa-IR"/>
        </w:rPr>
        <w:t>ینجّسه کلّ شی‌ء من النجاسات، أو شی‌ء منها؛ علی الاختلاف فی المراد بالمفهوم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أیّ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بین الشرطیة المشتملة علی هذا المعنی فی حدّ نفسها و بین عموم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الماء طهوراً لا ینجّسه شی‌ء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 المفرد المعرّف باللام مفیداً للعموم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سرّ اختلاف القوم هنا فی تقدیم المفهوم المخالف؛ و أنّه إن استفید المفهوم من الوضع فکذا، و إن استفید المفهوم من الإطلاق فکذا، مع اتفاقهم فی محلّه علی تقدیم الخاصّ علی العامّ؛ و أنّ المتعارضین لو کان بینهما عموم من وجه یقدّم ما هو الأرجح، هو أنّ المعارض للعامّ هنا لیس هو المفهوم، بل ما یکون له مفهوم لو خلّی و طبعه، کالقضیة الشرطیة، و لذا یختلف الحال فی استفادة المفهوم من القضیة باختلاف المشارب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التعارض بین العامّ و دلالة الجملة الشرطیة مثلًا علی الانحصار، لا بین العامّ و المفهوم الأخصّ أو الأعمّ، نعم ینتج انحصار الشرط مفهوماً یکون أخصّ من العامّ تارة من وجه، و أعمّ منه من وجه اخری</w:t>
      </w:r>
      <w:r>
        <w:rPr>
          <w:rFonts w:eastAsia="IRNazanin" w:cs="IRNazanin"/>
          <w:color w:val="111111"/>
          <w:sz w:val="28"/>
          <w:szCs w:val="28"/>
          <w:rtl w:val="true"/>
          <w:lang w:bidi="fa-IR"/>
        </w:rPr>
        <w:t>.</w:t>
      </w:r>
    </w:p>
    <w:p>
      <w:pPr>
        <w:pStyle w:val="Heading6"/>
        <w:numPr>
          <w:ilvl w:val="5"/>
          <w:numId w:val="1"/>
        </w:numPr>
        <w:rPr/>
      </w:pPr>
      <w:bookmarkStart w:id="757" w:name="__RefHeading___Toc4026583_3224264995"/>
      <w:bookmarkStart w:id="758" w:name="_Toc287"/>
      <w:bookmarkEnd w:id="757"/>
      <w:r>
        <w:rPr>
          <w:rtl w:val="true"/>
        </w:rPr>
        <w:t>مختارنا فی المقام</w:t>
      </w:r>
      <w:bookmarkEnd w:id="758"/>
    </w:p>
    <w:p>
      <w:pPr>
        <w:pStyle w:val="BookText"/>
        <w:rPr/>
      </w:pPr>
      <w:r>
        <w:rPr>
          <w:rFonts w:ascii="IRNazanin" w:hAnsi="IRNazanin" w:eastAsia="IRNazanin"/>
          <w:color w:val="111111"/>
          <w:sz w:val="28"/>
          <w:sz w:val="28"/>
          <w:szCs w:val="28"/>
          <w:rtl w:val="true"/>
          <w:lang w:bidi="fa-IR"/>
        </w:rPr>
        <w:t>إذا عرفت ما مهّدنا لک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المبانی فی استفادة العموم و المفهوم مختلفة، لذا یختلف الحکم بحسب المبنی؛ و ذلک لأنّه إن کانت استفادة العموم و المفهوم کلیهما من الوضع و بدلالة لفظیة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الحقّ عندنا فی العامّ، و قیل به فی المفهوم؛ سواء کانا فی کلام واحد، أو فی کلامین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للأخذ بأحدهما مرجّح یؤخذ به، و یقدّم علی الآخر، و إلّا فیوجب الإجمال</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إن کانت دلالة العامّ بالوضع، و استفادة المفهوم بالإطلاق و مقدّمات</w:t>
      </w:r>
      <w:bookmarkStart w:id="759" w:name="pg12934_164851"/>
    </w:p>
    <w:p>
      <w:pPr>
        <w:pStyle w:val="BookText"/>
        <w:rPr/>
      </w:pPr>
      <w:bookmarkEnd w:id="759"/>
      <w:r>
        <w:rPr>
          <w:rFonts w:ascii="IRNazanin" w:hAnsi="IRNazanin" w:eastAsia="IRNazanin"/>
          <w:color w:val="111111"/>
          <w:sz w:val="28"/>
          <w:sz w:val="28"/>
          <w:szCs w:val="28"/>
          <w:rtl w:val="true"/>
          <w:lang w:bidi="fa-IR"/>
        </w:rPr>
        <w:t>الحکمة، فإن کانا فی کلام واحد رفعت الید عن المفهوم؛ لأنّ الإطلاق معلّق علی عدم البیان، و الظهور الفعلی المنجّز للعامّ بیان، أو صالح للبیانیّة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عکس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کانت استفادة العموم من الإطلاق، و استفادة المفهوم من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 کانا فی کلامین، فعلی مبنی الشیخ الأعظم الأنصاری 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تعمیم عدم البیان الذی علّق الإطلاق علی عدمه إلی المتصل و المنفصل</w:t>
      </w:r>
      <w:r>
        <w:rPr>
          <w:rStyle w:val="FootnoteAnchor"/>
          <w:rtl w:val="true"/>
        </w:rPr>
        <w:footnoteReference w:id="4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فیقدّم المستفاد بالوضع؛ لأنّ المفروض أنّ استفادة الإطلاق مرهونة بعدم البیان و لو منفصلًا، و معلوم أنّ الظهور الوضعی المنجّز بیان، أو صالح للبیانیة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لم نعمّم البیان إلی المنفصل؛ و قلنا بأنّ عدم البیان الذی علّق علیه الإطلاق، هو خصوص المتصل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الحقّ عندنا فیصیران متعارضین، و لا ترجیح للظهور الوضعی علی الظهور الإطلاقی، کما لا یخفی</w:t>
      </w:r>
      <w:r>
        <w:rPr>
          <w:rFonts w:eastAsia="IRNazanin" w:cs="IRNazanin"/>
          <w:color w:val="111111"/>
          <w:sz w:val="28"/>
          <w:szCs w:val="28"/>
          <w:rtl w:val="true"/>
          <w:lang w:bidi="fa-IR"/>
        </w:rPr>
        <w:t>.</w:t>
      </w:r>
    </w:p>
    <w:p>
      <w:pPr>
        <w:pStyle w:val="Heading4"/>
        <w:numPr>
          <w:ilvl w:val="3"/>
          <w:numId w:val="1"/>
        </w:numPr>
        <w:rPr/>
      </w:pPr>
      <w:bookmarkStart w:id="760" w:name="__RefHeading___Toc4026585_3224264995"/>
      <w:bookmarkStart w:id="761" w:name="_Toc288"/>
      <w:bookmarkEnd w:id="760"/>
      <w:r>
        <w:rPr>
          <w:rtl w:val="true"/>
        </w:rPr>
        <w:t>تفصیل المحقّق النائینی فی المقام و ما یرد علیه</w:t>
      </w:r>
      <w:bookmarkEnd w:id="761"/>
    </w:p>
    <w:p>
      <w:pPr>
        <w:pStyle w:val="BookText"/>
        <w:rPr/>
      </w:pPr>
      <w:r>
        <w:rPr>
          <w:rFonts w:ascii="IRNazanin" w:hAnsi="IRNazanin" w:eastAsia="IRNazanin"/>
          <w:color w:val="111111"/>
          <w:sz w:val="28"/>
          <w:sz w:val="28"/>
          <w:szCs w:val="28"/>
          <w:rtl w:val="true"/>
          <w:lang w:bidi="fa-IR"/>
        </w:rPr>
        <w:t>و أمّا لو استفید کلّ من العموم و الإطلاق من مقدّمات الحکمة؛ سواء وقعا فی کلام واحد، أو متعدّد، فهل یقدّم المفهوم علی العامّ، أو یتساقطان فیوجب الإجمال؟</w:t>
      </w:r>
    </w:p>
    <w:p>
      <w:pPr>
        <w:pStyle w:val="BookText"/>
        <w:rPr/>
      </w:pPr>
      <w:r>
        <w:rPr>
          <w:rFonts w:ascii="IRNazanin" w:hAnsi="IRNazanin" w:eastAsia="IRNazanin"/>
          <w:color w:val="111111"/>
          <w:sz w:val="28"/>
          <w:sz w:val="28"/>
          <w:szCs w:val="28"/>
          <w:rtl w:val="true"/>
          <w:lang w:bidi="fa-IR"/>
        </w:rPr>
        <w:t>وجهان، بل قولان</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یظهر من المحقّق النائینی قدس سره اختیار الأوّل؛ لأنّه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المفهوم المخالف مهما کان أخصّ من العامّ، یقدّم علی العامّ، و یخصّص به مطلقاً؛ سواء کان العامّ متصلًا بالقضیة التی تکون ذات مفهوم، أو منفصلًا عنها، و لا یصلح أن یکون العامّ قرینة علی عدم کون القضیة ذات مفهوم؛ لما سبق فی المفاهیم من أنّ العبرة فی کون</w:t>
      </w:r>
    </w:p>
    <w:p>
      <w:pPr>
        <w:pStyle w:val="BookText"/>
        <w:rPr/>
      </w:pPr>
      <w:r>
        <w:rPr>
          <w:rFonts w:ascii="IRNazanin" w:hAnsi="IRNazanin" w:eastAsia="IRNazanin"/>
          <w:color w:val="111111"/>
          <w:sz w:val="28"/>
          <w:sz w:val="28"/>
          <w:szCs w:val="28"/>
          <w:rtl w:val="true"/>
          <w:lang w:bidi="fa-IR"/>
        </w:rPr>
        <w:t>القضیة ذات مفهوم، هی أن یکون القید راجعاً إلی الحکم؛ لأنّها وضعت لتقیید جملة بجملة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القید فی رتبة الإسناد، لا فی الرتبة السابقة علی الإسناد؛ فإنّه لو کان التقیید قبل الإسناد، کان القید راجعاً إلی الموضوع، و تکون القضیة مسوقة لفرض وجود الموضوع، بخلاف ما إذا کان التقیید فی رتبة الإسناد، فإنّ القید حینئذٍ یکون راجعاً إلی الحکم، و یکون من تقیید جملة بجملة اخری، و حیث إنّ القضیة الشرطیة مثلًا ظاهرة فی کون القید راجعاً إلی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وضعت لتقیید جملة بجملة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 القضیة الشرطیة بنفسها ظاهرة فی کونها ذات مفهوم، و أصالة العموم فی طرف العامّ، لا تصلح أن تکون قرینة علی کون القید راجعاً إلی الموضوع؛ لأنّ العموم إنّما یستفاد من مقدّمات الحکمة الجاریة فی مصبّ العموم، و ظهور القضیة فی المفهوم و إن کان بمقدّمات الحکمة، لکنّه مقدّم و حاکم علی جریان مقدّمات الحکمة فی طرف العامّ؛ لأنّ المقدّمات الجاریة فی طرف المفهوم، تکون بمنزلة القرینة علی أنّ المراد من العامّ هو الخاصّ، و العامّ لا یصلح لأن یکون قرینة علی کون القضیة الشرطیة، مسوقة لفرض وجود الموضوع؛ لأنّ کون القضیة مسوقة لفرض وجود الموضوع یحتاج إلی دلیل یدلّ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إذا کان المفهوم أخصّ مطلقاً من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کان أعمّ من وجه فیعامل معهما معاملة العموم من وجه؛ فربما یقدّم المفهوم فی مورد الاجتماع، و ربما یقدّم العامّ</w:t>
      </w:r>
      <w:r>
        <w:rPr>
          <w:rFonts w:eastAsia="IRNazanin" w:cs="IRNazanin"/>
          <w:color w:val="111111"/>
          <w:sz w:val="28"/>
          <w:szCs w:val="28"/>
          <w:rtl w:val="true"/>
          <w:lang w:bidi="fa-IR"/>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منشأ التفصیل الذی ذکره فی المقام، هو انس ذهنه الشریف بأنّ</w:t>
      </w:r>
    </w:p>
    <w:p>
      <w:pPr>
        <w:pStyle w:val="BookText"/>
        <w:rPr/>
      </w:pPr>
      <w:r>
        <w:rPr>
          <w:rFonts w:ascii="IRNazanin" w:hAnsi="IRNazanin" w:eastAsia="IRNazanin"/>
          <w:color w:val="111111"/>
          <w:sz w:val="28"/>
          <w:sz w:val="28"/>
          <w:szCs w:val="28"/>
          <w:rtl w:val="true"/>
          <w:lang w:bidi="fa-IR"/>
        </w:rPr>
        <w:t>الخاصّ یقدّم علی العامّ مطلقاً، و أنّ العامّین من وجه یؤخذ بما هو الأرجح منهما، مع أنّ الأمر لیس کذلک؛ لأنّ المعارضة لم تکن بین العامّ و بین المفهوم أوّلًا و بالذات، حتّی یلاحظ حال المفهوم من حیث الأخصّیة و الأعمّیة، بل بین ما له المفهوم، و بین ما یدلّ علی العموم، فیکون التعارض فی الرتبة السابقة علیهما؛ و فی الألفاظ الدالّة علی المفهوم و العموم، فلا بدّ من رفع التعارض هناک، و معلوم أنّ استفادة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مرهونة بجریان المقدّمات، فلا وجه لجعل أحدهما بیاناً للآخر، و لا لکون جریان المقدّمات فی المفهوم بمنزلة القرینة للعامّ، لیقدّم الإطلاق فی المفهوم فی خصوص ما یکون المفهوم أخصّ، مع أنّه لو کان الإطلاق فی أحدهما مقدّماً علی الآخر، لکان ینبغی أن یقدّم و لو فیما إذا کانت النسبة بینها عموماً من وجه، و لم یقل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جریان مقدّمات الحکمة فی العامّ، لا یوجب رجوع القید فی الشرطیة إلی الموضوع؛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أصالة الإطلاق فی طرف العامّ لا تصلح لذلک، بل یمنع جریانها فی الشرطیة لإثبات الانحصار</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أنّه قد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باب العموم غیر باب الإطلاق، و أنّ دلالة العامّ علی العموم لم تکن مرهونة بجریان المقدّمات فی مصبّ العموم</w:t>
      </w:r>
      <w:r>
        <w:rPr>
          <w:rFonts w:eastAsia="IRNazanin" w:cs="IRNazanin"/>
          <w:color w:val="111111"/>
          <w:sz w:val="28"/>
          <w:szCs w:val="28"/>
          <w:rtl w:val="true"/>
          <w:lang w:bidi="fa-IR"/>
        </w:rPr>
        <w:t>.</w:t>
      </w:r>
      <w:bookmarkStart w:id="762" w:name="pg12934_164854"/>
    </w:p>
    <w:p>
      <w:pPr>
        <w:pStyle w:val="BookText"/>
        <w:rPr/>
      </w:pPr>
      <w:bookmarkEnd w:id="762"/>
      <w:r>
        <w:rPr>
          <w:rFonts w:ascii="IRNazanin" w:hAnsi="IRNazanin" w:eastAsia="IRNazanin"/>
          <w:color w:val="111111"/>
          <w:sz w:val="28"/>
          <w:sz w:val="28"/>
          <w:szCs w:val="28"/>
          <w:rtl w:val="true"/>
          <w:lang w:bidi="fa-IR"/>
        </w:rPr>
        <w:t>الاستثناء المتعقّب للجمل</w:t>
      </w:r>
    </w:p>
    <w:p>
      <w:pPr>
        <w:pStyle w:val="Heading3"/>
        <w:numPr>
          <w:ilvl w:val="2"/>
          <w:numId w:val="1"/>
        </w:numPr>
        <w:rPr/>
      </w:pPr>
      <w:bookmarkStart w:id="763" w:name="__RefHeading___Toc4026587_3224264995"/>
      <w:bookmarkStart w:id="764" w:name="_Toc289"/>
      <w:bookmarkEnd w:id="763"/>
      <w:r>
        <w:rPr>
          <w:rtl w:val="true"/>
        </w:rPr>
        <w:t>المبحث السابع فی الاستثناء المتعقّب للجمل</w:t>
      </w:r>
      <w:bookmarkEnd w:id="764"/>
    </w:p>
    <w:p>
      <w:pPr>
        <w:pStyle w:val="Heading4"/>
        <w:numPr>
          <w:ilvl w:val="3"/>
          <w:numId w:val="1"/>
        </w:numPr>
        <w:rPr/>
      </w:pPr>
      <w:bookmarkStart w:id="765" w:name="__RefHeading___Toc4026589_3224264995"/>
      <w:bookmarkStart w:id="766" w:name="_Toc290"/>
      <w:bookmarkEnd w:id="765"/>
      <w:r>
        <w:rPr>
          <w:rtl w:val="true"/>
        </w:rPr>
        <w:t>اشارة</w:t>
      </w:r>
      <w:bookmarkEnd w:id="766"/>
    </w:p>
    <w:p>
      <w:pPr>
        <w:pStyle w:val="BookText"/>
        <w:rPr/>
      </w:pPr>
      <w:r>
        <w:rPr>
          <w:rFonts w:ascii="IRNazanin" w:hAnsi="IRNazanin" w:eastAsia="IRNazanin"/>
          <w:color w:val="111111"/>
          <w:sz w:val="28"/>
          <w:sz w:val="28"/>
          <w:szCs w:val="28"/>
          <w:rtl w:val="true"/>
          <w:lang w:bidi="fa-IR"/>
        </w:rPr>
        <w:t>المبحث السابع فی الاستثناء المتعقّب للجمل</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إذا تعقّب الاستثناء جملًا متعدّدة</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فهل الظاهر رجوعه إلی الجمیع؛ أی کلّ واحد بنحو العامّ الاستغراقی، أو خصوص الجملة الأخیرة، أو لا ظهور له فی واحد منهما، بل لا بدّ فی التعیین من قرینة؟ وجوه، بل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رجوعه إلی الأخیرة، ممّا لا خلاف و لا إشکال فیه علی أیّ حال؛ لأنّه القدر المتیقّن، بداهة أنّ رجوعه إلی غیر الأخیرة بدون قرینة، خارج عن طریقة العقلاء فی المحاورة</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موقع للبحث عن مقام الاستظهار؛ إلّا بعد إمکان رجوع الاستثناء إلی الجمیع</w:t>
      </w:r>
      <w:r>
        <w:rPr>
          <w:rFonts w:eastAsia="IRNazanin" w:cs="IRNazanin"/>
          <w:color w:val="111111"/>
          <w:sz w:val="28"/>
          <w:szCs w:val="28"/>
          <w:rtl w:val="true"/>
          <w:lang w:bidi="fa-IR"/>
        </w:rPr>
        <w:t>.</w:t>
      </w:r>
      <w:bookmarkStart w:id="767" w:name="pg12934_164855"/>
    </w:p>
    <w:p>
      <w:pPr>
        <w:pStyle w:val="Heading4"/>
        <w:numPr>
          <w:ilvl w:val="3"/>
          <w:numId w:val="1"/>
        </w:numPr>
        <w:rPr/>
      </w:pPr>
      <w:bookmarkStart w:id="768" w:name="__RefHeading___Toc4026591_3224264995"/>
      <w:bookmarkStart w:id="769" w:name="_Toc291"/>
      <w:bookmarkEnd w:id="767"/>
      <w:bookmarkEnd w:id="768"/>
      <w:r>
        <w:rPr>
          <w:rtl w:val="true"/>
        </w:rPr>
        <w:t>فی إمکان رجوع الاستثناء إلی الجمیع ثبوتاً</w:t>
      </w:r>
      <w:bookmarkEnd w:id="769"/>
    </w:p>
    <w:p>
      <w:pPr>
        <w:pStyle w:val="BookText"/>
        <w:rPr/>
      </w:pPr>
      <w:r>
        <w:rPr>
          <w:rFonts w:ascii="IRNazanin" w:hAnsi="IRNazanin" w:eastAsia="IRNazanin"/>
          <w:color w:val="111111"/>
          <w:sz w:val="28"/>
          <w:sz w:val="28"/>
          <w:szCs w:val="28"/>
          <w:rtl w:val="true"/>
          <w:lang w:bidi="fa-IR"/>
        </w:rPr>
        <w:t>و قد یذکر فی المقام إشکال ثبوتی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عدم إمکان الرجوع إلی الجمیع فیما إذا کانت آلة الاستثناء حرفاً؛ فإنّ التحقیق أنّ الموضوع فی الحروف خاصّ، کالوضع، فلا بدّ و أن تستعمل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إخراج خاصّ؛ أی ما یکون إخراجاً بالحمل الشائع، فإن استعملت فی إخراجات متعدّدة، یلزم استعمال اللفظ فی أکثر من معنی واحد، و قد حقّق فی محلّه عدم جواز ذلک؛ لأنّ اللفظ فانٍ فی المعنی و وجهه و عنوان له، و لا یجوز عقلًا أن یکون شی‌ء واحد فانیاً فی أکثر من معنی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محذور استعمال الحروف فی الأکثر أشدّ من غیرها؛ لأنّها تکون آلات لملاحظة الغیر، فیلزم أن یکون شی‌ء واحد فانیاً فی شیئین أو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آلة الاستثناء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یورد هذا المحذور فی المستثنی أیضاً؛ و ذلک فیما إذا کان المستثنی لفظاً مشترکاً، کلفظ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مشترکاً بین عدّة أشخاص، و یکون فی کلّ جملة شخص مسمّی بزید، فإخراج کلّ منهم بلفظ واحد، مستلزم لاستعمال اللفظ فی أکثر من معنی واحد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الرجوع إلی الجمیع، یستلزم استعمال آلة الاستثناء أو المستثنی أحیاناً</w:t>
      </w:r>
      <w:r>
        <w:rPr>
          <w:rStyle w:val="FootnoteAnchor"/>
          <w:rtl w:val="true"/>
        </w:rPr>
        <w:footnoteReference w:id="455"/>
      </w:r>
      <w:r>
        <w:rPr>
          <w:rFonts w:ascii="IRNazanin" w:hAnsi="IRNazanin" w:eastAsia="IRNazanin"/>
          <w:color w:val="111111"/>
          <w:sz w:val="28"/>
          <w:sz w:val="28"/>
          <w:szCs w:val="28"/>
          <w:rtl w:val="true"/>
          <w:lang w:bidi="fa-IR"/>
        </w:rPr>
        <w:t>فی أکثر من معنی واحد، و قد حقّق فی محلّه عدم الجواز، فإذا لم یمکن الرجوع إلی الجمیع و امتنع، فالقدر المتیقّن الرجوع إلی الجملة الأخیرة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الإشکال غیر وارد؛ لما أشرنا فی محلّه من جواز استعمال اللفظ الواحد فی أکثر من معنی واحد، بل ربما یکون مستحسناً، و أنّ حدیث فناء اللفظ فی المعنی و کونه وجهاً و عنواناً له، أشبه بالخطابة؛ بلا فرق فی ذلک بین الحروف و الأسماء، و السرّ فی ذلک أنّ الاستعمال عبارة عن طلب عمل اللفظ فی المعنی، و جعل اللفظ علامة و أمارة علیه، فکما یصحّ أن یکون شی‌ء واحد أمارة و علامة علی أشیاء متعدّدة، فکذلک یصحّ أن تکون لفظة واحدة أمارة و إشارة إلی معانٍ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سلّم عدم جواز استعمال اللفظ فی أکثر من معنی واحد، فنمنع کون المقام من ذلک؛ لأنّه إذا کان المستثنی عنواناً منطبقاً علی الجمیع کعنوان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فواضح أنّه لم یستعمل فی الأکثر، و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مخرجة لهذا المعنی الواحد القابل للانطباق علی الجمیع، فکما أنّ نداء جماعة بلفظة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أن یکون هناک خطابات و إشارات، فکذلک فی المقام لا یوجب إخراجات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الإشارة إلی جماعة لا توجب تعدّداً فی الإشارة، بل غایة ما هناک التعدّد فی المشار إلیه، فکذلک إخراج عنوان منطبق علی الجمیع لا یوجب أن یکون هناک إخراجات، و کذا إذا کان المستثنی فرداً مشترکاً؛ لأنّه یؤوّل بالمسمّی، فیکون واحداً، و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تخرج هذا المعنی، فتکون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المشترکة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أنّ فی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زیدین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تستعمل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الأکثر، فکذلک فیما إذا کان المستثنی مسمّی بزید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أبیت عمّا ذکرناه فالإشکال مختصّ بما إذا کانت آلة الاستثناء حرفاً، و أمّا إذا کانت اسماً فلا محذور حینئذٍ</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ممّا ذکرنا عدم تمامیة الإشکال و إمکان إرجاع الاستثناء إلی الجمیع، و أنّه لا محذور فی البین</w:t>
      </w:r>
      <w:r>
        <w:rPr>
          <w:rFonts w:eastAsia="IRNazanin" w:cs="IRNazanin"/>
          <w:color w:val="111111"/>
          <w:sz w:val="28"/>
          <w:szCs w:val="28"/>
          <w:rtl w:val="true"/>
          <w:lang w:bidi="fa-IR"/>
        </w:rPr>
        <w:t>.</w:t>
      </w:r>
      <w:bookmarkStart w:id="770" w:name="pg12934_164857"/>
    </w:p>
    <w:p>
      <w:pPr>
        <w:pStyle w:val="Heading4"/>
        <w:numPr>
          <w:ilvl w:val="3"/>
          <w:numId w:val="1"/>
        </w:numPr>
        <w:rPr/>
      </w:pPr>
      <w:bookmarkStart w:id="771" w:name="__RefHeading___Toc4026593_3224264995"/>
      <w:bookmarkStart w:id="772" w:name="_Toc292"/>
      <w:bookmarkEnd w:id="770"/>
      <w:bookmarkEnd w:id="771"/>
      <w:r>
        <w:rPr>
          <w:rtl w:val="true"/>
        </w:rPr>
        <w:t>فی حال رجوع الاستثناء إثباتاً و استظهاراً</w:t>
      </w:r>
      <w:bookmarkEnd w:id="772"/>
    </w:p>
    <w:p>
      <w:pPr>
        <w:pStyle w:val="BookText"/>
        <w:rPr/>
      </w:pPr>
      <w:r>
        <w:rPr>
          <w:rFonts w:ascii="IRNazanin" w:hAnsi="IRNazanin" w:eastAsia="IRNazanin"/>
          <w:color w:val="111111"/>
          <w:sz w:val="28"/>
          <w:sz w:val="28"/>
          <w:szCs w:val="28"/>
          <w:rtl w:val="true"/>
          <w:lang w:bidi="fa-IR"/>
        </w:rPr>
        <w:t>فإذا تمهّد لک ما ذکرنا من إمکان إرجاع الاستثناء إلی الجمیع، فحان البحث فی مقام الإثبات و الاستظهار؛ و أنّه هل الظاهر رجوعه إلی الجمیع، أو الأخیر، أو لا ظهور فی واحد منهما؟</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یتصوّر للاستثناء و الجمل التی تعقّبها صور و أقسام یختلف الاستظهار بحسبها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ذکر الاسم الظاهر فی الجملة الاولی، و اشتملت سائر الجمل المعطوفة علیها علی الضمیر، و کان المستثنی مشتملًا علی الضمیر، کقولنا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 و سلّم علیهم، و أضفهم، إلّا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الظاهر منه عند العرف و العقلاء، إرجاع الاستثناء إلی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یناسبه الاعتبار أیضاً؛ لأنّ الضمائر و أسماء الإشارة، تشترکان فی أنّ مفادهما الإشارة إلی الشی‌ء، و لا تلاحظان مستقلّاً، و لا یخبر عنهما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بینهما فرق من جهة اخری؛ و هی أنّ اسم الإشارة وضع لیشار به إلی المحسوس، بخلاف الضمیر، فإنّه للأعمّ، و لکنّ هذا لا یوجب فرقاً فیما هو المهمّ فی المقام؛ من جهة أنّ کلّاً منهما لا یصلح للإخبار عنه حقیقة</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یکن فی الجمل شی‌ء صالح للإشارة إلیه إلّا الاسم الظاهر المذکور فی الجملة الاولی؛ لأنّ الضمیر لا یشیر إلی الضمیر، و الأحکام المتواردة علی الضمائر، متواردة علی الاسم الظاهر حقیقة، فبرجوع ضمیر المستثنی إلی الاسم الظاهر، یخرج عن تحت جمیع الأحکام المتعلّقة به، فیؤول المثال المذکور حقیقة إلی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و سلّم و أضف العلماء، إلّا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اشتمل المستثنی علی الضمیر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الحال فیما إذا لم یشتمل المستثنی علی الضمیر، کما إذا قیل فی المثال المتقدّم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المستثنی بحسب الواقع مشتمل علی الضمیر، و یکون منویاً فیه، فالکلام فیه هو الکلام فی المشتمل علی الضمیر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 عدم تقدیر الضمیر فیه، یکون المستثنی عنواناً ینطبق علی جمیع المستثنیات منها، کما هو کذلک أیضاً؛ لأنّ سائر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الجملة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علی الضمیر، و معلوم أنّه غیر ملحوظ مستقلّاً، فلا تصلح بنفسها لانطباق العنوان علیه، و لا تکون بنفسها محکومة بحکم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ذکرنا هو مقتضی الاعتبار، و ارتکاز الفهم العقلائی أیضاً، کما لا یخفی علی اللبیب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کانت الجمل المتعدّدة مشتملة علی الظاهر و الضمیر؛ بأن کانت الجملة الاولی مشتملة علی الظاهر، و الثانیة علی الضمیر، و الثالثة علی الظاهر، و الرابعة علی الضمیر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مثل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 و سلّم علیهم، أضف التجّار، و أکرمهم، إلّا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لا یدور الأمر بین رجوع الاستثناء إلی الأخیر أو إلی الجمیع، بل یدور بین الرجوع إلی الجملة الاولی المشتملة علی الظاهر، و بین الجملة المتوسّطة المشتملة علی الاسم الظاهر و ما بعده</w:t>
      </w:r>
      <w:r>
        <w:rPr>
          <w:rStyle w:val="FootnoteAnchor"/>
          <w:rtl w:val="true"/>
        </w:rPr>
        <w:footnoteReference w:id="456"/>
      </w:r>
      <w:r>
        <w:rPr>
          <w:rFonts w:ascii="IRNazanin" w:hAnsi="IRNazanin" w:eastAsia="IRNazanin"/>
          <w:color w:val="111111"/>
          <w:sz w:val="28"/>
          <w:sz w:val="28"/>
          <w:szCs w:val="28"/>
          <w:rtl w:val="true"/>
          <w:lang w:bidi="fa-IR"/>
        </w:rPr>
        <w:t>، و حیث إنّه لا ترجیح لإحداهما علی الاخری، یصیر الکلام مجملًا</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کانت الجمل بأجمعها مشتملة علی الاسم الظاهر، فالظاهر أنّها</w:t>
      </w:r>
    </w:p>
    <w:p>
      <w:pPr>
        <w:pStyle w:val="BookText"/>
        <w:rPr/>
      </w:pPr>
      <w:r>
        <w:rPr>
          <w:rFonts w:ascii="IRNazanin" w:hAnsi="IRNazanin" w:eastAsia="IRNazanin"/>
          <w:color w:val="111111"/>
          <w:sz w:val="28"/>
          <w:sz w:val="28"/>
          <w:szCs w:val="28"/>
          <w:rtl w:val="true"/>
          <w:lang w:bidi="fa-IR"/>
        </w:rPr>
        <w:t>کالصور السابقة فی أنّه لا مرجّح للرجوع إلی الأخیرة دون الرجوع إلی الجمیع؛ لأنّه کما یحتمل رجوعه إلی الأخیرة، فکذلک یحتمل رجوعه إلی الجمیع، فیصیر الکلام مجملًا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یظهر من المحقّق النائینی قدس سره التفصیل بین ما إذا کانت الجمل المتقدّمة مشتملة علی الموضوع و المحمول،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 و أضف الشعراء، و أهن الفسّاق، إلّا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 و أکرم الشعراء، و أکرم السادات إلّا النحوی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فیرجع إلی خصوص الأخیرة، و بین ما حذف فیها الموضوع،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 و الشعراء، و السادة، إلّا النحوی</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الاستثناء إنّما یرجع إلی الموضوع بلحاظ تعلّق الحکم به، لا الموضوع فقط، و لا الحکم کذلک، و مجرّد ذکر الحکم لا یکون دخیلًا فی موضوع الاستثناء، فإذن لا وجه للتفصیل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تکرار عقد الوضع فی الجملة الأخیرة مستقلّاً، یوجب أخذ الاستثناء محلّه من الکلام</w:t>
      </w:r>
      <w:r>
        <w:rPr>
          <w:rFonts w:eastAsia="IRNazanin" w:cs="IRNazanin"/>
          <w:color w:val="111111"/>
          <w:sz w:val="28"/>
          <w:szCs w:val="28"/>
          <w:rtl w:val="true"/>
          <w:lang w:bidi="fa-IR"/>
        </w:rPr>
        <w:t>»</w:t>
      </w:r>
      <w:r>
        <w:rPr>
          <w:rStyle w:val="FootnoteAnchor"/>
          <w:rtl w:val="true"/>
        </w:rPr>
        <w:footnoteReference w:id="459"/>
      </w:r>
      <w:r>
        <w:rPr>
          <w:rFonts w:ascii="IRNazanin" w:hAnsi="IRNazanin" w:eastAsia="IRNazanin"/>
          <w:color w:val="111111"/>
          <w:sz w:val="28"/>
          <w:sz w:val="28"/>
          <w:szCs w:val="28"/>
          <w:rtl w:val="true"/>
          <w:lang w:bidi="fa-IR"/>
        </w:rPr>
        <w:t>، لا ترجع إلی محصّل؛ لما أشرنا من أنّ احتمال الرجوع إلی الجمیع، مساوٍ لاحتمال الرجوع إلی خصوص الأخیرة؛ لو لم نقل بأظهریته منه عند العرف</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قرّر فی أجود التقریرات فی هذا المبحث أحسن ممّا قرّر فی فوائد الاصول، و الإشکال المتوجّه علیه أقلّ ممّا یرد علی التقریر الآخر، فاختبر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المقرّر حفظه اللَّه</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مع هذا لا یکون الکلام هنا بمهمّ</w:t>
      </w:r>
      <w:r>
        <w:rPr>
          <w:rFonts w:eastAsia="IRNazanin" w:cs="IRNazanin"/>
          <w:color w:val="111111"/>
          <w:sz w:val="28"/>
          <w:szCs w:val="28"/>
          <w:rtl w:val="true"/>
          <w:lang w:bidi="fa-IR"/>
        </w:rPr>
        <w:t>.</w:t>
      </w:r>
      <w:bookmarkStart w:id="773" w:name="pg12934_164860"/>
    </w:p>
    <w:p>
      <w:pPr>
        <w:pStyle w:val="Heading4"/>
        <w:numPr>
          <w:ilvl w:val="3"/>
          <w:numId w:val="1"/>
        </w:numPr>
        <w:rPr/>
      </w:pPr>
      <w:bookmarkStart w:id="774" w:name="__RefHeading___Toc4026595_3224264995"/>
      <w:bookmarkStart w:id="775" w:name="_Toc293"/>
      <w:bookmarkEnd w:id="773"/>
      <w:bookmarkEnd w:id="774"/>
      <w:r>
        <w:rPr>
          <w:rtl w:val="true"/>
        </w:rPr>
        <w:t>تذنیب</w:t>
      </w:r>
      <w:r>
        <w:rPr>
          <w:rtl w:val="true"/>
        </w:rPr>
        <w:t xml:space="preserve">: </w:t>
      </w:r>
      <w:r>
        <w:rPr>
          <w:rtl w:val="true"/>
        </w:rPr>
        <w:t>فی التمسّک بالأصل العملی فی المقام عند الشکّ و الإجمال</w:t>
      </w:r>
      <w:bookmarkEnd w:id="775"/>
    </w:p>
    <w:p>
      <w:pPr>
        <w:pStyle w:val="BookText"/>
        <w:rPr/>
      </w:pPr>
      <w:r>
        <w:rPr>
          <w:rFonts w:ascii="IRNazanin" w:hAnsi="IRNazanin" w:eastAsia="IRNazanin"/>
          <w:color w:val="111111"/>
          <w:sz w:val="28"/>
          <w:sz w:val="28"/>
          <w:szCs w:val="28"/>
          <w:rtl w:val="true"/>
          <w:lang w:bidi="fa-IR"/>
        </w:rPr>
        <w:t>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فی أنّ القدر المتیقّن، رجوع الضمیر إلی الأخیرة؛ لأنّ عوده إلی غیرها و صرفه عنها، خلاف الارتکاز و قانون المحاورة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لم یمکن الاستظهار بالنسبة إلی ما عدا الأخیرة، هل یصحّ الأخذ بأصالة العموم فی سائر الجمل مطلقاً، أو لا یمکن الأخذ کذلک، بل المرجع الأصل العملی، کما اختاره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w:t>
      </w:r>
      <w:r>
        <w:rPr>
          <w:rStyle w:val="FootnoteAnchor"/>
          <w:rtl w:val="true"/>
        </w:rPr>
        <w:footnoteReference w:id="461"/>
      </w:r>
      <w:r>
        <w:rPr>
          <w:rFonts w:ascii="IRNazanin" w:hAnsi="IRNazanin" w:eastAsia="IRNazanin"/>
          <w:color w:val="111111"/>
          <w:sz w:val="28"/>
          <w:sz w:val="28"/>
          <w:szCs w:val="28"/>
          <w:rtl w:val="true"/>
          <w:lang w:bidi="fa-IR"/>
        </w:rPr>
        <w:t>أو یفصّل بین ما إذا استفید العموم من اللفظ، أو من مقدّمات الحکمة</w:t>
      </w:r>
      <w:r>
        <w:rPr>
          <w:rStyle w:val="FootnoteAnchor"/>
          <w:rtl w:val="true"/>
        </w:rPr>
        <w:footnoteReference w:id="462"/>
      </w:r>
      <w:r>
        <w:rPr>
          <w:rFonts w:ascii="IRNazanin" w:hAnsi="IRNazanin" w:eastAsia="IRNazanin"/>
          <w:color w:val="111111"/>
          <w:sz w:val="28"/>
          <w:sz w:val="28"/>
          <w:szCs w:val="28"/>
          <w:rtl w:val="true"/>
          <w:lang w:bidi="fa-IR"/>
        </w:rPr>
        <w:t>، فیجوز فی الأوّل، دون الثانی؟ وجوه</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یقتضیه النظر عدم صحّة التمسّک بأصالة العموم مطلقاً؛ لما أشرنا غیر مرّة من أنّ مجرّد ظهور الکلام فی أمر، لا یصحّح الاحتجاج به، بل لا بدّ فی ذلک من إحراز تطابق الجدّ للاستعمال، و مع قرینیّة الاستثناء الواقع فی الکلام لا یکاد یحرز ذلک؛ فإنّ أصالة العموم إنّما تکون حجّة، فیما إذا احرز تطابق الجدّ للاستعمال، و ذلک فیما إذا ورد ما یصلح للقرینیة بعد استقرار ظهور الکلام فی کلام منفصل، و لکنّه خارج عن محطّ البحث؛ لأنّه فی الاستثناء المتصل بالکلام، فحیث حفّ الکلام بما یصلح للقرینیة و تقیید مدخول إرادة العموم، فلا یکاد یحرز عند ذلک تطابق الإرادتین، فیصیر الکلام مجملًا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مخلّ بغرض المتکلّم، مدفوع بإمکان تعلّق غرضه أحیاناً بإلقاء الکلام المجمل، و إلّا لوجب أن لا یصدر المتشابهات و المجملات،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أصالة الإطلاق فی الاستثناء و المستثنی، جاریة فی حدّ نفسها لو لا حکومة أصالة العموم علیها، و معها لا مجال لقرینیة الإطلاق؛ لأنّه دوری، نعم لو کانت دلالة العموم بمقدّمات الحکمة، لم یکن وجه لتقدیم أصالة العموم، و لکنّه بمعزل من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العموم و إن کان وضعیاً لا یحتاج إلی جریان المقدّمات، لکنّک عرفت أنّه بمجرّد ذلک، ما لم یحرز تطابق الجدّ للاستعمال، لا یصلح للاحتجاج به، و لا یکاد یحرز فیما إذا حفّ الکلام بما یصلح للقرینیة و تقیید مدخول أداة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یحرز بناء العقلاء فی العمل بأصالة العموم عند احتفاف الکلام بما یصلح للقرینیة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إطلاق المستثنی تابع لإطلاق الضمیر المشتمل علیه، و لا یعقل أن یکون الإطلاق مشخّصاً لمرجع الضمیر، و إلّا للزم الدور</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الإشکال فی صورة عدم اشتماله علی الضمیر؛ لصحّة انطباق عنوانه علی الجمیع، سواء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الضمیر منوی أم لا، فحینئذٍ لا تکون أصالة الجدّ محرزة، فتأمّل</w:t>
      </w:r>
      <w:r>
        <w:rPr>
          <w:rFonts w:eastAsia="IRNazanin" w:cs="IRNazanin"/>
          <w:color w:val="111111"/>
          <w:sz w:val="28"/>
          <w:szCs w:val="28"/>
          <w:rtl w:val="true"/>
          <w:lang w:bidi="fa-IR"/>
        </w:rPr>
        <w:t>.</w:t>
      </w:r>
      <w:bookmarkStart w:id="776" w:name="pg12934_164862"/>
    </w:p>
    <w:p>
      <w:pPr>
        <w:pStyle w:val="BookText"/>
        <w:rPr/>
      </w:pPr>
      <w:bookmarkEnd w:id="776"/>
      <w:r>
        <w:rPr>
          <w:rFonts w:ascii="IRNazanin" w:hAnsi="IRNazanin" w:eastAsia="IRNazanin"/>
          <w:color w:val="111111"/>
          <w:sz w:val="28"/>
          <w:sz w:val="28"/>
          <w:szCs w:val="28"/>
          <w:rtl w:val="true"/>
          <w:lang w:bidi="fa-IR"/>
        </w:rPr>
        <w:t>دوران الأمر بین النسخ و التخصیص</w:t>
      </w:r>
    </w:p>
    <w:p>
      <w:pPr>
        <w:pStyle w:val="Heading3"/>
        <w:numPr>
          <w:ilvl w:val="2"/>
          <w:numId w:val="1"/>
        </w:numPr>
        <w:rPr/>
      </w:pPr>
      <w:bookmarkStart w:id="777" w:name="__RefHeading___Toc4026597_3224264995"/>
      <w:bookmarkStart w:id="778" w:name="_Toc294"/>
      <w:bookmarkEnd w:id="777"/>
      <w:r>
        <w:rPr>
          <w:rtl w:val="true"/>
        </w:rPr>
        <w:t>المبحث الثامن فی دوران الأمر بین النسخ و التخصیص</w:t>
      </w:r>
      <w:bookmarkEnd w:id="778"/>
    </w:p>
    <w:p>
      <w:pPr>
        <w:pStyle w:val="Heading4"/>
        <w:numPr>
          <w:ilvl w:val="3"/>
          <w:numId w:val="1"/>
        </w:numPr>
        <w:rPr/>
      </w:pPr>
      <w:bookmarkStart w:id="779" w:name="__RefHeading___Toc4026599_3224264995"/>
      <w:bookmarkStart w:id="780" w:name="_Toc295"/>
      <w:bookmarkEnd w:id="779"/>
      <w:r>
        <w:rPr>
          <w:rtl w:val="true"/>
        </w:rPr>
        <w:t>اشارة</w:t>
      </w:r>
      <w:bookmarkEnd w:id="780"/>
    </w:p>
    <w:p>
      <w:pPr>
        <w:pStyle w:val="BookText"/>
        <w:rPr/>
      </w:pPr>
      <w:r>
        <w:rPr>
          <w:rFonts w:ascii="IRNazanin" w:hAnsi="IRNazanin" w:eastAsia="IRNazanin"/>
          <w:color w:val="111111"/>
          <w:sz w:val="28"/>
          <w:sz w:val="28"/>
          <w:szCs w:val="28"/>
          <w:rtl w:val="true"/>
          <w:lang w:bidi="fa-IR"/>
        </w:rPr>
        <w:t>المبحث الثامن فی دوران الأمر بین النسخ و التخصیص</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إذا ورد عامّ و خاصّ، و شکّ فی کون الخاصّ مخصّصاً، أو ناسخاً، فهل لأحدهما مزیّة و ترجیح علی الآخر، أم لا؟</w:t>
      </w:r>
    </w:p>
    <w:p>
      <w:pPr>
        <w:pStyle w:val="BookText"/>
        <w:rPr/>
      </w:pPr>
      <w:r>
        <w:rPr>
          <w:rFonts w:ascii="IRNazanin" w:hAnsi="IRNazanin" w:eastAsia="IRNazanin"/>
          <w:color w:val="111111"/>
          <w:sz w:val="28"/>
          <w:sz w:val="28"/>
          <w:szCs w:val="28"/>
          <w:rtl w:val="true"/>
          <w:lang w:bidi="fa-IR"/>
        </w:rPr>
        <w:t>و الکلام فیه یقع فی مقامین</w:t>
      </w:r>
      <w:r>
        <w:rPr>
          <w:rFonts w:eastAsia="IRNazanin" w:cs="IRNazanin"/>
          <w:color w:val="111111"/>
          <w:sz w:val="28"/>
          <w:szCs w:val="28"/>
          <w:rtl w:val="true"/>
          <w:lang w:bidi="fa-IR"/>
        </w:rPr>
        <w:t>:</w:t>
      </w:r>
    </w:p>
    <w:p>
      <w:pPr>
        <w:pStyle w:val="Heading4"/>
        <w:numPr>
          <w:ilvl w:val="3"/>
          <w:numId w:val="1"/>
        </w:numPr>
        <w:rPr/>
      </w:pPr>
      <w:bookmarkStart w:id="781" w:name="__RefHeading___Toc4026601_3224264995"/>
      <w:bookmarkStart w:id="782" w:name="_Toc296"/>
      <w:bookmarkEnd w:id="781"/>
      <w:r>
        <w:rPr>
          <w:rtl w:val="true"/>
        </w:rPr>
        <w:t>المقام الأوّل</w:t>
      </w:r>
      <w:r>
        <w:rPr>
          <w:rtl w:val="true"/>
        </w:rPr>
        <w:t xml:space="preserve">: </w:t>
      </w:r>
      <w:r>
        <w:rPr>
          <w:rtl w:val="true"/>
        </w:rPr>
        <w:t>فی ماهیة النسخ و التخصیص ثبوتاً و بیان إمکانهما</w:t>
      </w:r>
      <w:bookmarkEnd w:id="782"/>
    </w:p>
    <w:p>
      <w:pPr>
        <w:pStyle w:val="Heading5"/>
        <w:numPr>
          <w:ilvl w:val="4"/>
          <w:numId w:val="1"/>
        </w:numPr>
        <w:rPr/>
      </w:pPr>
      <w:bookmarkStart w:id="783" w:name="__RefHeading___Toc4026603_3224264995"/>
      <w:bookmarkStart w:id="784" w:name="_Toc297"/>
      <w:bookmarkEnd w:id="783"/>
      <w:r>
        <w:rPr>
          <w:rtl w:val="true"/>
        </w:rPr>
        <w:t>اشارة</w:t>
      </w:r>
      <w:bookmarkEnd w:id="784"/>
    </w:p>
    <w:p>
      <w:pPr>
        <w:pStyle w:val="BookText"/>
        <w:rPr/>
      </w:pPr>
      <w:r>
        <w:rPr>
          <w:rFonts w:ascii="IRNazanin" w:hAnsi="IRNazanin" w:eastAsia="IRNazanin"/>
          <w:color w:val="111111"/>
          <w:sz w:val="28"/>
          <w:sz w:val="28"/>
          <w:szCs w:val="28"/>
          <w:rtl w:val="true"/>
          <w:lang w:bidi="fa-IR"/>
        </w:rPr>
        <w:t>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إخراج فرد أو أفراد عن تحت دائرة حکم العامّ من أوّل الأمر؛ بحیث یستکشف أنّ الحکم لم یتعلّق جدّاً بما خرج، بل معلّق علی ما بقی، و أنّ تعلیقه علی نحو العموم کان صوریاً ظاهریاً</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فرق فی ذلک بین کون العموم أفرادیاً، أو زمانیاً، مثال الأوّل معلوم و واضح، و مثال الثانی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عالم فی کلّ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خصّص یستکشف منه أنّه لم یجب إکرام جمیع العلماء فی جمیع الزمان</w:t>
      </w:r>
      <w:r>
        <w:rPr>
          <w:rFonts w:eastAsia="IRNazanin" w:cs="IRNazanin"/>
          <w:color w:val="111111"/>
          <w:sz w:val="28"/>
          <w:szCs w:val="28"/>
          <w:rtl w:val="true"/>
          <w:lang w:bidi="fa-IR"/>
        </w:rPr>
        <w:t>.</w:t>
      </w:r>
      <w:bookmarkStart w:id="785" w:name="pg12934_164863"/>
    </w:p>
    <w:p>
      <w:pPr>
        <w:pStyle w:val="BookText"/>
        <w:rPr/>
      </w:pPr>
      <w:bookmarkEnd w:id="785"/>
      <w:r>
        <w:rPr>
          <w:rFonts w:ascii="IRNazanin" w:hAnsi="IRNazanin" w:eastAsia="IRNazanin"/>
          <w:color w:val="111111"/>
          <w:sz w:val="28"/>
          <w:sz w:val="28"/>
          <w:szCs w:val="28"/>
          <w:rtl w:val="true"/>
          <w:lang w:bidi="fa-IR"/>
        </w:rPr>
        <w:t>و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ارتفاع و انتهاء أمد الحکم غیر المغیّا بغایة زمانیة، و ذلک لأنّه إذا جعل حکم فی الشریعة المقدّسة من غیر تقیید بالزمان، فمقتضی ظاهر الدلیل هو کون الحکم المجعول علی طبیعة، مستمرّاً و ثابتاً فی عمود الزمان، و بعد ذلک لو ورد ما یخالفه یکون ناسخاً له، فیکون النسخ فی الظاهر و فی مقام الإثبات رفعاً للحکم، و لکنّه فی الحقیقة 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کما فی التخصیص لم یکن الحکم فی الواقع معلّقاً جدّاً علی جمیع الأفراد، و إنّما تعلّق بها فی مقام الظاهر و مقام الإثبات، فکذلک النسخ لم یکن الحکم معلّقاً فیه جدّاً إلی الأبد، و إنّما اظهر دوام الحکم و استمراره لمصلحة و حکمة اقتضته، فالنسخ فی الحقیقة عبارة عن انتهاء أمد الحکم؛ بحیث لا یکاد یصلح للعمل بالحکم الأوّل بعد ورود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ممّا ذکرنا الفرق بین التخصیص الأفرادی و الأزمانی، و بین النسخ؛ و أنّ النسخ فی الحقیقة کأنّه تقیید أزمانی</w:t>
      </w:r>
      <w:r>
        <w:rPr>
          <w:rFonts w:eastAsia="IRNazanin" w:cs="IRNazanin"/>
          <w:color w:val="111111"/>
          <w:sz w:val="28"/>
          <w:szCs w:val="28"/>
          <w:rtl w:val="true"/>
          <w:lang w:bidi="fa-IR"/>
        </w:rPr>
        <w:t>.</w:t>
      </w:r>
    </w:p>
    <w:p>
      <w:pPr>
        <w:pStyle w:val="Heading5"/>
        <w:numPr>
          <w:ilvl w:val="4"/>
          <w:numId w:val="1"/>
        </w:numPr>
        <w:rPr/>
      </w:pPr>
      <w:bookmarkStart w:id="786" w:name="__RefHeading___Toc4026605_3224264995"/>
      <w:bookmarkStart w:id="787" w:name="_Toc298"/>
      <w:bookmarkEnd w:id="786"/>
      <w:r>
        <w:rPr>
          <w:rtl w:val="true"/>
        </w:rPr>
        <w:t>ما یعتبر فی صحّة النسخ</w:t>
      </w:r>
      <w:bookmarkEnd w:id="787"/>
    </w:p>
    <w:p>
      <w:pPr>
        <w:pStyle w:val="BookText"/>
        <w:rPr/>
      </w:pPr>
      <w:r>
        <w:rPr>
          <w:rFonts w:ascii="IRNazanin" w:hAnsi="IRNazanin" w:eastAsia="IRNazanin"/>
          <w:color w:val="111111"/>
          <w:sz w:val="28"/>
          <w:sz w:val="28"/>
          <w:szCs w:val="28"/>
          <w:rtl w:val="true"/>
          <w:lang w:bidi="fa-IR"/>
        </w:rPr>
        <w:t>وقع الکلام فی أنّه هل یعتبر فی النسخ صیرورة الحکم المنسوخ فعلیاً؛ بحیث تکون جمیع شروط الحکم فعلیة، سواء عملوا به، أم لم یعملوا، أو لا یعتبر ذلک، فیصحّ نسخ الحکم قبل حضور وقت العمل، بل یصحّ أن ینسخ الحکم قبل صیرورته فعلیاً، أو یکفی فیه تحقّق شروط تقرّبه إلی مرحلة الفعلیة، و یکون الحکم مراهقاً لها؟ وجوه</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یظهر من صدر کلام المحقّق الخراسانی قدس سره أنّه یعتبر فی النسخ أن لا یکون قبل</w:t>
      </w:r>
    </w:p>
    <w:p>
      <w:pPr>
        <w:pStyle w:val="BookText"/>
        <w:rPr/>
      </w:pPr>
      <w:r>
        <w:rPr>
          <w:rFonts w:ascii="IRNazanin" w:hAnsi="IRNazanin" w:eastAsia="IRNazanin"/>
          <w:color w:val="111111"/>
          <w:sz w:val="28"/>
          <w:sz w:val="28"/>
          <w:szCs w:val="28"/>
          <w:rtl w:val="true"/>
          <w:lang w:bidi="fa-IR"/>
        </w:rPr>
        <w:t>حضور وقت العمل</w:t>
      </w:r>
      <w:r>
        <w:rPr>
          <w:rStyle w:val="FootnoteAnchor"/>
          <w:rtl w:val="true"/>
        </w:rPr>
        <w:footnoteReference w:id="464"/>
      </w:r>
      <w:r>
        <w:rPr>
          <w:rFonts w:ascii="IRNazanin" w:hAnsi="IRNazanin" w:eastAsia="IRNazanin"/>
          <w:color w:val="111111"/>
          <w:sz w:val="28"/>
          <w:sz w:val="28"/>
          <w:szCs w:val="28"/>
          <w:rtl w:val="true"/>
          <w:lang w:bidi="fa-IR"/>
        </w:rPr>
        <w:t>، و لکن یظهر من أثناء کلامه أنّه یمکن أن ینسخ الحکم قبل وقت العمل أیضاً</w:t>
      </w:r>
      <w:r>
        <w:rPr>
          <w:rStyle w:val="FootnoteAnchor"/>
          <w:rtl w:val="true"/>
        </w:rPr>
        <w:footnoteReference w:id="465"/>
      </w:r>
      <w:r>
        <w:rPr>
          <w:rFonts w:ascii="IRNazanin" w:hAnsi="IRNazanin" w:eastAsia="IRNazanin"/>
          <w:color w:val="111111"/>
          <w:sz w:val="28"/>
          <w:sz w:val="28"/>
          <w:szCs w:val="28"/>
          <w:rtl w:val="true"/>
          <w:lang w:bidi="fa-IR"/>
        </w:rPr>
        <w:t xml:space="preserve">، و وافقه فی ذلک العلمان العراقی و الحائری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إنّ المحقّق العراقی قدس سره ذکر وجه ذلک مفصّلًا، لذا نذکره أوّلًا ثمّ نعقّبه بما یرد علیه، ثمّ نشیر إلی ما ذکره شیخنا العلّامة قدس سره و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العراقی قدس سره فی ضمن بیان مطلب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کون النسخ عبارة عن رفع الحکم الفعلی، فی غایة المتانة، و إنّما الکلام فی میزان فعلیة الحکم، و لکن هل المراد بالحکم الفعلی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ببیان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تحقّقت فیه جمیع الشروط، و ارتفعت عنه جمیع الموانع؛ بحیث تکون فعلیة الحکم مساوقةً لمحرّکیة العبد فعلًا، أو المراد به حصول مقدار من الشروط و ارتفاع موانع کذلک</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فظهر أنّ الإرادة و الوجوب فی جمیعها فعلیة، و الفرق إنّما هو فی الواجب، 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المقرّر حفظه اللَّه</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بحیث تکون</w:t>
      </w:r>
    </w:p>
    <w:p>
      <w:pPr>
        <w:pStyle w:val="BookText"/>
        <w:rPr/>
      </w:pPr>
      <w:r>
        <w:rPr>
          <w:rFonts w:ascii="IRNazanin" w:hAnsi="IRNazanin" w:eastAsia="IRNazanin"/>
          <w:color w:val="111111"/>
          <w:sz w:val="28"/>
          <w:sz w:val="28"/>
          <w:szCs w:val="28"/>
          <w:rtl w:val="true"/>
          <w:lang w:bidi="fa-IR"/>
        </w:rPr>
        <w:t>فعلیته مساوقة لمحرکیة الاشتیاق نحو الشی‌ء المنوط بقیوده فی لحاظ الآمر فی فرض تحقّق قیوده؟</w:t>
      </w:r>
    </w:p>
    <w:p>
      <w:pPr>
        <w:pStyle w:val="BookText"/>
        <w:rPr/>
      </w:pPr>
      <w:r>
        <w:rPr>
          <w:rFonts w:ascii="IRNazanin" w:hAnsi="IRNazanin" w:eastAsia="IRNazanin"/>
          <w:color w:val="111111"/>
          <w:sz w:val="28"/>
          <w:sz w:val="28"/>
          <w:szCs w:val="28"/>
          <w:rtl w:val="true"/>
          <w:lang w:bidi="fa-IR"/>
        </w:rPr>
        <w:t>و لکن یستحیل أن یراد بفعلیة الحکم المعنی الأوّل؛ لأنّ محرّکیة العبد فعلًا، من شئون تطبیق العبد مضمون الخطاب علی المورد، و هو فی الرتبة المتأخّرة عن الخطاب، و یستحیل أن یؤخذ فی مضمونه، فلا محیص من إرادة المعنی الثانی، فإذن لیست فعلیة الحکم إلّا محرّکیة الاشتیاق للآمر؛ بإبرازه علی عبده توطئة لتطبیقه علی المورد، فیتحرّک من قبله، فحینئذٍ لو کان المراد من النسخ رفع الحکم الفعلی، فلا بدّ و أن یکون المقصود منه رفع مضمون الخطاب بما له من الفعلیة المناسبة له، لا بالفعلیة المناسبة لتطبیق العبد مضمونه علی مورده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یکون تصوّر النسخ فی الموقّتات و المشروطات قبل وقتها و شرطها، بمکان من الإمکان، بل لا بدّ و أن یکون النسخ فی الأحکام جمیعها من هذا الباب؛ حتّی فی ظرف وجود الشرط خارجاً، إذ فی هذا الظرف لا ینقلب مضمون الخطاب الصادر من المولی؛ لاستحالة شمول مضمونه و لو بترقّیه مرتبة منوطة بمقام تطبیقه المتأخّر عنه رتبة، فما هو من شئون التطبیق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أم لم 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أجنبی عن مضمون الخطاب، و لا یوجب قلب مضمونه من مرتبة إلی مرتبة، بل الخطاب بما له من المضمون محفوظ فی مرتبة نفسه؛ وجد الشرط المزبور خارجاً، أم لم یوجد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یکفی شاهداً لما ذکرنا فی المقام، أنّه لو قال المولی</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هنیئة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فسخت هذا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قبل مجی‌ء زید، لا یری العرف قبح هذا الکلام و استهجانه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إنّ مثل هذا الوجدان أعظم شاهد علی المدّعی؛ من عدم احتیاج صحّة النسخ إلی حضور</w:t>
      </w:r>
    </w:p>
    <w:p>
      <w:pPr>
        <w:pStyle w:val="BookText"/>
        <w:rPr/>
      </w:pPr>
      <w:r>
        <w:rPr>
          <w:rFonts w:ascii="IRNazanin" w:hAnsi="IRNazanin" w:eastAsia="IRNazanin"/>
          <w:color w:val="111111"/>
          <w:sz w:val="28"/>
          <w:sz w:val="28"/>
          <w:szCs w:val="28"/>
          <w:rtl w:val="true"/>
          <w:lang w:bidi="fa-IR"/>
        </w:rPr>
        <w:t>وقت العمل و وجود شرائط الحکم خارجاً</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أنشأ الشارع الأقدس حکماً مشروطاً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کالحجّ المشروط بالاستطاعة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تحقّق الشرط، و رفع ذلک الحکم، فلا یخلو إمّا أن یکون مراداً له جدّاً قبل الحکم المجعول أوّلًا، و کان یری الصلاح فی إیجابه، و لکن بعد ذلک بدا له فیه و انکشف خلافه؛ بأن ظهر فساده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لم یرده جدّاً، و إنّما ألقاه صوریاً لمصلحة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البداء المستحیل فی حقّه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یصدق النسخ؛ لأنّه إعلام بزوال الحکم الشرعی، و المفروض أنّه لیس حکماً شرعیاً حقیقیاً، و إنّما هو صورة للحکم، فلا یصدق علی رفعه النسخ</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نعم، یکون بینهما فرق من جهة أنّ الحکم الوارد فی دلیل الناسخ بعد العمل، یکون فی حصّة من الزمان حقیقیاً واقعیاً، و أمّا الحکم الوارد قبل العمل، فلیس حکماً واقعیاً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هذا لا یهمّ فیما نحن بصدده؛ من أنّ دلیل الناسخ یرد علی قضیة ظاهرها الاستدامة بالنسبة إلی الأزمنة المتتالیة، و الحکم فی کلیهما بالنسبة إلی هذا 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المقرّر حفظه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المثال الذی استند إلیه قدس سره لا یکون دلیلًا له؛ لأنّه لا مانع من</w:t>
      </w:r>
    </w:p>
    <w:p>
      <w:pPr>
        <w:pStyle w:val="BookText"/>
        <w:rPr/>
      </w:pPr>
      <w:r>
        <w:rPr>
          <w:rFonts w:ascii="IRNazanin" w:hAnsi="IRNazanin" w:eastAsia="IRNazanin"/>
          <w:color w:val="111111"/>
          <w:sz w:val="28"/>
          <w:sz w:val="28"/>
          <w:szCs w:val="28"/>
          <w:rtl w:val="true"/>
          <w:lang w:bidi="fa-IR"/>
        </w:rPr>
        <w:t>تصویر البداء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المستحیل فی حقّه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 الموالی العرفیین؛ فإنّ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معتقداً بأنّ الإکرام عند مجی‌ء زید ذو مصلحة ملزمة، و بعد هنیئة یبدو له فی ذلک؛ و أنّه غیر ذی مصلحة، لذا ینسخه، و لا مانع و لا إشکال فیه، و لکن کیف یکون هذا شاهداً لمورد یستحیل البداء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أحطت خبراً بما ذکرنا، یظهر لک النظر فیما قاله شیخنا العلّامة الحائری 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لا یشترط فی النسخ أن یکون وارداً بعد وقت العمل؛ لأنّه من الممکن أن یکون وجود المصلحة، فی جعل حکم و نسخه قبل زمان العمل به</w:t>
      </w:r>
      <w:r>
        <w:rPr>
          <w:rFonts w:eastAsia="IRNazanin" w:cs="IRNazanin"/>
          <w:color w:val="111111"/>
          <w:sz w:val="28"/>
          <w:szCs w:val="28"/>
          <w:rtl w:val="true"/>
          <w:lang w:bidi="fa-IR"/>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علی هذا لا یکون الحکم المنسوخ حقیقیاً، بل یکون صوریاً، و قد أشرنا إلی أنّه یعتبر فی النسخ أن یکون الحکم المنسوخ حقیقیاً</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بما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یعتبر فی الحکم المنسوخ، أن یکون فعلیاً حقیقیاً عمل به فی برهة من الزمان، و ظهر أنّ النسخ لیس تخصیصاً زمانیاً، و الحکم المنسوخ ملقی بصورة العموم، و غایة ما هناک أنّ الحکم المنسوخ، غیر موقّت بوقت و مطلق بحسب الزمان، و الناسخ کأنّه یقیّده، و لأجل ذلک لا یکون ورود دلیل الناسخ بعد العمل بالمنسوخ بزمان قلیل مستهجناً، کما هو الغالب فی الشریعة، فإنّه قد نسخ بعض الأحکام المجعولة فی بدء الأمر فی أواخر البعثة، و إلّا فلو کان الحکم الملقی بصورة العموم فی عمود الزمان إلی یوم القیامة، یکون تخصیصه فی حصّة من الزمان مستهجناً، أ لا تری أنّه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جمیع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خصّص معظمه بنحو لم یبق</w:t>
      </w:r>
    </w:p>
    <w:p>
      <w:pPr>
        <w:pStyle w:val="BookText"/>
        <w:rPr/>
      </w:pPr>
      <w:r>
        <w:rPr>
          <w:rFonts w:ascii="IRNazanin" w:hAnsi="IRNazanin" w:eastAsia="IRNazanin"/>
          <w:color w:val="111111"/>
          <w:sz w:val="28"/>
          <w:sz w:val="28"/>
          <w:szCs w:val="28"/>
          <w:rtl w:val="true"/>
          <w:lang w:bidi="fa-IR"/>
        </w:rPr>
        <w:t>إلّا إکرام أفراد قلیلة، یکون مستهجناً</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و حکی عن الیهود و النصاری استحالة النسخ، و تشبّثوا فی ذلک بشبهة حاصلها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النسخ یستلزم أحد محذورین لا یمکن الالتزام بشی‌ء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عدم حکمة الناسخ، أو جهله بها، و کلاهما مستحیل فی حقّه تعالی؛ لأنّ جعل الأحکام و تشریعها منه تعالی، لا بدّ و أن یکون علی طبق الحِکَم و المصالح الکامنة فی متعلّقاتها؛ ضرورة أنّ جعل الحکم بلا مصلحة جزاف ینافی حکمته تعالی، فلا یمکن صدوره منه تعالی، فإذن رفع الحکم الثابت لموضوعه، إمّا أن یکون مع بقاء الموضوع علی ما هو علیه من المصلحة و المفسدة و علم الناسخ بها، أو یکون من جهة البداء و کشف الحال، کما یقع ذلک غالباً فی الأحکام و القوانین العرفیة العالمیة، و لا ثالث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أن یکون رفع الحکم جزافیاً، و هو منافٍ لحکمته المطلقة، و یستحیل صدوره منه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الجهل فی حقّه تعالی، و هو أیضاً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وقوع النسخ فی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لاستلزامه المحال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فی حقّه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یجاب عن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 عبارة عن ارتفاع الحکم و انتهاء أمده، فمن الممکن أن تکون المصلحة المقتضیة لجعله، منتهیة إلی ذلک الزمان، فلا مصلحة فیه بعد ذلک، فعلیه یکون الحکم المجعول علی طبق المصلحة ثبوتاً، مقیّداً بذلک الزمان الخاصّ المعلوم عند اللَّه تعالی المجهول عند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دخالة الخصوصیات الزمانیة و المکانیة أو نفس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کأوقات الصلاة، و الصیام، و الحجّ، و ما شاکل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ملاکات الأحکام؛ و أنّها تختلف باختلاف تلک الخصوصیات، فإذا صحّ ذلک کما هو أوضح من أن یخفی، فلتکن دخیلة فی استقرارها و عدمها؛ ضرورة أنّه لا مانع من أن یکون الفعل، مشتملًا علی مصلحة فی مدّة معیّنة؛ و فی قطعة خاصّة من الزمان، فلا یکون مشتملًا علیها بعد انتهاء تلک المدّة، فعلی هذا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عکس مقالهم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علی هذا لا یعقل جعل الشارع الحکم الکذائی علی نحو الإطلاق؛ لکونه جزافیاً و بلا 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النسخ فی الواقع و نفس الأمر، انتهاء أمد الحکم بانتهاء المصلحة عند ذاک، فهو فی الحقیقة دفع و إن کان بحسب مقام الإثبات و إطلاق الدلیل من حیث الزمان رفعاً، و لا یلزم منه أیّ محذور من خلاف الحکمة أو کشف الخلاف المستحیلین فی حقّه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بناءً علی مذهب العدلیة من تبعیة الأحکام للمصالح و المفاسد فی متعلّقاتها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مذهب من یری تبعیة الأحکام لمصالح فی نفس الأمر و النهی، فالأمر کذلک أیضاً؛ فإنّ المصلحة الکامنة فی نفس الحکم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تقتضی جعل الحکم علی نحو الإطلاق و الدوام فی الواقع، 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فی زمان خاصّ و وقت مخصوص، فلا محالة ینتهی بانتهاء ذلک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ینبغی الشکّ فی إمکان النسخ بل وقوعه فی الشریعة المقدّسة علی کلا المذهبین، کمسألة القبلة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المقرّر حفظه اللَّه</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ماهیة النسخ ثبوتاً</w:t>
      </w:r>
      <w:r>
        <w:rPr>
          <w:rFonts w:eastAsia="IRNazanin" w:cs="IRNazanin"/>
          <w:color w:val="111111"/>
          <w:sz w:val="28"/>
          <w:szCs w:val="28"/>
          <w:rtl w:val="true"/>
          <w:lang w:bidi="fa-IR"/>
        </w:rPr>
        <w:t>.</w:t>
      </w:r>
      <w:bookmarkStart w:id="788" w:name="pg12934_164869"/>
    </w:p>
    <w:p>
      <w:pPr>
        <w:pStyle w:val="Heading4"/>
        <w:numPr>
          <w:ilvl w:val="3"/>
          <w:numId w:val="1"/>
        </w:numPr>
        <w:rPr/>
      </w:pPr>
      <w:bookmarkStart w:id="789" w:name="__RefHeading___Toc4026607_3224264995"/>
      <w:bookmarkStart w:id="790" w:name="_Toc299"/>
      <w:bookmarkEnd w:id="788"/>
      <w:bookmarkEnd w:id="789"/>
      <w:r>
        <w:rPr>
          <w:rtl w:val="true"/>
        </w:rPr>
        <w:t>المقام الثانی</w:t>
      </w:r>
      <w:r>
        <w:rPr>
          <w:rtl w:val="true"/>
        </w:rPr>
        <w:t xml:space="preserve">: </w:t>
      </w:r>
      <w:r>
        <w:rPr>
          <w:rtl w:val="true"/>
        </w:rPr>
        <w:t>فی مقام الإثبات و الاستظهار</w:t>
      </w:r>
      <w:bookmarkEnd w:id="790"/>
    </w:p>
    <w:p>
      <w:pPr>
        <w:pStyle w:val="Heading5"/>
        <w:numPr>
          <w:ilvl w:val="4"/>
          <w:numId w:val="1"/>
        </w:numPr>
        <w:rPr/>
      </w:pPr>
      <w:bookmarkStart w:id="791" w:name="__RefHeading___Toc4026609_3224264995"/>
      <w:bookmarkStart w:id="792" w:name="_Toc300"/>
      <w:bookmarkEnd w:id="791"/>
      <w:r>
        <w:rPr>
          <w:rtl w:val="true"/>
        </w:rPr>
        <w:t>اشارة</w:t>
      </w:r>
      <w:bookmarkEnd w:id="792"/>
    </w:p>
    <w:p>
      <w:pPr>
        <w:pStyle w:val="BookText"/>
        <w:rPr/>
      </w:pPr>
      <w:r>
        <w:rPr>
          <w:rFonts w:ascii="IRNazanin" w:hAnsi="IRNazanin" w:eastAsia="IRNazanin"/>
          <w:color w:val="111111"/>
          <w:sz w:val="28"/>
          <w:sz w:val="28"/>
          <w:szCs w:val="28"/>
          <w:rtl w:val="true"/>
          <w:lang w:bidi="fa-IR"/>
        </w:rPr>
        <w:t>لو ورد عامّ و خاصّ فلا یخلو أمرهما بحسب التصوّر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یکونا معلومی التأریخ، أو لا، فعلی الأوّل إمّا أن یکونا متقارنین، أو یکون الخاصّ متأخّراً، أو العامّ متأخّراً، و التأخّر إمّا عن زمان الحاجة و العمل، أو عن زمان الحضور</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وردا معاً، أو تأخّر الخاصّ أو العامّ عن الآخر، و لکن کان وروده قبل حضور وقت العمل بالآخر، فعلی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یعتبر فی ماهیة النسخ حضور</w:t>
      </w:r>
    </w:p>
    <w:p>
      <w:pPr>
        <w:pStyle w:val="BookText"/>
        <w:rPr/>
      </w:pPr>
      <w:r>
        <w:rPr>
          <w:rFonts w:ascii="IRNazanin" w:hAnsi="IRNazanin" w:eastAsia="IRNazanin"/>
          <w:color w:val="111111"/>
          <w:sz w:val="28"/>
          <w:sz w:val="28"/>
          <w:szCs w:val="28"/>
          <w:rtl w:val="true"/>
          <w:lang w:bidi="fa-IR"/>
        </w:rPr>
        <w:t>وقت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یتعیّن کون الخاصّ مخصّصاً، و لا سبیل لاحتمال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یظهر من المحقّق الخراسانی و وافقه شیخنا العلّامة الحائری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یحتمل النسخ، و لکن یرجّح التخصیص علی النسخ؛ لأکثریته من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وجیه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شکّ فی تقدّم أحدهما علی الآخر؛ و أنّه ورد بعد العمل بالآخر أو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الشأن فی کثیر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یوجد أصل عقلائی یثبت ذلک، 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العمل حینئذٍ بالأُصول العملیة</w:t>
      </w:r>
      <w:r>
        <w:rPr>
          <w:rFonts w:eastAsia="IRNazanin" w:cs="IRNazanin"/>
          <w:color w:val="111111"/>
          <w:sz w:val="28"/>
          <w:szCs w:val="28"/>
          <w:rtl w:val="true"/>
          <w:lang w:bidi="fa-IR"/>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إن ورد أحدهما بعد حضور وقت العمل بالآخر، فإن کان المتأخّر خاصّاً فیحتمل کلّ من التخصیص و النسخ، بأن یکون لتأخیر بیان العامّ عن وقت الحاجة 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احتمال التخصیص بعید، لا لعدم إمکان تأخیر البیان عن وقت الحاجة؛ لإمکان أن یکون لتأخیر البیان عن وقت الحاجة مصلحة، فیکون العامل بعموم العامّ قبل ذلک معذوراً، بل لکون التخصیص کذلک غیر متعارف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احتمال النسخ بعید فی نفسه، و لذا أنکر بعضهم وجود النسخ فی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تنزّلنا عن ذلک فلا یمکن إنکار قلّة النسخ، فیدور الأمر بین البعیدین، و لکن مع ذلک یکون الحمل علی التخصیص أولی من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إن کان المتأخّر عامّاً، فإنّه یدور بین کون الخاصّ مبیّناً و مخصّصاً للعامّ، و بین کون العامّ ناسخاً، و الحقّ ما اختاره المحقّق الخراسانی قدس سره من أنّ النسخ بعید فی نفسه، و التخصیص کثیر، فکان العقلاء یحملون علی ما یکون کثیراً شائعاً</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یحمل علی التخصیص فی جمیع موارد دوران الأمر بینه و بین النسخ</w:t>
      </w:r>
      <w:r>
        <w:rPr>
          <w:rFonts w:eastAsia="IRNazanin" w:cs="IRNazanin"/>
          <w:color w:val="111111"/>
          <w:sz w:val="28"/>
          <w:szCs w:val="28"/>
          <w:rtl w:val="true"/>
          <w:lang w:bidi="fa-IR"/>
        </w:rPr>
        <w:t>.</w:t>
      </w:r>
      <w:bookmarkStart w:id="793" w:name="pg12934_164871"/>
    </w:p>
    <w:p>
      <w:pPr>
        <w:pStyle w:val="Heading5"/>
        <w:numPr>
          <w:ilvl w:val="4"/>
          <w:numId w:val="1"/>
        </w:numPr>
        <w:rPr/>
      </w:pPr>
      <w:bookmarkStart w:id="794" w:name="__RefHeading___Toc4026611_3224264995"/>
      <w:bookmarkStart w:id="795" w:name="_Toc301"/>
      <w:bookmarkEnd w:id="793"/>
      <w:bookmarkEnd w:id="794"/>
      <w:r>
        <w:rPr>
          <w:rtl w:val="true"/>
        </w:rPr>
        <w:t>إیقاظ فی موقف حال ما ورد عن أئمّة أهل البیت المخالف للکتاب و السنّة</w:t>
      </w:r>
      <w:bookmarkEnd w:id="795"/>
    </w:p>
    <w:p>
      <w:pPr>
        <w:pStyle w:val="BookText"/>
        <w:rPr/>
      </w:pPr>
      <w:r>
        <w:rPr>
          <w:rFonts w:ascii="IRNazanin" w:hAnsi="IRNazanin" w:eastAsia="IRNazanin"/>
          <w:color w:val="111111"/>
          <w:sz w:val="28"/>
          <w:sz w:val="28"/>
          <w:szCs w:val="28"/>
          <w:rtl w:val="true"/>
          <w:lang w:bidi="fa-IR"/>
        </w:rPr>
        <w:t>و 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الروایات الواردة فی لسان أئمّة أهل البیت علیهم السلام خصوصاً الصادقین علیهما السلام المخالفة للکتاب و السنّة، إنّما تکون مخالفة بالعموم و الخصوص، أو بالإطلاق و التقیید، و لا تصلح أن تکون ناسخات و مخصّصات أو مقیّدات؛ لأنّ النسخ و التخصیص و التقیید شأن المقنّن و المشرّع، و الشارع هو النبی الأعظم صلی الله علیه و آله و سلم</w:t>
      </w:r>
      <w:r>
        <w:rPr>
          <w:rStyle w:val="FootnoteAnchor"/>
          <w:rtl w:val="true"/>
        </w:rPr>
        <w:footnoteReference w:id="472"/>
      </w:r>
      <w:r>
        <w:rPr>
          <w:rFonts w:ascii="IRNazanin" w:hAnsi="IRNazanin" w:eastAsia="IRNazanin"/>
          <w:color w:val="111111"/>
          <w:sz w:val="28"/>
          <w:sz w:val="28"/>
          <w:szCs w:val="28"/>
          <w:rtl w:val="true"/>
          <w:lang w:bidi="fa-IR"/>
        </w:rPr>
        <w:t>و أمّا أئمّة أهل البیت علیهم السلام فلیس شأنهم إلّا الحفظ و التبلیغ، فیحتمل المخالف الوارد عنهم علیهم السلام أحد احتمالات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النبیّ صلی الله علیه و آله و سلم قد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بعثه اللَّه تعالی إلی زمان ارتحاله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الأحکام حتّی أرش الخدش، کما تشهد بذلک خطبة حجّة الوداع، حیث</w:t>
      </w:r>
    </w:p>
    <w:p>
      <w:pPr>
        <w:pStyle w:val="BookText"/>
        <w:rPr/>
      </w:pPr>
      <w:r>
        <w:rPr>
          <w:rFonts w:ascii="IRNazanin" w:hAnsi="IRNazanin" w:eastAsia="IRNazanin"/>
          <w:color w:val="111111"/>
          <w:sz w:val="28"/>
          <w:sz w:val="28"/>
          <w:szCs w:val="28"/>
          <w:rtl w:val="true"/>
          <w:lang w:bidi="fa-IR"/>
        </w:rPr>
        <w:t>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 ما من شی‌ء یقرّبکم من الجنّة و یباعدکم من النار إلّا و قد أمرتکم به، و ما من شی‌ء یقرّبکم من النار و یباعدکم من الجنّة إلّا قد نهیتکم عنه</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73"/>
      </w:r>
      <w:r>
        <w:rPr>
          <w:rFonts w:ascii="IRNazanin" w:hAnsi="IRNazanin" w:eastAsia="IRNazanin"/>
          <w:color w:val="111111"/>
          <w:sz w:val="28"/>
          <w:sz w:val="28"/>
          <w:szCs w:val="28"/>
          <w:rtl w:val="true"/>
          <w:lang w:bidi="fa-IR"/>
        </w:rPr>
        <w:t>و قد امتاز أمیر المؤمنین علی بن أبی طالب علیه السلام عن سائر الصحابة بحفظه لأحادیث النبی صلی الله علیه و آله و سلم و أمّا هم فلم یکونوا کثیری الاعتناء بحفظ ما یقوله النبی الأکرم صلی الله علیه و آله و سلم کما کان لأمیر المؤمنین، و کان علیه السلام ملازماً للنبی صلی الله علیه و آله و سلم حضراً و سفراً،</w:t>
      </w:r>
    </w:p>
    <w:p>
      <w:pPr>
        <w:pStyle w:val="BookText"/>
        <w:rPr/>
      </w:pPr>
      <w:r>
        <w:rPr>
          <w:rFonts w:ascii="IRNazanin" w:hAnsi="IRNazanin" w:eastAsia="IRNazanin"/>
          <w:color w:val="111111"/>
          <w:sz w:val="28"/>
          <w:sz w:val="28"/>
          <w:szCs w:val="28"/>
          <w:rtl w:val="true"/>
          <w:lang w:bidi="fa-IR"/>
        </w:rPr>
        <w:t>و کان معصوماً من الخطأ و السهو و النسیان، و أمّا سائر الناس فلم تکن لهم هذه العنایة الشدیدة بحفظ کلّ ما یقوله النبی صلی الله علیه و آله و سلم و إن کان ربما یوجد من له إلمام بحفظ ما یلقیه النبی صلی الله علیه و آله و سلم و لکن أین هم من أمیر المؤمنین علیه السلام الذی کان مع النبی صلی الله علیه و آله و سلم فی جمیع الحالات، و کان أوّلهم إیماناً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حکی عنه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أعلم محلّ نزول الآیات و شأن نزولها و وقوعها فی السفر و الحضر</w:t>
      </w:r>
      <w:r>
        <w:rPr>
          <w:rFonts w:eastAsia="IRNazanin" w:cs="IRNazanin"/>
          <w:color w:val="111111"/>
          <w:sz w:val="28"/>
          <w:szCs w:val="28"/>
          <w:rtl w:val="true"/>
          <w:lang w:bidi="fa-IR"/>
        </w:rPr>
        <w:t>»</w:t>
      </w:r>
    </w:p>
    <w:p>
      <w:pPr>
        <w:pStyle w:val="BookText"/>
        <w:rPr/>
      </w:pPr>
      <w:r>
        <w:rPr>
          <w:rStyle w:val="FootnoteAnchor"/>
          <w:rtl w:val="true"/>
        </w:rPr>
        <w:footnoteReference w:id="4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سلّم أنّ فیهم من کانت له عنایة بالحفظ کما کان لأمیر المؤمنین علیه السلام و لکن لم یکونوا فی جمیع الحالات مع النبی صلی الله علیه و آله و سلم کما کان حال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 هذا أیضاً، فلا یمکن إنکار أنّه لم تکن لهم عصمة من الخطأ و السهو و النسیان، کما کان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الاحتمال یکون النبی صلی الله علیه و آله و سلم قد بلّغ جمیع الأحکام، و لکن لم یحفظ جمیعها غیر أمیر المؤمنین علیه السلام لاعتنائه کثیراً بحفظها دون سائر الناس، مضافاً إلی کونه أوّلهم إیماناً، مع کونه معصوماً من الخطأ و السهو و النسیان، دون سائر الناس، فأورث ما وعاه أئمّة أهل البیت علیهم السلام خلفاً عن سلف، فیکون أئمّة أهل البیت المعصومون، ناقلین لما بلّغه النبی صلی الله علیه و آله و سلم حسبما حفظه أمیر المؤمنین علیه السلام و أودعه أولاده المعصومین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النبی الأعظم صلی الله علیه و آله و سلم قد بلّغ الأحکام الموجودة فی کلمات أئمّة أهل البیت علیهم السلام بواسطة أمیر المؤمنین علیه السلام سرّاً، کما یشهد</w:t>
      </w:r>
    </w:p>
    <w:p>
      <w:pPr>
        <w:pStyle w:val="BookText"/>
        <w:rPr/>
      </w:pPr>
      <w:r>
        <w:rPr>
          <w:rFonts w:ascii="IRNazanin" w:hAnsi="IRNazanin" w:eastAsia="IRNazanin"/>
          <w:color w:val="111111"/>
          <w:sz w:val="28"/>
          <w:sz w:val="28"/>
          <w:szCs w:val="28"/>
          <w:rtl w:val="true"/>
          <w:lang w:bidi="fa-IR"/>
        </w:rPr>
        <w:t>ما روی من أنّ أمیر المؤمنین علیه السلام قال لمّا أوعزه رسول اللَّه صلی الله علیه و آله و سلم بموته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علّمنی رسول اللَّه ألف باب من العلم؛ ففتح لی من کلّ باب ألف باب، و أوصانی بما أنا قائم به إن شاء اللَّه </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فکان بعض الأحکام مخزوناً عند أمیر المؤمنین علیه السلام حسبما أودعه رسول اللَّه صلی الله علیه و آله و سلم أمیر المؤمنین علیه السلام و لم یکن صلاح فی تبلیغها زمان حیاته، بل صار الصلاح فی حیاة أئمّة أهل البیت علیهم السلام فأودعها أمیر المؤمنین علیه السلام عند ولده المعصومین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الاحتمالین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مقتضی الاحتمال الأوّل، أنّ الرسول الأکرم صلی الله علیه و آله و سلم بلّغ جمیع الأحکام جهاراً و لکن لم یحفظها غیر أمیر المؤمنین علیه السلام و أمّا الاحتمال الثانی فمقتضاه أنّه صلی الله علیه و آله و سلم بلّغ بعض الأحکام سرّاً لأمیر المؤمنین علیه السلام و لم یبلّغه جهاراً، إمّا لکون المصلحة فی التأخیر، أو لوجود موانع فی التبلیغ، 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الاحتمال أیضاً یکون ما یلقونه، حاکیاً عن النسخ، و التخصیص، و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یحتمل أن یکون ما صدر عن أئمّة أهل البیت علیهم السلام ممّا یمکن استفادته من الکتاب العزیز، و لکن لم یکن لغیرهم هذا الشأن، کما ورد عنهم فی حقّ أبی حنیفة و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تعرف من القرآن حرفاً، و إنّما یعرف القرآن من خوطب به</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حقائق الاصول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 هذا الاحتمال أیضاً، لا یکون ما یوجد فی لسان أئمّة أهل البیت علیه السلام نواسخ، أو مخصّصات، أو مقیّدات، بل کواشف عن النواسخ، و المخصّصات، و المقیّدات</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یوجد فی کلمات أئمّة أهل البیت علیهم السلام حاکیات عن النواسخ، و المخصّصات، و المقیّدات، فلا ینافی ما علیه المذهب من جواز تخصیص الکتاب و السنّة و تقییدها و نسخها فی کلمات أئمّة أهل البیت المعصومین علیهم السلام</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bookmarkStart w:id="796" w:name="pg12934_164875"/>
    </w:p>
    <w:p>
      <w:pPr>
        <w:pStyle w:val="BookText"/>
        <w:rPr/>
      </w:pPr>
      <w:bookmarkEnd w:id="796"/>
      <w:r>
        <w:rPr>
          <w:rFonts w:ascii="IRNazanin" w:hAnsi="IRNazanin" w:eastAsia="IRNazanin"/>
          <w:color w:val="111111"/>
          <w:sz w:val="28"/>
          <w:sz w:val="28"/>
          <w:szCs w:val="28"/>
          <w:rtl w:val="true"/>
          <w:lang w:bidi="fa-IR"/>
        </w:rPr>
        <w:t>تخصیص العامّ أو المطلق الکتابی بخبر الواحد</w:t>
      </w:r>
    </w:p>
    <w:p>
      <w:pPr>
        <w:pStyle w:val="Heading3"/>
        <w:numPr>
          <w:ilvl w:val="2"/>
          <w:numId w:val="1"/>
        </w:numPr>
        <w:rPr/>
      </w:pPr>
      <w:bookmarkStart w:id="797" w:name="__RefHeading___Toc4026613_3224264995"/>
      <w:bookmarkStart w:id="798" w:name="_Toc302"/>
      <w:bookmarkEnd w:id="797"/>
      <w:r>
        <w:rPr>
          <w:rtl w:val="true"/>
        </w:rPr>
        <w:t>المبحث التاسع فی تخصیص العامّ أو المطلق الکتابی بخبر الواحد</w:t>
      </w:r>
      <w:bookmarkEnd w:id="798"/>
    </w:p>
    <w:p>
      <w:pPr>
        <w:pStyle w:val="Heading4"/>
        <w:numPr>
          <w:ilvl w:val="3"/>
          <w:numId w:val="1"/>
        </w:numPr>
        <w:rPr/>
      </w:pPr>
      <w:bookmarkStart w:id="799" w:name="__RefHeading___Toc4026615_3224264995"/>
      <w:bookmarkStart w:id="800" w:name="_Toc303"/>
      <w:bookmarkEnd w:id="799"/>
      <w:r>
        <w:rPr>
          <w:rtl w:val="true"/>
        </w:rPr>
        <w:t>اشارة</w:t>
      </w:r>
      <w:bookmarkEnd w:id="800"/>
    </w:p>
    <w:p>
      <w:pPr>
        <w:pStyle w:val="BookText"/>
        <w:rPr/>
      </w:pPr>
      <w:r>
        <w:rPr>
          <w:rFonts w:ascii="IRNazanin" w:hAnsi="IRNazanin" w:eastAsia="IRNazanin"/>
          <w:color w:val="111111"/>
          <w:sz w:val="28"/>
          <w:sz w:val="28"/>
          <w:szCs w:val="28"/>
          <w:rtl w:val="true"/>
          <w:lang w:bidi="fa-IR"/>
        </w:rPr>
        <w:t>المبحث التاسع فی تخصیص العامّ أو المطلق الکتابی بخبر الواحد</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لا ریب فی جواز تخصیص عموم الکتاب العزیز بالکتاب، و بالخبر المتواتر، و بالخبر الواحد المحفوف بالقرینة القطعیة، و بالإجماع القطعی، و وجهه واضح؛ لتساوی العامّ و الخاصّ فی الجمیع من حیث قطعیة السند و ظنّیة الدلالة، مع أظهریة الخاصّ من العامّ، فیقدّم علیه</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تخصیص الکتاب بخبر الواحد المعتبر، فقد وقع الخلاف فیه عندنا و عند العامّة، خلافاً لما عن بعض الأساطین دام ظلّه حیث خصّ الخلاف فیه بالعامّة</w:t>
      </w:r>
      <w:r>
        <w:rPr>
          <w:rStyle w:val="FootnoteAnchor"/>
          <w:rtl w:val="true"/>
        </w:rPr>
        <w:footnoteReference w:id="480"/>
      </w:r>
      <w:r>
        <w:rPr>
          <w:rFonts w:ascii="IRNazanin" w:hAnsi="IRNazanin" w:eastAsia="IRNazanin"/>
          <w:color w:val="111111"/>
          <w:sz w:val="28"/>
          <w:sz w:val="28"/>
          <w:szCs w:val="28"/>
          <w:rtl w:val="true"/>
          <w:lang w:bidi="fa-IR"/>
        </w:rPr>
        <w:t>لما حکی عن السیّد الأجلّ المرتضی</w:t>
      </w:r>
      <w:r>
        <w:rPr>
          <w:rStyle w:val="FootnoteAnchor"/>
          <w:rtl w:val="true"/>
        </w:rPr>
        <w:footnoteReference w:id="481"/>
      </w:r>
      <w:r>
        <w:rPr>
          <w:rFonts w:ascii="IRNazanin" w:hAnsi="IRNazanin" w:eastAsia="IRNazanin"/>
          <w:color w:val="111111"/>
          <w:sz w:val="28"/>
          <w:sz w:val="28"/>
          <w:szCs w:val="28"/>
          <w:rtl w:val="true"/>
          <w:lang w:bidi="fa-IR"/>
        </w:rPr>
        <w:t xml:space="preserve">و صریح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w:t>
      </w:r>
      <w:r>
        <w:rPr>
          <w:rStyle w:val="FootnoteAnchor"/>
          <w:rtl w:val="true"/>
        </w:rPr>
        <w:footnoteReference w:id="482"/>
      </w:r>
      <w:r>
        <w:rPr>
          <w:rFonts w:ascii="IRNazanin" w:hAnsi="IRNazanin" w:eastAsia="IRNazanin"/>
          <w:color w:val="111111"/>
          <w:sz w:val="28"/>
          <w:sz w:val="28"/>
          <w:szCs w:val="28"/>
          <w:rtl w:val="true"/>
          <w:lang w:bidi="fa-IR"/>
        </w:rPr>
        <w:t>من عدم الجواز</w:t>
      </w:r>
      <w:bookmarkStart w:id="801" w:name="pg12934_164876"/>
    </w:p>
    <w:p>
      <w:pPr>
        <w:pStyle w:val="BookText"/>
        <w:rPr/>
      </w:pPr>
      <w:bookmarkEnd w:id="801"/>
      <w:r>
        <w:rPr>
          <w:rFonts w:ascii="IRNazanin" w:hAnsi="IRNazanin" w:eastAsia="IRNazanin"/>
          <w:color w:val="111111"/>
          <w:sz w:val="28"/>
          <w:sz w:val="28"/>
          <w:szCs w:val="28"/>
          <w:rtl w:val="true"/>
          <w:lang w:bidi="fa-IR"/>
        </w:rPr>
        <w:t>مطلقاً، و نسب إلی المحقّق التوقّف فی المسألة</w:t>
      </w:r>
      <w:r>
        <w:rPr>
          <w:rStyle w:val="FootnoteAnchor"/>
          <w:rtl w:val="true"/>
        </w:rPr>
        <w:footnoteReference w:id="483"/>
      </w:r>
      <w:r>
        <w:rPr>
          <w:rFonts w:ascii="IRNazanin" w:hAnsi="IRNazanin" w:eastAsia="IRNazanin"/>
          <w:color w:val="111111"/>
          <w:sz w:val="28"/>
          <w:sz w:val="28"/>
          <w:szCs w:val="28"/>
          <w:rtl w:val="true"/>
          <w:lang w:bidi="fa-IR"/>
        </w:rPr>
        <w:t xml:space="preserve">و إن ناقش المحقّق القمّی فی النسبة، مدّعیاً أنّه نافٍ للتخصیص، فلاحظ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القوانین</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به المحقّق الخراسانی قدس سره</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الاصول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سیّدنا الاستاذ دام ظلّه و غیرهما من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تخصیص العموم الکتابی بالخبر المعتبر، و یمکن الاستدلال لذلک بوجوه</w:t>
      </w:r>
      <w:r>
        <w:rPr>
          <w:rFonts w:eastAsia="IRNazanin" w:cs="IRNazanin"/>
          <w:color w:val="111111"/>
          <w:sz w:val="28"/>
          <w:szCs w:val="28"/>
          <w:rtl w:val="true"/>
          <w:lang w:bidi="fa-IR"/>
        </w:rPr>
        <w:t>:</w:t>
      </w:r>
    </w:p>
    <w:p>
      <w:pPr>
        <w:pStyle w:val="Heading4"/>
        <w:numPr>
          <w:ilvl w:val="3"/>
          <w:numId w:val="1"/>
        </w:numPr>
        <w:rPr/>
      </w:pPr>
      <w:bookmarkStart w:id="802" w:name="__RefHeading___Toc4026617_3224264995"/>
      <w:bookmarkStart w:id="803" w:name="_Toc304"/>
      <w:bookmarkEnd w:id="802"/>
      <w:r>
        <w:rPr>
          <w:rtl w:val="true"/>
        </w:rPr>
        <w:t>حول ما یستدلّ به علی جواز التخصیص و التقیید</w:t>
      </w:r>
      <w:bookmarkEnd w:id="803"/>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سماحة الاستاذ دام ظلّه فی الدورة السابقة، و حاصله</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ذکرنا فی محلّه أنّ عمدة ما یستدلّ به لحجّیة 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الدلیل الوحید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بناء العقلاء الممضی عند الشرع، و لیس للشارع تأسیس أو إعمال</w:t>
      </w:r>
    </w:p>
    <w:p>
      <w:pPr>
        <w:pStyle w:val="BookText"/>
        <w:rPr/>
      </w:pPr>
      <w:r>
        <w:rPr>
          <w:rFonts w:ascii="Amiri" w:hAnsi="Amiri" w:eastAsia="Amiri" w:cs="Amiri"/>
          <w:color w:val="111111"/>
          <w:sz w:val="28"/>
          <w:sz w:val="28"/>
          <w:szCs w:val="28"/>
          <w:rtl w:val="true"/>
          <w:lang w:bidi="ar-SA"/>
        </w:rPr>
        <w:t>تعبّد فی هذا، و لا یأبی هذا عن تقدیم الخاصّ الخبری علی عموم الکتابی، و لا یکون فیه أیّ محذور و إن کان سند أحدهما ظنّیاً و الآخر قطعیاً؛ لعدم وقوع التعارض بین السندین حتّی یتخیّل أنّ مقتضی التخصیص، ترجیح ما هو ظنّی السند علی ما هو قطعی السند، بل اختلافهما فی مقام الدلالة، و واضح أنّ کلّاً منهما ظنّی المفاد، مع أظهریة الخاصّ أو المقیّد الخبری فی مفاده علی العموم أو الإطلاق الکتابی، و قد أشرنا غیر مرّة إلی أنّ التخالف بین العامّ و الخاصّ و کذا بین المطلق و المقیّد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محیط التقنین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یعدّ مخالفة، و لذا یقول اللَّه تعالی فی حقّ القرآن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کانَ مِنْ عِنْدِ غَیْرِ اللَّهِ لَوَجَدُوا فِیهِ اخْتِلافاً کَثِیراً</w:t>
      </w:r>
      <w:r>
        <w:rPr>
          <w:rFonts w:eastAsia="Amiri" w:cs="Amiri" w:ascii="Amiri" w:hAnsi="Amiri"/>
          <w:color w:val="111111"/>
          <w:sz w:val="28"/>
          <w:szCs w:val="28"/>
          <w:rtl w:val="true"/>
          <w:lang w:bidi="ar-SA"/>
        </w:rPr>
        <w:t>»</w:t>
      </w:r>
      <w:r>
        <w:rPr>
          <w:rStyle w:val="FootnoteAnchor"/>
          <w:rtl w:val="true"/>
        </w:rPr>
        <w:footnoteReference w:id="486"/>
      </w:r>
      <w:r>
        <w:rPr>
          <w:rFonts w:ascii="IRNazanin" w:hAnsi="IRNazanin" w:eastAsia="IRNazanin"/>
          <w:color w:val="111111"/>
          <w:sz w:val="28"/>
          <w:sz w:val="28"/>
          <w:szCs w:val="28"/>
          <w:rtl w:val="true"/>
          <w:lang w:bidi="fa-IR"/>
        </w:rPr>
        <w:t>مع وجود التخالف فی القرآن بالعموم و الخصوص، و الإطلاق و التقیید کثیراً، فیستفاد منه بوضوح أنّه لا یعدّ التخصیص أو التقیید، اختلافاً و تناقضاً فی محیط التقنین، و لذا یخصّص العامّ أو المطلق المتواترین بخبر الواحد، مع اشتراکهما مع القرآن الکریم فی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التعارض بین العموم و الخصوص و المطلق و المقیّد، لا یکون تعارضاً حقیقیاً فی محیط التقنین، فلا یعمّهما ما ورد</w:t>
      </w:r>
      <w:r>
        <w:rPr>
          <w:rStyle w:val="FootnoteAnchor"/>
          <w:rtl w:val="true"/>
        </w:rPr>
        <w:footnoteReference w:id="487"/>
      </w:r>
      <w:r>
        <w:rPr>
          <w:rFonts w:ascii="IRNazanin" w:hAnsi="IRNazanin" w:eastAsia="IRNazanin"/>
          <w:color w:val="111111"/>
          <w:sz w:val="28"/>
          <w:sz w:val="28"/>
          <w:szCs w:val="28"/>
          <w:rtl w:val="true"/>
          <w:lang w:bidi="fa-IR"/>
        </w:rPr>
        <w:t>من قوله 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 لم یوافق من الحدیث القرآن فهو زخرف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أو یجب طرحه، أو ضربه علی الجدار، أو أنّه لم یقله المعصوم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التعابیر، و لذا نری وجود مخصّصات أو مقیّدات فی نفس الآیات من غیر نکیر، مع تصریح القرآن الکریم بعدم وجود الاختلاف فیه، و لیس هذا إلّا لأجل عدم عدّ التخصیص أو التقیید، اختلافاً و تناقضاً فی محیط التقنین و إن کان بینهما تعارض و تخالف فی غیر محیط التقنین، ضرورة</w:t>
      </w:r>
    </w:p>
    <w:p>
      <w:pPr>
        <w:pStyle w:val="BookText"/>
        <w:rPr/>
      </w:pPr>
      <w:r>
        <w:rPr>
          <w:rFonts w:ascii="IRNazanin" w:hAnsi="IRNazanin" w:eastAsia="IRNazanin"/>
          <w:color w:val="111111"/>
          <w:sz w:val="28"/>
          <w:sz w:val="28"/>
          <w:szCs w:val="28"/>
          <w:rtl w:val="true"/>
          <w:lang w:bidi="fa-IR"/>
        </w:rPr>
        <w:t>أنّ نقیض الموجبة الکلّیة السالبة الجزئیة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أنّ التنافی المتوهّم بینهما بدواً، إنّما هو بین دلالة عموم الکتاب أو إطلاقه، و بین دلالة الخبر؛ ضرورة تنافی الموجبة الکلّیة مع السالبة الجزئیة، إلّا أنّه قد تعارف التخصیص و التقیید فی محیط التقنین؛ بحیث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عامّ إلّا و قد 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مطلق إلّا و قد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فیجمع بینهما بتقدیم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الخاصّ أو المقیّد فی مفادهما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الظاهر؛ أی العامّ أو المطلق فی مفادهما، فمرکز توهّم التنافی إنّما هو بین عموم العامّ و المطلق، و بین مفاد الخبر، فمرجع التنافی لا بدّ و أن یکون من هذه الجهة، و قد أشرنا إلی أنّه یوفّق بینهما بتقدیم الخاصّ أو المقیّد علی العامّ و المطلق، لأظهریته فی مفاده من ظهور العامّ أو المطلق فی مفاده،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لا بدّ من إرجاع تلک الأخبار إلی التباین الکلّی، أو العموم من وجه، فقد کان باب الافتراء و التکذیب من خصماء أئمّة أهل البیت علیهم السلام مفتوحاً علی مصراعیه، و کانوا یدسّون فی کتب أصحاب أبی جعفر علیه السلام کما هو مذکور فی کتب التراجم و الرجال، و غرضهم من هذا، الحطّ من مقامهم السامی بالأکاذیب و الافتراء علیهم عند الناس، و إعراضهم عن أبوابهم، بل سدّ أبوابهم، ففعلوا ما فعلوا و أتوا بما قدروا و لکن أبی اللَّه إلّا أن یتمّ نوره و لو کره المشرکون، و لو کره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فالقول بأنّ الدسّ منهم فی أخبار أئمّة أهل البیت علیهم السلام لم یکن علی نحو التباین و التناقض أو العموم من وجه، 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شملت تلک الأخبار، المخالفة بالعموم و الخصوص و المطلق و المقیّد لزم عدم جواز تخصیص أو تقیید العموم أو المطلق الکتابی بالخبر المتواتر، و هو کما تری</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سیرة الأصحاب علی العمل بأخبار الآحاد فی قبال عمومات الکتاب الکریم من زماننا هذا إلی زمن أئمّة أهل البیت علیهم السلام و النبی الأعظم صلی الله علیه و آله و سلم</w:t>
      </w:r>
    </w:p>
    <w:p>
      <w:pPr>
        <w:pStyle w:val="BookText"/>
        <w:rPr/>
      </w:pPr>
      <w:r>
        <w:rPr>
          <w:rFonts w:ascii="IRNazanin" w:hAnsi="IRNazanin" w:eastAsia="IRNazanin"/>
          <w:color w:val="111111"/>
          <w:sz w:val="28"/>
          <w:sz w:val="28"/>
          <w:szCs w:val="28"/>
          <w:rtl w:val="true"/>
          <w:lang w:bidi="fa-IR"/>
        </w:rPr>
        <w:t>و کان ذلک بمرأی من الشارع الأقدس من دون ردع، و هذا کاشف عن رضاهم 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أن یکون عملهم بالأخبار المخصّصة و المقیّدة للعمومات و المطلقات الکتابیة بلحاظ القرائن القطعیة الحافّة بها الموجبة للقطع بصدورها، واضح البطلان؛ ضرورة أنّه لو کان عملهم لأجل القرینیة لَبان و ظهر؛ لکثرة موارد العمل بها قبال العمومات و المطلقات مع عدم ظهور القرینة، فیکون من موارد 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عدم الوجدان دلیل قطعی علی عدم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قیام السیرة المستمرّة الممضاة علی العمل بتلک الأخبار، لیس لاحتفافها بالقرینة، بل لحجّیة خبر الواحد نفسه، فما تردّد فی بعض الألسن من الإشکال فی السیرة غیر سدید، بل واضح البطلان کما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لا جواز العمل بخبر الواحد قبال عمومات الکتاب و مطلقاته، للزمت اللغویة فی أدلّة جعل خبر الواحد؛ لندرة وجود خبر لا یخالف عموم الکتاب أو مطلقه، و لذا صرّح المحقّق الخراسانی</w:t>
      </w:r>
      <w:r>
        <w:rPr>
          <w:rStyle w:val="FootnoteAnchor"/>
          <w:rtl w:val="true"/>
        </w:rPr>
        <w:footnoteReference w:id="488"/>
      </w:r>
      <w:r>
        <w:rPr>
          <w:rFonts w:ascii="IRNazanin" w:hAnsi="IRNazanin" w:eastAsia="IRNazanin"/>
          <w:color w:val="111111"/>
          <w:sz w:val="28"/>
          <w:sz w:val="28"/>
          <w:szCs w:val="28"/>
          <w:rtl w:val="true"/>
          <w:lang w:bidi="fa-IR"/>
        </w:rPr>
        <w:t>بأنّ الخبر غیر المخالف للکتاب، إمّا غیر موجود، أو نادر ملحق بالعدم</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تنافی بین عموم الکتاب أو إطلاقه، و بین دلالة الخبر؛ لا من حیث السند، و هو واضح، و لا من حیث الدلالة؛ لتقدّم ظهور القرینة علی ظهور ذیها، و إنّما التنافی بین دلالة العموم أو الإطلاق، و بین سند الخبر، و أدلّة اعتبار السند حاکمة علیها رافعة لموضوعها؛ و هو الشکّ فی إرادة العموم، ضرورة أنّه بعد اعتبار سند الخبر، یکون مبیّناً لما هو المراد من الکتاب فی نفس الأمر و الواقع، فیکون مقدّماً علیه، و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محاضرات فی اصول الفقه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المقرّر حفظه اللَّه</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4" w:name="pg12934_164880"/>
    </w:p>
    <w:p>
      <w:pPr>
        <w:pStyle w:val="Heading4"/>
        <w:numPr>
          <w:ilvl w:val="3"/>
          <w:numId w:val="1"/>
        </w:numPr>
        <w:rPr/>
      </w:pPr>
      <w:bookmarkStart w:id="805" w:name="__RefHeading___Toc4026619_3224264995"/>
      <w:bookmarkStart w:id="806" w:name="_Toc305"/>
      <w:bookmarkEnd w:id="804"/>
      <w:bookmarkEnd w:id="805"/>
      <w:r>
        <w:rPr>
          <w:rtl w:val="true"/>
        </w:rPr>
        <w:t>حول ما یستدلّ به علی عدم جواز التخصیص أو التقیید</w:t>
      </w:r>
      <w:bookmarkEnd w:id="806"/>
    </w:p>
    <w:p>
      <w:pPr>
        <w:pStyle w:val="BookText"/>
        <w:rPr/>
      </w:pPr>
      <w:r>
        <w:rPr>
          <w:rFonts w:ascii="IRNazanin" w:hAnsi="IRNazanin" w:eastAsia="IRNazanin"/>
          <w:color w:val="111111"/>
          <w:sz w:val="28"/>
          <w:sz w:val="28"/>
          <w:szCs w:val="28"/>
          <w:rtl w:val="true"/>
          <w:lang w:bidi="fa-IR"/>
        </w:rPr>
        <w:t>إذا أحطت خبراً بما ذکرنا، یظهر لک ضعف ما استدلّ به علی عدم جواز تخصیص أو تقیید العموم أو الإطلاق الکتابی بخبر الواحد، و هی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الکتاب العزیز قطعی السند، و خبر الواحد ظنّی السند، فکیف ترفع الید عن القطعی بالظنّی؟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الکتاب و إن کان قطعیاً بحسب الصدور، إلّا أنّ العامّ أو المطلق ظنّی الدلالة، و خبر الواحد لا ینافیه من حیث السند، بل من حیث الدلالة، فیقدّم علیه بلحاظ أظهریة الخاصّ أو المقیّد فی مفاده من ظهور العامّ أو المطلق، فرفع الید عن عموم الکتاب أو إطلاقه بالخبر، من قبیل رفع الید عن الظنّی بمثله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حجّیة الخبر ثابتة بالإجماع، و القدر المتیقّن منه ما إذا لم یخالف عموم الکتاب أو إطلاقه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إجماع علی العمل بخبر الواحد فی عَرْض الکتاب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أشرنا إلی أنّ عمدة ما یستدلّ به لحجّیة 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الدلیل الوحید علیها هو بناء العقلاء الممضی لدی الشرع، و قد أشرنا أیضاً إلی أنّ احتجاج العقلاء بأصالة العموم أو الإطلاق، هو بلحاظ تطابق الجدّ للاستعمال، و لا یکاد یحرز تطابقهما مع وجود خبر معتبر علی خلافه، بل یجمع بینهما فی محیط التقنین بتقدیم الخاصّ و المقیّد علی عموم الکتاب و إطلاقه</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جاز تخصیص عموم الکتاب بخبر الواحد، لجاز نسخه به أیضاً، لأنّه قسم من التخصیص، و هو التخصیص بحسب الأزمان، و الثانی باطل بالإجماع، فالمقدّم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استاذنا الأعظم البروجردی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یرد دلیل قطعی علی عدم جواز نسخ الکتاب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فرض قیام دلیل قطعی علی عدم جواز نسخه به، لم یثبت بذلک عدم جواز التخصیص بسببه</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لطیف آخر، فلیلاحظ</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الدالّة علی المنع من العمل بما خالف کتاب اللَّه؛ و أنّ ما خالفه زخرف، أو باطل، أو یضرب علی الجدار،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أقله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شاکل ذلک؛ فإنّها شاملة للأخبار المخالفة لعمومات الکتاب و مطلقاته أیضاً، و علیه فکیف یمکن تخصیصها أو تقییدها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أشرنا إلی أنّ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المقطوع به من تلک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شمولها المخالفة بنحو العموم و الخصوص المطلقین، حیث یوفّق و یجمع بینهما مطلقاً، أو فی محیط التقنین، فلا تعدّ هذه المخالفة مخالفة عند العرف، کیف و قد صدرت عنهم صلوات اللَّه علیهم أخبار کثیرة مخالفة لعموم الکتاب العزیز أو إطلاقه؟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بالمخالفة فی تلک الأخبار، المخالفة للکتاب بنحو التباین الکلّی، أو العموم و الخصوص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من تخصیص عموم الکتاب أو تقیید مطلقه بخبر الواحد، بل علیه سیرة الأصحاب بلا نکیر</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الکلام فیما یتعلّق بالعامّ و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أوّلًا و آخراً، و ظاهراً و باطناً، و هو حسبنا و نعم الوکیل</w:t>
      </w:r>
      <w:r>
        <w:rPr>
          <w:rFonts w:eastAsia="Amiri" w:cs="Amiri" w:ascii="Amiri" w:hAnsi="Amiri"/>
          <w:color w:val="111111"/>
          <w:sz w:val="28"/>
          <w:szCs w:val="28"/>
          <w:rtl w:val="true"/>
          <w:lang w:bidi="ar-SA"/>
        </w:rPr>
        <w:t>.</w:t>
      </w:r>
      <w:bookmarkStart w:id="807" w:name="pg12934_164882"/>
    </w:p>
    <w:p>
      <w:pPr>
        <w:pStyle w:val="Heading2"/>
        <w:numPr>
          <w:ilvl w:val="1"/>
          <w:numId w:val="1"/>
        </w:numPr>
        <w:rPr/>
      </w:pPr>
      <w:bookmarkStart w:id="808" w:name="__RefHeading___Toc4026621_3224264995"/>
      <w:bookmarkStart w:id="809" w:name="_Toc306"/>
      <w:bookmarkEnd w:id="807"/>
      <w:bookmarkEnd w:id="808"/>
      <w:r>
        <w:rPr>
          <w:rtl w:val="true"/>
        </w:rPr>
        <w:t>المقصد الخامس فی المطلق و المقیّد</w:t>
      </w:r>
      <w:bookmarkEnd w:id="809"/>
    </w:p>
    <w:p>
      <w:pPr>
        <w:pStyle w:val="Heading3"/>
        <w:numPr>
          <w:ilvl w:val="2"/>
          <w:numId w:val="1"/>
        </w:numPr>
        <w:rPr/>
      </w:pPr>
      <w:bookmarkStart w:id="810" w:name="__RefHeading___Toc4026623_3224264995"/>
      <w:bookmarkStart w:id="811" w:name="_Toc307"/>
      <w:bookmarkEnd w:id="810"/>
      <w:r>
        <w:rPr>
          <w:rtl w:val="true"/>
        </w:rPr>
        <w:t>اشارة</w:t>
      </w:r>
      <w:bookmarkEnd w:id="811"/>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مباحث</w:t>
      </w:r>
      <w:r>
        <w:rPr>
          <w:rFonts w:eastAsia="IRNazanin" w:cs="IRNazanin"/>
          <w:color w:val="111111"/>
          <w:sz w:val="28"/>
          <w:szCs w:val="28"/>
          <w:rtl w:val="true"/>
          <w:lang w:bidi="fa-IR"/>
        </w:rPr>
        <w:t>:</w:t>
      </w:r>
      <w:bookmarkStart w:id="812" w:name="pg12934_164884"/>
    </w:p>
    <w:p>
      <w:pPr>
        <w:pStyle w:val="BookText"/>
        <w:rPr/>
      </w:pPr>
      <w:bookmarkEnd w:id="812"/>
      <w:r>
        <w:rPr>
          <w:rFonts w:ascii="IRNazanin" w:hAnsi="IRNazanin" w:eastAsia="IRNazanin"/>
          <w:color w:val="111111"/>
          <w:sz w:val="28"/>
          <w:sz w:val="28"/>
          <w:szCs w:val="28"/>
          <w:rtl w:val="true"/>
          <w:lang w:bidi="fa-IR"/>
        </w:rPr>
        <w:t>تعریف المطلق و المقیّد</w:t>
      </w:r>
    </w:p>
    <w:p>
      <w:pPr>
        <w:pStyle w:val="Heading3"/>
        <w:numPr>
          <w:ilvl w:val="2"/>
          <w:numId w:val="1"/>
        </w:numPr>
        <w:rPr/>
      </w:pPr>
      <w:bookmarkStart w:id="813" w:name="__RefHeading___Toc4026625_3224264995"/>
      <w:bookmarkStart w:id="814" w:name="_Toc308"/>
      <w:bookmarkEnd w:id="813"/>
      <w:r>
        <w:rPr>
          <w:rtl w:val="true"/>
        </w:rPr>
        <w:t>المبحث الأوّل فی ماهیتهما</w:t>
      </w:r>
      <w:bookmarkEnd w:id="814"/>
    </w:p>
    <w:p>
      <w:pPr>
        <w:pStyle w:val="Heading4"/>
        <w:numPr>
          <w:ilvl w:val="3"/>
          <w:numId w:val="1"/>
        </w:numPr>
        <w:rPr/>
      </w:pPr>
      <w:bookmarkStart w:id="815" w:name="__RefHeading___Toc4026627_3224264995"/>
      <w:bookmarkStart w:id="816" w:name="_Toc309"/>
      <w:bookmarkEnd w:id="815"/>
      <w:r>
        <w:rPr>
          <w:rtl w:val="true"/>
        </w:rPr>
        <w:t>اشارة</w:t>
      </w:r>
      <w:bookmarkEnd w:id="816"/>
    </w:p>
    <w:p>
      <w:pPr>
        <w:pStyle w:val="BookText"/>
        <w:rPr/>
      </w:pPr>
      <w:r>
        <w:rPr>
          <w:rFonts w:ascii="IRNazanin" w:hAnsi="IRNazanin" w:eastAsia="IRNazanin"/>
          <w:color w:val="111111"/>
          <w:sz w:val="28"/>
          <w:sz w:val="28"/>
          <w:szCs w:val="28"/>
          <w:rtl w:val="true"/>
          <w:lang w:bidi="fa-IR"/>
        </w:rPr>
        <w:t>المبحث الأوّل</w:t>
      </w:r>
      <w:r>
        <w:rPr>
          <w:rStyle w:val="FootnoteAnchor"/>
          <w:rtl w:val="true"/>
        </w:rPr>
        <w:footnoteReference w:id="492"/>
      </w:r>
      <w:r>
        <w:rPr>
          <w:rFonts w:ascii="IRNazanin" w:hAnsi="IRNazanin" w:eastAsia="IRNazanin"/>
          <w:color w:val="111111"/>
          <w:sz w:val="28"/>
          <w:sz w:val="28"/>
          <w:szCs w:val="28"/>
          <w:rtl w:val="true"/>
          <w:lang w:bidi="fa-IR"/>
        </w:rPr>
        <w:t>فی ماهیتهما</w:t>
      </w:r>
    </w:p>
    <w:p>
      <w:pPr>
        <w:pStyle w:val="BookText"/>
        <w:rPr/>
      </w:pPr>
      <w:r>
        <w:rPr>
          <w:rFonts w:ascii="IRNazanin" w:hAnsi="IRNazanin" w:eastAsia="IRNazanin"/>
          <w:color w:val="111111"/>
          <w:sz w:val="28"/>
          <w:sz w:val="28"/>
          <w:szCs w:val="28"/>
          <w:rtl w:val="true"/>
          <w:lang w:bidi="fa-IR"/>
        </w:rPr>
        <w:t>عرّفوا المطلق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 ما دلّ علی شائع فی جنسه، و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التعریف و إن کان مشهوراً بینهم، إلّا أنّه أورد علیه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الاطّراد، و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بعدم الانعکاس</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المهمّ فی المقام التنبیه علی أنّ ظاهر الموصول فی التعریف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به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اللفظ، فالإطلاق و التقیید من أوصاف اللفظ، مع أنّ المطلق أو المقیّد المبحوث عنهما فی الاصول المنتجین فی الفقه، غیر مرتبطین بباب الألفاظ، بل غیر مرتبطین بالمعانی الأفرادیة؛ بحیث یکون هناک لفظ موضوع لمعنی مطلق، أو معنی مقیّد، کما کان للعموم و الخصوص ألفاظ کذلک، کلفظة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ذلک؛ و ذلک لأنّ المراد بالمطلق هو الشی‌ء المأخوذ موضوعاً للحکم؛ من دون تقییده بقید أو شرط، مع کون المولی بصدد بیان جمیع ما له دخل فی موضوعیته للحکم؛ سواء کان الموضوع کلّیاً، أو جزئیاً حقیقیاً، أو ماهیة مقیّدة بقید،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جعله المولی موضوعاً لحکمه لو لم یکن تمام الموضوع لحکمه، لکان</w:t>
      </w:r>
    </w:p>
    <w:p>
      <w:pPr>
        <w:pStyle w:val="BookText"/>
        <w:rPr/>
      </w:pPr>
      <w:r>
        <w:rPr>
          <w:rFonts w:ascii="IRNazanin" w:hAnsi="IRNazanin" w:eastAsia="IRNazanin"/>
          <w:color w:val="111111"/>
          <w:sz w:val="28"/>
          <w:sz w:val="28"/>
          <w:szCs w:val="28"/>
          <w:rtl w:val="true"/>
          <w:lang w:bidi="fa-IR"/>
        </w:rPr>
        <w:t>علیه بیان ما له دخل فیه، و إلّا لأخلّ بغرضه، فاستفادة الإطلاق و کذا مقابله، أجنبیة عن حریم اللفظ، بل إنّما تکون من دلالة العقل فی مقام الاحتجاج، نظیر الدلالة الالتزامیة و الدلالة الطبعیة الخارجتین عن الدلالة اللفظیة؛ و إن لم یکن المقام من ذلک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البحث فی الإطلاق و التقیید، هو ملاحظة موضوعیة أمر للحکم؛ فتارة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الشی‌ء بلا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 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القید، و أمّا قبل ترتّب الحکم علی الموضوع، فلا إطلاق هنا و لا تقیید، بل غایة ما هناک هی لفظ دالّ علی معناه، مثلًا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خلّیت و طبعها، لا تدلّ إلّا علی نفس معناها، و لا تکون مطلقة، و لا مقیّدة، و لکن بعد جعلها موضوعاً لوجوب العتق مثلًا، یستفاد منها الإطلاق، لکن لا من تلک اللفظة، بل من فعله بلحاظ ترتیب الحکم علی نفس الطبیعة بلا إضافة شی‌ء آخر شطراً أو شرطاً، مع کونه بصدد بیان ما له دخل فیه، و کان عالماً متوجّهاً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الداعی لتعلّق الحکم بموضوع، هو اشتماله علی المصلحة، و معلوم أنّها تترتّب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نفس الطبیعة، 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الطبیعة المقیّدة بقید، فیصیر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قطع النظر عن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إنّه لم یکن الإطلاق مدلولًا لفظیاً، فیمکن استفادته عند فقد اللفظ، کالإشارة، فإنّه لو افهم بها أنّ الحکم مجعول علی موضوع خاصّ، یحکم بعدم دخالة شی‌ء آخر فی موضوعیته للحکم ببرکة أصالة الإطلاق</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أحطت خبراً بما ذکرنا، فینقدح لک ما فی کلام المحقّق النائینی قدس سره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الإطلاق و التقیید کما یردان علی المفاهیم الأفرادیة، کذلک یردان علی المعانی المرکّبة و الجمل الترکیبیة، کالعقود و الإیقاعات، و محلّ الکلام فی مبحث المطلق</w:t>
      </w:r>
      <w:bookmarkStart w:id="817" w:name="pg12934_164886"/>
    </w:p>
    <w:p>
      <w:pPr>
        <w:pStyle w:val="BookText"/>
        <w:rPr/>
      </w:pPr>
      <w:bookmarkEnd w:id="817"/>
      <w:r>
        <w:rPr>
          <w:rFonts w:ascii="IRNazanin" w:hAnsi="IRNazanin" w:eastAsia="IRNazanin"/>
          <w:color w:val="111111"/>
          <w:sz w:val="28"/>
          <w:sz w:val="28"/>
          <w:szCs w:val="28"/>
          <w:rtl w:val="true"/>
          <w:lang w:bidi="fa-IR"/>
        </w:rPr>
        <w:t>و المقیّد، إنّما هو فی المعانی الأفرادیة، دون المرکّبة</w:t>
      </w:r>
      <w:r>
        <w:rPr>
          <w:rFonts w:eastAsia="IRNazanin" w:cs="IRNazanin"/>
          <w:color w:val="111111"/>
          <w:sz w:val="28"/>
          <w:szCs w:val="28"/>
          <w:rtl w:val="true"/>
          <w:lang w:bidi="fa-IR"/>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الضعف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الإطلاق و التقیید إنّما یکونان بلحاظ موضوعیتهما للحکم، و المفرد کما لا تقیید فیه، لا إطلاق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ظهر لک خروج وصف الإطلاق و التقیید عن حریم دلالة اللفظ، یتضح لک خروج أقسامه عن حریم اللفظ أیضاً، کالأحوالی، و البدلی، و الشمولی؛ لو تصوّرت تلک الأقسام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صحّ الإطلاق فی المعنی الکلّی، و الشخصی، و المعنی الاسمی، و الحرفی، بل فی المادّة، و الهیئة، و المتعلّق، مثلًا الشکّ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من جهة موضوع الحکم؛ و أنّ الرقبة تمام الموضوع للحکم، أو جزء لذلک، 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المادّة؛ أی المتعلّق، و أنّها واجبة مطلقاً، أو مع کیفیة خاصّة، 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الهیئة المتعلّقة بالمادّة؛ أی الوجوب، و 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متعلّق الحکم، و یتمسّک بأصالة الإطلاق فی جمیع تلک الجهات؛ لو احرز کون المولی فی مقام بیان جمیع ما له دخل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المعنی الحرفی حیث إنّه غیر قابل للتقیید، فغیر قابل للإطلاق، فلا یکون المعنی الحرفی مصبّاً للإطلاق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ارتباط الإطلاق بمعنی اللفظ؛ حتّی یقال بلزوم استقلال ذلک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قد تحقّق منّا جواز تقیید المعنی الأدوی الحرفی، فلاحظ</w:t>
      </w:r>
      <w:r>
        <w:rPr>
          <w:rFonts w:eastAsia="IRNazanin" w:cs="IRNazanin"/>
          <w:color w:val="111111"/>
          <w:sz w:val="28"/>
          <w:szCs w:val="28"/>
          <w:rtl w:val="true"/>
          <w:lang w:bidi="fa-IR"/>
        </w:rPr>
        <w:t>.</w:t>
      </w:r>
    </w:p>
    <w:p>
      <w:pPr>
        <w:pStyle w:val="Heading4"/>
        <w:numPr>
          <w:ilvl w:val="3"/>
          <w:numId w:val="1"/>
        </w:numPr>
        <w:rPr/>
      </w:pPr>
      <w:bookmarkStart w:id="818" w:name="__RefHeading___Toc4026629_3224264995"/>
      <w:bookmarkStart w:id="819" w:name="_Toc310"/>
      <w:bookmarkEnd w:id="818"/>
      <w:r>
        <w:rPr>
          <w:rtl w:val="true"/>
        </w:rPr>
        <w:t>حول المراد بقولهم</w:t>
      </w:r>
      <w:r>
        <w:rPr>
          <w:rtl w:val="true"/>
        </w:rPr>
        <w:t>: «</w:t>
      </w:r>
      <w:r>
        <w:rPr>
          <w:rtl w:val="true"/>
        </w:rPr>
        <w:t>شائع فی جنسه</w:t>
      </w:r>
      <w:r>
        <w:rPr>
          <w:rtl w:val="true"/>
        </w:rPr>
        <w:t>»</w:t>
      </w:r>
      <w:bookmarkEnd w:id="819"/>
    </w:p>
    <w:p>
      <w:pPr>
        <w:pStyle w:val="BookText"/>
        <w:rPr/>
      </w:pPr>
      <w:r>
        <w:rPr>
          <w:rFonts w:ascii="IRNazanin" w:hAnsi="IRNazanin" w:eastAsia="IRNazanin"/>
          <w:color w:val="111111"/>
          <w:sz w:val="28"/>
          <w:sz w:val="28"/>
          <w:szCs w:val="28"/>
          <w:rtl w:val="true"/>
          <w:lang w:bidi="fa-IR"/>
        </w:rPr>
        <w:t>ثمّ إنّ المراد بقولهم فی التعریف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شائع فی جنسه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أحد أمرین</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الشیوع فی أفراد الجنس مع دلالة اللفظ؛ أی أنّ اللفظ</w:t>
      </w:r>
    </w:p>
    <w:p>
      <w:pPr>
        <w:pStyle w:val="BookText"/>
        <w:rPr/>
      </w:pPr>
      <w:r>
        <w:rPr>
          <w:rFonts w:ascii="IRNazanin" w:hAnsi="IRNazanin" w:eastAsia="IRNazanin"/>
          <w:color w:val="111111"/>
          <w:sz w:val="28"/>
          <w:sz w:val="28"/>
          <w:szCs w:val="28"/>
          <w:rtl w:val="true"/>
          <w:lang w:bidi="fa-IR"/>
        </w:rPr>
        <w:t>دالّ علی شائع فی جنسه؛ بحیث یکون نفس الشیوع جزء مدلول اللفظ، و جزءه الآخر ذات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ذکرنا من أنّ الإطلاق، غیر مستفاد من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الدلالة علی الشیوع شأن العامّ لا المطلق؛ ضرورة أنّ اسم الجنس و علمه من المطلقات، و مع ذلک لا یدلّان علی الشیوع؛ لأنّ غایة ما تقتضیه مقدّمات الحکمة، هی أنّ نفس الطبیعة من حیث هی موضوع للحکم، و أین هذا من الدلالة علی السریان و الشیوع؟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بما ذکرنا ینقدح ما فی کلام العلمین النائینی و الحائری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بعد جریان مقدّمات الحکمة، یستفاد من المطلق ما یستفاد من العموم</w:t>
      </w:r>
      <w:r>
        <w:rPr>
          <w:rFonts w:eastAsia="IRNazanin" w:cs="IRNazanin"/>
          <w:color w:val="111111"/>
          <w:sz w:val="28"/>
          <w:szCs w:val="28"/>
          <w:rtl w:val="true"/>
          <w:lang w:bidi="fa-IR"/>
        </w:rPr>
        <w:t>»</w:t>
      </w:r>
      <w:r>
        <w:rPr>
          <w:rStyle w:val="FootnoteAnchor"/>
          <w:rtl w:val="true"/>
        </w:rPr>
        <w:footnoteReference w:id="494"/>
      </w:r>
      <w:r>
        <w:rPr>
          <w:rFonts w:ascii="IRNazanin" w:hAnsi="IRNazanin" w:eastAsia="IRNazanin"/>
          <w:color w:val="111111"/>
          <w:sz w:val="28"/>
          <w:sz w:val="28"/>
          <w:szCs w:val="28"/>
          <w:rtl w:val="true"/>
          <w:lang w:bidi="fa-IR"/>
        </w:rPr>
        <w:t>و ذلک لأنّه بعد جریان مقدّمات الحکمة، لا ینقلب اللفظ عمّا وضع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نفس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الدلالة علی الخصوصیات و الأفراد، فلفظة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لا تدلّ إلّا علی نفس الطبیعة فحسب، و أمّا دلالتها علی أنّ تلک الطبیعة متکثّرة الأفراد فی الخارج، فأجنبیة عن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اللفظ لا یدلّ علی أزید من معناه الموضوع له، سواء کان ذلک المعنی بسیطاً، أو لا، کلّیاً، أم لا، فکما لا یدلّ اللفظ الموضوع لمعنی مرکّب علی شی‌ء من أجزائه، فکذلک لا یدلّ اللفظ الموضوع لنفس الطبیعة علی شی‌ء من جزئیاته لو کان المعنی الموضوع له کلّیاً</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یراد بالشیوع تعریف المعنی و المدلول؛ بأن یکون الشیوع قیداً و لازماً للمعنی الذی هو مدلول للّفظ، لا أنّه بنفسه مدلول أیضاً، فیکون المطلق دالّاً</w:t>
      </w:r>
      <w:bookmarkStart w:id="820" w:name="pg12934_164888"/>
    </w:p>
    <w:p>
      <w:pPr>
        <w:pStyle w:val="BookText"/>
        <w:rPr/>
      </w:pPr>
      <w:bookmarkEnd w:id="820"/>
      <w:r>
        <w:rPr>
          <w:rFonts w:ascii="IRNazanin" w:hAnsi="IRNazanin" w:eastAsia="IRNazanin"/>
          <w:color w:val="111111"/>
          <w:sz w:val="28"/>
          <w:sz w:val="28"/>
          <w:szCs w:val="28"/>
          <w:rtl w:val="true"/>
          <w:lang w:bidi="fa-IR"/>
        </w:rPr>
        <w:t>علی معنی یکون له فی حدّ ذاته، سریان فی جنسه، فعلی هذا لا معنی لإرادة المعنی المصطلح من الجنس هنا، فیکون المراد بالشیوع فی الجنس، سریانه فی مصادیقه و أفراده؛ من جهة أنّ الأفراد متجانسة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یوجب خروج کثیر من المطلقات عن حریم الإطلاق؛ لما عرفت من صحّة الإطلاق فی أفراد العموم،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Style w:val="FootnoteAnchor"/>
          <w:rtl w:val="true"/>
        </w:rPr>
        <w:footnoteReference w:id="495"/>
      </w:r>
      <w:r>
        <w:rPr>
          <w:rFonts w:ascii="Amiri" w:hAnsi="Amiri" w:eastAsia="Amiri" w:cs="Amiri"/>
          <w:color w:val="111111"/>
          <w:sz w:val="28"/>
          <w:sz w:val="28"/>
          <w:szCs w:val="28"/>
          <w:rtl w:val="true"/>
          <w:lang w:bidi="ar-SA"/>
        </w:rPr>
        <w:t>، و فی الأعلام الشخصیة،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لْیَطَّوَّفُوا بِالْبَیْتِ الْعَتِیقِ</w:t>
      </w:r>
      <w:r>
        <w:rPr>
          <w:rFonts w:eastAsia="Amiri" w:cs="Amiri" w:ascii="Amiri" w:hAnsi="Amiri"/>
          <w:color w:val="111111"/>
          <w:sz w:val="28"/>
          <w:szCs w:val="28"/>
          <w:rtl w:val="true"/>
          <w:lang w:bidi="ar-SA"/>
        </w:rPr>
        <w:t>»</w:t>
      </w:r>
      <w:r>
        <w:rPr>
          <w:rStyle w:val="FootnoteAnchor"/>
          <w:rtl w:val="true"/>
        </w:rPr>
        <w:footnoteReference w:id="496"/>
      </w:r>
      <w:r>
        <w:rPr>
          <w:rFonts w:ascii="IRNazanin" w:hAnsi="IRNazanin" w:eastAsia="IRNazanin"/>
          <w:color w:val="111111"/>
          <w:sz w:val="28"/>
          <w:sz w:val="28"/>
          <w:szCs w:val="28"/>
          <w:rtl w:val="true"/>
          <w:lang w:bidi="fa-IR"/>
        </w:rPr>
        <w:t>، و فی المعانی الحرفیة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 عکسه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غیر مطرد؛ لدخول بعض المقیَّدات فیه، کالرقبة المؤمنة، فإنّها أیضاً شائعة فی جنسها</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فتحصّل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المطلق و المقیّد، غیر مرتبطین بباب دلالة اللفظ، و لیس مصبّهما مختصّاً بالماهیات الکلّیة، بل یعمّها و الجزئیات، و الأعلام الشخصیة، و المعانی الحرفیة</w:t>
      </w:r>
      <w:r>
        <w:rPr>
          <w:rFonts w:eastAsia="IRNazanin" w:cs="IRNazanin"/>
          <w:color w:val="111111"/>
          <w:sz w:val="28"/>
          <w:szCs w:val="28"/>
          <w:rtl w:val="true"/>
          <w:lang w:bidi="fa-IR"/>
        </w:rPr>
        <w:t>.</w:t>
      </w:r>
    </w:p>
    <w:p>
      <w:pPr>
        <w:pStyle w:val="Heading4"/>
        <w:numPr>
          <w:ilvl w:val="3"/>
          <w:numId w:val="1"/>
        </w:numPr>
        <w:rPr/>
      </w:pPr>
      <w:bookmarkStart w:id="821" w:name="__RefHeading___Toc4026631_3224264995"/>
      <w:bookmarkStart w:id="822" w:name="_Toc311"/>
      <w:bookmarkEnd w:id="821"/>
      <w:r>
        <w:rPr>
          <w:rtl w:val="true"/>
        </w:rPr>
        <w:t>بیان النسبة بین الإطلاق و التقیید</w:t>
      </w:r>
      <w:bookmarkEnd w:id="822"/>
    </w:p>
    <w:p>
      <w:pPr>
        <w:pStyle w:val="BookText"/>
        <w:rPr/>
      </w:pPr>
      <w:r>
        <w:rPr>
          <w:rFonts w:ascii="IRNazanin" w:hAnsi="IRNazanin" w:eastAsia="IRNazanin"/>
          <w:color w:val="111111"/>
          <w:sz w:val="28"/>
          <w:sz w:val="28"/>
          <w:szCs w:val="28"/>
          <w:rtl w:val="true"/>
          <w:lang w:bidi="fa-IR"/>
        </w:rPr>
        <w:t>ثمّ إنّ الإطلاق و التقیید من الامور الإضافیة؛ فربما یکون الشی‌ء مطلقاً باعتبار، و مقیّداً باعتبار آخر، و لذا لو کان الموضوع مقیّداً بقیود کثیرة فمع ذلک یجری فیه الإطلاق بالنسبة إلی قیود اخر</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النسبة بین الإطلاق و التقیید، فهی تشبه تقابل الملکة و العدم؛ فإنّ المطلق</w:t>
      </w:r>
    </w:p>
    <w:p>
      <w:pPr>
        <w:pStyle w:val="BookText"/>
        <w:rPr/>
      </w:pPr>
      <w:r>
        <w:rPr>
          <w:rFonts w:ascii="IRNazanin" w:hAnsi="IRNazanin" w:eastAsia="IRNazanin"/>
          <w:color w:val="111111"/>
          <w:sz w:val="28"/>
          <w:sz w:val="28"/>
          <w:szCs w:val="28"/>
          <w:rtl w:val="true"/>
          <w:lang w:bidi="fa-IR"/>
        </w:rPr>
        <w:t>عدم القید عمّا من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الاعتبار العقلائی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التقیید، فما لیست له شأنیة التقیید باعتبار العقلاء، لا یکون مطلقاً، کما لا یکون مقیّداً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تقابل الملکة و العدم؛ لأنّ هذا التقابل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کسائر أقسام التقابل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یکون فی الماهیات المتأصّلة؛ بأن یکون للشی‌ء قوّة و استعداد، بحیث یخرج من القوّة إلی الفعل بحصول ما یستعدّ له، فالأعمی إذا صار بصیراً، خرج من القوّة إلی الفعل، و لیس الأمر کذلک فی باب المطلق و المقیّد؛ لکونها من الاعتباریات،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ظهر و تحقّق لک ممّا ذکرنا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یستفاد بعد جریان مقدّمات الحکمة، الشمول و السریان و إن کان مصبّ الإطلاق، نفس الطبیعة الکلّیة، کالبیع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اللَّهُ الْبَیْعَ</w:t>
      </w:r>
      <w:r>
        <w:rPr>
          <w:rFonts w:eastAsia="Amiri" w:cs="Amiri" w:ascii="Amiri" w:hAnsi="Amiri"/>
          <w:color w:val="111111"/>
          <w:sz w:val="28"/>
          <w:szCs w:val="28"/>
          <w:rtl w:val="true"/>
          <w:lang w:bidi="ar-SA"/>
        </w:rPr>
        <w:t>»</w:t>
      </w:r>
      <w:r>
        <w:rPr>
          <w:rStyle w:val="FootnoteAnchor"/>
          <w:rtl w:val="true"/>
        </w:rPr>
        <w:footnoteReference w:id="498"/>
      </w:r>
      <w:r>
        <w:rPr>
          <w:rFonts w:ascii="IRNazanin" w:hAnsi="IRNazanin" w:eastAsia="IRNazanin"/>
          <w:color w:val="111111"/>
          <w:sz w:val="28"/>
          <w:sz w:val="28"/>
          <w:szCs w:val="28"/>
          <w:rtl w:val="true"/>
          <w:lang w:bidi="fa-IR"/>
        </w:rPr>
        <w:t>لأنّ غایة ما تقتضیه المقدّمات هی أنّ نفس طبیعة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للحلّیة، و لا دلالة لها علی أنّ کلّ فرد من أفراد البیوع حکمه کذا، کما هو الشأن فی العموم،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Style w:val="FootnoteAnchor"/>
          <w:rtl w:val="true"/>
        </w:rPr>
        <w:footnoteReference w:id="499"/>
      </w:r>
      <w:r>
        <w:rPr>
          <w:rFonts w:ascii="IRNazanin" w:hAnsi="IRNazanin" w:eastAsia="IRNazanin"/>
          <w:color w:val="111111"/>
          <w:sz w:val="28"/>
          <w:sz w:val="28"/>
          <w:szCs w:val="28"/>
          <w:rtl w:val="true"/>
          <w:lang w:bidi="fa-IR"/>
        </w:rPr>
        <w:t>فإنّه یدلّ علی أنّ کلّ فرد من أفراد العقود یجب الوفاء به</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حیث إنّ نفس الطبیعة قابلة للتکرار و تتحقّق بتمامها فی کلّ مصداق، لذا تتکثّر بتکثّر الأفراد، و لکن مع ذلک إنّما تکون موضوعاً للحلّیة فی المثال المذکور بلحاظ نفس الطبیعة، لا الخصوصیات الفردیة، فتدبّر</w:t>
      </w:r>
      <w:r>
        <w:rPr>
          <w:rFonts w:eastAsia="IRNazanin" w:cs="IRNazanin"/>
          <w:color w:val="111111"/>
          <w:sz w:val="28"/>
          <w:szCs w:val="28"/>
          <w:rtl w:val="true"/>
          <w:lang w:bidi="fa-IR"/>
        </w:rPr>
        <w:t>.</w:t>
      </w:r>
      <w:bookmarkStart w:id="823" w:name="pg12934_164890"/>
    </w:p>
    <w:p>
      <w:pPr>
        <w:pStyle w:val="BookText"/>
        <w:rPr/>
      </w:pPr>
      <w:bookmarkEnd w:id="823"/>
      <w:r>
        <w:rPr>
          <w:rFonts w:ascii="IRNazanin" w:hAnsi="IRNazanin" w:eastAsia="IRNazanin"/>
          <w:color w:val="111111"/>
          <w:sz w:val="28"/>
          <w:sz w:val="28"/>
          <w:szCs w:val="28"/>
          <w:rtl w:val="true"/>
          <w:lang w:bidi="fa-IR"/>
        </w:rPr>
        <w:t>حول بعض الألفاظ التی یطلق علیها المطلق</w:t>
      </w:r>
    </w:p>
    <w:p>
      <w:pPr>
        <w:pStyle w:val="Heading3"/>
        <w:numPr>
          <w:ilvl w:val="2"/>
          <w:numId w:val="1"/>
        </w:numPr>
        <w:rPr/>
      </w:pPr>
      <w:bookmarkStart w:id="824" w:name="__RefHeading___Toc4026633_3224264995"/>
      <w:bookmarkStart w:id="825" w:name="_Toc312"/>
      <w:bookmarkEnd w:id="824"/>
      <w:r>
        <w:rPr>
          <w:rtl w:val="true"/>
        </w:rPr>
        <w:t>المبحث الثانی حول بعض الألفاظ التی یطلق علیها المطلق</w:t>
      </w:r>
      <w:bookmarkEnd w:id="825"/>
    </w:p>
    <w:p>
      <w:pPr>
        <w:pStyle w:val="Heading4"/>
        <w:numPr>
          <w:ilvl w:val="3"/>
          <w:numId w:val="1"/>
        </w:numPr>
        <w:rPr/>
      </w:pPr>
      <w:bookmarkStart w:id="826" w:name="__RefHeading___Toc4026635_3224264995"/>
      <w:bookmarkStart w:id="827" w:name="_Toc313"/>
      <w:bookmarkEnd w:id="826"/>
      <w:r>
        <w:rPr>
          <w:rtl w:val="true"/>
        </w:rPr>
        <w:t>اشارة</w:t>
      </w:r>
      <w:bookmarkEnd w:id="827"/>
    </w:p>
    <w:p>
      <w:pPr>
        <w:pStyle w:val="BookText"/>
        <w:rPr/>
      </w:pPr>
      <w:r>
        <w:rPr>
          <w:rFonts w:ascii="IRNazanin" w:hAnsi="IRNazanin" w:eastAsia="IRNazanin"/>
          <w:color w:val="111111"/>
          <w:sz w:val="28"/>
          <w:sz w:val="28"/>
          <w:szCs w:val="28"/>
          <w:rtl w:val="true"/>
          <w:lang w:bidi="fa-IR"/>
        </w:rPr>
        <w:t>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ما اتضح أنّ وصفی الإطلاق و التقیید، غیر مندرجین تحت مدالیل الألفاظ، و أنّ معنی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الإرسال و خلوّ المعنی من التعلّق بشی‌ء آخر و إن کان المعنی جزئیاً، و أنّ الإطلاق و التقیید وصفان إضافیان، و أنّ الإطلاق فی جمیع الموارد بهذا المعنی، فالبحث عمّا وضع له اسم الجنس و علم الجنس و المفرد المحلّی باللام و نحوها، غیر مرتبط بباب الإطلاق، کما أنّ البحث عن الماهیة اللابشرط المقسمی و القسمی و اعتبارات الماهیة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عن حریم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توهّم أنّ المطلق عند الاصولی هو الذی یعبّر عنه باسم الجنس، و علم الجنس، و المفرد المحلّی باللّام و غیرها، غیر صحیح؛ لأنّ هذه الامور امور لفظیة، و المطلق لیس منها، فلیس المطلق عند الاصولی هو اسم الجنس، أو علم الجنس، و نحوهما عند الأدیب و النحوی؛ حتّی لا یکون بینهما فرق إلّا مجرّد الاصطلاح، فتدبّر حتّی لا یختلط علیک الأمر، کما اختلط علی بعضهم</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فالتعرض لها هنا غیر مهمّ، إلّا أنّ المشایخ و أساطین الفنّ تصدّوا لبیان</w:t>
      </w:r>
      <w:bookmarkStart w:id="828" w:name="pg12934_164891"/>
    </w:p>
    <w:p>
      <w:pPr>
        <w:pStyle w:val="BookText"/>
        <w:rPr/>
      </w:pPr>
      <w:bookmarkEnd w:id="828"/>
      <w:r>
        <w:rPr>
          <w:rFonts w:ascii="IRNazanin" w:hAnsi="IRNazanin" w:eastAsia="IRNazanin"/>
          <w:color w:val="111111"/>
          <w:sz w:val="28"/>
          <w:sz w:val="28"/>
          <w:szCs w:val="28"/>
          <w:rtl w:val="true"/>
          <w:lang w:bidi="fa-IR"/>
        </w:rPr>
        <w:t>تلک المفاهیم، و میّزوا بعضها عن بعض، فلا بأس بالتأسّی بهم و التعرّض لها إجمالًا؛ لئلّا یفوت عنّا ما تعرّضوا له، مع أنّ التعرّض لها و البحث حولها فی حدّ نفسه، لا یخلو من فائدة</w:t>
      </w:r>
      <w:r>
        <w:rPr>
          <w:rFonts w:eastAsia="IRNazanin" w:cs="IRNazanin"/>
          <w:color w:val="111111"/>
          <w:sz w:val="28"/>
          <w:szCs w:val="28"/>
          <w:rtl w:val="true"/>
          <w:lang w:bidi="fa-IR"/>
        </w:rPr>
        <w:t>.</w:t>
      </w:r>
    </w:p>
    <w:p>
      <w:pPr>
        <w:pStyle w:val="Heading4"/>
        <w:numPr>
          <w:ilvl w:val="3"/>
          <w:numId w:val="1"/>
        </w:numPr>
        <w:rPr/>
      </w:pPr>
      <w:bookmarkStart w:id="829" w:name="__RefHeading___Toc4026637_3224264995"/>
      <w:bookmarkStart w:id="830" w:name="_Toc314"/>
      <w:bookmarkEnd w:id="829"/>
      <w:r>
        <w:rPr>
          <w:rtl w:val="true"/>
        </w:rPr>
        <w:t>منها</w:t>
      </w:r>
      <w:r>
        <w:rPr>
          <w:rtl w:val="true"/>
        </w:rPr>
        <w:t xml:space="preserve">: </w:t>
      </w:r>
      <w:r>
        <w:rPr>
          <w:rtl w:val="true"/>
        </w:rPr>
        <w:t>اسم الجنس</w:t>
      </w:r>
      <w:bookmarkEnd w:id="830"/>
    </w:p>
    <w:p>
      <w:pPr>
        <w:pStyle w:val="Heading5"/>
        <w:numPr>
          <w:ilvl w:val="4"/>
          <w:numId w:val="1"/>
        </w:numPr>
        <w:rPr/>
      </w:pPr>
      <w:bookmarkStart w:id="831" w:name="__RefHeading___Toc4026639_3224264995"/>
      <w:bookmarkStart w:id="832" w:name="_Toc315"/>
      <w:bookmarkEnd w:id="831"/>
      <w:r>
        <w:rPr>
          <w:rtl w:val="true"/>
        </w:rPr>
        <w:t>اشارة</w:t>
      </w:r>
      <w:bookmarkEnd w:id="832"/>
    </w:p>
    <w:p>
      <w:pPr>
        <w:pStyle w:val="BookText"/>
        <w:rPr/>
      </w:pPr>
      <w:r>
        <w:rPr>
          <w:rFonts w:ascii="IRNazanin" w:hAnsi="IRNazanin" w:eastAsia="IRNazanin"/>
          <w:color w:val="111111"/>
          <w:sz w:val="28"/>
          <w:sz w:val="28"/>
          <w:szCs w:val="28"/>
          <w:rtl w:val="true"/>
          <w:lang w:bidi="fa-IR"/>
        </w:rPr>
        <w:t xml:space="preserve">و هو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نحوها من أسماء الکلّیات من الجواهر و الأعراض و العرضیات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أنّ اسم الجنس موضوع لنفس الماهیة المجرّدة من قید الوجود و العدم؛ حتّی من التقیید بکونها عاریة عن قید الإرسال و عدم الاشتراط، لأنّ الذات فی حدّ ذاتها مجرّدة عن کافّة القیود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الماهیة مجرّدة عن القیود و إن لم توجد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 الذهن، و لا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یمکن تعقّلها و تحقّقها مجرّدة عن کافّة الوجودات، و لکن یمکن تصوّرها مع الغفلة عن کافّة الوجودات و اللواحق؛ لأنّ الماهیة الملحوظة و إن کانت موجودة بالوجود اللحاظی، لکنّ اللاحظ فی بدء لحاظه یکون غافلًا عن لحاظه غیر متوجّه إلّا إلی معقوله؛ إذ لحاظ هذا اللحاظ الابتدائی یحتاج إلی لحاظ آخر، فلا یمکن أن تکون ملحوظاً بهذا اللحاظ، فلا محالة یکون لحاظ الماهیة مغفولًا عنه، و حیث إنّ غرض الواضع إفادة نفس المعانی، یکون الموضوع له نفس الماهیة لا بما هی موجودة فی الذهن و ملحوظة، فاللفظ موضوع لنفس الماهیة بلا لحاظ السریان و اللاسریان؛ و إن کانت بنفسها ساریة فی المصادیق، و متحدة معها، لکن لا بمعنی انطباق الماهیة الذهنیة علی الخارج، بل بمعنی کون نفس الماهیة متکثّرة بتکثّر الوجود، و توجد فی الخارج بعین وجود الأفراد</w:t>
      </w:r>
      <w:r>
        <w:rPr>
          <w:rFonts w:eastAsia="IRNazanin" w:cs="IRNazanin"/>
          <w:color w:val="111111"/>
          <w:sz w:val="28"/>
          <w:szCs w:val="28"/>
          <w:rtl w:val="true"/>
          <w:lang w:bidi="fa-IR"/>
        </w:rPr>
        <w:t>.</w:t>
      </w:r>
      <w:bookmarkStart w:id="833" w:name="pg12934_164892"/>
    </w:p>
    <w:p>
      <w:pPr>
        <w:pStyle w:val="BookText"/>
        <w:rPr/>
      </w:pPr>
      <w:bookmarkEnd w:id="833"/>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الماهیة الموجودة فی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لحاظ کونها فی 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تصلح لأن تکون معنی لاسم الجنس فی الوضع و موضوعیته للحکم فی بعض الموارد؛ من دون تقییدها بقید اللابشرطیة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یمکن أخذ اللابشرطیة بعنوان المعرّفیة و المشیریة إلی تلک الطبیعة بنحو السالبة المحصّلة؛ أی سلب الشرط، لا إثبات عدم الشرط بنحو الإیجاب العدولی، فإنّ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موضوع لنفس طبیعة الحیوان الناطق المجرّدة عن جمیع القیود و الطوارئ، و لذا یطلق علیها مهما وجدت، و هی 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قطع النظر عن وضع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أفراد و کثرات فی الخارج، و تتکثّر بتکثّرها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ما ذکرناه هنا 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 الأصل فی المشتقّات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صدر عن محقّق عارف بالدقائق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وجود لمادّة المشتقّات بما هی مادّة إذا لم تتصوّر بصورة؛ لا خارجاً، و لا ذهناً، فلا بدّ من ملاحظتها فی ضمن صورة ما، فتتحقّق المادّة المتحصّلة بصورة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کالمصدر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مبدأ للمشتقّات بلا دخالة لتلک الصورة الخاصّة، فتکون الصورة دخیلة فی وجود المادّة، و أجنبیة عن حقیقتها، فعلی هذا یکون مرجع النزاع فی أنّ المصدر أصل أو اسمه أو غیرهما، هو أنّ الصورة التی تتصوّر بها المادّة أوّلًا، هل هی المصدر، أو اسمه، أو غیرهما؟ فتدبّر</w:t>
      </w:r>
      <w:r>
        <w:rPr>
          <w:rFonts w:eastAsia="IRNazanin" w:cs="IRNazanin"/>
          <w:color w:val="111111"/>
          <w:sz w:val="28"/>
          <w:szCs w:val="28"/>
          <w:rtl w:val="true"/>
          <w:lang w:bidi="fa-IR"/>
        </w:rPr>
        <w:t>.</w:t>
      </w:r>
    </w:p>
    <w:p>
      <w:pPr>
        <w:pStyle w:val="Heading5"/>
        <w:numPr>
          <w:ilvl w:val="4"/>
          <w:numId w:val="1"/>
        </w:numPr>
        <w:rPr/>
      </w:pPr>
      <w:bookmarkStart w:id="834" w:name="__RefHeading___Toc4026641_3224264995"/>
      <w:bookmarkStart w:id="835" w:name="_Toc316"/>
      <w:bookmarkEnd w:id="834"/>
      <w:r>
        <w:rPr>
          <w:rtl w:val="true"/>
        </w:rPr>
        <w:t>ذکر و إعجاب</w:t>
      </w:r>
      <w:bookmarkEnd w:id="835"/>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یظهر من المحقّق الأصفهانی قدس سره فی التعلیقة فی اسم الجنس و فی باب المطلق، مقال لا یتوقّع منه، فقال هنا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منافاة بین کون الماهیة فی مرحلة الوضع ملحوظة بنحو اللابشرط القسمی، و کون ذات المعنی موضوعاً له، فالموضوع</w:t>
      </w:r>
    </w:p>
    <w:p>
      <w:pPr>
        <w:pStyle w:val="BookText"/>
        <w:rPr/>
      </w:pPr>
      <w:r>
        <w:rPr>
          <w:rFonts w:ascii="IRNazanin" w:hAnsi="IRNazanin" w:eastAsia="IRNazanin"/>
          <w:color w:val="111111"/>
          <w:sz w:val="28"/>
          <w:sz w:val="28"/>
          <w:szCs w:val="28"/>
          <w:rtl w:val="true"/>
          <w:lang w:bidi="fa-IR"/>
        </w:rPr>
        <w:t>له فی اسم الجنس نفس المعنی، لا المعنی بما هو مطلق و إن وجب لحاظه مطلقاً تسریة للوضع إلی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باب المطلق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لوحظت الرقبة مرسلة؛ لتسریة الحکم إلی جمیع أفراد موضوعه، إلّا أنّ ذات المحکوم بالوجوب عتق طبیعة الرقبة، لا عتق أیّ رقبة</w:t>
      </w:r>
      <w:r>
        <w:rPr>
          <w:rFonts w:eastAsia="IRNazanin" w:cs="IRNazanin"/>
          <w:color w:val="111111"/>
          <w:sz w:val="28"/>
          <w:szCs w:val="28"/>
          <w:rtl w:val="true"/>
          <w:lang w:bidi="fa-IR"/>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للواضع فی اسم الجنس و الحاکم فی المطلق، من ملاحظة السریان فی الأفراد مضافاً إلی لحاظ نفس الطبیعة؛ تسریة للوضع فی الأوّل، و الحکم فی الثانی لها، مع أنّ الموضوع له فی الأوّل نفس المعنی، کما أنّ المحکوم علیه فی الثانی نفس الماهیة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ما لا یخفی؛ لأنّ الموضوع له فی اسم 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یکون عامّاً،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الموضوع له عامّاً و أنّه نفس الطبیعة اللابشرط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الحقّ، و هو أیضاً معترف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الأفراد أجنبیة عن دائرة الموضوع له، و یکون لحاظها و تسریة الوضع إلیها، لغواً لا معنی له؛ لکون لحاظ الأفراد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کالحجر إلی جنب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مرتبط بحریم الموضوع له، و مجرّد انطباق الطبیعة اللابشرط علی الأفراد، لا یوجب وضع اللفظ لها</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إن کان الوضع بإزاء تلک الأفراد، فیلزم کون الموضوع له خاصّاً، و هو قدس سره غیر قائل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خروجه عن محطّ البحث؛ أی کون الموضوع له الطبیعة اللابشرط</w:t>
      </w:r>
      <w:r>
        <w:rPr>
          <w:rFonts w:eastAsia="IRNazanin" w:cs="IRNazanin"/>
          <w:color w:val="111111"/>
          <w:sz w:val="28"/>
          <w:szCs w:val="28"/>
          <w:rtl w:val="true"/>
          <w:lang w:bidi="fa-IR"/>
        </w:rPr>
        <w:t>.</w:t>
      </w:r>
      <w:bookmarkStart w:id="836" w:name="pg12934_164894"/>
    </w:p>
    <w:p>
      <w:pPr>
        <w:pStyle w:val="BookText"/>
        <w:rPr/>
      </w:pPr>
      <w:bookmarkEnd w:id="836"/>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معنی للحاظ الأفراد، و لا معنی لتسریة الوضع إلیها فی اسم الجنس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الکلام فی المطلق، فإنّه لو کان الحکم فیه معلّقاً علی نفس الطبیعة، لما کان معنی لسرایة الحکم المعلّق علیها إلی الأفراد؛ لأنّ انطباق الطبیعة علی أفرادها یکون تکوینیاً قهریاً، فإذن لا یکاد یجدی لحاظ الأفراد و عدمه، فلیست الأفراد محکومة بحکم بمجرّد لحاظها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مقاله قدس سره فی المقامین، لا یرجع إلی محصّل، فتدبّر</w:t>
      </w:r>
      <w:r>
        <w:rPr>
          <w:rFonts w:eastAsia="IRNazanin" w:cs="IRNazanin"/>
          <w:color w:val="111111"/>
          <w:sz w:val="28"/>
          <w:szCs w:val="28"/>
          <w:rtl w:val="true"/>
          <w:lang w:bidi="fa-IR"/>
        </w:rPr>
        <w:t>.</w:t>
      </w:r>
    </w:p>
    <w:p>
      <w:pPr>
        <w:pStyle w:val="Heading5"/>
        <w:numPr>
          <w:ilvl w:val="4"/>
          <w:numId w:val="1"/>
        </w:numPr>
        <w:rPr/>
      </w:pPr>
      <w:bookmarkStart w:id="837" w:name="__RefHeading___Toc4026643_3224264995"/>
      <w:bookmarkStart w:id="838" w:name="_Toc317"/>
      <w:bookmarkEnd w:id="837"/>
      <w:r>
        <w:rPr>
          <w:rtl w:val="true"/>
        </w:rPr>
        <w:t>أقسام الماهیة</w:t>
      </w:r>
      <w:bookmarkEnd w:id="838"/>
    </w:p>
    <w:p>
      <w:pPr>
        <w:pStyle w:val="BookText"/>
        <w:rPr/>
      </w:pPr>
      <w:r>
        <w:rPr>
          <w:rFonts w:ascii="IRNazanin" w:hAnsi="IRNazanin" w:eastAsia="IRNazanin"/>
          <w:color w:val="111111"/>
          <w:sz w:val="28"/>
          <w:sz w:val="28"/>
          <w:szCs w:val="28"/>
          <w:rtl w:val="true"/>
          <w:lang w:bidi="fa-IR"/>
        </w:rPr>
        <w:t>قد تداول من القوم فی الباب ذکر انقسام الماهیة إلی أقسامها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الماهیة اللابشرط، و الماهیة بشرط شی‌ء، و الماهیة بشرط لا؛ بلحاظ أنّه إذا لوحظت الماهیة مع أمر خارج عنها، فإمّا أن تلاحظ مع وجودها، أو مع عدمها، أو لا مع وجودها، و لا مع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تشتّت آراؤهم فی بیان امتیاز المقسم عن أقسامه، و بیان امتیاز الأقسام بعضها عن بعض، فقال بعضهم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المقسم لها نفس الماهیة، و الاعتبارات واردة علیها، فیکون الفرق بین المقسم و الأقسام بالاعتبار، کما أنّ الفرق بین الأقسام أیضاً بالاعتبار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کلمات أکابر فنّ المعقول أیضاً أنّها بالاعتبار و اللحاظ، یرشدک إلی هذا قول الحکیم السبزواری</w:t>
      </w:r>
      <w:r>
        <w:rPr>
          <w:rStyle w:val="FootnoteAnchor"/>
          <w:rtl w:val="true"/>
        </w:rPr>
        <w:footnoteReference w:id="50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مخلوطة مطلقة مجرّدةعند اعتبارات علیها واردة</w:t>
      </w:r>
    </w:p>
    <w:p>
      <w:pPr>
        <w:pStyle w:val="BookText"/>
        <w:rPr/>
      </w:pPr>
      <w:r>
        <w:rPr>
          <w:rFonts w:ascii="IRNazanin" w:hAnsi="IRNazanin" w:eastAsia="IRNazanin"/>
          <w:color w:val="111111"/>
          <w:sz w:val="28"/>
          <w:sz w:val="28"/>
          <w:szCs w:val="28"/>
          <w:rtl w:val="true"/>
          <w:lang w:bidi="fa-IR"/>
        </w:rPr>
        <w:t>فعلی هذا إن لوحظت الماهیة مجرّدة عمّا یلحق بها و غیر مقترنة و لا مقرونة بشی‌ء، تکون لا بشرط المقسمی، و إن لوحظت مجرّدة عمّا یلحق بها تکون بشرط لا، و إن لوحظت مقترنة بشی‌ء تکون بشرط شی‌ء، فیکون الفرق بین اللابشرط المقسمی و اللابشرط القسمی، هو الفرق بین مطلق المفعول و المفعول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قالوا قریباً من هذا فی مسألة الجنس و المادّة، و النوع و الصورة؛ بلحاظ أنّ شیئاً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کالحیوان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لحاظه لا بشرط یکون جنساً، و بلحاظ اعتباره بشرط شی‌ء یکون نوعاً، و بلحاظ اعتباره بشرط لا یکون 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المحقّق النائینی قدس سره فقد أطنب و فصّل فی المقال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فرق بین الماهیة اللابشرط المقسمی و اللابشرط القسمی، و لا بدّ و أن لا یخلط بینهما، و إنّ الفرق بینهما واقعی لا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لم یأت بما یفرّق بینهما، و عند ما وصل إلی تفسیر اللابشرط المقسمی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نفس الماهیة و ذات المرسل الساری فی جمیع الأفراد، و المحفوظ مع کلّ خصوصیة، و الموجود مع کلّ طور</w:t>
      </w:r>
      <w:r>
        <w:rPr>
          <w:rFonts w:eastAsia="IRNazanin" w:cs="IRNazanin"/>
          <w:color w:val="111111"/>
          <w:sz w:val="28"/>
          <w:szCs w:val="28"/>
          <w:rtl w:val="true"/>
          <w:lang w:bidi="fa-IR"/>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 الجامع بین المقسم و القسم و ما یمتاز به القسم عن المقسم، مع أنّه المهمّ فی الباب</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یظهر من بعضهم إرجاع الاعتبارات و التقسیمات إلی لحاظ الماهیة، لا الماهیة الملحوظة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المطالب التی لا تسمن و لا تغنی من جوع</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کلمات أکابر فنّ المعقول کما أشرنا، یشعر بأنّ تقسیم الماهیة</w:t>
      </w:r>
    </w:p>
    <w:p>
      <w:pPr>
        <w:pStyle w:val="BookText"/>
        <w:rPr/>
      </w:pPr>
      <w:r>
        <w:rPr>
          <w:rFonts w:ascii="IRNazanin" w:hAnsi="IRNazanin" w:eastAsia="IRNazanin"/>
          <w:color w:val="111111"/>
          <w:sz w:val="28"/>
          <w:sz w:val="28"/>
          <w:szCs w:val="28"/>
          <w:rtl w:val="true"/>
          <w:lang w:bidi="fa-IR"/>
        </w:rPr>
        <w:t>إلی الأقسام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تقسیم الماهیة إلی الجنس و المادّة و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یکون بالاعتبار و اللحاظ، و قد اغترّ بظاهر کلماتهم فحول علماء الاصول، و وقعوا فی حیص و بیص فی أقسام الماهیة و الفرق بین اللابشرط المقسمی و القسمی حتّی قال بعض الأکابر</w:t>
      </w:r>
      <w:r>
        <w:rPr>
          <w:rStyle w:val="FootnoteAnchor"/>
          <w:rtl w:val="true"/>
        </w:rPr>
        <w:footnoteReference w:id="50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التقسیم إنّما هو بلحاظ الماهیة، لا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أظنّ أن یکون مراد المحقّقین من الفلاسفة، ما هو الظاهر من کلماتهم؛ لا فی تقسیم الماهیة إلی الجنس، و الفصل، و المادّة، و الصورة، و لا فی تقسیم الماهیة إلی اللواحق؛ من غیر نظر إلی نفس الأمر و نظام التکوین، بل اقترحوا هذه التقسیمات لِصرف التلاعب بالمفاهیم و محض اعتبارات ذهنیة؛ من غیر أن یکون لهذه الاعتبارات محکیات فی الخارج، و لا ینقضی تعجّبی من أنّ صِرف اعتبار شی‌ء لا بشرط، کیف یؤثّر فی الواقع و یجعل الشی‌ء قابلًا للاتحاد و الحمل، کما أنّ أخذه بشرط لا لا یوجب انقلاب الواقع عمّا هو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هذه التقسیمات بصرف الاعتبار، لجاز أن یعتبرها أشخاص مختلفون، فیصیر الواقع مختلفاً بحسب اعتبارهم، فتکون ماهیة واحدة متحدة مع شی‌ء، و غیر متحدة معه بعینه،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صحّة الحمل و عدم صحّته عندهم، هو کون الشی‌ء المحمول لا بشرط، أو بشرط لا، و لو کان هذا الملاک أمراً اعتباریاً، للزم کون اعتبار شی‌ء لا بشرط مؤثّراً فی الواقع، فیجعل الشی‌ء أمراً قابلًا للاتحاد و الحمل، و للزم من اعتباره دفعة اخری بشرط لا، انقلاب الواقع عمّا هو علیه</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ذلک بالاعتبار، یلزم من اعتبار شخص واحد شیئاً واحداً علی نحوین، اختلاف نفس الواقع، کما یلزم من اعتبار أشخاص مختلفة،</w:t>
      </w:r>
    </w:p>
    <w:p>
      <w:pPr>
        <w:pStyle w:val="BookText"/>
        <w:rPr/>
      </w:pPr>
      <w:r>
        <w:rPr>
          <w:rFonts w:ascii="IRNazanin" w:hAnsi="IRNazanin" w:eastAsia="IRNazanin"/>
          <w:color w:val="111111"/>
          <w:sz w:val="28"/>
          <w:sz w:val="28"/>
          <w:szCs w:val="28"/>
          <w:rtl w:val="true"/>
          <w:lang w:bidi="fa-IR"/>
        </w:rPr>
        <w:t>صیرورة الواقع مختلفاً بحسب اختلافهم، فتکون ماهیة واحدة متحدة مع شی‌ء و غیر متحدة معه بعینه،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یقتضیه دقیق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مراد أساطین الفنّ و إن لم أرَ من صرّح به، و البحث عنه و إن کان خارجاً عن موضوع البحث، إلّا أنّه لا یخلو من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کافّة التقسیمات التی فی باب الماهیة و الأجناس و الفصول، إنّما تکون بلحاظ نفس الأمر و مرآة للواقع؛ و أنّ الماهیة بحسب واقعها لها حالات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لا، و لا بشرط، و بشرط شی‌ء، فلا تتخلّف عن واقعها، و لا یرجع قسم منها إلی قسم آخر؛ و إن لوحظ علی خلاف واقعه ألف مرّة، حتّی أنّ الاختلاف الواقع بین المادّة و الجنس و النوع، أمر واقعی لا 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تقسیم الماهیة إلی الجنس و الفصل و المادّة و الصورة، فتکون للمادّة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 حرکتها الجوهریة و تبدّلاتها العرضیة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تتوارد علیها واحدة بعد واحدة، و لا یکون بین الصورة التی تتبدّل إلیها المادّة و المادّة، اثنینیة فی الخارج، بل هی متحدة معها، و یکون الترکیب بینهما اتحادیاً، و تکون المادّة المتّحدة بالصورة و الصورة المتّحدة معها، نوعاً من الأنواع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 النواة بحرکتها الجوهریة، تصیر مستعدّة لإفاضة اللَّه تعالی الصورة النواتیة علیها، فتتبدّل بتلک الصورة، و تتحد معها، و تصیر النواة نوعاً من الأنواع، و للمادّة النواتیة قوّة و استعداد إذا زرعت فی الأرض، تتبدّل إلی الصورة الشجریة، و تلک القوّة غیر متحدة مع الصورة الترابیة، و یکون الترکیب بینهما انضمامیاً، و علیه ففی النواة مادّتان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 متحدة مع الصورة النواتیة، و مادّة منضمّة معها مستعدّة لقبول الصورة الشجریة</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المادّة الساذجة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سیلانها و تبدّلها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صور</w:t>
      </w:r>
    </w:p>
    <w:p>
      <w:pPr>
        <w:pStyle w:val="BookText"/>
        <w:rPr/>
      </w:pPr>
      <w:r>
        <w:rPr>
          <w:rFonts w:ascii="IRNazanin" w:hAnsi="IRNazanin" w:eastAsia="IRNazanin"/>
          <w:color w:val="111111"/>
          <w:sz w:val="28"/>
          <w:sz w:val="28"/>
          <w:szCs w:val="28"/>
          <w:rtl w:val="true"/>
          <w:lang w:bidi="fa-IR"/>
        </w:rPr>
        <w:t>متبدّلة تکون متحدة مع کلّ واحدة منها خارجاً، و لا ریب فی إباء الصورة المتحدة معها عن الاجتماع مع صورة اخری لإباء الفعلیتین عن الاجتماع، و حیث إنّه لم یکن الترکیب بین المادّة و الصورة المتّحدة معها انضمامیاً، بل اتحادیاً، فینسحب حکم إحدی المتحدتین إلی الاخری، فلا قابلیة لهذه المادّة المتبدّلة إلی هذه الصورة مع حفظها لتلبّس صورة اخری، نعم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سیلانها و حرکتها الجوهریة و تدرّجها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قابلة لتوارد أیّة صورة علیها، فیکون فی الخارج و الواقع ثلاث حقائق و واقعیات اعتبرت أم لم تعتبر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المادّة المتبدّلة إلی الصورة النواتیة المتّحدة معها خارجاً، و هی الحقیقة المعبّر عنها بالماهیة بشرط شی‌ء المسمّاة نوعاً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المادّة المتصوّرة بصورة النواتیة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حفظ تلک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آبیة عن قبول صورة اخری؛ لما أشرنا من إباء الصورة المتحدة معها خارجاً عن الاجتماع مع صورة اخری، و هی الحقیقة المعبّر عنها بشرط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مادّة النواة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 سیلانها الجوهری و تدرّجها الوجودی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مستعدّة لقبول الصورة الشجریة، و تتحد معها لو لم یعقها فی البین عائق، لکنّه بحیثیة وجهة اخری غیر الحیثیة و الجهة التی للصورة النواتیة المتبدّلة فعلًا بها المتحدة معها؛ لامتناع اتحاد حیثیتی الفعل و القبول، و هی الحقیقة المعبّر عنها بلا بشرط، و هی مأخذ الجنس</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و 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لکلّ من بشرط شی‌ء و بشرط لا و لا بشرط، واقعیةً حقیقیةً، لا اعتباریة حتّی یکون زمام أمرها بید المعتبِر، فیتغیّر شی‌ء واحد بحسب الواقع باختلاف الاعتبار، و تکون ماهیة واحدة متّحدة مع شی‌ء، و غیر متحدة معه</w:t>
      </w:r>
    </w:p>
    <w:p>
      <w:pPr>
        <w:pStyle w:val="BookText"/>
        <w:rPr/>
      </w:pPr>
      <w:r>
        <w:rPr>
          <w:rFonts w:ascii="IRNazanin" w:hAnsi="IRNazanin" w:eastAsia="IRNazanin"/>
          <w:color w:val="111111"/>
          <w:sz w:val="28"/>
          <w:sz w:val="28"/>
          <w:szCs w:val="28"/>
          <w:rtl w:val="true"/>
          <w:lang w:bidi="fa-IR"/>
        </w:rPr>
        <w:t>بعینه</w:t>
      </w:r>
      <w:r>
        <w:rPr>
          <w:rStyle w:val="FootnoteAnchor"/>
          <w:rtl w:val="true"/>
        </w:rPr>
        <w:footnoteReference w:id="505"/>
      </w:r>
      <w:r>
        <w:rPr>
          <w:rFonts w:ascii="IRNazanin" w:hAnsi="IRNazanin" w:eastAsia="IRNazanin"/>
          <w:color w:val="111111"/>
          <w:sz w:val="28"/>
          <w:sz w:val="28"/>
          <w:szCs w:val="28"/>
          <w:rtl w:val="true"/>
          <w:lang w:bidi="fa-IR"/>
        </w:rPr>
        <w:t>، مع أنّ الغرض من هذه التقسیمات حکایة الواقع و نفس الأمر، لا التلاعب بالمفاهیم و اختراع امور ذهنیة صرفة،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تقسیم الماهیة إلی اللواحق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محطّ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أیضاً بمجرّد الاعتبار، بل بلحاظ أنّ کلّ شی‌ء خارج عن حریم ذات الماهیة و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لوحظ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یخلو من ثلاث 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لازم اللحوق لها بحسب ذاتها أو وجودها، أو ممتنع اللحوق لها کذلک، أو ممکن اللحوق لها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الأوصاف اللازمة للماهیة، کالزوجیة لماهیة الأربعة، و التحیّز بالنسبة إلی الجسم، و قابلیة الصنعة و الکتابة لماهیة الإنسان، و هی المعبّر عنها بالماهیة بشرط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الأوصاف الممتنعة المضادّة لها، کالفردیة لماهیة الأربعة، و الزوجیة لماهیة الثلاثة، و کالتجرّد عن المکان و الزمان بالنسبة إلی الجسم، و هی المعبّر عنها بالماهیة بشرط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الأوصاف التی لا وجوب لموصوفها، و لا امتناع؛ أی تکون ممکنة اللحوق، کالسواد أو البیاض لماهیة الجسم الخارجی، و کالوجود بالنسبة إلی الماهیة، و هی المعبّر عنها بالماهیة لا بشرط</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فالماهیة بحسب نفس الأمر، لا تخلو من إحدی هذه الحالات، و لا تتخلّف عمّا هی علیه بورود الاعتبار علی خلافه، و بهذا تخرج الأقسام عن التداخل؛ إذ لکلّ واحد حدّ معیّن لا ینقلب عنه إلی الآخر، کما یتضح الفرق بین اللابشرط المقسمی</w:t>
      </w:r>
    </w:p>
    <w:p>
      <w:pPr>
        <w:pStyle w:val="BookText"/>
        <w:rPr/>
      </w:pPr>
      <w:r>
        <w:rPr>
          <w:rFonts w:ascii="IRNazanin" w:hAnsi="IRNazanin" w:eastAsia="IRNazanin"/>
          <w:color w:val="111111"/>
          <w:sz w:val="28"/>
          <w:sz w:val="28"/>
          <w:szCs w:val="28"/>
          <w:rtl w:val="true"/>
          <w:lang w:bidi="fa-IR"/>
        </w:rPr>
        <w:t>و القسمی؛ لأنّ المقسم نفس ذات الماهیة، و هی موجودة فی جمیع الأقسام، و اللابشرط القسمی مقابل للقسمین بحسب نفس الأمر، و مضادّ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مناط صحّة التقسیم هو الواقع، لا اعتبار المعتبر، فالماهیة إن امتنع تخلّفها عمّا یقارنها فی واحد من مراتب الواقع، فهی بالنسبة إلیه بشرط شی‌ء، و إن امتنع اتصافها به فهی بالنسبة إلیه بشرط لا، و إن کان لها قابلیة الاتصاف من غیر لزوم و لا امتناع فهی بالنسبة إلیه لا بشرط، کالأمثلة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التقسیم و إن کان للماهیة بلحاظ نفسها، و لکن یمکن أن یجری فی کلّ شی‌ء بالقیاس إلی أمر آخر؛ فیمکن جریانه فی الماهیة الموجودة، کالتحیّز للجسم، فإنّه لازم لوجود الجسم الخارجی، و کالتجرّد عن المکان للموجود المجرّد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یمکن إجراؤه فی نفس الوجود أیضاً، کما فعله بعض أهل الذوق</w:t>
      </w:r>
      <w:r>
        <w:rPr>
          <w:rStyle w:val="FootnoteAnchor"/>
          <w:rtl w:val="true"/>
        </w:rPr>
        <w:footnoteReference w:id="506"/>
      </w:r>
      <w:r>
        <w:rPr>
          <w:rFonts w:ascii="IRNazanin" w:hAnsi="IRNazanin" w:eastAsia="IRNazanin"/>
          <w:color w:val="111111"/>
          <w:sz w:val="28"/>
          <w:sz w:val="28"/>
          <w:szCs w:val="28"/>
          <w:rtl w:val="true"/>
          <w:lang w:bidi="fa-IR"/>
        </w:rPr>
        <w:t>فی حقیقة الوجود، فإنّ النوریة واجبة اللحوق له، کما أنّ العدم ممتنع اللحوق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تمهّد لک ما ذکرنا، سهل علیک معرفة الفرق الواضح بین اللابشرط المقسمی و اللابشرط القسمی؛ فإنّ اللابشرط المقسمی عبارة عن نفس الماهیة الموجودة فی جمیع الأقسام، و اللابشرط القسمی مقابل للقسمین، و یکون التقابل بینهما واقعیاً و حقیقیاً، کما یکون بین بشرط لا و بشرط شی‌ء أیضاً واقعیاً، فافهم و اغتنم، و کن من الشاکرین</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أشرنا إلی أنّا لم نجد تصریحاً بما ذکرناه من أحد، بل ربما یخالف ظاهر بعض کلماتهم، إلّا أنّ المظنون عندی أنّ ما ذکرناه مراد مهرة الفنّ و محقّقیهم، و اللَّه الهادی إلی سواء السبیل</w:t>
      </w:r>
      <w:r>
        <w:rPr>
          <w:rFonts w:eastAsia="IRNazanin" w:cs="IRNazanin"/>
          <w:color w:val="111111"/>
          <w:sz w:val="28"/>
          <w:szCs w:val="28"/>
          <w:rtl w:val="true"/>
          <w:lang w:bidi="fa-IR"/>
        </w:rPr>
        <w:t>.</w:t>
      </w:r>
      <w:bookmarkStart w:id="839" w:name="pg12934_164901"/>
    </w:p>
    <w:p>
      <w:pPr>
        <w:pStyle w:val="Heading4"/>
        <w:numPr>
          <w:ilvl w:val="3"/>
          <w:numId w:val="1"/>
        </w:numPr>
        <w:rPr/>
      </w:pPr>
      <w:bookmarkStart w:id="840" w:name="__RefHeading___Toc4026645_3224264995"/>
      <w:bookmarkStart w:id="841" w:name="_Toc318"/>
      <w:bookmarkEnd w:id="839"/>
      <w:bookmarkEnd w:id="840"/>
      <w:r>
        <w:rPr>
          <w:rtl w:val="true"/>
        </w:rPr>
        <w:t>و منها</w:t>
      </w:r>
      <w:r>
        <w:rPr>
          <w:rtl w:val="true"/>
        </w:rPr>
        <w:t xml:space="preserve">: </w:t>
      </w:r>
      <w:r>
        <w:rPr>
          <w:rtl w:val="true"/>
        </w:rPr>
        <w:t>علم الجنس</w:t>
      </w:r>
      <w:bookmarkEnd w:id="841"/>
    </w:p>
    <w:p>
      <w:pPr>
        <w:pStyle w:val="BookText"/>
        <w:rPr/>
      </w:pPr>
      <w:r>
        <w:rPr>
          <w:rFonts w:ascii="IRNazanin" w:hAnsi="IRNazanin" w:eastAsia="IRNazanin"/>
          <w:color w:val="111111"/>
          <w:sz w:val="28"/>
          <w:sz w:val="28"/>
          <w:szCs w:val="28"/>
          <w:rtl w:val="true"/>
          <w:lang w:bidi="fa-IR"/>
        </w:rPr>
        <w:t xml:space="preserve">قد رتّب علی بعض الأسماء التی تشبه اسم الجنس، أحکام العلمیة، کوقوعه مبتدأ، أو ذا حال، أو موصوفاً بالمعرفة، أو نعتاً 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و ذلک مثل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اختلف فی کونه معرفة و عدمه، فذهب بعضهم إلی أنّه لا فرق بین اسم الجنس و علم الجنس؛ بلحاظ المعنی و الحقیقة، فالموضوع له فی علم الجنس هو صِرف المعنی بلا لحاظ شی‌ء معه أصلًا، کما هو الشأن فی اسم الجنس، فالتعریف فی علم الجنس لفظی؛ أی یتعامل معه معاملة المعرفة، کما یرتّب علی بعض الأسماء أحکام التأنیث لفظاً، مع أنّه لم یکن مؤنّثاً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ینسب إلی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الفرق بین اسم الجنس و علم الجنس واقعی؛ لأنّ اسم الجنس وضع لنفس الطبیعة من حیث هی هی، و أمّا علم الجنس فوضع لها لا بما هی هی، بل بما هی متعیّنة بالتعیّن الذهنی، و هذا التعیّن الذهنی یکفی فی إیجاب ترتّب أحکام المعرفة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المحقّق الخراسانی قدس سره علی ما ذهب إلیه المشهور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وضع علم الجنس للملحوظ الذهنی و المتعیّن بالتعیّن الذهنی، یکون کلّیاً عقلیاً، فلا یمکن صدقه علی الخارج و الأفراد إلّا مع تصرّف و تأوّل، مع أنّه یصدق علیه بلا تأوّل و مجازیة؛ لأنّ التصرّف فی المحمول بإرادة نفس المعنی بدون قیده، تعسّف لا یکاد یکون بناء القضایا المتعارفة علیه</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وضع اللفظ لخصوص معنی، یحتاج إلی تجریده عن خصوصیته عند</w:t>
      </w:r>
    </w:p>
    <w:p>
      <w:pPr>
        <w:pStyle w:val="BookText"/>
        <w:rPr/>
      </w:pPr>
      <w:r>
        <w:rPr>
          <w:rFonts w:ascii="IRNazanin" w:hAnsi="IRNazanin" w:eastAsia="IRNazanin"/>
          <w:color w:val="111111"/>
          <w:sz w:val="28"/>
          <w:sz w:val="28"/>
          <w:szCs w:val="28"/>
          <w:rtl w:val="true"/>
          <w:lang w:bidi="fa-IR"/>
        </w:rPr>
        <w:t>الاستعمال، و هذا ینافی حکمة الوضع، فلا یکاد یصدر عن جاهل، فضلًا عن العالم الحکیم</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ناقش شیخنا العلّامة الحائری قدس سره فی مقال استاذه المحقّق الخراسانی قدس سره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اللحاظ الذی یجعل قیداً للمعنی لحاظ حرفی، لا اسمی، و هو لا یوجب امتناع انطباقه علی الخارج، کما أنّ الماهیة الملحوظة فی الذهن تقبل الصدق علی الأفراد، و تکون کلّیة بهذه الملاحظة؛ لأنّه لو کان الموجود ذهناً ملحوظاً للمتصوّر اسماً، لکان مبایناً للخارج، و لا ینطبق علی شی‌ء، و لا معنی لکلّیة شی‌ء لا ینطبق علی الخارج أصلًا، فلفظة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للأسد بشرط تعیّنه فی الذهن علی نحو الحکایة عن الخارج، و یکون استعمال ذلک اللفظ فی معناه بملاحظة القید المذکور، کاستعمال الألفاظ الدالّة علی المعانی الحرفیة، فافهم و تدبّر</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حدیث قابلیة صدق مفهوم علی الأفراد، غیر مرتبط بالماهیة بما هی متقیّدة و ملحوظة فی الذهن و لو حرفاً؛ لأنّ حکم القابلیة إنّما هو علی ذات الماهیة من حیث هی مجرّدة من کافّة الخصوصیات، حتّی لحاظ کونها فی الذهن و إن لم تکن منفکّة عنها، إلّا أنّها مغفول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قابلیة الصدق لم تکن للملحوظ باللحاظ، بل لنفس الماهیة من حیث هی هی</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اخذ اللحاظ و لو حرفاً فی المعنی، فهذا لا یوجب خروجه عن موطن الذهن، و لا یصحّ صدقه علی الخارج إلّا مع التجرید، و معه تلزم المجازیة، و أمّا</w:t>
      </w:r>
    </w:p>
    <w:p>
      <w:pPr>
        <w:pStyle w:val="BookText"/>
        <w:rPr/>
      </w:pPr>
      <w:r>
        <w:rPr>
          <w:rFonts w:ascii="IRNazanin" w:hAnsi="IRNazanin" w:eastAsia="IRNazanin"/>
          <w:color w:val="111111"/>
          <w:sz w:val="28"/>
          <w:sz w:val="28"/>
          <w:szCs w:val="28"/>
          <w:rtl w:val="true"/>
          <w:lang w:bidi="fa-IR"/>
        </w:rPr>
        <w:t>لو اخذ اللحاظ مرآة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یکون المعنی الموضوع له نفس الماهیة القابلة للصدق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فرق بین اسم الجنس و علمه، فرجع إلی مقال استاذه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أنّه لم یکن اللحاظ فی الحرف حرفیاً؛ لأنّه لا بدّ فی الوضع من تصوّر المعنی تصوّراً اسمیاً استقلالیاً لیوضع اللفظ له،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تصحّ التفرقة بین اسم الجنس و علم الجنس بما أفاده شیخنا العلّامة قدس سره فیدور الأمر بین ما أفاده المحقّق الخراسانی قدس سره من أنّ الفرق بین اسم الجنس و علمه لفظی، و بین ما احتملناه؛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نفس الماهیة من حیث هی، کما أنّها لا واحدة و لا کثیرة، و لا موجودة و لا معدومة، فکذلک لا تکون معرفة و لا نکرة، و لا متمیّزة و لا غیر متمیّزة؛ و إن لم یخلُ الواقع و نفس الأمر من واحد منها، لأنّ تلک الامور متأخّرة و لاحقة للماهیة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وصفا التنکیر و التعریف یعرضان علی الماهیة، کما یعرضان علی الوجود و العدم و غیرهما، مع أنّ 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 شیئاً منها؛ أ لا تری أنّه یقال فی تعریف الإنسان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التعیّن المفهومی لازم له عارض علیه، و إلّا فلو وضع لما یکون متعیّناً أو غیر متعیّن، للزم أن یکون استعماله فی الآخر بلحاظ التجرید و المجازیة لو لم نقل بتعدّد الوضع، مع أنّه لیس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تمهّد لک ما ذکرنا فیمکن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اسم الجنس وضع لنفس الطبیعة الکذائیة، و علم الجنس موضوع لها بما هی متعیّنة و ممتازة عن غیرها من الماهیات، فعلی هذا لا یکون 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الدلالة علی تعریف الجنس، و إنّما الفرق من جهة اخری؛ و هی أنّ 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بدالّ واحد، 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بدالّین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نفس الطبیعة، و دلالة الألف و اللام علی تعیّن تلک الطبیعة</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الجنس عبارة عن نفس الطبیعة التی لا تکون معرفة و لا نکرة،</w:t>
      </w:r>
      <w:bookmarkStart w:id="842" w:name="pg12934_164904"/>
    </w:p>
    <w:p>
      <w:pPr>
        <w:pStyle w:val="BookText"/>
        <w:rPr/>
      </w:pPr>
      <w:bookmarkEnd w:id="842"/>
      <w:r>
        <w:rPr>
          <w:rFonts w:ascii="IRNazanin" w:hAnsi="IRNazanin" w:eastAsia="IRNazanin"/>
          <w:color w:val="111111"/>
          <w:sz w:val="28"/>
          <w:sz w:val="28"/>
          <w:szCs w:val="28"/>
          <w:rtl w:val="true"/>
          <w:lang w:bidi="fa-IR"/>
        </w:rPr>
        <w:t>و علم الجنس عبارة عن الطبیعة المتقیّدة بالتعیّن الجنسی، کما هو الشأن فیما إذا دخلت الألف و اللام علی اسم الجنس، و لا فرق بین علم الجنس و اسم الجنس المعرّف باللام إلّا من جهة أنّ استفادة التعیّن فی الأوّل بلفظ بسیط و بدالّ واحد، و فی الثانی بلفظ مرکّب من دالّین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یوجد لفظ بسیط یدلّ علی تنکیر الطبیعة کما کان فی علم الجنس، بل یدلّ التنوین علی تنکیر الطبیعة، فتکون استفادة تنکیر الطبیعة من تعدّد الدالّ و المدلول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الذی احتملناه فی علم الجنس و لعلّ المنصِف یری أنّ هذا الاحتمال أقرب ممّا أفاده المحقّق الخراسانی قدس سره من لفظیة التعریف؛ إذ بناءً علی هذا الاحتمال لا داعی لاختیار التعریف اللفظی الذی هو بعید عن الأذهان، فتدبّر</w:t>
      </w:r>
      <w:r>
        <w:rPr>
          <w:rFonts w:eastAsia="IRNazanin" w:cs="IRNazanin"/>
          <w:color w:val="111111"/>
          <w:sz w:val="28"/>
          <w:szCs w:val="28"/>
          <w:rtl w:val="true"/>
          <w:lang w:bidi="fa-IR"/>
        </w:rPr>
        <w:t>.</w:t>
      </w:r>
    </w:p>
    <w:p>
      <w:pPr>
        <w:pStyle w:val="Heading4"/>
        <w:numPr>
          <w:ilvl w:val="3"/>
          <w:numId w:val="1"/>
        </w:numPr>
        <w:rPr/>
      </w:pPr>
      <w:bookmarkStart w:id="843" w:name="__RefHeading___Toc4026647_3224264995"/>
      <w:bookmarkStart w:id="844" w:name="_Toc319"/>
      <w:bookmarkEnd w:id="843"/>
      <w:r>
        <w:rPr>
          <w:rtl w:val="true"/>
        </w:rPr>
        <w:t>و منها</w:t>
      </w:r>
      <w:r>
        <w:rPr>
          <w:rtl w:val="true"/>
        </w:rPr>
        <w:t xml:space="preserve">: </w:t>
      </w:r>
      <w:r>
        <w:rPr>
          <w:rtl w:val="true"/>
        </w:rPr>
        <w:t>المفرد المحلّی باللام</w:t>
      </w:r>
      <w:bookmarkEnd w:id="844"/>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ادعی أنّه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اللام وضعت للتعریف، و التعریف علی أقسام؛ إمّا بإشارة ذهنیة، أو بحضور ذهنی، أو عهدی، أو غیر ذلک، و استفادة واحد منها متوقّفة علی وجود قرینة سیاقیة، أو حالیة، أو دلیل آخر، و لم توضع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بتعدّد الأوضاع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واحد منها، فإذا دخلت علی اسم الجنس أفادت تعریف الجنس و تمییزه عن غیره من الأجناس، و إن دخلت علی الجمع أفادت تعریفه، فیفید الاستغراق؛ لأنّ غیر الاستغراق من سائر مراتب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الأقلّ منها؛ و هو الاثنان، أو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متعیّن؛ لقابلیة صدقها علی غیر واحد، لأنّ کلّ مرتبة منها لها أفراد صالحة لصدق تلک المرتبة علی کلّ منها، و أمّا جمیع الأفراد فمتعیّن فی نفس الأمر، و لا یکون له إلّا مصداق واحد، فتدبّر</w:t>
      </w:r>
      <w:r>
        <w:rPr>
          <w:rFonts w:eastAsia="IRNazanin" w:cs="IRNazanin"/>
          <w:color w:val="111111"/>
          <w:sz w:val="28"/>
          <w:szCs w:val="28"/>
          <w:rtl w:val="true"/>
          <w:lang w:bidi="fa-IR"/>
        </w:rPr>
        <w:t>.</w:t>
      </w:r>
      <w:bookmarkStart w:id="845" w:name="pg12934_164905"/>
    </w:p>
    <w:p>
      <w:pPr>
        <w:pStyle w:val="Heading4"/>
        <w:numPr>
          <w:ilvl w:val="3"/>
          <w:numId w:val="1"/>
        </w:numPr>
        <w:rPr/>
      </w:pPr>
      <w:bookmarkStart w:id="846" w:name="__RefHeading___Toc4026649_3224264995"/>
      <w:bookmarkStart w:id="847" w:name="_Toc320"/>
      <w:bookmarkEnd w:id="845"/>
      <w:bookmarkEnd w:id="846"/>
      <w:r>
        <w:rPr>
          <w:rtl w:val="true"/>
        </w:rPr>
        <w:t>و منها</w:t>
      </w:r>
      <w:r>
        <w:rPr>
          <w:rtl w:val="true"/>
        </w:rPr>
        <w:t xml:space="preserve">: </w:t>
      </w:r>
      <w:r>
        <w:rPr>
          <w:rtl w:val="true"/>
        </w:rPr>
        <w:t>النکرة</w:t>
      </w:r>
      <w:bookmarkEnd w:id="847"/>
    </w:p>
    <w:p>
      <w:pPr>
        <w:pStyle w:val="BookText"/>
        <w:rPr/>
      </w:pPr>
      <w:r>
        <w:rPr>
          <w:rFonts w:ascii="IRNazanin" w:hAnsi="IRNazanin" w:eastAsia="IRNazanin"/>
          <w:color w:val="111111"/>
          <w:sz w:val="28"/>
          <w:sz w:val="28"/>
          <w:szCs w:val="28"/>
          <w:rtl w:val="true"/>
          <w:lang w:bidi="fa-IR"/>
        </w:rPr>
        <w:t>اختلفوا فی معنی النکرة فی الجمل الخبریة،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الجمل الإنشائیة،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جئنی برجل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أنّها جزئی حقیقی فیهما، أو کلّی فیهما، أو جزئی حقیقی معلوم للمتکلّم فی الاولی، و کلّی فی الثانیة؛ 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أشرنا آنفاً إلی أنّه لا یوجد لفظ بسیط یدلّ علی تنکیر الطبیعة، کما هو الحال فی اللفظ البسیط الدالّ علی تعیّن الطبیعة الذی هو عبارة عن علم الجنس، بل یدلّ تنکیر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بتعدّد الدالّ و المدلول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الطبیعة اللامعیّنة؛ أی المتقیّدة بالوحدة بالمعنی الحرفی و الحمل الشائع، بلحاظ أنّ مدخول التنوین یدلّ علی نفس الطبیعة، و التنوین علی وحدتها، فالنکرة تدلّ علی فرد من الطبیعة، و هو کلّی قابل للصدق علی الکثیرین؛ من غیر فرق فی ذلک بین وقوع النکرة فی الجملة الإنشائیة،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جئنی برجل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 الجملة الخبریة،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استفادة التعیین فی الجملة الخبریة إنّما هی بالقرینة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یظهر من المحقّق الخراسانی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النکرة فی مورد الإخبار جزئی؛ بلحاظ أنّ نسبة المجی‌ء إلیه قرینة علی تعیّنه عنده؛ ضرورة امتناع صدور المجی‌ء الکلّی عن الرجل، بخلاف مورد الإنشاء، فإنّه یدلّ علی حصّة من الرجل</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ما یظهر من شیخنا العلّامة الحائری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فی کلا الموردین بمعنی واحد؛ و أنّه فی کلیهما جزئی حقیقی</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وجیه</w:t>
      </w:r>
      <w:r>
        <w:rPr>
          <w:rStyle w:val="FootnoteAnchor"/>
          <w:rtl w:val="true"/>
        </w:rPr>
        <w:footnoteReference w:id="511"/>
      </w:r>
      <w:r>
        <w:rPr>
          <w:rFonts w:ascii="IRNazanin" w:hAnsi="IRNazanin" w:eastAsia="IRNazanin"/>
          <w:color w:val="111111"/>
          <w:sz w:val="28"/>
          <w:sz w:val="28"/>
          <w:szCs w:val="28"/>
          <w:rtl w:val="true"/>
          <w:lang w:bidi="fa-IR"/>
        </w:rPr>
        <w:t xml:space="preserve">لدلالة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بتعدّد الدالّ و المدلول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فرد غیر معیّن من أفراد الرجال، و أمّا أنّه مصداق معیّن و معلوم عند المتکلّم فی الجملة الاولی، فإنّما هو بقرینة خارجیة، و هی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 تخرجه عن حدّ الکلّیة؛ لوضوح عدم تعدّد الوضع فی باب النکرة، بل مدلولها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بتعدّد الدالّ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المعنی الکلّی فی الموردین</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استفادة الجزئیة و التعیّن هناک بالقرینة، و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فیدلّ علی نفس الطبیعة، و یدلّ تنوینها علی تنکیرها، کما هو الحال فی غیر مورد الإخبار</w:t>
      </w:r>
      <w:r>
        <w:rPr>
          <w:rFonts w:eastAsia="IRNazanin" w:cs="IRNazanin"/>
          <w:color w:val="111111"/>
          <w:sz w:val="28"/>
          <w:szCs w:val="28"/>
          <w:rtl w:val="true"/>
          <w:lang w:bidi="fa-IR"/>
        </w:rPr>
        <w:t>.</w:t>
      </w:r>
      <w:bookmarkStart w:id="848" w:name="pg12934_164907"/>
    </w:p>
    <w:p>
      <w:pPr>
        <w:pStyle w:val="BookText"/>
        <w:rPr/>
      </w:pPr>
      <w:bookmarkEnd w:id="848"/>
      <w:r>
        <w:rPr>
          <w:rFonts w:ascii="IRNazanin" w:hAnsi="IRNazanin" w:eastAsia="IRNazanin"/>
          <w:color w:val="111111"/>
          <w:sz w:val="28"/>
          <w:sz w:val="28"/>
          <w:szCs w:val="28"/>
          <w:rtl w:val="true"/>
          <w:lang w:bidi="fa-IR"/>
        </w:rPr>
        <w:t>مقدّمات الحکمة</w:t>
      </w:r>
    </w:p>
    <w:p>
      <w:pPr>
        <w:pStyle w:val="Heading3"/>
        <w:numPr>
          <w:ilvl w:val="2"/>
          <w:numId w:val="1"/>
        </w:numPr>
        <w:rPr/>
      </w:pPr>
      <w:bookmarkStart w:id="849" w:name="__RefHeading___Toc4026651_3224264995"/>
      <w:bookmarkStart w:id="850" w:name="_Toc321"/>
      <w:bookmarkEnd w:id="849"/>
      <w:r>
        <w:rPr>
          <w:rtl w:val="true"/>
        </w:rPr>
        <w:t>المبحث الثالث فی مقدّمات الحکمة</w:t>
      </w:r>
      <w:bookmarkEnd w:id="850"/>
    </w:p>
    <w:p>
      <w:pPr>
        <w:pStyle w:val="Heading4"/>
        <w:numPr>
          <w:ilvl w:val="3"/>
          <w:numId w:val="1"/>
        </w:numPr>
        <w:rPr/>
      </w:pPr>
      <w:bookmarkStart w:id="851" w:name="__RefHeading___Toc4026653_3224264995"/>
      <w:bookmarkStart w:id="852" w:name="_Toc322"/>
      <w:bookmarkEnd w:id="851"/>
      <w:r>
        <w:rPr>
          <w:rtl w:val="true"/>
        </w:rPr>
        <w:t>اشارة</w:t>
      </w:r>
      <w:bookmarkEnd w:id="852"/>
    </w:p>
    <w:p>
      <w:pPr>
        <w:pStyle w:val="BookText"/>
        <w:rPr/>
      </w:pPr>
      <w:r>
        <w:rPr>
          <w:rFonts w:ascii="IRNazanin" w:hAnsi="IRNazanin" w:eastAsia="IRNazanin"/>
          <w:color w:val="111111"/>
          <w:sz w:val="28"/>
          <w:sz w:val="28"/>
          <w:szCs w:val="28"/>
          <w:rtl w:val="true"/>
          <w:lang w:bidi="fa-IR"/>
        </w:rPr>
        <w:t>قال المحقّق الخراسانی قدس سره فی آخر باب المطلق و المقیّد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قضیّة مقدّمات الحکمة فی المطلقات، تختلف حسب اختلاف المقامات، فإنّها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حملها علی العموم البدلی، 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العموم الاستیعابی، 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نوع خاصّ ممّا ینطبق علیه؛ حسب اقتضاء خصوص المقام و اختلاف الآثار و الأحکام</w:t>
      </w:r>
      <w:r>
        <w:rPr>
          <w:rFonts w:eastAsia="IRNazanin" w:cs="IRNazanin"/>
          <w:color w:val="111111"/>
          <w:sz w:val="28"/>
          <w:szCs w:val="28"/>
          <w:rtl w:val="true"/>
          <w:lang w:bidi="fa-IR"/>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أشرنا إلی أنّ ظاهر العلمین النائینی و الحائری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یستفاد من مقدّمات الحکمة ما یستفاد من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فرق بینهما إلّا من جهة أنّ استفادة الاستیعاب و الشمول من الإطلاق بمقدّمات الحکمة، و من العموم من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بالوضع</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ذکرنا هناک ما یغنی اللبیب؛ و أنّ باب المطلق غیر باب العموم، و المستفاد من أحدهما غیر ما یستفاد من الآخر؛ و ذلک لأنّ باب العموم باب دلالة اللفظ، و قد أشرنا إلی وجود ألفاظ تدلّ علی الاستیعاب و الشمول، کلفظة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باب المطلق، فإنّه باب دلالة الفعل، و غایة ما تقتضیه مقدّمات الحکمة، هی</w:t>
      </w:r>
      <w:bookmarkStart w:id="853" w:name="pg12934_164908"/>
    </w:p>
    <w:p>
      <w:pPr>
        <w:pStyle w:val="BookText"/>
        <w:rPr/>
      </w:pPr>
      <w:bookmarkEnd w:id="853"/>
      <w:r>
        <w:rPr>
          <w:rFonts w:ascii="IRNazanin" w:hAnsi="IRNazanin" w:eastAsia="IRNazanin"/>
          <w:color w:val="111111"/>
          <w:sz w:val="28"/>
          <w:sz w:val="28"/>
          <w:szCs w:val="28"/>
          <w:rtl w:val="true"/>
          <w:lang w:bidi="fa-IR"/>
        </w:rPr>
        <w:t>أنّ ما اخذ موضوعاً هو تمام الموضوع لحکمه، و أنّه لا یوجد قید لترتّب الحکم علیه، فإن کان المأخوذ موضوعاً طبیعة لا بشرط، فغایة ما تقتضیه المقدّمات هی أنّ نفس الطبیعة بلا قید، موضوع للحکم، و أنّ الاستیعاب و الشمولیة خارج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حیث إنّ الطبیعة اخذت لا بشرط، فتصدق خارجاً علی الأفراد، و معلوم أنّ الصدق کذلک غیر مرتبط بباب دلالة اللفظ، بل لأجل أنّ الطبیعة المتحقّقة خارجاً تتکثّر بتکثّر أفرادها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الإطلاق فی مقام الإثبات، عبارة عن کون الشی‌ء تمام الموضوع؛ إذا کان مصبّ الإطلاق نفس المتعلّق أو الموضوع، أو کون الحکم مرسلًا عن القید؛ إذا کان مصبّه نفس الحکم، و علیه فحدیث استفادة الاستیعاب من الإطلاق تارة و البدلیة اخری، غیر مسموع</w:t>
      </w:r>
      <w:r>
        <w:rPr>
          <w:rFonts w:eastAsia="IRNazanin" w:cs="IRNazanin"/>
          <w:color w:val="111111"/>
          <w:sz w:val="28"/>
          <w:szCs w:val="28"/>
          <w:rtl w:val="true"/>
          <w:lang w:bidi="fa-IR"/>
        </w:rPr>
        <w:t>.</w:t>
      </w:r>
    </w:p>
    <w:p>
      <w:pPr>
        <w:pStyle w:val="Heading4"/>
        <w:numPr>
          <w:ilvl w:val="3"/>
          <w:numId w:val="1"/>
        </w:numPr>
        <w:rPr/>
      </w:pPr>
      <w:bookmarkStart w:id="854" w:name="__RefHeading___Toc4026655_3224264995"/>
      <w:bookmarkStart w:id="855" w:name="_Toc323"/>
      <w:bookmarkEnd w:id="854"/>
      <w:r>
        <w:rPr>
          <w:rtl w:val="true"/>
        </w:rPr>
        <w:t>حول ما یتوقّف علیه التمسّک بالإطلاق</w:t>
      </w:r>
      <w:bookmarkEnd w:id="855"/>
    </w:p>
    <w:p>
      <w:pPr>
        <w:pStyle w:val="BookText"/>
        <w:rPr/>
      </w:pPr>
      <w:r>
        <w:rPr>
          <w:rFonts w:ascii="IRNazanin" w:hAnsi="IRNazanin" w:eastAsia="IRNazanin"/>
          <w:color w:val="111111"/>
          <w:sz w:val="28"/>
          <w:sz w:val="28"/>
          <w:szCs w:val="28"/>
          <w:rtl w:val="true"/>
          <w:lang w:bidi="fa-IR"/>
        </w:rPr>
        <w:t>ثمّ إنّه اختلف فیما یتوقّف علیه التمسّک بالإطلاق، فقال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المحقّق الخراسانی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یتوقّف علی مقدّمات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إحراز کون المتکلّم فی مقام تمام المراد، لا الإهمال أو الإجمال</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انتفاء ما یوجب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انتفاء القدر المتیقن فی مقام التخاطب</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خالفه شیخنا العلّامة الحائری قدس سره فقال بعدم احتیاجه إلی شی‌ء من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یتوقّف علی المقدّمة الاولی فقط، دون المقدّمتین، فلنا دعویان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الأخذ بالإطلاق إلی إحراز کون المولی فی مقام بیان تمام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الاحتیاج إلی بقیّة المقدّمات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یتعلّق بالدعوی الاولی، فقال شیخنا العلّامة الحائری قدس سره فی مقام بیان عدم احتیاج الإطلاق إلی شی‌ء من المقدّمات،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الطبیعة المهملة التی اخذت موضوعاً للحکم، یدور أمرها بین الإطلاق و التقیید، و لا ثالث، فإن کان المراد بها المقیّد، فلا إشکال فی کون الإرادة متعلّقة به أصالة، و إنّما ینسب إلی الطبیعة لمکان الاتحاد تبعاً، و ظاهر 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جئنی بالرجل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الإرادة تعلّقت أوّلًا و بالذات بالطبیعة، لا بالمقیّدة، فاضیفت إلی الطبیعة لمکان الاتحاد تبعاً، و بعد تسلیم هذا الظهور تسری الإرادة إلی تمام الأفراد، و هذا معنی الإطلاق</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ظهور الإرادة فی الأصالة، لیس من باب الظهورات اللفظیة، بل من باب بناء العقلاء؛ فإنّ المتکلّم الذی یکون بصدد تحدید موضوع حکمه إذا علّق حکمه علی موضوع، یفهم العرف و العقلاء من ذلک أنّه تمام الموضوع لحکمه، و أنّ الإرادة متعلّقة أصالة بنفس ما أخذه موضوعاً، و معلوم أنّ هذا متوقّف علی عدم کون المتکلّم فی مقام الإجمال أو الإهمال؛ ضرورة أنّه لو کان المتکلّم فی مقام بیان</w:t>
      </w:r>
    </w:p>
    <w:p>
      <w:pPr>
        <w:pStyle w:val="BookText"/>
        <w:rPr/>
      </w:pPr>
      <w:r>
        <w:rPr>
          <w:rFonts w:ascii="IRNazanin" w:hAnsi="IRNazanin" w:eastAsia="IRNazanin"/>
          <w:color w:val="111111"/>
          <w:sz w:val="28"/>
          <w:sz w:val="28"/>
          <w:szCs w:val="28"/>
          <w:rtl w:val="true"/>
          <w:lang w:bidi="fa-IR"/>
        </w:rPr>
        <w:t>حکم آخر، و لکن ذکر هذا استطراداً، أو کان بصدد تشریع أصل الحکم، أو بصدد بیان بعض ما له دخل فی الحکم، فلا یکاد یحتجّ العقلاء بما ذکره، و لا یمکن استفادة الإطلاق عند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ظهور الإرادة فی الاستقلال، عبارة اخری عن أنّ ما جعله موضوعاً و متعلّقاً لحکمه، هو تمام الموضوع له، فلا بدّ من إحراز کون المتکلّم فی مقام بیان تمام ما له دخل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أظنّ أنّه جری هذا من قلمه الشریف هنا و لکن لم یقل به فی الفقه، و لا أظنّ أنّه قدس سره یتمسّک بالإطلاق فی الفقه إذا کان المتکلّم فی مقام بیان حکم آخر، أو بصدد أصل تشریع الحکم، أو بصدد بیان بعض ما له دخل فی الحکم،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أحطت بما ذکرنا فی ردّ مقالة شیخنا العلّامة، ظهر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بما لا مزید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احتیاج التمسّک بالإطلاق إلی المقدّمة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یتعلّق بالدعوی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عدم الاحتیاج إلی سائر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انتفاء ما یوجب التعیین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من محقّقات الإطلاق، لا من شروط الأخذ به و من مقدّماته؛ و ذلک لأنّ الإطلاق إنّما یصار إلیه فی مورد الشکّ فی دخالة شی‌ء آخر فیه، فحیث إنّه لا شکّ فی صورة قیام العلم أو الأمارة علی التعیین أو الانصراف إلیه، فلا إطلاق فی البین</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البحث ما إذا علّق حکم علی موضوع شکّ فی اعتبار أمر آخر فیه، فیتمسّک بأصالة الإطلاق لدفع هذا الشکّ، ففی صورة العلم بعدم وجود القرینة أو بعدم الانصراف، لا مورد لأصالة الإطلاق، کما لا مورد لها فی صورة العلم</w:t>
      </w:r>
    </w:p>
    <w:p>
      <w:pPr>
        <w:pStyle w:val="BookText"/>
        <w:rPr/>
      </w:pPr>
      <w:r>
        <w:rPr>
          <w:rFonts w:ascii="IRNazanin" w:hAnsi="IRNazanin" w:eastAsia="IRNazanin"/>
          <w:color w:val="111111"/>
          <w:sz w:val="28"/>
          <w:sz w:val="28"/>
          <w:szCs w:val="28"/>
          <w:rtl w:val="true"/>
          <w:lang w:bidi="fa-IR"/>
        </w:rPr>
        <w:t>بوجود القرینة أو الانصراف، فلا بدّ من فرض البحث فی مورد لم یعلم وجود ما یوجب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انتفاء القدر المتیقّن فی مقام التخاطب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 تقیید القدر المتیقّن بکونه فی مقام التخاطب، بلحاظ أنّه قلّما لا یکون للمطلق قدر متیقّن، بل لا مطلق فی الخارج لا یکون له قدر متیقّن، فلو اعتبر انتفاء القدر المتیقّن فی غیر مقام التخاطب أیضاً، لکان مقتضاه سدّ باب الإطلاق، و واضح أنّ انتفاء القدر المتیقّن فی مقام التخاطب، لیس کذلک، فیصحّ الاتّکال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بیان عدم الحاجة إلی هذه المقدّمة، نشیر إلی الفرق بین هاتین المقدّمتین؛ و هو أنّه إذا کانت فی الکلام قرینة علی التعیین، أوجبت تعیّن إرادته و أنّ غیره غیر مراد، بخلاف وجود القدر المتیقّن، فإنّ غایة ما یقتضیه کون القدر المتیقّن واجداً للحکم، و أمّا الزائد علیه فلا دلیل علی إثباته، أمّا انحصار الحکم و تعیّنه به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عرفت ما ذکرنا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توهّم اعتبار هذه المقدّمة، إنّما یتمشّی علی مبنی القوم فی باب الإطلاق؛ أی کون الطبیعة مرآة لجمیع الأفراد، بلحاظ أنّ مرآتیة المطلق للأفراد أکثر من مرآتیة المقیّد لها، فیدور الأمر بین الأقلّ و الأکثر، فإن کان قدر متیقّن فی مقام التخاطب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کان الکلام مسبوقاً بالسؤال مثلًا، أو ذکر مورد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یکاد یستفاد الإطلاق</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مع ذلک لا یخلو من إشکال؛ لأنّه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وجود القدر المتیقّن مؤکّد للإطلاق، لأنّه إذا کان المتکلّم فی مقام التخاطب، و کان قدر متیقّن، و مع ذلک لم یعتنِ به، بل علّق الحکم علی نفس الطبیعة، فیقوی بذلک الإطلاق؛ و أنّ الحکم یعمّ المتیقّن و غیره</w:t>
      </w:r>
      <w:r>
        <w:rPr>
          <w:rFonts w:eastAsia="IRNazanin" w:cs="IRNazanin"/>
          <w:color w:val="111111"/>
          <w:sz w:val="28"/>
          <w:szCs w:val="28"/>
          <w:rtl w:val="true"/>
          <w:lang w:bidi="fa-IR"/>
        </w:rPr>
        <w:t>.</w:t>
      </w:r>
      <w:bookmarkStart w:id="856" w:name="pg12934_164912"/>
    </w:p>
    <w:p>
      <w:pPr>
        <w:pStyle w:val="BookText"/>
        <w:rPr/>
      </w:pPr>
      <w:bookmarkEnd w:id="856"/>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أوجب القدر المتیقّن انصراف الکلام إلیه قطعاً، فیکون اعتبار عدمه من محقّقات الإطلاق، لا من شروط الأخذ بالإطلاق، فترجع إلی المقدّمة الثانیة، فیکون الکلام فیها هو الکلام فیها، فیکون ذکر المقدّمة الثالثة مستدرکاً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فسّر الإطلاق علی مذاق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المختار فی باب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لا یستفاد من مقدّمات الإطلاق إلّا کون الطبیعة تمام الموضوع للحکم؛ من دون دخالة قید آخر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فیدور الأمر بین کون الطبیعة تمام الموضوع، أو أنّ المقیّدة تمامه، فالأفراد لم تکن موضوعة للحکم، و معلوم أنّه فی صورة کون المقیّد بما هو مقیّد موضوعاً، لا یکون ذات الموضوع محکوماً، و القید محکوماً آخر؛ حتّی یکون من قبیل الأقلّ و الأکثر لکی یتوهّم القدر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بحسب الخارج لو کان الحکم متعلّقاً بالطبیعة، یکون انطباقه علی الأفراد أکثر ممّا إذا تعلّق الحکم بالمقیّد، و لکن توسعة نطاق الانطباق الخارجی و تضییقه، أجنبی عن القدر المتیقّن فی مقام التخاطب؛ لأنّ الحکم فیهما واحد تعلّق بموضوع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المقدّمات التی ذکرها المحقّق الخراسانی قدس سره فی استفادة الإطلاق، غیر محتاج إلیها إلّا المقدّمة الاولی، فبعد إحراز کون المولی فی مقام بیان تمام ما له دخل فی موضوع حکمه، لو شکّ فی اعتبار قید فیه لأمکن نفیه بالإطلاق، فتدبّر</w:t>
      </w:r>
      <w:r>
        <w:rPr>
          <w:rFonts w:eastAsia="IRNazanin" w:cs="IRNazanin"/>
          <w:color w:val="111111"/>
          <w:sz w:val="28"/>
          <w:szCs w:val="28"/>
          <w:rtl w:val="true"/>
          <w:lang w:bidi="fa-IR"/>
        </w:rPr>
        <w:t>.</w:t>
      </w:r>
    </w:p>
    <w:p>
      <w:pPr>
        <w:pStyle w:val="Heading4"/>
        <w:numPr>
          <w:ilvl w:val="3"/>
          <w:numId w:val="1"/>
        </w:numPr>
        <w:rPr/>
      </w:pPr>
      <w:bookmarkStart w:id="857" w:name="__RefHeading___Toc4026657_3224264995"/>
      <w:bookmarkStart w:id="858" w:name="_Toc324"/>
      <w:bookmarkEnd w:id="857"/>
      <w:r>
        <w:rPr>
          <w:rtl w:val="true"/>
        </w:rPr>
        <w:t>تذییلات</w:t>
      </w:r>
      <w:bookmarkEnd w:id="858"/>
    </w:p>
    <w:p>
      <w:pPr>
        <w:pStyle w:val="Heading5"/>
        <w:numPr>
          <w:ilvl w:val="4"/>
          <w:numId w:val="1"/>
        </w:numPr>
        <w:rPr/>
      </w:pPr>
      <w:bookmarkStart w:id="859" w:name="__RefHeading___Toc4026659_3224264995"/>
      <w:bookmarkStart w:id="860" w:name="_Toc325"/>
      <w:bookmarkEnd w:id="859"/>
      <w:r>
        <w:rPr>
          <w:rtl w:val="true"/>
        </w:rPr>
        <w:t>الأوّل</w:t>
      </w:r>
      <w:r>
        <w:rPr>
          <w:rtl w:val="true"/>
        </w:rPr>
        <w:t xml:space="preserve">: </w:t>
      </w:r>
      <w:r>
        <w:rPr>
          <w:rtl w:val="true"/>
        </w:rPr>
        <w:t>فی عدم انخرام الإطلاق بعد ورود التقیید</w:t>
      </w:r>
      <w:bookmarkEnd w:id="860"/>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ما تقدّم، هو دوران الإطلاق مدار کون المتکلّم فی مقام البیان، بل هو روح الإطلاق، فإذا ورد قید فی کلام منفصل کشف عن عدم</w:t>
      </w:r>
    </w:p>
    <w:p>
      <w:pPr>
        <w:pStyle w:val="BookText"/>
        <w:rPr/>
      </w:pPr>
      <w:r>
        <w:rPr>
          <w:rFonts w:ascii="IRNazanin" w:hAnsi="IRNazanin" w:eastAsia="IRNazanin"/>
          <w:color w:val="111111"/>
          <w:sz w:val="28"/>
          <w:sz w:val="28"/>
          <w:szCs w:val="28"/>
          <w:rtl w:val="true"/>
          <w:lang w:bidi="fa-IR"/>
        </w:rPr>
        <w:t>استعمال اللفظ الموضوع للطبیعة فیما وضع له واقعاً، فإذا شکّ فی قید آخر فلا یصحّ التمسّک بالإطلاق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ورود القید ینخرم أساس استفادة الإطلاق و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کون المتکلّم فی مقام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لا یصحّ التعویل و التمسّک بالإطلاق بالنسبة إلی سائر القیود المشکوک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وزان المطلق وزان العامّ، فکما عرفت أنّ العامّ المخصّص لا یصیر مجازاً، و لا یوجب التخصیص استعمال اللفظ فی غیر ما وضع له، بل غایة ما یوجبه التخصیص تضییق دائرة الإرادة الجدّیة، فکذلک المطلق، فإنّه بعد ورود التقیید لا یوجب أن یکون لفظ المطلق مستعملًا فی المقیّد، بل غایة ما یلزم عدم تعلّق الإرادة الجدّیة بالإطلاق</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المطلق کالعامّ مستعمل فی معناه الموضوع له؛ لأجل ضرب القاعدة و إعطاء الحجّة، و الأصل هو التطابق بین الإرادتین، فکما أنّ خروج فرد من حکم العامّ بحسب الجدّ، لا یوجب بطلان حجّیة العامّ فی الباقی، فهکذا المطلق بحسب القیود؛ لأنّ جعل الطبیعة فی مقام البیان موضوعاً لحکمه، إعطاء حجّة علی العبد عند العقلاء علی عدم دخالة قید فیه؛ لأجل أصالة التطابق بین الإرادتین، فحینئذٍ لو عثرنا علی قید لما أوجب سقوطه عن الحجّیة و کون الکلام وارداً مورد الإهمال أو الإجمال بالنسبة إلی سائر القیود، و لذا تری العقلاء یتمسّکون بالإطلاق و إن ظفروا علی قیدٍ بعد برهة من الزمن، و إنّما العثور علی القید یوجب انتهاء أمد حجّیة الإطلاق بالنسبة إلی نفی القید المعثور علیه، لا جمیع القیود</w:t>
      </w:r>
      <w:r>
        <w:rPr>
          <w:rFonts w:eastAsia="IRNazanin" w:cs="IRNazanin"/>
          <w:color w:val="111111"/>
          <w:sz w:val="28"/>
          <w:szCs w:val="28"/>
          <w:rtl w:val="true"/>
          <w:lang w:bidi="fa-IR"/>
        </w:rPr>
        <w:t>».</w:t>
      </w:r>
      <w:bookmarkStart w:id="861" w:name="pg12934_164914"/>
    </w:p>
    <w:p>
      <w:pPr>
        <w:pStyle w:val="Heading5"/>
        <w:numPr>
          <w:ilvl w:val="4"/>
          <w:numId w:val="1"/>
        </w:numPr>
        <w:rPr/>
      </w:pPr>
      <w:bookmarkStart w:id="862" w:name="__RefHeading___Toc4026661_3224264995"/>
      <w:bookmarkStart w:id="863" w:name="_Toc326"/>
      <w:bookmarkEnd w:id="861"/>
      <w:bookmarkEnd w:id="862"/>
      <w:r>
        <w:rPr>
          <w:rtl w:val="true"/>
        </w:rPr>
        <w:t>الثانی</w:t>
      </w:r>
      <w:r>
        <w:rPr>
          <w:rtl w:val="true"/>
        </w:rPr>
        <w:t xml:space="preserve">: </w:t>
      </w:r>
      <w:r>
        <w:rPr>
          <w:rtl w:val="true"/>
        </w:rPr>
        <w:t>فی التمسّک بالإطلاق لنفی القیود فی محیط التقنین</w:t>
      </w:r>
      <w:bookmarkEnd w:id="863"/>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التمسّک بالإطلاق لنفی القیود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تمامیة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ینتج إذا وقع المطلق فی کلام متکلّم عادته إلحاق القیود متصلة بکلامه، کما هو الشأن فی الموالی العرفیین بالنسبة إلی عبیدهم، لا بالنسبة إلی من جرت عادته علی ذکر القیود منفصلة عن مطلقاتها، کما هو الشأن فی محیط التقنین و جعل القوانین الکلّیة، حیث استقرّت العادة علی تفریق اللواحق عن الاصول و تفکیک المطلقات عن مقیّداتها، فحینئذٍ لا تنتج المقدّمات المذکورة صحّة الأخذ بالإطلاق؛ لعدم الاطمئنان بالاتکال علی الإطلاق بعد جریان العادة علی حذف ما له دخالة فی موضوع الحکم عن مقام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غایة ما تقتضیه العادة، هی عدم جواز التمسّک بالإطلاق قبل الفحص عن المقیّد و المعارض، کما هو الشأن فی العمل بسائر الأدلّة، حیث لا یجوز التمسّک بها قبل الفحص عن المعارض، کالتمسّک بالعامّ قبل الفحص عن المخصّص و المعارض، و لا محیص عنه، و أمّا بعد الفحص بمقدار یخرج المطلق عن المعرضیة للتقیید و المعارض، فیصحّ التمسّک بإطلاقه إذا کان فی مقام البیان</w:t>
      </w:r>
      <w:r>
        <w:rPr>
          <w:rFonts w:eastAsia="IRNazanin" w:cs="IRNazanin"/>
          <w:color w:val="111111"/>
          <w:sz w:val="28"/>
          <w:szCs w:val="28"/>
          <w:rtl w:val="true"/>
          <w:lang w:bidi="fa-IR"/>
        </w:rPr>
        <w:t>.</w:t>
      </w:r>
    </w:p>
    <w:p>
      <w:pPr>
        <w:pStyle w:val="Heading5"/>
        <w:numPr>
          <w:ilvl w:val="4"/>
          <w:numId w:val="1"/>
        </w:numPr>
        <w:rPr/>
      </w:pPr>
      <w:bookmarkStart w:id="864" w:name="__RefHeading___Toc4026663_3224264995"/>
      <w:bookmarkStart w:id="865" w:name="_Toc327"/>
      <w:bookmarkEnd w:id="864"/>
      <w:r>
        <w:rPr>
          <w:rtl w:val="true"/>
        </w:rPr>
        <w:t>الثالث</w:t>
      </w:r>
      <w:r>
        <w:rPr>
          <w:rtl w:val="true"/>
        </w:rPr>
        <w:t xml:space="preserve">: </w:t>
      </w:r>
      <w:r>
        <w:rPr>
          <w:rtl w:val="true"/>
        </w:rPr>
        <w:t>فی بیان مقتضی الأصل العقلائی عند الشکّ فی مقام البیان</w:t>
      </w:r>
      <w:bookmarkEnd w:id="865"/>
    </w:p>
    <w:p>
      <w:pPr>
        <w:pStyle w:val="BookText"/>
        <w:rPr/>
      </w:pPr>
      <w:r>
        <w:rPr>
          <w:rFonts w:ascii="IRNazanin" w:hAnsi="IRNazanin" w:eastAsia="IRNazanin"/>
          <w:color w:val="111111"/>
          <w:sz w:val="28"/>
          <w:sz w:val="28"/>
          <w:szCs w:val="28"/>
          <w:rtl w:val="true"/>
          <w:lang w:bidi="fa-IR"/>
        </w:rPr>
        <w:t>لا ینبغی الإشکال فی أنّ المقامات متفاوتة فی التمسّک بالإطلاق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یحرز کون المتکلّم فی مقام بیان تمام ما له دخل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یحرز کونه بصدد بیان بعض ما له دخل فی الحکم</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یحرز عدم کونه بصدد بیانه؛ بلحاظ کون الکلام مسوقاً لبیان حکم</w:t>
      </w:r>
    </w:p>
    <w:p>
      <w:pPr>
        <w:pStyle w:val="BookText"/>
        <w:rPr/>
      </w:pPr>
      <w:r>
        <w:rPr>
          <w:rFonts w:ascii="Amiri" w:hAnsi="Amiri" w:eastAsia="Amiri" w:cs="Amiri"/>
          <w:color w:val="111111"/>
          <w:sz w:val="28"/>
          <w:sz w:val="28"/>
          <w:szCs w:val="28"/>
          <w:rtl w:val="true"/>
          <w:lang w:bidi="ar-SA"/>
        </w:rPr>
        <w:t>آخر،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فَکُلُوا مِمَّا أَمْسَکْنَ عَلَیْکُمْ</w:t>
      </w:r>
      <w:r>
        <w:rPr>
          <w:rFonts w:eastAsia="Amiri" w:cs="Amiri" w:ascii="Amiri" w:hAnsi="Amiri"/>
          <w:color w:val="111111"/>
          <w:sz w:val="28"/>
          <w:szCs w:val="28"/>
          <w:rtl w:val="true"/>
          <w:lang w:bidi="ar-SA"/>
        </w:rPr>
        <w:t>»</w:t>
      </w:r>
      <w:r>
        <w:rPr>
          <w:rStyle w:val="FootnoteAnchor"/>
          <w:rtl w:val="true"/>
        </w:rPr>
        <w:footnoteReference w:id="516"/>
      </w:r>
      <w:r>
        <w:rPr>
          <w:rFonts w:ascii="Amiri" w:hAnsi="Amiri" w:eastAsia="Amiri" w:cs="Amiri"/>
          <w:color w:val="111111"/>
          <w:sz w:val="28"/>
          <w:sz w:val="28"/>
          <w:szCs w:val="28"/>
          <w:rtl w:val="true"/>
          <w:lang w:bidi="ar-SA"/>
        </w:rPr>
        <w:t xml:space="preserve">، فإنّ الکلام مسوق لبیان حلّیة ما یصطاده الکلب المعلّم، فلا یصحّ التمسّک بإطلاق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لطهارة موضع عضّ الکلب، أو بلحاظ کونه فی مقام بیان أصل التشریع،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أَقِیمُوا الصَّلاةَ وَ آتُوا الزَّکاةَ</w:t>
      </w:r>
      <w:r>
        <w:rPr>
          <w:rFonts w:eastAsia="Amiri" w:cs="Amiri" w:ascii="Amiri" w:hAnsi="Amiri"/>
          <w:color w:val="111111"/>
          <w:sz w:val="28"/>
          <w:szCs w:val="28"/>
          <w:rtl w:val="true"/>
          <w:lang w:bidi="ar-SA"/>
        </w:rPr>
        <w:t>»*</w:t>
      </w:r>
      <w:r>
        <w:rPr>
          <w:rStyle w:val="FootnoteAnchor"/>
          <w:rtl w:val="true"/>
        </w:rPr>
        <w:footnoteReference w:id="517"/>
      </w:r>
      <w:r>
        <w:rPr>
          <w:rFonts w:ascii="IRNazanin" w:hAnsi="IRNazanin" w:eastAsia="IRNazanin"/>
          <w:color w:val="111111"/>
          <w:sz w:val="28"/>
          <w:sz w:val="28"/>
          <w:szCs w:val="28"/>
          <w:rtl w:val="true"/>
          <w:lang w:bidi="fa-IR"/>
        </w:rPr>
        <w:t>،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احرز کونه بصدد بیان حکم الموضوع علی سبیل الإهمال أو 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 فی کونه بصدد بیان أیّ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حکم غیر الصورة الأخیرة واضح؛ و هو صحّة التمسّک بالإطلاق لنفی القید المشکوک فیه فی الصورة الاولی، و عدمها فی الصورة الثانیة و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الکلام فی الصورة الرابعة؛ و أنّه هل هناک أصل عقلائی یحرز کونه بصدد بیان تمام ما له دخل فی الحکم، حتّی صورة کونه بصدد بیان هذا الحکم و غیره؟</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یظهر من المحقّق الخراسانی قدس سره</w:t>
      </w:r>
      <w:r>
        <w:rPr>
          <w:rStyle w:val="FootnoteAnchor"/>
          <w:rtl w:val="true"/>
        </w:rPr>
        <w:footnoteReference w:id="518"/>
      </w:r>
      <w:r>
        <w:rPr>
          <w:rFonts w:ascii="IRNazanin" w:hAnsi="IRNazanin" w:eastAsia="IRNazanin"/>
          <w:color w:val="111111"/>
          <w:sz w:val="28"/>
          <w:sz w:val="28"/>
          <w:szCs w:val="28"/>
          <w:rtl w:val="true"/>
          <w:lang w:bidi="fa-IR"/>
        </w:rPr>
        <w:t>و صرّح به المحقّق النائینی قدس سره</w:t>
      </w:r>
      <w:r>
        <w:rPr>
          <w:rStyle w:val="FootnoteAnchor"/>
          <w:rtl w:val="true"/>
        </w:rPr>
        <w:footnoteReference w:id="519"/>
      </w:r>
      <w:r>
        <w:rPr>
          <w:rFonts w:ascii="IRNazanin" w:hAnsi="IRNazanin" w:eastAsia="IRNazanin"/>
          <w:color w:val="111111"/>
          <w:sz w:val="28"/>
          <w:sz w:val="28"/>
          <w:szCs w:val="28"/>
          <w:rtl w:val="true"/>
          <w:lang w:bidi="fa-IR"/>
        </w:rPr>
        <w:t>أنّ الأصل العقلائی یقتضی کون المتکلّم فی مقام البیان، و علّل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الظاهر من حال کلّ 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طبع الکلام و التکلّم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کونه فی مقام البیان، فلا بدّ من الحمل علیه، إلّا إذا احرز کونه فی مقام الإهمال و الإجمال، و لذا فإنّ الفقهاء یتمسّکون و یعوّلون علی المطلقات من أوّل الطهارة إلی آخر الدیات، مع أنّه لم یکن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لم یکن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إلی إحراز مقام البیان إلّا من جهة الأصل العقلائی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ظاهرهما قیام بناء العقلاء علی التمسّک بالإطلاق فیما إذا لم یحرز کونه فی مقام بیان تمام المراد؛ سواء احرز کونه بصدد بیان بعض المراد، أو لم یحرز 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علم بقیام بناء من العقلاء علی ذلک؛ لو لم نقل بالعلم بخلافه، بل غایة ما یکون احتجاج العقلاء و صحّة التمسّک بالإطلاق فیما إذا احرز کون المتکلّم فی مقام البیان، و لکن شکّ فی کونه بصدد بیان تمام المراد، أو بعضه، و أمّا لو شکّ فی أنّ المتکلّم فی مقام البیان أم لا، أو شکّ فی کونه بصدد بیان هذا الحکم أو حکم آخر، فلا یکون هناک أصل یتکل علیه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للشکّ صور لا یصحّ التمسّک فیها بالإطلاق؛ إلّا فیما إذا احرز کون المتکلّم فی مقام البیان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أکثر المطلقات الواردة من قبیل ذلک؛ ضرورة أنّه إذا سئل عن مسألة فاجیب عنها، فظاهر بناء العقلاء هو کون المجیب فی مقام البیان، و معلوم أنّه لم یکد یحرز بذلک کونه بصدد بیان تمام ما له دخل فی الحکم، و قلّما یمکن إحراز ذلک من أوّل الفقه إلی آخره، بل غایة ما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بشهادة الحال و خصوصیات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إحراز أصل مقام البیان فی الجملة</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أنّ تمسّک الفقهاء فی أبواب الفقه من کتاب الطهارة إلی آخر کتاب الدیات بالمطلقات، بلحاظ إحرازهم کونهم علیهم السلام فی مقام البیان، فتدبّر</w:t>
      </w:r>
      <w:r>
        <w:rPr>
          <w:rFonts w:eastAsia="IRNazanin" w:cs="IRNazanin"/>
          <w:color w:val="111111"/>
          <w:sz w:val="28"/>
          <w:szCs w:val="28"/>
          <w:rtl w:val="true"/>
          <w:lang w:bidi="fa-IR"/>
        </w:rPr>
        <w:t>.</w:t>
      </w:r>
      <w:bookmarkStart w:id="866" w:name="pg12934_164917"/>
    </w:p>
    <w:p>
      <w:pPr>
        <w:pStyle w:val="BookText"/>
        <w:rPr/>
      </w:pPr>
      <w:bookmarkEnd w:id="866"/>
      <w:r>
        <w:rPr>
          <w:rFonts w:ascii="IRNazanin" w:hAnsi="IRNazanin" w:eastAsia="IRNazanin"/>
          <w:color w:val="111111"/>
          <w:sz w:val="28"/>
          <w:sz w:val="28"/>
          <w:szCs w:val="28"/>
          <w:rtl w:val="true"/>
          <w:lang w:bidi="fa-IR"/>
        </w:rPr>
        <w:t>حمل المطلق علی المقیّد</w:t>
      </w:r>
    </w:p>
    <w:p>
      <w:pPr>
        <w:pStyle w:val="Heading3"/>
        <w:numPr>
          <w:ilvl w:val="2"/>
          <w:numId w:val="1"/>
        </w:numPr>
        <w:rPr/>
      </w:pPr>
      <w:bookmarkStart w:id="867" w:name="__RefHeading___Toc4026665_3224264995"/>
      <w:bookmarkStart w:id="868" w:name="_Toc328"/>
      <w:bookmarkEnd w:id="867"/>
      <w:r>
        <w:rPr>
          <w:rtl w:val="true"/>
        </w:rPr>
        <w:t>المبحث الرابع فی حمل المطلق علی المقیّد</w:t>
      </w:r>
      <w:bookmarkEnd w:id="868"/>
    </w:p>
    <w:p>
      <w:pPr>
        <w:pStyle w:val="Heading4"/>
        <w:numPr>
          <w:ilvl w:val="3"/>
          <w:numId w:val="1"/>
        </w:numPr>
        <w:rPr/>
      </w:pPr>
      <w:bookmarkStart w:id="869" w:name="__RefHeading___Toc4026667_3224264995"/>
      <w:bookmarkStart w:id="870" w:name="_Toc329"/>
      <w:bookmarkEnd w:id="869"/>
      <w:r>
        <w:rPr>
          <w:rtl w:val="true"/>
        </w:rPr>
        <w:t>اشارة</w:t>
      </w:r>
      <w:bookmarkEnd w:id="870"/>
    </w:p>
    <w:p>
      <w:pPr>
        <w:pStyle w:val="BookText"/>
        <w:rPr/>
      </w:pPr>
      <w:r>
        <w:rPr>
          <w:rFonts w:ascii="IRNazanin" w:hAnsi="IRNazanin" w:eastAsia="IRNazanin"/>
          <w:color w:val="111111"/>
          <w:sz w:val="28"/>
          <w:sz w:val="28"/>
          <w:szCs w:val="28"/>
          <w:rtl w:val="true"/>
          <w:lang w:bidi="fa-IR"/>
        </w:rPr>
        <w:t>المبحث الرابع فی حمل المطلق علی المقیّد</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المبحث من المباحث المفیدة فی هذا المقصد، و یترتّب علیه نتائج مفیدة فی مقام استنباط الأحکام</w:t>
      </w:r>
      <w:r>
        <w:rPr>
          <w:rFonts w:eastAsia="IRNazanin" w:cs="IRNazanin"/>
          <w:color w:val="111111"/>
          <w:sz w:val="28"/>
          <w:szCs w:val="28"/>
          <w:rtl w:val="true"/>
          <w:lang w:bidi="fa-IR"/>
        </w:rPr>
        <w:t>.</w:t>
      </w:r>
    </w:p>
    <w:p>
      <w:pPr>
        <w:pStyle w:val="Heading4"/>
        <w:numPr>
          <w:ilvl w:val="3"/>
          <w:numId w:val="1"/>
        </w:numPr>
        <w:rPr/>
      </w:pPr>
      <w:bookmarkStart w:id="871" w:name="__RefHeading___Toc4026669_3224264995"/>
      <w:bookmarkStart w:id="872" w:name="_Toc330"/>
      <w:bookmarkEnd w:id="871"/>
      <w:r>
        <w:rPr>
          <w:rtl w:val="true"/>
        </w:rPr>
        <w:t>صور المطلق و المقیّد</w:t>
      </w:r>
      <w:bookmarkEnd w:id="872"/>
    </w:p>
    <w:p>
      <w:p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یتصوّر للمطلق و المقیّد أقسام نتعرّض لمهمّاتها؛ و هی أنّ الحکمین الواردین فی المطلق و المقیّد، إمّا تکلیفیان، أو وضعیان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إلزامیان، أو غیر إلزامیان، أو مختلفان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التقدیرین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مثبتان، أو منفیان، أو مختلفان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یحرز وحدة التکلیف و الطلب،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إحراز وحدة التکلیف و الطلب، إمّا من نفس الدلیلین، أو من الخارج، أو أحدهما من الدلیل، و الآخر من الخارج</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التقادیر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یذکر السبب فیهما، أو فی أحدهما، أو لم یذکر، و لکن احرز من الخارج، أو لم یحرز ذلک أیضاً</w:t>
      </w:r>
      <w:r>
        <w:rPr>
          <w:rFonts w:eastAsia="IRNazanin" w:cs="IRNazanin"/>
          <w:color w:val="111111"/>
          <w:sz w:val="28"/>
          <w:szCs w:val="28"/>
          <w:rtl w:val="true"/>
          <w:lang w:bidi="fa-IR"/>
        </w:rPr>
        <w:t>.</w:t>
      </w:r>
      <w:bookmarkStart w:id="873" w:name="pg12934_164918"/>
    </w:p>
    <w:p>
      <w:pPr>
        <w:pStyle w:val="BookText"/>
        <w:rPr/>
      </w:pPr>
      <w:bookmarkEnd w:id="873"/>
      <w:r>
        <w:rPr>
          <w:rFonts w:ascii="IRNazanin" w:hAnsi="IRNazanin" w:eastAsia="IRNazanin"/>
          <w:color w:val="111111"/>
          <w:sz w:val="28"/>
          <w:sz w:val="28"/>
          <w:szCs w:val="28"/>
          <w:rtl w:val="true"/>
          <w:lang w:bidi="fa-IR"/>
        </w:rPr>
        <w:t>و علی تقدیر ذکر السبب أو إحرازه، إمّا واحد،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الإطلاق أو التقیید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فی الحکم و الموضوع و المتعلّق، و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فی اثنین منهما، و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فی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بیان حکم الصور المرتبطة بالمقام،</w:t>
      </w:r>
    </w:p>
    <w:p>
      <w:pPr>
        <w:pStyle w:val="Heading4"/>
        <w:numPr>
          <w:ilvl w:val="3"/>
          <w:numId w:val="1"/>
        </w:numPr>
        <w:rPr/>
      </w:pPr>
      <w:bookmarkStart w:id="874" w:name="__RefHeading___Toc4026671_3224264995"/>
      <w:bookmarkStart w:id="875" w:name="_Toc331"/>
      <w:bookmarkEnd w:id="874"/>
      <w:r>
        <w:rPr>
          <w:rtl w:val="true"/>
        </w:rPr>
        <w:t>ینبغی الإشارة إلی أمرین</w:t>
      </w:r>
      <w:r>
        <w:rPr>
          <w:rtl w:val="true"/>
        </w:rPr>
        <w:t>:</w:t>
      </w:r>
      <w:bookmarkEnd w:id="875"/>
    </w:p>
    <w:p>
      <w:pPr>
        <w:pStyle w:val="Heading5"/>
        <w:numPr>
          <w:ilvl w:val="4"/>
          <w:numId w:val="1"/>
        </w:numPr>
        <w:rPr/>
      </w:pPr>
      <w:bookmarkStart w:id="876" w:name="__RefHeading___Toc4026673_3224264995"/>
      <w:bookmarkStart w:id="877" w:name="_Toc332"/>
      <w:bookmarkEnd w:id="876"/>
      <w:r>
        <w:rPr>
          <w:rtl w:val="true"/>
        </w:rPr>
        <w:t>الأمر الأوّل</w:t>
      </w:r>
      <w:r>
        <w:rPr>
          <w:rtl w:val="true"/>
        </w:rPr>
        <w:t xml:space="preserve">: </w:t>
      </w:r>
      <w:r>
        <w:rPr>
          <w:rtl w:val="true"/>
        </w:rPr>
        <w:t>فی تحدید محطّ البحث فی المقام</w:t>
      </w:r>
      <w:bookmarkEnd w:id="877"/>
    </w:p>
    <w:p>
      <w:pPr>
        <w:pStyle w:val="BookText"/>
        <w:rPr/>
      </w:pPr>
      <w:r>
        <w:rPr>
          <w:rFonts w:ascii="IRNazanin" w:hAnsi="IRNazanin" w:eastAsia="IRNazanin"/>
          <w:color w:val="111111"/>
          <w:sz w:val="28"/>
          <w:sz w:val="28"/>
          <w:szCs w:val="28"/>
          <w:rtl w:val="true"/>
          <w:lang w:bidi="fa-IR"/>
        </w:rPr>
        <w:t>محطّ البحث فی حمل المطلق علی المقیّد، ما إذا ورد المقیِّد فی کلام منفصل عن مطلقه، و أمّا المتصل فلا مجال للبحث عنه؛ لعدم انعقاد الإطلاق مع وجود المقیّد فی الکلام حتّی یقع التعارض بینهما، لکن یجمع بینهما بحمل المطلق علی المقیّد؛ لما أشرنا من أنّ انتفاء ما یوجب التعیین، من مقدّمات الإطلاق عندهم، و من محقّقات الإطلاق عندنا، فمع ذکر القرینة فی الکلام، لا ینعقد الإطلاق بالنسبة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محطّ البحث فی کیفیة الجمع بین المطلق و المقیّد، إنّما یکون بعد الفراغ عن وجود الإطلاق و التقیید، و لا یکاد یتصوّر ذلک فی الکلام المتصل؛ ضرورة أنّه مع وجود القید فی الکلام، لا ینعقد الإطلاق بالنسبة إلیه، بل یتعیّن حمله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یظهر النظر فی کلام المحقّق النائینی قدس سره حیث عمّم البحث بالنسبة إلی المقیّد المتصل و المنفصل، و حیث إنّ ما ذکره فی المقام لا یخلو من إشکال، فلا بأس بذکره و إن کان طویل الذیل، ثمّ الإشارة إلی ما فیه، فقال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ورد مطلق و مقیّد متنافیان فلا بدّ من الجمع بینهما بحمل الأمر فی المطلق علی المقیّد؛ سواء کان متصلًا بالکلام، أو منفصلًا عنه، و من غیر فرق بین کون ظهور الأمر فی المطلق فی الإطلاق أقوی من ظهور الأمر فی المقیّد فی التقیید، أو أضعف</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أمّا فی المتصل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الأمر فی المقیّد، بمنزلة</w:t>
      </w:r>
    </w:p>
    <w:p>
      <w:pPr>
        <w:pStyle w:val="BookText"/>
        <w:rPr/>
      </w:pPr>
      <w:r>
        <w:rPr>
          <w:rFonts w:ascii="IRNazanin" w:hAnsi="IRNazanin" w:eastAsia="IRNazanin"/>
          <w:color w:val="111111"/>
          <w:sz w:val="28"/>
          <w:sz w:val="28"/>
          <w:szCs w:val="28"/>
          <w:rtl w:val="true"/>
          <w:lang w:bidi="fa-IR"/>
        </w:rPr>
        <w:t>القرینة علی ما هو المراد من الأمر فی المطلق، و الأصل الجاری فی ناحیة القرینة، یکون حاکماً علی الأصل الجاری فی ذی 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کونه بمنزلة القرینة، أنّه و إن لم یتحصّل لنا بعد ضابط کلّی مائز بین القرینة و ذیها، إلّا أنّ ملحقات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الصفة، و الحال، و التمییز، بل المفاعیل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غالباً بل دائماً، قرینة علی أرکان الکلام من المبتدأ و الخبر، و الفعل و 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خصوص المفعول به مع الفعل، لا یکاد یمکن دعوی قرینیة المفعول به للفعل دائماً، بل قد یکون الفعل قرینة علیه، و قد یکون بالعکس، و ذلک مثل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تنقض الیقین بالشکّ </w:t>
      </w:r>
      <w:r>
        <w:rPr>
          <w:rFonts w:eastAsia="IRNazanin" w:cs="IRNazanin"/>
          <w:color w:val="111111"/>
          <w:sz w:val="28"/>
          <w:szCs w:val="28"/>
          <w:rtl w:val="true"/>
          <w:lang w:bidi="fa-IR"/>
        </w:rPr>
        <w:t>...»</w:t>
      </w:r>
    </w:p>
    <w:p>
      <w:pPr>
        <w:pStyle w:val="BookText"/>
        <w:rPr/>
      </w:pPr>
      <w:r>
        <w:rPr>
          <w:rStyle w:val="FootnoteAnchor"/>
          <w:rtl w:val="true"/>
        </w:rPr>
        <w:footnoteReference w:id="521"/>
      </w:r>
      <w:r>
        <w:rPr>
          <w:rFonts w:ascii="IRNazanin" w:hAnsi="IRNazanin" w:eastAsia="IRNazanin"/>
          <w:color w:val="111111"/>
          <w:sz w:val="28"/>
          <w:sz w:val="28"/>
          <w:szCs w:val="28"/>
          <w:rtl w:val="true"/>
          <w:lang w:bidi="fa-IR"/>
        </w:rPr>
        <w:t xml:space="preserve">فإنّه کما یمکن دعوی کون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تعلّقه بما له من اقتضاء البقاء و عدمه، قرینةً علی ما ارید من النقض الذی لا بدّ من تعلّقه بما له اقتضاء البقاء، و لازمه اعتبار الاستصحاب فی کلّ من الشکّ فی المقتضی و الرافع، فکذلک بالعکس، و لازمه اعتبار الاستصحاب فی خصوص الشکّ فی الرافع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فی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تضرب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کما یمکن أن یکون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للأحیاء و الأموات، قرینةً علی أنّ المراد من الضرب أعمّ من المؤلم و غیره، فکذلک بالعکس</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غیر المفعول به من المتمّمات و ملحقات الکلام، کلّها قرینة علی ما ارید من أرکان الکلام، فکما یکون الأصل الجاری فی القرینة، حاکماً علی الأصل الجاری فی ذی القرینة؛ من غیر ملاحظة أقوائیة الظهور، کما هو الشأن فی کلّ حاکم و محکوم، فکذلک ما هو بمنزلته؛ لأنّ القید لا یخلو إمّا أن یکون وصفاً، أو حالًا، 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یقدّم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أسداً 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الحیوان المفترس، مع أنّ ظهور الأوّل بالإطلاق، و الثانی بالوضع، و معلوم أنّ الظهور المستند إلی الوضع، أقوی من الظهور المستند إلی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السرّ فی تقدّم الأصل فی القرینة علی ذیها، هو کون الشکّ فی ذیها مسبّباً عن الشکّ فی القرینة؛ و ذلک لأنّ الشکّ فی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المثال، مسبّب عن الشکّ فی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یکون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رمی النبل، رافعاً لظهور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معناه الحقیقی؛ و هو الحیوان المفترس، فلا یبقی للأسد ظهور فی الحیوان المفترس؛ حتّی یدلّ بلازمه علی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یندفع ما ربما یتوهّم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مثبتات الاصول اللفظیة حجّة، فکما أنّ أصالة الظهور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تقتضی أن یکون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الرجل الشجاع، کذلک أصالة الحقیقة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تقتضی أن یکون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الرمی بالتراب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الدفع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بمدلوله الأوّلی، یقتضی أن یکون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الرجل الشجاع؛ لأنّ یرمی عبارة عن رامی النبل، و هو عبارة اخری عن الرجل الشجاع، و هذا 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بمدلوله الأوّلی غیر متعرّض 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المراد منه رمی التراب؛ لأنّ مدلوله الأوّلی لیس إلّا الحیوان المفترس، نعم لازم ذلک هو أن یکون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 التراب، و معلوم أنّ دلالته علی لازمه، فرع دلالته علی مدلوله و بقاء ظهوره فیه، و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مصادماً لظهور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الحیوان المفترس، و هادماً له، فلا یبقی له ظهور فی معناه الحقیقی حتّی یدلّ بلازمه، و ذلک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إذا کان القید متصلًا</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منفصلًا کما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معارضاً، 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قرینة؛ و ذلک لأنّه إذا فرض القید متصلًا</w:t>
      </w:r>
    </w:p>
    <w:p>
      <w:pPr>
        <w:pStyle w:val="BookText"/>
        <w:rPr/>
      </w:pPr>
      <w:r>
        <w:rPr>
          <w:rFonts w:ascii="IRNazanin" w:hAnsi="IRNazanin" w:eastAsia="IRNazanin"/>
          <w:color w:val="111111"/>
          <w:sz w:val="28"/>
          <w:sz w:val="28"/>
          <w:szCs w:val="28"/>
          <w:rtl w:val="true"/>
          <w:lang w:bidi="fa-IR"/>
        </w:rPr>
        <w:t>و فی کلام واحد، فإن ناقض صدر الکلام ذیله یکون معارضاً، و إلّا یکون قرینة، ففی المثال لا بدّ من فرض المؤمنة متصلة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فتکون قرینة علی المراد من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فلا فرق بین المتصل و المنفصل؛ سوی أنّ المتصل یوجب عدم انعقاد الظهور للمطلق، و فی المنفصل ینعقد الظهور، إلّا أنّه تنهدم حجّیته</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یتوجّه علی ما أفاده قدس سره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محطّ البحث کما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القید منفصلًا؛ لأنّ البحث عن کیفیة الجمع بین المطلق و المقیّد، و هو إنّما یکون بعد تحقّق الإطلاق و التقیید فی الخارج، و معلوم أنّه لا یکاد یتحقّق ذلک بالنسبة إلی القید المتصل، فتعمیم النزاع بالنسبة إلی القید المتصل غیر سدید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أنّه لم یتحصّل لنا بعد ضابط کلّی فی المائز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یکاد یجتمع مع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الشکّ فی القرینة و ذیها، من قبیل الشکّ السببی و المسبّبی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إن کان الأمر فی القرینة و ذیها دائماً من قبیل الشکّ السببی و المسبّبی، فیکون ذلک ضابطاً کلّیاً فی ذلک، فتدبّر</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الشکّ فی القرینة و ذیها، لا یکون من قبیل الشکّ السببی و المسبّبی؛ و ذلک لأنّ الشکّ فی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المثال، لیس مسبباً عن الشکّ فی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ادعاه، بل هما شکّان متلازمان، فإن فهم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الحیوان المفترس، یفهم منه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رامی التراب، و إن فهم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 النبال، یفهم منه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الشجاع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ضابط الشکّ السببی و المسبّبی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توقّف الشکّ فی أحدهما علی عدم الآخر، فإنّ رفع الشکّ فی ناحیة الشکّ السببی، یرفع الشکّ فی ناحیة المسبّب، دون العکس؛ و ذلک لأنّه إذا شکّ فی طهارة الثوب المغسول فی الماء المشکوکة کرّیته، فالشکّ فی طهارة الثوب مسبّب عن الشکّ فی کرّیة الماء المغسول فیه ثوبه، فإن رفع الشکّ من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احرز حاله من حیث الکرّیة و عدمها فلا یکون شکّ فی طهارة الثوب أو نجاسته، و أمّا الشکّ فی کرّیة الماء فلیس مسبّباً عن نجاسة الثوب المغسول فیه، بل مسبّب عن الشکّ فی بلوغه مقدار ما اعتبر فی تحدید الکرّ من حیث المساحة و الوزن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تحکیم القرینة علی ذیها، ممّا لا أساس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أنّ تقدیم القرینة علی ذیها من قبیل تقدیم الأصل السببی علی المسبّبی، فمعه لا یکون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باب المطلق و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 لأنّه هناک یکون لکلّ من القرینة و ذیها دلالة لفظیة و ظهور وضعی، فإذا ذکرتا معاً یحکم أحدهما علی الآخر، و أمّا المقام فلا یکون من باب دلالة اللفظ، بل من باب موضوعیة شی‌ء للحکم؛ من حیث إنّه إذا اخذ شی‌ء موضوعاً لحکم و لم یذکر فیه قید، فیفهم من ذلک کونه تمام الموضوع، فإذا ذکر القید یفهم أنّه لم یکن ذاک الشی‌ء تمام الموضوع لحکمه، بل جزءه</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تقدیم المقیّد علی المطلق، إمّا لأجل أنّ ظهور عمل المقیّد فی دخالة القید، أقوی من دخالة عمل المطلق فی الإطلاق، أو لأجل ما ذکرناه فی وجه تقدیم الخاصّ علی العامّ؛ من أنّه لأجل عدم تطابق الجدّ مع الاستعمال، حیث إنّ بناء العرف و العقلاء علی حمل العامّ علی الخاصّ، و هذا التعارف کما أوجب تقدیم الخاصّ علی العامّ، فکذلک فی المطلق و المقیّد، فإنّه یحمل المطلق علی المقیّد</w:t>
      </w:r>
      <w:r>
        <w:rPr>
          <w:rFonts w:eastAsia="IRNazanin" w:cs="IRNazanin"/>
          <w:color w:val="111111"/>
          <w:sz w:val="28"/>
          <w:szCs w:val="28"/>
          <w:rtl w:val="true"/>
          <w:lang w:bidi="fa-IR"/>
        </w:rPr>
        <w:t>.</w:t>
      </w:r>
      <w:bookmarkStart w:id="878" w:name="pg12934_164923"/>
    </w:p>
    <w:p>
      <w:pPr>
        <w:pStyle w:val="BookText"/>
        <w:rPr/>
      </w:pPr>
      <w:bookmarkEnd w:id="878"/>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المقیّد علی المطلق، لیس من باب الحکومة و تحکیم أحدهما علی الآخر؛ لأنّ الحکومة المصطلحة متقوّمة بلسان الدلیل؛ بأن یتعرّض الدلیل لحال دلالة الدلیل الآخر، و معلوم أنّ باب الإطلاق لیس من باب الظهور اللفظی، بل من باب دلالة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فی دفع التوهّم غیر مستقیم؛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الإلقاء، و هو أعمّ من رمی النبل أو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ارید منه رمی النبل، یکون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الشجاع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سلّم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رمی النبال، و لکن لا نسلّم أنّ رامی النبال عبارة اخری عن الرجل الشجاع، بل لاستلزامه 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الشجاع، فکلّ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یتعرّض مدلولهما لحال الآخر، بل یتعرّض بلازمه، فلا ترجیح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9" w:name="__RefHeading___Toc4026675_3224264995"/>
      <w:bookmarkStart w:id="880" w:name="_Toc333"/>
      <w:bookmarkEnd w:id="879"/>
      <w:r>
        <w:rPr>
          <w:rtl w:val="true"/>
        </w:rPr>
        <w:t>الأمر الثانی</w:t>
      </w:r>
      <w:r>
        <w:rPr>
          <w:rtl w:val="true"/>
        </w:rPr>
        <w:t xml:space="preserve">: </w:t>
      </w:r>
      <w:r>
        <w:rPr>
          <w:rtl w:val="true"/>
        </w:rPr>
        <w:t>فی اختصاص حمل المطلق علی المقیّد بصورة التنافی</w:t>
      </w:r>
      <w:bookmarkEnd w:id="880"/>
    </w:p>
    <w:p>
      <w:pPr>
        <w:pStyle w:val="BookText"/>
        <w:rPr/>
      </w:pPr>
      <w:r>
        <w:rPr>
          <w:rFonts w:ascii="IRNazanin" w:hAnsi="IRNazanin" w:eastAsia="IRNazanin"/>
          <w:color w:val="111111"/>
          <w:sz w:val="28"/>
          <w:sz w:val="28"/>
          <w:szCs w:val="28"/>
          <w:rtl w:val="true"/>
          <w:lang w:bidi="fa-IR"/>
        </w:rPr>
        <w:t>إنّ حمل المطلق علی المقیّد إنّما هو فی صورة تحقّق التنافی بینهما؛ من غیر فرق فی ذلک بین کونهما مثبتین، أو متنافیین، أو مختلفین، فمثلًا قد یکون کلّ من المطلق و المقیّد، مستنداً إلی سبب غیر الآخر،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ظاهرت 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أفطرت أعتق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فحیث إنّه لا تنافی بینهما، لا وجه لحمل المطلق علی المقیّد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مسألة حمل المطلق علی المقیّد، مسألة عقلائیة، فلا بدّ من تحلیل</w:t>
      </w:r>
      <w:bookmarkStart w:id="881" w:name="pg12934_164924"/>
    </w:p>
    <w:p>
      <w:pPr>
        <w:pStyle w:val="BookText"/>
        <w:rPr/>
      </w:pPr>
      <w:bookmarkEnd w:id="881"/>
      <w:r>
        <w:rPr>
          <w:rFonts w:ascii="IRNazanin" w:hAnsi="IRNazanin" w:eastAsia="IRNazanin"/>
          <w:color w:val="111111"/>
          <w:sz w:val="28"/>
          <w:sz w:val="28"/>
          <w:szCs w:val="28"/>
          <w:rtl w:val="true"/>
          <w:lang w:bidi="fa-IR"/>
        </w:rPr>
        <w:t xml:space="preserve">المسألة تحلیلًا عقلائیاً، لا عقلیاً دقیقاً، بخلاف مسألة اجتماع الأمر و النهی، فإنّها مسألة عقلیة محضة، فلا بدّ فیها من تدقیق النظر بأقصی ما یمکن، و لذا لم یتمسّکوا فیها بفهم العرف و العقلاء، بل استدلّوا فیها بوجوه عقلیة، بخلاف مسألتنا هذه، فإنّها عقلائیة، فلا بدّ و أن تعرض علی فهم العرف و العقلاء، فما اقتضاه فهمهم فهو المتبع، دون غیره و إن کان ذلک الغیر ممّا یحکم به العقل، مثلًا 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ورد فی کلام منفصل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فمقتضی الفهم العقلائی هو حمل المطلق علی المقیّد؛ و أنّ المراد الواقعی للمولی هو عتق المؤمنة، و لا یصحّ أن یجمع بینهما بحمل الأمر فی المقیّد علی الاستحباب؛ و کونه أفضل الأفراد، و ذلک لأنّ الجمع بینهما کذلک و إن کان ممکناً عقلًا، و ترتفع به غائلة التنافی، و لکنّه غیر مقبول عند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المتبع فی أمثال المقام، هو الفهم العرفی العقلائی، لا الحکم العقلی الدقیق، فتدبّر</w:t>
      </w:r>
      <w:r>
        <w:rPr>
          <w:rFonts w:eastAsia="IRNazanin" w:cs="IRNazanin"/>
          <w:color w:val="111111"/>
          <w:sz w:val="28"/>
          <w:szCs w:val="28"/>
          <w:rtl w:val="true"/>
          <w:lang w:bidi="fa-IR"/>
        </w:rPr>
        <w:t>.</w:t>
      </w:r>
    </w:p>
    <w:p>
      <w:pPr>
        <w:pStyle w:val="Heading4"/>
        <w:numPr>
          <w:ilvl w:val="3"/>
          <w:numId w:val="1"/>
        </w:numPr>
        <w:rPr/>
      </w:pPr>
      <w:bookmarkStart w:id="882" w:name="__RefHeading___Toc4026677_3224264995"/>
      <w:bookmarkStart w:id="883" w:name="_Toc334"/>
      <w:bookmarkEnd w:id="882"/>
      <w:r>
        <w:rPr>
          <w:rtl w:val="true"/>
        </w:rPr>
        <w:t>أحکام صور حمل المطلق علی المقیّد</w:t>
      </w:r>
      <w:bookmarkEnd w:id="883"/>
    </w:p>
    <w:p>
      <w:pPr>
        <w:pStyle w:val="Heading5"/>
        <w:numPr>
          <w:ilvl w:val="4"/>
          <w:numId w:val="1"/>
        </w:numPr>
        <w:rPr/>
      </w:pPr>
      <w:bookmarkStart w:id="884" w:name="__RefHeading___Toc4026679_3224264995"/>
      <w:bookmarkStart w:id="885" w:name="_Toc335"/>
      <w:bookmarkEnd w:id="884"/>
      <w:r>
        <w:rPr>
          <w:rtl w:val="true"/>
        </w:rPr>
        <w:t>اشارة</w:t>
      </w:r>
      <w:bookmarkEnd w:id="885"/>
    </w:p>
    <w:p>
      <w:pPr>
        <w:pStyle w:val="BookText"/>
        <w:rPr/>
      </w:pPr>
      <w:r>
        <w:rPr>
          <w:rFonts w:ascii="IRNazanin" w:hAnsi="IRNazanin" w:eastAsia="IRNazanin"/>
          <w:color w:val="111111"/>
          <w:sz w:val="28"/>
          <w:sz w:val="28"/>
          <w:szCs w:val="28"/>
          <w:rtl w:val="true"/>
          <w:lang w:bidi="fa-IR"/>
        </w:rPr>
        <w:t>إذا عرفت ما مهّدناه لک فإلیک مهمّات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الحکم فیهما تکلیفیاً</w:t>
      </w:r>
    </w:p>
    <w:p>
      <w:pPr>
        <w:pStyle w:val="BookText"/>
        <w:rPr/>
      </w:pPr>
      <w:r>
        <w:rPr>
          <w:rFonts w:ascii="IRNazanin" w:hAnsi="IRNazanin" w:eastAsia="IRNazanin"/>
          <w:color w:val="111111"/>
          <w:sz w:val="28"/>
          <w:sz w:val="28"/>
          <w:szCs w:val="28"/>
          <w:rtl w:val="true"/>
          <w:lang w:bidi="fa-IR"/>
        </w:rPr>
        <w:t>و له صور؛ لأنّه إمّا یکون الحکمان فیهما مختلفین من حیث النفی و الإثبات، أو متفقین، و علی الأوّل إمّا یکون المطلق نافیاً، و المقیّد مثبتاً، أو بالعکس فالصور أربع</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البحث فی هذه الصور فیما إذا کان الحکمان إلزامیین، أو أحدهما إلزامیاً، و الآخر غیر إلزامی، و أمّا صورة کون کلّ منهما غیر إلزامی فسیأتی البحث عنه قریباً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ما إذا کان المطلق منفیاً، و المقیّد مثبتاً، کقوله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فبناءً علی مختار سیّدنا الاستاذ دام ظلّه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المطلق لا العامّ، و إلّا فیخرج عن محطّ البحث، فواضح أنّه یری العرف و العقلاء بینهما تنافیاً؛ لأنّ ترک الطبیعة عندهم، إنّما یکون بترک جمیع أفرادها؛ و إن کان مقتضی النظر العقلی الدقیق خلافه،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ذلک بین کون الأمر و النهی إلزامیین، أو مختلفین؛ ضرورة أنّ التنافی کما یکون ظاهراً بین حرمة عتق مطلق الرقبة، و بین وجوب عتق الرقبة المؤمنة، فکذلک یکون واضحاً بین کراهة عتق مطلق الرقبة، و وجوب عتق الرقبة المؤمنة، أو حرمة عتق مطلق الرقبة، و استحباب عتق المؤمنة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فالجمع المقبول عند العرف، هو حمل المطلق علی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الجمع بینهما بحمل المطلق علی عتق غیر المؤمنة، فهو و إن کان ممکناً عقلًا، إلّا أنّه غیر مقبول عرفاً،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فی الحمل بین صورة إحراز کون النهی تحریمیاً أو تنزیهیاً، و بین صورة الشکّ فیهما،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ما إذا کان المطلق مثبتاً، و المقیّد منفیاً، کقوله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رقبة 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فحیث إنّ النتیجة فی هذا القسم، تختلف بلحاظ إحراز کون النهی للتحریم، أو الکراهة، أو عدم إحرازهما،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إمّا أن یعلم کون النهی تحریمیاً، أو تنزیهیاً، أو یشکّ فی ذلک و فی کون الأمر للوجوب، و المبتلی به فی القید غالباً هو الصورة الأخیرة</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احرز کون النهی تحریمیاً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احرز کون الأمر وجوبیاً، أو استحبابیاً،</w:t>
      </w:r>
    </w:p>
    <w:p>
      <w:pPr>
        <w:pStyle w:val="BookText"/>
        <w:rPr/>
      </w:pPr>
      <w:r>
        <w:rPr>
          <w:rFonts w:ascii="IRNazanin" w:hAnsi="IRNazanin" w:eastAsia="IRNazanin"/>
          <w:color w:val="111111"/>
          <w:sz w:val="28"/>
          <w:sz w:val="28"/>
          <w:szCs w:val="28"/>
          <w:rtl w:val="true"/>
          <w:lang w:bidi="fa-IR"/>
        </w:rPr>
        <w:t>أو شکّ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فتحقّق التنافی بینهما واضح، و الجمع المقبول عند العرف بینهما، هو الذی أشرنا إلیه من حمل المطلق علی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احرز کون النهی تنزیهیاً، فحیث إنّ معنی النهی التنزیهی أولویة ترکه بالنسبة إلی الغیر، أو أولویة إتیان الغیر بالنسبة إلیه مع الترخیص فی إتیان متعلّقه و أنّه راجح ذاتاً، فلا تنافی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یکون النهی التنزیهی إرشاداً إلی مرجوحیة متعلّقه بالإضافة إلی الغیر، أو أرجحیة الغیر بالنسبة إلیه، فلا یتحقّق التنافی بینهما فی محیط العرف و العقلاء، فلا مورد لحمل المطلق علی المقیّد، فإذا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احرز کون النهی تنزیهیاً، فلازمه الترخیص فی إتیانها فیه و أنّه راجح ذاتاً؛ لمکان الترخیص فیه، و لکنّه مرجوح بالنسبة إلی سائر الأفراد، فلم یلزم اجتماع الراجحیة المطلقة و المرجوحیة کذلک فی مورد واحد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ذکرناه یظهر النظر فیما ذکره شیخنا العلّامة الحائری قدس سره حیث حمل المطلق فی هذا المقام علی المقیّد؛ بزعم أنّه لو لا ذلک للزم اجتماع الراجحیة و المرجوحیة فی مورد واحد، لأنّه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الظاهر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رقبة 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النهی بالطبیعة المقیّدة، لا بإضافتها إلی القید، فلو کان مورد الأمر هو المطلق لزم اجتماع الراجحیة و المرجوحیة فی مورد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احرز أنّ الطبیعة الموجودة فی القید مطلوبة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العبادة المکروهة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فاللازم صرف النهی إلی الإضافة</w:t>
      </w:r>
      <w:r>
        <w:rPr>
          <w:rStyle w:val="FootnoteAnchor"/>
          <w:rtl w:val="true"/>
        </w:rPr>
        <w:footnoteReference w:id="524"/>
      </w:r>
      <w:r>
        <w:rPr>
          <w:rFonts w:ascii="IRNazanin" w:hAnsi="IRNazanin" w:eastAsia="IRNazanin"/>
          <w:color w:val="111111"/>
          <w:sz w:val="28"/>
          <w:sz w:val="28"/>
          <w:szCs w:val="28"/>
          <w:rtl w:val="true"/>
          <w:lang w:bidi="fa-IR"/>
        </w:rPr>
        <w:t>بحکم العقل؛ و إن کان خلاف الظاهر</w:t>
      </w:r>
      <w:r>
        <w:rPr>
          <w:rFonts w:eastAsia="IRNazanin" w:cs="IRNazanin"/>
          <w:color w:val="111111"/>
          <w:sz w:val="28"/>
          <w:szCs w:val="28"/>
          <w:rtl w:val="true"/>
          <w:lang w:bidi="fa-IR"/>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معنی الکراهة و مقتضاها؛ ترخیص المکلّف فی إتیان متعلّقها، و لا یستفاد منها مرجوحیة متعلّقها مطلقاً؛ حتّی یلزم اجتماع الراجحیة و المرجوحیة، بل غایة ما هناک هی المرجوحیة النسبیة بالنسبة إلی سائر الأفراد، و معلوم أنّه یمکن أن یکون المنهی عنه مرجوحاً بالنسبة إلی غیره من سائر الأفراد، و راجحاً بلحاظ ذاته و نفسه، فلا تنافی فی صورة إحراز کون النهی المتعلّق بالمقیّد تنزیهیاً فلا مورد لحمل مطلقها علی مقیّدها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یحرز کون الأمر و النهی للوجوب أو الاستحباب أو الکراهة أو الحرمة، فهل یؤخذ بإطلاق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یجعل ذلک قرینة و بیاناً علی کون النهی تنزیهیاً، أو یؤخذ بظاهر النهی، فیحمل المطلق علی المقیّد؟</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یدور الأمر بین حمل النهی علی الکراهة و حفظ الإطلاق و جعله ترخیصاً قرینة علی هذا الحمل، و بین رفع الید عن الإطلاق و حمله علی المقیّد، ففیه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یظهر من المحقّق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ظهور النهی فی التحریم وضعی، بخلاف إطلاق المطلق، فإنّه بمقدّمات الحکمة، ففی صورة دوران الأمر بینهما یقدّم الظهور المستفاد من ناحیة الوضع علی الظهور الإطلاقی الحاصل بمقدّمات الحکمة؛ لأنّه أقوی، فیقیّد إطلاق المطلق</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ملاک التقدّم إنّما هو قوّة الظهور، فربما یکون الظهور المستفاد من ناحیة الإطلاق أقوی من الظهور المستفاد من الوضع، کما لا یخفی، فالقول بتقدّم الظهور الوضعی علی الظهور الإطلاقی علی سبیل الإطلاق، غیر سدید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قلنا بتقدّم الظهور الوضعی علی الظهور الإطلاقی، و لکن لیس المقام من هذا القبیل؛ لما أشرنا من أنّ هیئة الأمر أو النهی لم توضع للوجوب أو الحرمة، بل وضعت للبعث أو الزجر، و غایة ما هناک صحّة الاحتجاج عند العقلاء بالبعث المنصبّ علی المادّة ما لم یرد مرخّص، و ینتزع أو یعتبر من هذا الوجوب، و کذا فی جانب الزجر عن المادّة، فأین الظهور الوضعی؟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w:t>
      </w:r>
      <w:r>
        <w:rPr>
          <w:rStyle w:val="FootnoteAnchor"/>
          <w:rtl w:val="true"/>
        </w:rPr>
        <w:footnoteReference w:id="5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قلنا بجواز اجتماع الأمر و النهی، و قلنا بدخول المطلق و المقیّد فی تلک المسألة، فلا یکون بینهما تعارض حتّی نحتاج إلی حمل المطلق علی المقیّد؛ لتعلّق کلّ من الأمر و النهی بعنوان غیر ما تعلّق به الآخر، فعلی القول بجواز الاجتماع یرفع التعارض بین المطلق و المقیّد</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الفرق بین المسألتین أوضح من أن یخفی؛ لأنّ مسألة اجتماع الأمر و النهی مسألة عقلیة، فلا بدّ من تحریرها و بیانها بأدقّ ما یمکن و فرض تعلّق أحدهما بعنوان غیر ما للآخر، و لذا تشبّثوا لإثبات الجواز و عدمه بوجوه و مبادئ عقلیة، بخلاف مسألتنا هذه، فإنّها مسألة عقلائیة، فلا بدّ من تحلیلها فی محیط العرف و العقلاء، فإذا کان هناک دلیلان یمکن أن یجمع بینهما عقلًا، و لکنّه غیر مقبول عند العرف و العقلاء، لما اعتنی به</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اجتماع الأمر و النهی مسألة عقلیة؛ و هل أنّه یجوز تعلّق الأمر و النهی بعنوانین متغایرین متصادقین علی مورد واحد، أم لا؟ و أین هذا من</w:t>
      </w:r>
    </w:p>
    <w:p>
      <w:pPr>
        <w:pStyle w:val="BookText"/>
        <w:rPr/>
      </w:pPr>
      <w:r>
        <w:rPr>
          <w:rFonts w:ascii="IRNazanin" w:hAnsi="IRNazanin" w:eastAsia="IRNazanin"/>
          <w:color w:val="111111"/>
          <w:sz w:val="28"/>
          <w:sz w:val="28"/>
          <w:szCs w:val="28"/>
          <w:rtl w:val="true"/>
          <w:lang w:bidi="fa-IR"/>
        </w:rPr>
        <w:t>الجمع بین الأدلّة و تعارضها الذی یناط بفهم العرف و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أنّه إذا ورد خبران أحدهما مطلق و الآخر مقیّد، یری العرف و العقلاء بینهما تنافیاً، فیحمل مطلقه علی مقیّده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لم یحرز کون الأمر أو النهی للوجوب و الحرمة، فحیث إنّ التنافی بینهما عرفی، فلا بدّ و أن یکون الجمع بینهما أیضاً کذلک، و لیس هو إلّا حمل المطلق علی المقیّد؛ لأنّه الشائع المتعارف، و أمّا الجمع بحمل النهی علی الکراهة مثلًا، فهو و إن کان ممکناً عقلًا، لکنّه غیر معهود عند العرف و العقلاء، فلا یحمل علیه،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الصورتان الثالثة و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یجمعهما ما إذا کان الحکمان فی المطلق و المقیّد متفقین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الدلیلان مثبتین إلزامیین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منفیین کذلک، کقولک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تعتق رقبة 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إنّما یحصل التنافی بینهما إذا احرزت وحدة الحکم من أیّ نحو کان؛ سواء کان من نفس الدلیل، أو من العقل، أو من الخارج؛ لأنّ دلیل المطلق یعطی أنّه تمام الموضوع، و دلیل المقیّد یدلّ علی خلافه، حیث یدلّ علی أنّ المقیّد تمام الموضوع، و معلوم أنّ حکماً واحداً لا یکاد یتعلّق إلّا بواحد منهما، فیرفع التنافی بینهما بحمل المطلق علی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هناک حکمان تعلّق أحدهما بالمطلق و الآخر بالمقیّد، فلا تنافی بینهما</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لم تحرز وحدة الحکم، فإمّا لا تحتمل دخالة قید فی موضوع دلیل المطلق غیر القید الذی فی دلیل المقیّد، فهو إمّا مطلق، أو مقیّد بما یکون فی دلیل المقیّد، أو یحتمل دخالة قید آخر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یحصل التنافی بحکم العقل و العقلاء؛ بداهة أنّه کما لا یکاد یمکن تعلّق إرادتین أو کراهتین استقلالیتین بشی‌ء واحد و لو کانتا من سنخ واحد، فکذلک فی المقام؛ لأنّ المطلق و المقیّد بنظر العرف، یعدّان شیئاً واحداً؛ لأنّ المقیّد هو نفس الطبیعة مع قید، لعینیة اللابشرط مع بشرط شی‌ء، فیمتنع تعلّق إرادتین أو کراهتین بهما؛ لأدائه إلی تعلّق الإرادة بنفس الطبیعة تارة، و بالمقیّدة اخری، فیحصل التنافی بینهما، فیحمل المطلق علی المقیّد، و لأجل ذلک لا ینقدح فی ذهن العقلاء وجود حکمین هنا، بل یستکشفون وحدة الحکم، فیحملون المطلق علی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الوجه فی استکشاف وحدة الحکم و سرّ حمل المطلق علی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 فی وجه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تعلّق الحکم بالمطلق یدلّ علی أنّ المکلّف مرخّص فی عتق الرقبة فی ضمن المؤمنة و الکافرة، و تعلّق الحکم بالمقیّد یدلّ علی لزوم عتق المؤمنة، و لا یجوز عتق غیرها، و بین الترخیص و اللاترخیص تنافٍ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المقیّد ظاهر فی دخالة القید فی تعلّق الحکم بالموضوع، بخلاف دلیل المطلق، فإنّه ظاهر فی عدم دخالته، فیحصل التنافی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ما لم تحرز وحدة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یحصل التنافی بینهما إلّا علی وجه دائر؛ لأنّه علی تقدیر تعدّد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کان أحدهما مرخّصاً فیه دون الآخر، أو کان للتقیید فی أحدهما مدخلیة دون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تنافٍ بینهما، فالتنافی بینهما إنّما هو بعد إحراز وحدة الحکم، فلو توقّف إحراز وحدة الحکم علی التنافی لدار</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قطع النظر عن هذا الوجه، و قلنا بالبیان الذی نذکره فی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العقلاء یحملون المطلق علی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له وجه،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إذا احتملت دخالة قید آخر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فیحتمل وجود حکمین علّق أحدهما علی القید، و الآخر علی المقیّد بقید آخر لم یذکر فی الکلام لمصلحة، فلا تنافی بینهما، فیدور الأمر بین رفع الید عن المطلق و إبقاء ظهور الأمر فی المطلق و المقیّد فی استقلال البعث، فیکشف عن وجود قید آخر، فیکون متعدّداً، و بین کون المطلق متعلّقاً للإرادة بالأصالة، فیکون الحکم واحداً، فیحمل المطلق علی المقیّد، و لکن حیث إنّ ظهور الأمر فی الاستقلال، لا یکون بمثابة یصحّ الاتکال علیه لکشف قید آخر لیکون الحکم متعدّداً، لذا ترفع الید عن ظهور الأمر فی استقلال البعث، فیحصل التنافی بینهما، فیحمل المطلق علی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إلی الصور التی لم یذکر السبب فیها، بل ذکر ذات المطلق و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ذکر السبب فله صور أیضاً؛ لأنّه إمّا أن یذکر السبب فیهما، أو فی واحد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یتحد السببان ماهیة، أو یختلفان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ذکر السبب فیهما، و کان سبب کلّ غیر ما للآخر، کقوله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ظاهرت أعتق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أفطرت 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فواضح أنّه لا تنافی بین الدلیلین؛ بداهة أنّه یمکن أن یکون وجوب عتق الرقبة المؤمنة بسببٍ، و وجوب عتق مطلق الرقبة بسبب آخر، فلا وجه لحمل المطلق علی المقیّد</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إن ذکر السبب فیهما، و کان السبب فیهما واحداً؛ بأن ورد</w:t>
      </w:r>
      <w:r>
        <w:rPr>
          <w:rFonts w:eastAsia="IRNazanin" w:cs="IRNazanin"/>
          <w:color w:val="111111"/>
          <w:sz w:val="28"/>
          <w:szCs w:val="28"/>
          <w:rtl w:val="true"/>
          <w:lang w:bidi="fa-IR"/>
        </w:rPr>
        <w:t>:</w:t>
      </w:r>
      <w:bookmarkStart w:id="886" w:name="pg12934_164932"/>
    </w:p>
    <w:p>
      <w:pPr>
        <w:pStyle w:val="BookText"/>
        <w:rPr/>
      </w:pPr>
      <w:bookmarkEnd w:id="8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ظاهرت 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ظاهرت أعتق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فیحصل التنافی بینهما ابتداءً؛ لاستکشاف العرف و العقلاء من وحدة السبب، وحدة مسبّبه، فیحمل المطلق علی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ذکر السبب فی أحدهما دون الآخر، کما إذا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ظاهرت أعتق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یحمل المطلق علی المقیّد مطلقاً، أو لا کذلک، أو فیه تفصیل؟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التفصیل بین ما إذا احرزت وحدة الحکم، فیحمل المطلق علی المقیّد، و بین ما إذا لم تحرز وحدته، فلا مجال للحمل؛ أمّا الحمل فی صورة إحراز وحدة الحکم فواضح، و أمّا عدم الحمل فی صورة عدم الإحراز؛ فلأنّ دلیل المطلق حجّة مطلقة فی موارد عدم تحقّق سبب المقیّد، سواء صدر منه سبب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الظهار فی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عقلائیة لا یصحّ رفع الید عنها، و لا یعدّ العبد معذوراً فی ترکه و تأخیره إلی أن یظاهر امرأته، بل یجب علیه عتق الرقبة، و بعد تحقّق الظهار منه یجب علیه عتق الرقبة المؤمنة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العرف و العقلاء یستکشفون من ذلک، وجود طلبین و 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عتق الرقبة مطلوب للمولی؛ حصل الظهار أم لا،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حصوله یکون عتق رقبة اخری، مطلوباً له من سببیة الظهار</w:t>
      </w:r>
      <w:r>
        <w:rPr>
          <w:rFonts w:eastAsia="IRNazanin" w:cs="IRNazanin"/>
          <w:color w:val="111111"/>
          <w:sz w:val="28"/>
          <w:szCs w:val="28"/>
          <w:rtl w:val="true"/>
          <w:lang w:bidi="fa-IR"/>
        </w:rPr>
        <w:t>.</w:t>
      </w:r>
    </w:p>
    <w:p>
      <w:pPr>
        <w:pStyle w:val="Heading5"/>
        <w:numPr>
          <w:ilvl w:val="4"/>
          <w:numId w:val="1"/>
        </w:numPr>
        <w:rPr/>
      </w:pPr>
      <w:bookmarkStart w:id="887" w:name="__RefHeading___Toc4026681_3224264995"/>
      <w:bookmarkStart w:id="888" w:name="_Toc336"/>
      <w:bookmarkEnd w:id="887"/>
      <w:r>
        <w:rPr>
          <w:rtl w:val="true"/>
        </w:rPr>
        <w:t>ذکر و تعقیب</w:t>
      </w:r>
      <w:r>
        <w:rPr>
          <w:rtl w:val="true"/>
        </w:rPr>
        <w:t xml:space="preserve">: </w:t>
      </w:r>
      <w:r>
        <w:rPr>
          <w:rtl w:val="true"/>
        </w:rPr>
        <w:t>حول کلام المحقّق النائینی قدس سره فی المقام</w:t>
      </w:r>
      <w:bookmarkEnd w:id="888"/>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یظهر من المحقّق النائینی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الحمل لجهة اخری، و هی استلزام الحمل للدور، و ظاهر کلام العلّامة المقرّر رحمه الله لا یخلو من خلط، حیث إنّه یستفاد من بعض</w:t>
      </w:r>
    </w:p>
    <w:p>
      <w:pPr>
        <w:pStyle w:val="BookText"/>
        <w:rPr/>
      </w:pPr>
      <w:r>
        <w:rPr>
          <w:rFonts w:ascii="IRNazanin" w:hAnsi="IRNazanin" w:eastAsia="IRNazanin"/>
          <w:color w:val="111111"/>
          <w:sz w:val="28"/>
          <w:sz w:val="28"/>
          <w:szCs w:val="28"/>
          <w:rtl w:val="true"/>
          <w:lang w:bidi="fa-IR"/>
        </w:rPr>
        <w:t>عباراته أنّ تقیید أحد الوجوبین، متوقّف علی وحدة المتعلّق، و من بعضها الآخر أنّ حمل أحد التکلیفین علی الآخر، یتوقّف علی حمل أحد المتعلّقین علی الآخر،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مع هذا یمکن تقریب مراده ببیان منّا،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حمل المطلق علی المقیّد، إنّما یکون فیما إذا احرزت وحدة التکلیف، و إلّا فلا موجب للحمل، و فی المقام مطلقان و مقیّدان فی ناحیتی الحکم و المتعلّق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ناحیة الحکم؛ فلأنّه جعل وجوب العتق فی أحد الدلیلین، مقیّداً بسبب خاصّ، کالظهار فی المثال، و لم یقیّد فی الآخر، بل ذکر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ناحیة المتعلّق؛ فلأنّه قیّد عتق الرقبة بالإیمان فی أحد الدلیلین، و اطلق فی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تقیید کلّ واحد من الإطلاق فی ناحیة الحکم و المتعلّق، یتوقّف علی تقیید الإطلاق من الناحیة الاخری؛ لأنّ حمل المطلق علی المقیّد یتوقّف علی وحدة التکلیف، و وحدة التکلیف تتوقّف علی وحدة المتعلّق، و إلّا فعند اختلاف متعلّق التکلیف، لا موجب لحمل أحد التکلیفین علی الآخر، و وحدة المتعلّق هنا تتوقّف علی حمل أحد التکلیفین علی الآخر؛ إذ لو لم یحمل أحد التکلیفین علی الآخر لم تتحقّق وحدة المتعلّق، لأنّ متعلّق أحد الدلیلین عتق الرقبة المطلقة، و متعلّق الآخر عتق الرقبة المؤمنة، فیلزم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بتقریب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وحدة الحکم تتوقّف علی وحدة المتعلّق، و وحدة المتعلّق تتوقّف علی وحدة الحکم، و هو الدور</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وحدة الحکم و إن کان لها بحسب الواقع نحو توقّف علی ذات</w:t>
      </w:r>
    </w:p>
    <w:p>
      <w:pPr>
        <w:pStyle w:val="BookText"/>
        <w:rPr/>
      </w:pPr>
      <w:r>
        <w:rPr>
          <w:rFonts w:ascii="IRNazanin" w:hAnsi="IRNazanin" w:eastAsia="IRNazanin"/>
          <w:color w:val="111111"/>
          <w:sz w:val="28"/>
          <w:sz w:val="28"/>
          <w:szCs w:val="28"/>
          <w:rtl w:val="true"/>
          <w:lang w:bidi="fa-IR"/>
        </w:rPr>
        <w:t>المتعلّق، و یکون للمتعلّق شبه تقدّم طبیعی علی الحکم، إلّا أنّ ذات المتعلّق لا تتوقّف علی وحدة الحکم، بل لها مبادئ تخصّها؛ فقد تکون بلحاظ مبادئها واحدة، و قد تکون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وحدة الشی‌ء و کثرته أمر واقعی فی حدّ نفسه؛ سواء تعلّق الحکم به، أم لا، و فی المقام یکون المقیّد هو المطلق مع قیده، و فی مثله لا یمکن تعلّق الإرادتین و الحکمین به،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المتعلّق بما أنّه متعلّق، یتوقّف علی وحدة الحکم، فلا دور؛ لأنّ الموقوف الذی هو عنوان المتعلّق و وصفه، غیر الموقوف علیه الذی هو ذات المتعلّق، و هذا مثل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البیاض یتوقّف فی وجوده الخارجی علی ذات الجسم بلحاظ أنّه عرض یحتاج فی وجوده إلی الموضوع، و أمّا الجسم فلا یحتاج بلحاظ ذاته إلی العرض، بل الجسم الأبیض بلحاظ موضوعیته له محتاج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الجسم الأبیض یحتاج إلی البیاض، فالموقوف غیر الموقوف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إن أراد قدس سره أنّ وحدة کلّ من الحکم و المتعلّق واقعاً، تتوقّف علی وحدة الآخر</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أراد أنّ حمل المطلق علی المقیّد فی ناحیة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الإثبات؛ و فی مقام الجمع بین الدلیلین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یتوقّف علی حمل المطلق علی المقیّد فی ناحیة المتعلّق و بالعکس،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أیضاً غیر متوقّف من الطرفین؛ لأنّ الحمل فی ناحیة الحکم، و إن کان یتوقّف علی الحمل فی ناحیة المتعلّق؛ لأنّه لو لا الحمل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کان المتعلّق متعدّداً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للحمل فی ناحیة الحکم موجباً، إلّا أنّ الحمل فی ناحیة المتعلّق لا یتوقّف علیه، فلا دور</w:t>
      </w:r>
      <w:r>
        <w:rPr>
          <w:rFonts w:eastAsia="IRNazanin" w:cs="IRNazanin"/>
          <w:color w:val="111111"/>
          <w:sz w:val="28"/>
          <w:szCs w:val="28"/>
          <w:rtl w:val="true"/>
          <w:lang w:bidi="fa-IR"/>
        </w:rPr>
        <w:t>.</w:t>
      </w:r>
      <w:bookmarkStart w:id="889" w:name="pg12934_164935"/>
    </w:p>
    <w:p>
      <w:pPr>
        <w:pStyle w:val="BookText"/>
        <w:rPr/>
      </w:pPr>
      <w:bookmarkEnd w:id="889"/>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أفاده سماحة الاستاذ فی الدورة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تعلّق الحکم فی المطلق بنفس الطبیعة، یکشف عن کونها تمام الموضوع للحکم، فإذا تعلّق حکم بالمقیّد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الفرض أنّه نفس الطبیعة مع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یکشف عن کون النسبة بین الموضوعین بالإطلاق و التقیید؛ من غیر أن یتوقّف علی إحراز وحدة الحکم</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کلّه فیما إذا کان الحکم فی المطلق و المقیّد تکلیفیاً</w:t>
      </w:r>
      <w:r>
        <w:rPr>
          <w:rFonts w:eastAsia="IRNazanin" w:cs="IRNazanin"/>
          <w:color w:val="111111"/>
          <w:sz w:val="28"/>
          <w:szCs w:val="28"/>
          <w:rtl w:val="true"/>
          <w:lang w:bidi="fa-IR"/>
        </w:rPr>
        <w:t>.</w:t>
      </w:r>
    </w:p>
    <w:p>
      <w:pPr>
        <w:pStyle w:val="Heading4"/>
        <w:numPr>
          <w:ilvl w:val="3"/>
          <w:numId w:val="1"/>
        </w:numPr>
        <w:rPr/>
      </w:pPr>
      <w:bookmarkStart w:id="890" w:name="__RefHeading___Toc4026683_3224264995"/>
      <w:bookmarkStart w:id="891" w:name="_Toc337"/>
      <w:bookmarkEnd w:id="890"/>
      <w:r>
        <w:rPr>
          <w:rtl w:val="true"/>
        </w:rPr>
        <w:t>حکم الإطلاق و التقیید فی الأحکام الوضعیة</w:t>
      </w:r>
      <w:bookmarkEnd w:id="891"/>
    </w:p>
    <w:p>
      <w:pPr>
        <w:pStyle w:val="BookText"/>
        <w:rPr/>
      </w:pPr>
      <w:r>
        <w:rPr>
          <w:rFonts w:ascii="IRNazanin" w:hAnsi="IRNazanin" w:eastAsia="IRNazanin"/>
          <w:color w:val="111111"/>
          <w:sz w:val="28"/>
          <w:sz w:val="28"/>
          <w:szCs w:val="28"/>
          <w:rtl w:val="true"/>
          <w:lang w:bidi="fa-IR"/>
        </w:rPr>
        <w:t>إذا کان الحکم فی المطلق و المقیّد وضعیین، فإن کان الدلیلان واردین لإفادة الحکم الوضعی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الجزئیة، و الشرطیة، و المانعیة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حاله من التدبّر فیما ذکرناه، فتختلف الموارد؛ فربما یجمع العقلاء بینهما بحمل مطلقه علی مقیّده، کقوله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وبر ما لا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مانع من الصلاة فی الخزّ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لا یجمع بینهما، کما إذا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فیما لا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فی وبر ما لا یؤکل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التنافی بین مانعیة مطلق أجزائه، و بین مانعیة خصوص وبره بناء علی عدم المفهوم فی القید، و إلّا فیقع التنافی،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ما تقدّم کان فی المطلق و المقیّد الذین یکون کلاهما أو أحدهما إلزامیاً</w:t>
      </w:r>
      <w:r>
        <w:rPr>
          <w:rFonts w:eastAsia="IRNazanin" w:cs="IRNazanin"/>
          <w:color w:val="111111"/>
          <w:sz w:val="28"/>
          <w:szCs w:val="28"/>
          <w:rtl w:val="true"/>
          <w:lang w:bidi="fa-IR"/>
        </w:rPr>
        <w:t>.</w:t>
      </w:r>
    </w:p>
    <w:p>
      <w:pPr>
        <w:pStyle w:val="Heading4"/>
        <w:numPr>
          <w:ilvl w:val="3"/>
          <w:numId w:val="1"/>
        </w:numPr>
        <w:rPr/>
      </w:pPr>
      <w:bookmarkStart w:id="892" w:name="__RefHeading___Toc4026685_3224264995"/>
      <w:bookmarkStart w:id="893" w:name="_Toc338"/>
      <w:bookmarkEnd w:id="892"/>
      <w:r>
        <w:rPr>
          <w:rtl w:val="true"/>
        </w:rPr>
        <w:t>حکم الإطلاق و التقیید فی الأحکام غیر الإلزامیة</w:t>
      </w:r>
      <w:bookmarkEnd w:id="893"/>
    </w:p>
    <w:p>
      <w:pPr>
        <w:pStyle w:val="BookText"/>
        <w:rPr/>
      </w:pPr>
      <w:r>
        <w:rPr>
          <w:rFonts w:ascii="IRNazanin" w:hAnsi="IRNazanin" w:eastAsia="IRNazanin"/>
          <w:color w:val="111111"/>
          <w:sz w:val="28"/>
          <w:sz w:val="28"/>
          <w:szCs w:val="28"/>
          <w:rtl w:val="true"/>
          <w:lang w:bidi="fa-IR"/>
        </w:rPr>
        <w:t>إذا کان الحکمان غیر إلزامیین؛ بأن کان الحکمان استحبابیین، أو النهیان تنزیهیین، أو مختلفین؛ بأن کان أحدهما استحبابیاً، و الآخر کراهتیاً، کما إذا قیل</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تستحبّ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تستحبّ الصلاة عند دلوک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بالأمر الاستحبابی، ثمّ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بالنهی التنزیهی، فإنّه و إن أمکن التفصیل بما ذکرناه فی الإلزامیین، إلّا أنّ بناء الأصحاب علی الحمل علی مراتب الفضیلة و المحبوبیة فی هذا الباب، فلا یحملون المطلق علی المقیّد؛ إذ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الإلزامیین لا وجه لحمل المطلق علی المقیّد؛ لعدم تحقّق شرط الحمل، و هو التنافی بینهما؛ لعدم التنافی بین استحباب الصلاة و الصلاة المقیّدة بالزوال مثلًا، فیحمل علی أفضلیة فرد بالنسبة إلی فرد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کانت هناک قرینة استفیدت منها وحدة المطلوب، حمل المطلق علی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حدیث التمسّک بقاعدة التسامح فی أدلّة السنن و المستحبّات؛ لإثبات عدم حمل المطلق علی المقیّد فی المستحبّات،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یحکم باستحباب المطلق مع وجود المقیّد من باب التسامح فی أدلّة السنن</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فهو غیر سدید؛ لأنّه إنّما یصحّ فیما لو کان هناک دلالة لیتسامح فی السند، و الدلالة فیما نحن فیه موقوفة علی عدم حمل المطلق علی المقیّد؛ و عدم الجمع العرفی بینهما بحمل المطلق علی المقیّد، و إلّا فلا دلالة لیتسامح فی سندها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التسامح فی السنن إنّما هو بعد فرض تمامیة دلالة دلیلها، و لو قیل بالحمل علی المقیّد لا یبقی هنا دلالة فی الإطلاق أصلًا لیتسامح فی سندها،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إنّک إذا أحطت بما ذکرنا من الصور، فعلیک بالتأمّل فی سائر الموارد و الصور و استخراج حکمها ممّا ذکرنا</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ذکرناه فی حمل المطلق علی المقیّد، إنّما هو علی سبیل القاعدة</w:t>
      </w:r>
    </w:p>
    <w:p>
      <w:pPr>
        <w:pStyle w:val="BookText"/>
        <w:rPr/>
      </w:pPr>
      <w:r>
        <w:rPr>
          <w:rFonts w:ascii="IRNazanin" w:hAnsi="IRNazanin" w:eastAsia="IRNazanin"/>
          <w:color w:val="111111"/>
          <w:sz w:val="28"/>
          <w:sz w:val="28"/>
          <w:szCs w:val="28"/>
          <w:rtl w:val="true"/>
          <w:lang w:bidi="fa-IR"/>
        </w:rPr>
        <w:t>و علی حسب السیر الطبیعی فی المسألة، و لعلّ المتتبّع یجد فی بعض الموارد احتفاف الکلام بما یوجب عدم الحمل أو یوجب الحمل علی خلاف ما قرّرناه، و اللَّه الهادی إلی سواء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تمّ ما أفاده استاذنا المعظّم مرکز دائرة التحقیق و التدقیق سیّدنا المعزّز الحاجّ السیّد روح اللَّه الموسوی الخمینی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 الوارف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مباحث الألفاظ، و کان الفراغ منه یوم الأربعاء</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قمریة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فرغت من تحریره لیلة الاثنین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 من رجب المرجّب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قمریة، و قد مضی من اللیل أکثر من خمس ساعات و نصف ساعة فی قم المحمیة، عش آل محمّد، و حرم أهل البیت علیهم السلام فله الحمد و الشکر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وفّقنا لما تحبّ و ترضی، و احشرنا فی زمرة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 و علیّ و أولاده المعصومون حجج اللَّه</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کتبه بیمناه الداثرة السیّد محمّد حسن المرتضوی اللنگرودی عفی عنه و عن والدیه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تأریخ الفراغ من تحریره للمرّة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لإعداده للطبع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 جمادی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قمریة</w:t>
      </w:r>
      <w:r>
        <w:rPr>
          <w:rFonts w:eastAsia="IRNazanin" w:cs="IRNazanin"/>
          <w:color w:val="111111"/>
          <w:sz w:val="28"/>
          <w:szCs w:val="28"/>
          <w:rtl w:val="true"/>
          <w:lang w:bidi="fa-IR"/>
        </w:rPr>
        <w:t>.</w:t>
      </w:r>
      <w:bookmarkStart w:id="894" w:name="pg12934_164938"/>
    </w:p>
    <w:p>
      <w:pPr>
        <w:pStyle w:val="Heading4"/>
        <w:numPr>
          <w:ilvl w:val="3"/>
          <w:numId w:val="1"/>
        </w:numPr>
        <w:rPr/>
      </w:pPr>
      <w:bookmarkStart w:id="895" w:name="__RefHeading___Toc4026687_3224264995"/>
      <w:bookmarkStart w:id="896" w:name="_Toc339"/>
      <w:bookmarkEnd w:id="894"/>
      <w:bookmarkEnd w:id="895"/>
      <w:r>
        <w:rPr>
          <w:rtl w:val="true"/>
        </w:rPr>
        <w:t>توضیح و تقدیر</w:t>
      </w:r>
      <w:bookmarkEnd w:id="896"/>
    </w:p>
    <w:p>
      <w:pPr>
        <w:pStyle w:val="BookText"/>
        <w:rPr/>
      </w:pPr>
      <w:r>
        <w:rPr>
          <w:rFonts w:ascii="IRNazanin" w:hAnsi="IRNazanin" w:eastAsia="IRNazanin"/>
          <w:color w:val="111111"/>
          <w:sz w:val="28"/>
          <w:sz w:val="28"/>
          <w:szCs w:val="28"/>
          <w:rtl w:val="true"/>
          <w:lang w:bidi="fa-IR"/>
        </w:rPr>
        <w:t xml:space="preserve">هذا الذی بین یدی القارئ الکریم، أحد أجزاء موسوعتنا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حصیلة ما أفاده سماحة الاستاذ نائب الإمام علیه السلام الإمام الخمینی قدس سره فی مباحث الألفاظ، و هی تقریر ما أفاده قدس سره فی الدورة الأخیرة، و قد أضاف قدس سره إلیها بعض المطالب و الأنظار و الآراء التی لم یتعرّض لها فیما قبل، و ربما أسقط منها بعض ما أفاده سابقاً</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ربما فات منّی بعض ما ألقاه فی مجلس الدرس، و ربما لم أحضر البحث، و لکن حرصاً علی ضبط جمیع ما أفاده سماحته فی مباحث الألفاظ و تتمیماً للفائدة، لذا استفدت أحیاناً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 الوصول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بعض تقریرات مباحث سماحة الاستاذ، خصوصاً من تقریرات بعض أصدقائنا الذی هو من أعیان تلامذة سماحة الاستاذ دامت برکاته، شکر اللَّه مساعیهم الجمیلة، فصارت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موسوعتنا هذه صحیفة کاملة لما أفاده سماحة الاستاذ فی مباحث الألفاظ، موضحةً لما أفاده، و شارحةً لمراداته ببیان سلس، و عبارات و ألفاظ واضحة الدلالة، سهلة التناول لروّاد الحقیقة و طلبة الحوزات العلمیة؛ لیسهل اقتباسهم من أنواره، و لئلّا یصعب علیهم الاستفاضة من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أسأل اللَّه التوفیق لتحریر ما أفاده فی سائر المباحث الاصولیة التی هی أهمّ المسائل الاصولیة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الختام أودّ أن أتقدّم بجزیل شکری للمؤسسة المحترمة التی أخذت علی عاتقها طبع التراث الفکری للإمام الخمینی فرع قم المقدّسة، کما أشکر لجنة التحقیق و التصحیح، حیث أتعبوا أنفسهم الشریفة و بذلوا جهودهم فی سبیل تصحیح و تنظیم المتن، و تخریج الآیات المبارکات و الأحادیث الشریفة المرویّة و عزوها إلی مصادرها، و تخریج أقوال العلماء من منابعها، و الإشارة إلی ترجمة العلماء المذکورین فی هذه الموسوعة، و إظهار الموسوعة بهذه الصورة الرائعة البهیّة الحسنة، فشکر اللَّه مساعیهم الجمیلة، و وفّقهم لما یحبّ و یرضی بحرمة محمّد و آله الطاهرین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 المقدّسة</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حسن المرتضوی اللنگرودی</w:t>
      </w:r>
      <w:bookmarkStart w:id="897" w:name="pg12934_164940"/>
    </w:p>
    <w:p>
      <w:pPr>
        <w:pStyle w:val="Heading2"/>
        <w:numPr>
          <w:ilvl w:val="1"/>
          <w:numId w:val="1"/>
        </w:numPr>
        <w:rPr/>
      </w:pPr>
      <w:bookmarkStart w:id="898" w:name="__RefHeading___Toc4026689_3224264995"/>
      <w:bookmarkStart w:id="899" w:name="_Toc340"/>
      <w:bookmarkEnd w:id="897"/>
      <w:bookmarkEnd w:id="898"/>
      <w:r>
        <w:rPr>
          <w:rtl w:val="true"/>
        </w:rPr>
        <w:t>فهرس المحتویات</w:t>
      </w:r>
      <w:bookmarkEnd w:id="899"/>
    </w:p>
    <w:p>
      <w:pPr>
        <w:pStyle w:val="BookText"/>
        <w:rPr/>
      </w:pPr>
      <w:r>
        <w:rPr>
          <w:rFonts w:ascii="IRNazanin" w:hAnsi="IRNazanin" w:eastAsia="IRNazanin"/>
          <w:color w:val="111111"/>
          <w:sz w:val="28"/>
          <w:sz w:val="28"/>
          <w:szCs w:val="28"/>
          <w:rtl w:val="true"/>
          <w:lang w:bidi="fa-IR"/>
        </w:rPr>
        <w:t>فهرس المحتویات</w:t>
      </w:r>
    </w:p>
    <w:p>
      <w:pPr>
        <w:pStyle w:val="BookText"/>
        <w:rPr/>
      </w:pPr>
      <w:r>
        <w:rPr>
          <w:rFonts w:ascii="IRNazanin" w:hAnsi="IRNazanin" w:eastAsia="IRNazanin"/>
          <w:color w:val="111111"/>
          <w:sz w:val="28"/>
          <w:sz w:val="28"/>
          <w:szCs w:val="28"/>
          <w:rtl w:val="true"/>
          <w:lang w:bidi="fa-IR"/>
        </w:rPr>
        <w:t>المقصد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النواهی</w:t>
      </w:r>
    </w:p>
    <w:p>
      <w:pPr>
        <w:pStyle w:val="BookText"/>
        <w:rPr/>
      </w:pPr>
      <w:r>
        <w:rPr>
          <w:rFonts w:ascii="IRNazanin" w:hAnsi="IRNazanin" w:eastAsia="IRNazanin"/>
          <w:color w:val="111111"/>
          <w:sz w:val="28"/>
          <w:sz w:val="28"/>
          <w:szCs w:val="28"/>
          <w:rtl w:val="true"/>
          <w:lang w:bidi="fa-IR"/>
        </w:rPr>
        <w:t>و فیه مباحث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حقیقة النهی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سرّ الفرق بین مقتضی الأمر و النهی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حکم النهی بالنسبة إلی الأفراد الطولیة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اجتماع الأمر و النهی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تنقیح البحث یقتضی تمهید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عنوان البحث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الفرق بین هذه المسألة و مسألة النهی عن العبادة أو المعاملة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کون المسألة اصولیة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عدم اعتبار وجود المندوحة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جریان النزاع حتّی مع تعلّق الأوامر و النواهی بالأفراد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صحّة النزاع فی هذه المسألة علی القول بتعلّق الأحکام بالطبائع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کلام المحقّق النائینی قدس سره فی المقام و نقده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عدم ابتناء النزاع علی إحراز المناط فی المجمع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ثمرة بحث الاجتماع علی القول بالجواز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ذهاب المحقّق النائینی إلی أنّ الصلاة فی الدار المغصوبة مرکّب انضمامی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الأمر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ثمرة بحث الاجتماع علی القول بالامتناع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کلام المحقّقین الخراسانی و النائینی و نقده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الأمر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تحدید العناوین التی یجری النزاع فیها و شروطها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التحقیق جواز اجتماع الأمر و النهی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تقریب ذلک یتوقّف علی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صور متعلّق الأمر و النهی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معنی الإطلاق المقابل للتقیید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عدم حکایة الماهیة اللابشرط عمّا یتحد معها خارجاً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المراد بمتعلّقات الأحکام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تبیین قول المختار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عدم ابتناء الجواز علی الترکیب الانضمامی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اختیار جواز الاجتماع و لو لم نقل بالخطابات القانونیة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دفع الإشکالات الواردة علی القول بجواز الاجتماع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إشکال اجتماع الإرادة و الکراهة و الحبّ و البغض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حول تفریق المحقّق النائینی قدس سره بین ذاته تعالی و بین سائر البسائط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إشکال اجتماع المصلحة و المفسدة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إشکال اتحاد المقرّب و المبعّد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تأیید المختار بالأمثلة العرفیة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عدم الفرق فی القول بالجواز بین کون الأحکام متضادّة أو متخالفة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تضادّ الأحکام الخمسة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تزییف بعض أدلّة المجوّزین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تذییل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 العبادات المکروهة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توجیه المحقّق النائینی فی المقام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توجیه الشیخین الأنصاری و الخراسانی لتعلّق النهی بعین ما تعلّق به الأمر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مختارنا فی مقام التوجیه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 التوسّط فی الأرض الغصبیة و الصلاة فی الدار المغصوبة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الکلام فیها یقع فی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التوسّط فی الأرض الغصبیة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المختار کون الخروج منهیاً عنه فعلًا و غیر مأمور به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عدم کون الخروج من الأرض المغصوبة واجباً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مطلبان للمحقّق النائینی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شمول الخطاب للممتنع و الکفّار و العصاة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عدم کون الخروج من الدار المغصوبة محبوباً و مطلوباً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مقال الشیخ فی کون الخروج من الدار المغصوبة واجباً و المناقشة فیه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مقال أبی هاشم و صاحب الفصول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مقال المحقّق النائینی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 الصلاة فی الدار المغصوبة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النهی عن الشی‌ء هل یکشف عن فساده، أم لا؟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نقدّم مطالب لتنقیح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عنوان البحث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المسألة لیست عقلیة محضة و لا لفظیة کذلک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الفرق بین هذه المسألة و مسألة الاجتماع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عدم اختصاص الفساد بالفساد الناشئ عن قصور المقتضی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المطلب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کون المسألة مسألة اصولیة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المطلب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محطّ البحث جمیع النواهی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المطلب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المراد بالعبادة أو المعاملة فی المقام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المطلب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 مساوقة الصحّة و الفساد للتمام و النقص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المطلب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عدم مجعولیة الصحّة و الفساد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حول کلام المحقّق الخراسانی قدس سره فی المقام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توهّم تطرّق الجعل إلی الصحّة و الفساد الظاهریین و دفعه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المطلب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مقتضی الأصل فی المسألة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فالکلام یقع فی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مقتضی الأصل فی المسألة الاصولیة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مقتضی الأصل فی المسألة الفرعیة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التحقیق فی هذه المسألة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یقع الکلام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اقتضاء النهی فساد متعلّقه و عدمه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و فیه مبحثان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إذا لم یحرز حال النهی فی المقام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فیه جهتان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 المعاملة و العبادة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 المتعلّق مع عدم کشف فساده من تعلّق النهی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إذا احرز حال النهی فی المقام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فیه جهتان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 النهی المتعلّق بالعبادة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 النهی المتعلّق بالمعاملة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یقع الکلام فی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احرز متعلّق النهی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إذا لم یحرز متعلّق النهی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الروایات التی یستدلّ بها علی فساد المعاملة المنهی عنها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حول دعوی أبی حنیفة و الشیبانی دلالة النهی علی الصحّة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 نفس العبادة إذا تعلّق النهی بجزئها أو شرطها أو وصفها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حکم تعلّق النهی بالجزء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حکم تعلّق النهی بالوصف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حکم تعلّق النهی بالشرط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المقصد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المفهوم</w:t>
      </w:r>
    </w:p>
    <w:p>
      <w:pPr>
        <w:pStyle w:val="BookText"/>
        <w:rPr/>
      </w:pPr>
      <w:r>
        <w:rPr>
          <w:rFonts w:ascii="IRNazanin" w:hAnsi="IRNazanin" w:eastAsia="IRNazanin"/>
          <w:color w:val="111111"/>
          <w:sz w:val="28"/>
          <w:sz w:val="28"/>
          <w:szCs w:val="28"/>
          <w:rtl w:val="true"/>
          <w:lang w:bidi="fa-IR"/>
        </w:rPr>
        <w:t>و فیه مقدّمة و مباحث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و فیها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تعریف المفهوم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کلام المحقّق النائینی قدس سره فی المقام و نقده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حول ما نسبه بعض الأعاظم إلی قدماء الأصحاب فی المقام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المفهوم هل هو من صفات الدلالة أو المدلول؟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النزاع فی المفهوم صغروی أو کبروی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المراد من المفهوم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یقع الکلام فی مباحث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مفهوم الشرط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الوجوه التی یستدلّ بها لإثبات العلّیة المنحصرة من القضیة الشرطیة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توجیهان عقلیان لاستفادة المفهوم و دفعهما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ینبغی التنبیه علی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شمول محلّ النزاع لما إذا کان الجزاء معنی حرفیاً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تعدّد الشرط و اتحاد الجزاء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تنقیح البحث یستدعی التکلّم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التعارض أوّلًا و بالذات بین المنطوقین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علاج التعارض بین الجملتین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نفی الدلیلین للثالث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تداخل الأسباب و المسبّبات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یتمّ الکلام فی ضمن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تحریر محطّ النزاع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المراد من تداخل الأسباب و المسبّبات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اختصاص النزاع بالماهیة القابلة للتکثّر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المقدّمة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إمکان تداخل الأسباب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المقدّمة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أنحاء تعدّد الشرط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تنقیح المقال یستدعی البحث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 ما إذا تعدّدت الأسباب نوعاً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بیان المقدمات الثلاثة من الشیخ الأعظم لتوجیه عدم التداخل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حول المقدّمة الاولی التی ذکرها الشیخ الأعظم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تزییف الوجوه التی ذکرت لعدم التداخل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التوجیه المقبول لعدم التداخل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حول المقدّمة الثانیة التی ذکرها الشیخ الأعظم </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إیقاظ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الفرق بین التأکید فی المقام و سائر الموارد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حول الوجهین اللذین ذکرهما الشیخ الأعظم لتحکیم المقدّمة الثانیة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حول المقدّمة الثالثة التی ذکرها الشیخ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تداخل المسبّبات</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یقع الکلام فی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إمکان تداخل المسبّبات ثبوتاً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هو مقتضی القاعدة فی مقام الإثبات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 ما إذا تعدّدت الأسباب شخصاً لا نوعاً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اختلاف العلمین فی استفادة المفهوم من العامّ الاستغراقی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مفهوم الوصف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ینبغی تقدیم أمرین لتحریر محطّ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شمول النزاع للوصف غیر المعتمد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شمول النزاع للوصف الأخصّ المطلق و الأعمّ من وجه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التحقیق عدم ثبوت مفهوم الوصف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مفهوم الغایة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و الکلام فیه یقع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المقام الأوّل حول ارتفاع الحکم المغیّا عمّا بعد الغایة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المقام الثانی فی أنّ الغایة داخلة فی المغیّا أم لا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عدم معقولیة دخول غایة الحکم فی المغیّا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المختار عدم دخول الغایة فی المغیّا مطلقاً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مفهوم الاستثناء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حول الاستدلال بکلمة التوحید علی مفهوم الحصر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إشکال کلمة التوحید و دفعه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المقصد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العامّ و الخاصّ</w:t>
      </w:r>
    </w:p>
    <w:p>
      <w:pPr>
        <w:pStyle w:val="BookText"/>
        <w:rPr/>
      </w:pPr>
      <w:r>
        <w:rPr>
          <w:rFonts w:ascii="IRNazanin" w:hAnsi="IRNazanin" w:eastAsia="IRNazanin"/>
          <w:color w:val="111111"/>
          <w:sz w:val="28"/>
          <w:sz w:val="28"/>
          <w:szCs w:val="28"/>
          <w:rtl w:val="true"/>
          <w:lang w:bidi="fa-IR"/>
        </w:rPr>
        <w:t>و فیه مقدّمة و مباحث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فی بیان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تعریف العامّ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فیما تحکی عنه أسماء الطبائع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حول مختار المحقّق النائینی قدس سره فی المقام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الفرق بین العامّ و المطلق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احتیاج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مقدّمات الحکمة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استغناء العامّ فی الدلالة علی العموم عن مقدّمات الحکمة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تقسیمات العامّ و المطلق </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أقسام العامّ </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أقسام المطلق </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عدّ من الألفاظ الدالّة علی العموم </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حکم دوران الأمر بین العموم الاستغراقی و المجموعی </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حجّیة العامّ المخصّص فی الباقی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 xml:space="preserve">مختارنا فی عدم مجازیة العامّ المخصّص </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توجیه آخر لعدم مجازیة العامّ المخصّص و تزییفه </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تخصیص العامّ بالمخصّص المجمل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فالکلام یقع فی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المخصّص اللفظی المتّصل المجمل من حیث المفهوم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المخصّص اللفظی المنفصل المجمل من حیث المفهوم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المورد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المخصّص اللفظی المتصل أو المنفصل المجمل بحسب المصداق </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حکم الشبهة المصداقیة للمخصّص المتصل المبیّن </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حکم الشبهة المصداقیة للمخصّص المنفصل المبیّن </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سرّ التمسّک بالعامّ فی الشبهة المصداقیة للمخصّص المنفصل المردّد مفهوماً </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تقریب لعدم جواز التمسّک بالعامّ فی الشبهة المصداقیة و ردّه </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تقریب آخر لجواز التمسّک فی الشبهة المصداقیة للمخصّص و دفعه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المورد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المخصّص اللبّی </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حول کلام الشیخ الأعظم قدس سره فی المقام </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مختارنا فی المقام </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الأقوال فی جواز التمسّک بالعامّ فی الشبهة المصداقیة للمخصّص اللبّی و تزییفها </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حول کلام المحقّق الأصفهانی فی المقام </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تنبیهات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إحراز المصداق بالأصل فی الشبهة المصداقیة </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مستند عدم جواز التمسّک بالأصل لتنقیح موضوع العامّ و تزییفه </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مستند جواز التمسّک بالأصل لتنقیح موضوع العامّ و تزییفه </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التحقیق فی جریان الأصل المحرز لموضوع العامّ </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بیان الحقّ یتوقّف علی مقدّمات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المقدّمة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اشتهر من أنّ القضایا برمّتها مشتملة علی النسبة </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القضایا المفتقرة إلی وجود الموضوع </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المقدّمة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لزوم کون موضوع الحکم مفرداً أو فی حکم المفرد </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المقدّمة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اعتبارات موضوع العامّ المخصّص </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ذکر و 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ما أفاده العلّامة الحائری فی المقام </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تفصیل المحقّق النائینی فی المقام و دفعه </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التمسّک بعمومات النذر و أمثاله لکشف حال الفرد </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التمسّک بالعامّ عند الشکّ بین التخصیص و التخصّص </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مختارنا فی المقام </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مختار المحقّق العراقی قدس سره و نقده </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التمسّک بالعامّ إذا کان المخصّص مجملًا </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التمسّک بالعامّ أو المطلق أو الظاهر أو إجراء الأصل قبل الفحص </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الاستدلال علی لزوم الفحص بمعرضیة العامّ للتخصیص </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حول کلام المحقّق النائینی قدس سره فی المقام </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حول الاستدلال للزوم الفحص بالعلم الإجمالی </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مقدار الفحص </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عموم الخطابات الشفاهیة لغیر الحاضرین </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الکلام فیه یقع فی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تحدید مصبّ النزاع </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البحث للتکالیف غیر المصدّرة بأداة الخطاب و النداء </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المورد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القضیة الحقیقیة و الخارجیة و الفرق بینهما </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إشکالا عموم الخطابات الشفاهیة لغیر الحاضرین و جوابهما </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التحقیق فی جواب الإشکال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التحقیق فی جواب الإشکال الثانی </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تتمّة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ثمرة النزاع </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تعقّب العامّ بضمیر یرجع إلی بعض أفراده </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تحدید محطّ البحث فی المقام </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 xml:space="preserve">بیان مختارنا و أنّه التفصیل </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المبحث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تخصیص العامّ بالمفهوم </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و فیه مقامان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تخصیص العامّ بالمفهوم الموافق </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المفهوم الموافق </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المورد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حکم هذه الأقسام </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مفهوم المخالفة </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تحدید محلّ النزاع </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مختارنا فی المقام </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تفصیل المحقّق النائینی فی المقام و ما یرد علیه </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المبحث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الاستثناء المتعقّب للجمل </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فی إمکان رجوع الاستثناء إلی الجمیع ثبوتاً </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فی حال رجوع الاستثناء إثباتاً و استظهاراً </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التمسّک بالأصل العملی فی المقام عند الشکّ و الإجمال </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المبحث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دوران الأمر بین النسخ و التخصیص </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فیه مقامان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ماهیة النسخ و التخصیص ثبوتاً و بیان إمکانهما </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ما یعتبر فی صحّة النسخ </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الإثبات و الاستظهار </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إیقاظ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موقف حال ما ورد عن أئمّة أهل البیت المخالف للکتاب و السنّة </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المبحث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تخصیص العامّ أو المطلق الکتابی بخبر الواحد </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حول ما یستدلّ به علی جواز التخصیص و التقیید </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 xml:space="preserve">حول ما یستدلّ به علی عدم جواز التخصیص أو التقیید </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المقصد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المطلق و المقیّد</w:t>
      </w:r>
    </w:p>
    <w:p>
      <w:pPr>
        <w:pStyle w:val="BookText"/>
        <w:rPr/>
      </w:pPr>
      <w:r>
        <w:rPr>
          <w:rFonts w:ascii="IRNazanin" w:hAnsi="IRNazanin" w:eastAsia="IRNazanin"/>
          <w:color w:val="111111"/>
          <w:sz w:val="28"/>
          <w:sz w:val="28"/>
          <w:szCs w:val="28"/>
          <w:rtl w:val="true"/>
          <w:lang w:bidi="fa-IR"/>
        </w:rPr>
        <w:t>و فیه مباحث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ماهیتهما </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حول المراد 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شائع فی جنسه</w:t>
      </w:r>
      <w:r>
        <w:rPr>
          <w:rFonts w:eastAsia="IRNazanin" w:cs="IRNazanin"/>
          <w:color w:val="111111"/>
          <w:sz w:val="28"/>
          <w:szCs w:val="28"/>
          <w:rtl w:val="true"/>
          <w:lang w:bidi="fa-IR"/>
        </w:rPr>
        <w:t xml:space="preserve">» ...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بیان النسبة بین الإطلاق و التقیید </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بعض الألفاظ التی یطلق علیها المطلق </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الجنس </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أقسام الماهیة </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علم الجنس </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المفرد المحلّی باللام </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النکرة </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مقدّمات الحکمة </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حول ما یتوقّف علیه التمسّک بالإطلاق </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تذییلات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عدم انخرام الإطلاق بعد ورود التقیید </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التمسّک بالإطلاق لنفی القیود فی محیط التقنین </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مقتضی الأصل العقلائی عند الشکّ فی مقام البیان </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حمل المطلق علی المقیّد </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صور المطلق و المقیّد </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ینبغی الإشارة إلی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تحدید محطّ البحث فی المقام </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اختصاص حمل المطلق علی المقیّد بصورة التنافی </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أحکام صور حمل المطلق علی المقیّد </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حکم الإطلاق و التقیید فیما إذا کان الحکم فیهما تکلیفیاً </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ذکر و تعقیب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کلام المحقّق النائینی قدس سره فی المقام </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حکم الإطلاق و التقیید فی الأحکام الوضعیة </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حکم الإطلاق و التقیید فی الأحکام غیر الإلزامیة </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 xml:space="preserve">توضیح و تقدیر </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المحتویات </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تأریخ الشروع ربیع الثانی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شرح المنظومة، 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یمکن إرجاع کلام هذا المحقّق قدس سره إلی ما سیذکره سیّدنا الاستاذ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ظاهر النهی عن طبیعة هو ذلک، و لکن یتوجّه علیه الإشکال الثالث کما لا یخفی،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ردّه سماحة الاستاذ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الدورة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إلی ما ذکرناه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النهی لیس طلباً، و المتعلّق لیس عدماً، و أنّ ما ذکره قدس سره منقوض بمثله؛ إذ لقائل أن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الأمر حقیقة فی جعل الملازمة بین سنخ الطلب و طبیعی الفعل، مع أنّه 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عنی به سماحة استاذنا الأعظم البروجردی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 العالی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نهایة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 الزجر عن الطبیعة و البعث إلیها، یرتضعان من ثدی واحد، فإذا اقتضی الزجر عنها ذلک فلیکن البعث إلیها کذلک، فالتفرقة بینهما لا وجه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نهایة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تأریخ الشروع یوم الاثنین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ربیع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لیعلم أنّ بعض هذه الامور التی نذکرها دخیل فی مقدّمیة البحث، و بعضها من تنبیهات المسألة جری ذکره فی خلالها للمناسبة،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یکون حال ذی الجهتین حال الشی‌ء الواحد ذی الوجه الواحد فی استحالة اجتماع الأمر و النهی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قوانین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ممّا ذکرنا یظهر النظر فی عدّ المحقّق النائینی قدس سره المسألة کلامیة إذا کان البحث فی إمکان اجتماع الأمر و النهی و امتناعه؛ بزعم أنّ علم الکلام هو المتکفّل لبیان حقائق الأشیاء من واجباتها و ممکناتها و ممتنعاتها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فتأمّل فی ما ذکره و ما ذکرناه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الإشارات و التنبیهات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المحقّق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شرح المقاصد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الحاشیة علی تهذیب 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التدبّر فی مقاله قدس سره یرشد إلی عدم توجّه هذا الإشکال علیه؛ لأنّه قدس سره لم یدّعِ ذلک، بل صرّح بعدم المنافاة بینهما، و غایة ما ذکره هی أنّ الکبری المبحوث عنها إذا لم تقع بنفسها کبری القیاس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کهذه 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تعدّ مسألة اصولیة، فالنقض بحجیّة خبر الواحد لعلّه فی غیر محلّه؛ لأنّها بنفسها تقع کبری لقیاس الاستنباط و إن کانت مع ذلک عنده محقّقة للموضوع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استاذنا الأعظم البروجردی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 الإلهیات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الحکمة المتعالیة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وقایة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حیث إنّه لم یکد یمکن تبلیغ الأحکام بعد ارتحال النبی الأعظم صلی الله علیه و آله و سلم لانقطاع الوحی، لذا أنشأ الحکم علی العنوان و بلّغه، و أخبر الوصیّ بعده بموانع إجرائه، فکلّما ذهبت الموانع تصیر الأحکام المعلّقة علی العناوین فعلیة، و لذا نقول بوجود أحکام عند ولیّ اللَّه الأعظم جعلنی اللَّه من کلّ مکروه فداه، و لم تکن شروط فعلیتها موجودة إلی الحال، نعم تصیر فعلیة عند تحقّق شروطها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الأفکار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 إلی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افید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اختصاص النزاع فی المسألة بالإمامیة و المعتزلة القائلین بالمصالح و المفاسد فی متعلّقات الأحکام، بل یجری حتّی علی مذهب الأشعری المنکر لتبعیة الأحکام للمصالح و المفاسد، فاعتبار اشتمال کلّ من متعلّقی الأمر و النهی علی مناط الحکم فی مورد التصادق فی اندراجهما فی مسألة الاجتماع، غیر ظاهر، بل مرجع النزاع فیها إلی أنّ مورد الاجتماع، واحد وجوداً و ماهیة، أو متعدّد کذلک، فعلی الأوّل لا بدّ من الامتناع مطلقاً و لو علی مذهب الأشعری، و علی الثانی لا بدّ من القول بالجواز بناءً علی عدم سرایة حکم الملزوم إلی لازمه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سیّدنا الاستاذ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لا یخفی أنّ هذا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کالأمر الآتی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ینبغی أن یذکر بعد ذکر أدلّة الطرفین فی تنبیهات مسألة الاجتماع، و لکن حیث جری ذکرهما فی المقام فی الدورة السابقة، فلم نغیّر ما جرینا علیه فی الدورة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کان عنوان المنهی عنه أخصّ، کما أوردناه فی المتن، و أمّا إذا کان المنهی عنه أعمّ فالظاهر أنّه لا یجوز، کما أشار إلیه سماحة الاستاذ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الدورة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أوعزنا إلی أنّ تمام ما ذکر، لم یکن دخیلًا فی مقدّمة البحث، و إنّما ذلک لبعضها، و بعضها الآخر ینبغی أن یعدّ من تنبیهات 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کتاب الخمس، أبواب الأنفال،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أنّ هذا الأمر لا یهمّ فی إثبات الجواز؛ لأنّه و لو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اللفظ الموضوع للطبیعة یحکی عن الخصوصیات المکتنفة بها، فمع هذا یمکننا اختیار القول بالجواز، کما سیجی‌ء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أنّ محطّ النزاع و إن لم یکن فی العموم، و لکن أراد الاستاذ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عدم لزوم اجتماع الضدّین حتّی فی صورة تعلّق البعث و الزجر علی نحو العموم أیضاً،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سبق شِقْص منها فیما تقدّم،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أعداد الفرائض،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لعلّنا أشرنا فیما تقدّم إلی أنّ سماحة الاستاذ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نبّه فی مجلس الدرس علی أنّه لم یرَ فی الجوامع الحدیثیة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معراج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وجدناه فی اعتقادات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أنّه لم یتعرّض سماحة الاستاذ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لکلام هذا المحقّق قدس سره و دفعه إلّا بعنوان الإشارة، و لکن حیث إنّ مقالته هذه ربما تشتبه علی بعض الأذهان، فأوردت خلاصة مقاله، و أردفتها بما استفدته من سماحة الاستاذ فی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شرح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استاذنا الأعظم البروجردی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مع ذهابه إلی جواز اجتماع الأمر و النهی فی شی‌ء واحد، أشکل فی صحّة الصلاة فی الدار المغصوبة من جهة اجتماع المقرّبیة و المبعّدیة فی شی‌ء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یظهر ممّا فی تهذیب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لو کان المراد القرب و البعد المکانیین لما أمکن اجتماعهما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لو قیل بالقرب و البعد المکانیین لأمکن اجتماعهما فی شی‌ء واحد؛ لعدم کونهما حقیقیین أیضاً؛ لأنّ القریب من المحراب بعید عن الباب، و القریب من الباب بعید عن المحراب، نعم القریب مکاناً إلی أمر لا یمکن اجتماعه مع البعید عنه کذلک،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التحصیل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الحکمة المتعالیة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شرح المنظومة، 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التردید بین الاقتضاء و التضمّن لورودهما فی موضعین من عبارته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ببالی أنّ هذا المحقّق ینکر الدلالة التضمّنیة،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أفاد سماحة الاستاذ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وجه عدم کون المصداق مأموراً به مع عینیة الطبیعة للفرد، أنّ الخارج ظرف السقوط لا الثبوت، و لا یوجب ذلک التغایر بین الطبیعة و فردها؛ لعدم مرهونیتها بالکلّیة،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یمکن المساعدة علی ما أفاده سماحة الاستاذ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بالنسبة إلی أحد شقّی التردید فی کلام المحقّق الخراسانی قدس سره؛ و هو ما إذا کان الترک ملازماً لعنوان کذائی، و أمّا بالنسبة إلی انطباق عنوان ذی مصلحة علی الترک فلا؛ لأنّه قدس سره صرّح بأنّه حینئذٍ یکون الترک ذا مصلحة و متعلّق الطلب حقیقة، و جعل هذا ملاک الفرق بین صورة انطباق عنوان ذی مصلحة علی الترک، و بین ملازمة الترک لعنوان کذلک، فلاحظ الکفایة و 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قوانین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شرح العضدی علی مختصر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حکی ذلک عن الفخر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کتاب الغصب،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کتاب الودیعة،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البیع، الإمام الخمینی قدس سره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سیجی‌ء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ادعاء المحقّق النائینی قدس سره قیام ضرورة الدین علی وجوب ردّ المغصوب و الکلام فیه، فارتقب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الصفحة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الصدوق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کتاب الجهاد، أبواب جهاد النفس، الباب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کتاب الغصب،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بعثه بداعی الاختبار و إتمام الحجّة فکلام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ما به التخلّص من فعل الحرام أو ترک الواجب، إنّما یکون حسناً عقلًا و مطلوباً شرعاً بالفعل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کان قبیحاً ذاتاً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یتمکّن المکلّف من التخلّص بدونه، و لم یقع بسوء اختیاره إمّا فی الاقتحام فی ترک الواجب، أو فعل الحرام، و أمّا الإقدام علی ما هو قبیح و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لا به التخلّص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قبیح بلا کلام، کما هو المفروض فی المقام؛ ضرورة تمکّنه منه قبل اقتحامه فیه بسوء اختیاره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 ما ذکره فلاحظ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شوارق الإلهام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شرح المنظومة، 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لیعلم القارئ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فاتنا ضبط بعض ما أفاده سماحة الاستاذ فی ردّ مقال المحقّق النائینی قدس سره و ما أفاده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الحکم الوضعی فی التوسط فی الأرض الغصبیة، فما أوردناه هنا مقتبس ممّا أفاده سماحة الاستاذ فی المناهج و ما قرّر فی التهذیب و التنقیح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نهایة الأفکار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أنّ إیراد سماحة الاستاذ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هذا المحقّق غیر وجیه، لأنّه قدس سره لم یقل بخروج النواهی التنزیهیة عن محطّ البحث، بل صرّح بأنّه لو تعلّق النهی التنزیهی بذات العبادة، لکان لدعوی اقتضائه الفساد مجال، و إنّما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ینبغی خروج النهی التنزیهی عن حریم النزاع؛ لأنّ النواهی التنزیهیة فی الشریعة، لم تتعلّق بذات العبادة، بل بخصوصیاتها، و عهدة هذه الدعوی علیه،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قواطع الصلاة،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الاثنا عشریة فی الصلاة الیومیة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زبدة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تأریخ شروع البحث یوم السبت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ذکرنا تعرف أنّ ما اشتهر بینهم من لزوم اشتمال متعلّقات الواجبات و المحرّمات علی مصالح و مفاسد، غیر مستقیم علی إطلاقه، و إنّما الواجد لهما هو الأوامر و النواهی النفسیة، و أمّا النواهی و الأوامر الغیریة فلا تکشف الاولی عن مبغوضیة فی متعلّقها، کما لا تکشف الثانیة عن مصلحة فی متعلّقها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إلّا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مراد المشهور بواجدیة الأحکام للمصالح و المفاسد، إنّما هو فی النفسی منهما، لا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أنّه لا تنافی بین ما ذکرناه هنا و ما سنذکره فی مقالة أبی حنیفة من اقتضاء النهی التحریمی صحّة متعلّقه إذا کانت معاملة، فارتقب حتّی 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استفدنا من بحث سماحة الاستاذ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یظهر من تقریرات الشیخ قدس سره أنّ هذا التفصیل إنّما یجری فی صورة تعلّق الأمر بالسبب، فلا یتوجّه علیه قدس سره الإشکال الأوّل، إلّا أن یعکس الإشکال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یستأنس لذلک بإمکان استکشاف کون المتعلّق ترتّب الآثار فیما إذا تعلّق النهی التحریمی بمعاملة،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الوافیة فی اصول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کتاب النکاح، أبواب نکاح العبید و الإماء،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کتاب النکاح، أبواب نکاح العبید و الإماء،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کتاب النکاح، أبواب نکاح العبید و الإماء،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الحائریة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قوانین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کتاب النکاح، أبواب ما یحرم بالمصاهرة،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المحصول فی علم اصول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شرح العضدی علی مختصر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حکی عن فخر المحقّقین موافقتهما 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بالعقد الإنشائی ألفاظ المعاملة، کما صرّح به فی بعض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أنّ ما ذکر هنا، لا ینافی ما سبق عند بیان أنّ النهی التحریمی إذا تعلّق بمعاملة، لا یلازم الفساد عقلًا؛ لأنّ غایة ما استفید هناک عدم الملازمة بین النهی و الفساد، و أمّا اقتضاء النهی صحّة متعلّقه، فلم یکن مقصوداً بالبحث هناک، و ما نحن بصدد إثباته هنا، هو اقتضاء النهی صحّة متعلّقه عقلًا إذا کان معاملة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لا تنافی بین ما ذکر هنا، و بین ما قلنا من أنّ النهی التحریمی لو تعلّق بترتّب الآثار لاقتضی الفساد؛ لأنّ محطّ البحث هنا فیما لو تعلّق النهی بنفس المعاملة، لا بما هو خارج عنها مترتّب علیها، فتدبّر و اغتنم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ظهر ممّا ذکرناه فی المقام الأوّل، حکم المقام الثانی بالنسبة إلی تعلّق النهی بجزء المعاملة أو شرطها أو وصفها، و إن بقی شی‌ء فیمکن أن یتفطّن لحکمه ممّا نذکره فیما یرتبط بجزء العبادة أو شرطها أو وصفها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لامتناع تعلّق النهی بالتستّر مطلقاً مع شرطیته فی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قوانین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عنی به سماحة استاذنا الأعظم البروجردی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نهایة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اصول الشریعة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العضدی علی مختصر ابن 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المفهوم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أفاده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إنشائی أو إخباری غیر مذکور فی القضیة اللفظیة، و لکن یستتبع خصوصیة المعنی المأخوذ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عنی به استاذنا الأعظم البروجردی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اصول الشریعة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الماء المطلق،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عنی به استاذنا الأعظم البروجردی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أنّ هذا التقریب فی استفادة المفهوم لم یتمّ عند سماحة الاستاذ الأعظم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أفاده هنا لبیان ما علیه القدماء فی استفادة المفهوم، فتذکّر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دعوی تبادر اللزوم و الترتّب بنحو الترتّب علی العلّة المنحصرة من القضیة الشرطیة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فی مطلق اللزوم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بعیدة عهدتها علی مدّعیها، کیف و لا یری فی استعمالها فیهما عنایة و رعایة علاقة، بل إنّما تکون إرادته کإرادة الترتّب علی العلّة المنحصرة بلا عنایة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یظهر لمن أمعن النظر و أجال البصر فی موارد الاستعمالات، و فی عدم الإلزام و الأخذ بالمفهوم فی مقام المخاصمات و الاحتجاجات، و صحّة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لم یکن لکلامه مفهوم، و عدم صحّته لو کان له ظهور فیه معلوم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أنّ التأمّل فیما أفاده المحقّق الخراسانی فی بیان الفرق بین المقام و مسألة الواجب النفسی، یفید عدم تمامیة ما أفاده سماحة الاستاذ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عدم الفرق بینهما، و أنّ الحقّ ما علیه المحقّق الخراسانی قدس سره فلاحظ و 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جری هذا الکلام من سماحة الاستاذ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سبیل الإلزام و تسلّم ما ذکره الخصم، و إلّا فالجواب الحقیقی عنه ما سیتلی علیک قریباً، فارتقب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سماحة الاستاذ الأعظم البروجردی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ذکر دام ظلّه هذا التقریب حینما کان یحضر بحث استاذه المحقّق الخراسانی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الماء المطلق،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المغنی فی أبواب التوحید و العدل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شرح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أحببت أن لا یخلو تقریرنا هذا منها، فلنشر إجمالًا إلی الإشکالات و ما أجاب به المحقّق النائینی قدس سره عنها، و هی ثلاثة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تأریخ شروع هذا البحث یوم الثلاثاء غرّة رجب المرجّب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التقیید بحقوق الناس؛ لأجل أنّه إذا کانت له أسباب متعدّدة راجعة إلی حقوق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إذا کان محارباً، و زانیاً محصناً، و مرتدّاً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یکاد یتقیّد قتل زید بهذه الأسباب؛ إذ لا أثر لتقییده، لأنّ حقوق اللَّه تعالی غیر قابلة للإسقاط حتّی یظهر للتقیید بالسبب أثره، نعم فی المثال یتأکّد وجوب قتل زید من جهة اجتماع تلک الأسباب، و لکنّ التأکید غیر التقیید بالسبب، کما لا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أنوار الهدایة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شرح المنظومة، 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عنی به استاذنا الأعظم البروجردی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نهایة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للمحقّق الخراسانی قدس سره فی المقام تعلیقة استحسنها سماحة الاستاذ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اختارها، و ستوافیک قریباً إن شاء اللَّه، فارتقب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الطهارة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الطهارة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 النهی کذلک أیضاً؛ بداهة أنّه لو نهی عن معاملة، لا یکاد ینقدح فی ذهن العرف أنّ التسبیب بألفاظ المعاملة، منهیّ عنه، بل غایة ما هناک مبغوضیة المعاملة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لو أمر المولی عبده بکنس البیت، فالمتبادر أنّ کنس البیت مطلوبه الحقیقی، لا الأمر به، نعم بالأمر یتوسّل إلی مطلوبه، و کذا عند سماعهم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أقِمِ الصَّلَاةَ لِدُلُوکِ 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لا تنقدح فی ذهنهم أنّ لنفس الأمر بها مصلحة، بل المصلحة إنّما هی لنفس الصلاة عند ذلک، و بالأمر یتوسّل إلیها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الماء المطلق،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المسترشدین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تأریخ شروع البحث یوم الأحد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 المرجب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الدین و القرض،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الدین و القرض،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عدم توجّه هذا الإشکال علی المحقّق النائینی قدس سره لأنّه لم یدّع أنّ النزاع بین الأعلام خاصّ بالوصف المعتمد، بل صرّح بأنّ ظاهر کلمات الأساطین کون عنوان البحث عامّاً و الذی ادّعاه هو تحریر محطّ النزاع عنده، بزعم أنّ الوصف الاشتقاقی سبیله سبیل اللقب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یتوجّه علیه الإشکال الآتی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 أن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المفهوم نقیض المنطوق، و یعتبر فی التناقض اتحاد المتناقضین فی 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 الاتحاد فی الموضوع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صرّح المحقّق الخراسانی قدس سره أوّلًا باختصاص النزاع فیما إذا کان الوصف أخصّ من موصوفه؛ و لو من وجه فی مورد افتراق الوصف عن موصوفه، و عدم جریان النزاع فی غیره؛ سواء کانا متساویین، أو کانا من وجه فی مورد افتراق الموصوف عن الوصف، إلّا أنّه استدرک أخیراً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استفیدت العلّیة المنحصرة من الوصف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بحیث لا یکون للموصوف دخل فی الحکم أصلًا؛ حتّی یدور الحکم مدار الوصف وجوداً و عدماً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 هذا یجری النزاع فیما إذا کان الوصف مساویاً للموضوع، أو أعمّ منه مطلقاً، فهو بصدد بیان مطلب آخر، فنسبة القول بجریان النزاع فیما إذا کانت النسبة بین الصفة و الموصوف التساوی إلی المحقّق الخراسانی قدس سره فی غیر محلّها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ولیت شعری کیف نسب القول بجریان النزاع فی المتساویین إلی المحقّق الخراسانی قدس سره و لم ینسب إلیه جریانه فیما إذا کان الوصف أعمّ مطلقاً، مع أنّه مصرّح بذلک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استدرکه المحقّق لیس سهواً من قلمه الشریف کما توهّم، فلاحظ الکفایة و تأمّل فیما ذکره أوّلًا، و ما استدرکه 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المنخول من تعلیقات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عوالی اللآلی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اقتبست ما فی المتن من مجموع ما أفاده المحقّق العراقی قدس سره فی ثلاث مقالات، لا من مقالة واحدة، فلیتذکّر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الحکمة المتعالیة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شرح المنظومة، 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شرح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التعادل و الترجیح،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شئت مزیداً لذلک 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افید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دخول الغایة فی المغیّا فیما إذا کانت الغایة قیداً للحکم، مستلزم لاجتماع الضدّین؛ ضرورة أنّه إذا کان مثل 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کلّه طاهر حتّی تعلم أنّه قذر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داخلًا فی المغیّا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طهارة مشکوک النجاسة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لزم منه طهارة معلوم النجاسة، و اجتماع الطهارة و النجاسة فی معلوم النجاسة، و لیس ذلک إلّا اجتماع الضدّین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إن لم یکن للبصرة و الکوفة سور، و لم یکن حدّاهما معلومین، فلا بدّ من إدخال شی‌ء منهما فی سیره ابتداءً و انتهاءً، لکنّه کلام آخر خارج عن موضوع البحث، کما لا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مغنی اللبیب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شرح العضدی علی مختصر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المحصول فی علم اصول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الوضوء،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القراءة فی الصلاة،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القیام،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شرح العضدی علی مختصر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المحصول فی علم اصول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کفایة الاصول، المحقّق المشکینی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تأریخ شروع البحث یوم الأربعاء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 المرجّب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سنة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مراده قدس سره أنّ حرمة هذه الخمر تکون موقوفة ثبوتاً علی حرمة کلّ خمر،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مبحث النواهی و المطلق و المقیّد من 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یذهب علیک أنّ المحقّق النائینی قدس سره یری أنّ تسمیة ما یکون علی وجه البدلیة بالعموم، لا تخلو عن تسامح؛ لأنّ العموم بمعنی الشمول و البدلیة ینافیه، فقال قدس سره بمقال المحقّق الخراسانی فی العامّ الاستغراقی و المجموعی فقط،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تلقّینا من سماحة الاستاذ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الدورة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لو کان المخصّص الکذائی وارداً بلسان الحکومة علی نحو الشرح و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إذا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العلماء هو غیر الفسّاق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الوجوب لم یجعل علی الفاسق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فحیث إنّه مبیّن و مفسّر للعامّ فکأنّه مخصّص متصل، فلا یمکن القول بصیرورة العامّ معنوناً 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مع ذلک فالمسألة بعد محلّ إشکال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أفاده سماحة الاستاذ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هذه الدورة، و لم تکن التقریرات حاضرة لدیه، و لکن الذی تلقّیناه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الدورة السابقة و لعلّ التقریرات کانت حاضرة لدیه آنذاک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الشیخ الأعظم أعلی اللَّه مقامه ذهب إلی أنّ التمسّک بالعامّ، لا بدّ و أن یکون بعد تمامیة الدلالة التصدیقیة، و إنّما یتمّ ذلک فیما إذا کان المولی بصدد بیان شمول الحکم لجمیع الأفراد، و لم یتمّ ذلک بعد التخصیص، فعدم جواز التمسّک بالعامّ حینئذٍ علی مذهب الشیخ أعلی اللَّه مقامه باعتبار أنّ المولی لم یکن بصدد إفهام شمول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أکرم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لجمیع أفراد العلماء و إن لم یکونوا عدولًا</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تشریح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ما یکتسب به،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یذهب علیک أنّ المراد بعنوان العامّ و الخاصّ، عنوان الکثرة الإجمالیة، لا عنوان العالم أو الفاسق،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عنی به استاذنا الأعظم البروجردی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کلامه قدس سره یدلّ علی أنّ الحکم فی العامّ و الخاصّ تعلّق علی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المثال المعروف، و قد أشرنا إلی أنّ هذا شأن المطلق و المقیّد، لا العامّ و الخاصّ؛ فإنّ الحکم فیهما معلّق علی عنوان الکثرة الإجمالیة،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تعطّل الدرس لأجل قدوم شهر اللَّه المبارک یوم الاثنین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شعبان المعظّم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سنة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لم یتعرّض سماحة الاستاذ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لکلام المحقّق النائینی قدس سره و ردّه، و لکن تعرّض لکلامه و ردّه فی الدورة السابقة، فأحببنا إیراد خلاصة ما استفدناه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الدورة السابقة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فاجعة مؤلمة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أشرنا إلی تعطّل الدرس لأجل قدوم شهر اللَّه المبارک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الاثنین من عشرین شعبان المعظّم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هذا الاحتمال هو الظاهر من کلامه، و علی الأقلّ یکون المثالان عنده، مورداً متیقّناً لجواز التمسّک بالعامّ عندهم، فیتوجّه علیه ما فی المتن،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السنن الکبری، البیهقی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کتاب الصلح،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یذهب علیک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فرق 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له القیام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مفاد الأوّل الهوهویة؛ و أنّ زیداً هو القائم، و أمّا الثانی فمفاده إثبات العرضی له،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کتاب الودیعة،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کتاب الصلاة، أبواب صلاة الجماعة، الباب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صرّح المحقّق النائینی قدس سره بذلک فی رسالة اللباس المشکوک فیه التی هی من رشحات قلمه الشریف، فلاحظ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استفدناه من سماحة الاستاذ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ولیت شعری أیّ مانع ثبوتی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العامّ المخصّص بعد التخصیص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یکون مرکّباً من جزءین؟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فکما یمکن أن یکون الموضوع جدّاً مقیّداً و متصفاً، فکذلک یمکن أن یکون مرکّباً من جزءین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شأن التخصیص هو إیجاب تعنون موضوع العامّ بغیر عنوان المخصّص جدّاً، و لا یبعد دعوی ذلک فی مقام الإثبات، فافهم و 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بأن قیّد نذر الإحرام بکونه قبل المیقات، و نذر الصوم بکونه فی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اصول الشریعة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المتراءی فی النظر من کلام المحقّق الخراسانی قدس سره صدراً و ذیلًا، هو الذی استفاده تلمیذه المحقّق العراقی قدس سره لا ما ذکره سماحة الاستاذ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إلیک نصّ کلامه، فلاحظه و اقض بالوفاق أو الخلاف، قال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اختصاص حجّیتها بما إذا شکّ فی کون فرد العامّ محکوماً بحکمه، کما هو قضیة عمومه، و المثبت من الاصول اللفظیة و إن کان حجّة، إلّا أنّه لا بدّ من الاقتصار علی ما یساعد علیه الدلیل، و لا دلیل هنا إلّا السیرة و بناء العقلاء، و لم یعلم استقرار بنائهم علی ذلک، فلا تغفل،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استفدنا من سماحة الاستاذ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لا یوجد فی عبارة المحقّق العراقی قدس سره هنا ما یدلّ علی دخالة لحاظ المولی فی حجّیة اللازم، بل الذی نصّ علیه هو عدم نظر العموم إلی تعیین الصغری نفیاً و إثباتاً، و هذا عبارة اخری عمّا ذکره سماحة الاستاذ من أنّ الکبری الکلّیة لا تعرّض لها لتعیین الصغری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الانحلال علی نحوین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انحلال وجدانی، فلا بدّ فیه من انحلاله بالعلم، و انحلال حکمی؛ و هو أن یکون بالتعبّد و قیام الأمارة علیه، و ما نحن فیه من قبیل الثانی؛ لأنّ العقلاء یعتمدون علی أصالة العموم فی مورد احتمال التخصیص، فتنحلّ بذلک الحجّة الإجمالیة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المردّدة بین کونها زیداً العالم، أو زیداً الجاهل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العلم التعبّدی بوجوب إکرام زید العالم، و حرمة إکرام زید الجاهل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قدس سره تعیین محطّ النزاع عند القوم، بل هو بصدد بیان ما ینبغی أن یکون محلّ الکلام، و قد صرّح بذلک،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التعادل و الترجیح، الإمام الخمینی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الغرویة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وافقه فی ذلک المحقّق النائینی قدس سره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أسماء الأجناس تشمل الحاضر و الغائب و المعدوم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أشار إلی هذا سماحته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الدورة السابقة؛ حسبما ضبطته فی الکراسة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صرّح أعلی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الظاهر أنّ النزاع إنّما هو فی الخطابات المشافهة، و أمّا فی غیرها فلم نجد مخالفاً فی شمول 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عَلَی النَّاسِ حِجُّ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للمعدومین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کما أفاده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الدورة السابقة؛ أنّ المعدوم لا یطلق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عقلًا، و لا یمکن عقد الاخوّة بین المعدومین فی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المُؤمِنُونَ اخْوَةٌ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ردّ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أسماء الأجناس تشمل غیر الموجودین بلا 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المراد منه شمولها لهم حال عدمهم فهو ضروری البطلان، و إن کان المراد منه انطباقها علیهم فی ظرف الوجود فهو حقّ، لکنّه راجع إلی القضیة الحقیقیة، و هو جواب عن الإشکال، کما سیأتی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القضیة الشخصیة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فخارجة عن المقسم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نظیر هذا الاشتباه کثیر، و لأجل ذلک و لعدم توهّم خصوصیة المورد، تری کثیراً من المنطقیین و الحکماء یرمزون للموجبة الکلیّة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ج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إنسان حیوان ناطق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 غیرها؛ لئلّا یتوهّم متوهّم اختصاص الحکم بالمثال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تمهّد لک ما ذکرنا، یظهر لک الفرق بین هذه الثمرة و الثمرة الثانیة؛ فإنّ محطّ النظر فی الاولی، هو صحّة احتجاج المعدومین بظواهر الخطابات المتوجّهة إلی المشافهین، ثمّ تسریتها للمعدومین بدلیل اشتراک التکلیف، فإن کانت حجّیة الظواهر مختصّة بالمشافهین، فلا یصحّ لنا التمسّک بها لاستفادة حکمهم؛ حتّی یسری فی حقّنا بدلیل الاشتراک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ببالی لم یصرّح سماحة الاستاذ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هذه الدورة بحکم هذه الصورة، و لعلّه نسیه، و لکنّه أفاده فی الدورة السابقة، و قد کتبنا ما استفدناه منه، و لکن لبعض الجهات ترکنا ما ضبطناه، و أوردنا ما أفاده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تأریخ شروع البحث یوم السبت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القعدة 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المعنی الکنائی یتحقّق بذکر الشی‌ء لغیره، و لا یکون ملحوظاً بحیاله، و مقتضی هذا أن لا یکون المنطوق محکوماً بحکم، فإن کانت استفادة المفهوم بلحاظ الأولویة و أفضل الأفراد، فیکون حکم هذا القسم مستفاداً من القسم الخامس؛ و هو ما إذا استفید حکم المفهوم من الأولویة القطعیة، فلا یکون قسماً علی حدة، و لا یخفی أنّ الفرق بینهما واضح بعد التدبّر، فالحری فی عنوان هذا القسم ما أفاده سماحة الاستاذ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إذا سیق الکلام لأجل إفادة حکم، فأُتی بأخفّ المصادیق مثلًا للانتقال إلی سائرها، مثل الآیة المتقدّمة إذا کان التلفّظ بکلمة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محکوماً بالحرمة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إیّاک أن تناقش فی المثال فإنّه لیس من دأب المحصّلین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صرّح استاذنا الأعظم البروجردی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نهایة الاصول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بأنّ دعوی الاتفاق فی مفهوم الموافقة بلا وجه؛ فإنّه یستفاد من کلام العضدی أنّ المسألة خلافیة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صرّح بأنّ الاتفاق فی أمثال هذه المسائل لا یستکشف منه قول المعصوم علیه السلام فلا حجّیة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0500</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عنی به استاذنا الأعظم البروجردی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الماء المطلق،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الماء المطلق،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نهایة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أشرنا إلی ما هو الظاهر من مقالة سماحة الاستاذ قدس سره و لعلّه قدس سره أراد بیان أنّه کلّما وقع التعارض بین العامّ و ما له المفهوم المخالف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کالمثالین فی المتن؛ حیث وقع التعارض بین عدم تنجّس الماء بملاقاة النجاسة مطلقاً، کما هو مفاد العامّ، و بین تنجّسه بالملاقاة إذا کان الماء قلیلًا، کما هو مفاد المفهوم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فالتعارض أوّلًا و بالذات بین العامّ و منطوقه؛ حیث إنّ المستفاد من العامّ أنّ تمام الموضوع لعدم التنجّس، هو حیثیة المائیة، و المستفاد من المنطوق أنّ حیثیة المائیة، جزء الموضوع، و جزؤه الآخر عنوان الکرّیة؛ من باب ظهور القید الزائد بما أنّه فعل اختیاری، فلا بدّ من رفع التعارض فی تلک المرحلة، و واضح أنّ التعارض من باب تعارض المطلق و المقیّد، و حیث إنّ ظهور القید فی کونه دخیلًا أقوی من ظهور المطلق فی کونه تمام الموضوع، فلا محالة یحمل المطلق علی المقیّد، و مقتضاه تقدیم ما له المفهوم علی العامّ، فعلی هذا لا تکون مقالته قدس سره أجنبیة عن المقام، و خارجة عن محطّ البحث، کما أفاده سماحة الاستاذ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تأریخ شروع البحث غرّة ذی الحجّة 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یمثّل لذلک بقوله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الَّذِینَ یَرْمُونَ الْمُحْصَنَاتِ ثُمَّ لَمْ یَأْتُوا بِأرْبَعَةِ شُهَدَاءَ فَاجْلِدُوهُمْ ثَمَانِینَ جَلْدَةً وَ لَا تَقْبَلُوا لَهُمْ شَهَادَةً أبَداً وَ اولئِکَ هُمُ الْفَاسِقُونَ إلّا الَّذِینَ تَابُوا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أفاد سماحة الاستاذ فی الدورة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کرّاستنا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لو قلنا بأنّ الموضوع له فی الحروف عامّ، کما یراه المحقّق الخراسانی قدس سره أو کانت آلة الاستثناء اسماً، کلفظة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کان المستثنی عنواناً کلّیاً، أو کان بحیث یصدق علیه عناوین المأخوذة فی الجمل مع کون آلة الاستثناء اسماً کقولک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أکرم الفقهاء، و أضف النحاة، و شاور الامراء، غیر الفسّاق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إشکال فی إرجاع الضمیر إلی الجمیع،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کانت الجملة المتوسّطة المشتملة علی الظاهر واحدة، و أمّا إذا تعدّدت فیظهر حکمها ممّا ذکر، کما لا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فرق 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الصورة الآتیة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کون المستثنی مشتملًا علی الضمیر، أو کان عنواناً ینطبق علی الجمیع؛ لما أشرنا سرّه فی الصورة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لمقرّره العلّامة الکاظمینی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لمقرّره العلّامة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إلی أنّ المثال الذی ذکره لعدم ذکر الموضوع، غیر سدید؛ لأنّ الموضوع مذکور فی المثال، کما لا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المراد عدم ذکر الحکم، و قد وقع الاشتباه من المستنسخ</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جری سماحة الاستاذ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علی مذاق القوم، و إلّا فمقدّمات الحکمة عنده لا تقتضی العموم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تأریخ الشروع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الحجّة 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استفدنا من مجلس الدرس، و لکن مقتضی التأمّل فی کلامه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استفدنا من بعض أعیان تلامذته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مراده بالفعلیة هذه هو الإنشائی علی مبنی غیره؛ لأنّه یری أنّ الإرادة فعلیة فی جمیع الواجبات؛ سواء کانت تنجیزیةً، أو تعلیقیةً، أو مشروطةً، و أنّ الفرق بینها هو أنّه فی الواجب التنجیزی، یکون الوجوب و الواجب غیر معلّق علی شی‌ء، و یکون ذا مصلحة قبله، فتعلّق الإرادة الفعلیة بهما، و لذا یجب تحصیل کلّ ما یتوقّف علیه، و فی الواجب التعلیقی یکون الوجوب فعلیاً، و الواجب ذا مصلحة فعلیة، و لکن یکون الإتیان به منوطاً و مشروطاً بشی‌ء، و فی الواجب المشروط و إن کان الوجوب فعلیاً أیضاً، و لکنّ الواجب لیس ذا مصلحة فعلیة، و إنّما یکون ذا مصلحة فعلیة إذا وجد الشرط</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علی هذا یلزم أن لا یصدق النسخ بعد وقت العمل أیضاً؛ لأنّ الحکم إنّما کان جدّیاً قبل النسخ، و لا یکون مراداً بالنسبة إلی الأزمنة المتتالیة، مع أنّه القی الحکم بصورة یوهم کون الحکم دائمیاً؛ لأنّ دلیل الناسخ لا ینافی دلیل المنسوخ بالنسبة إلی ما عمل به الذی کان مراداً جدّاً، و إنّما ینافیه بالنسبة إلی الأزمنة المتتالیة التی لم یردها جدّاً، فبالنسبة إلی مصبّ دلیل الناسخ، یکون وروده قبل العمل و بعده علی حدّ سواء بالنسبة إلی عدم واقعیة الحکم</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یعجبنی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تتمیماً للفائدة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الإشارة الإجمالیة إلی دفع ما حکی عن الیهود و النصاری فی استحالة النسخ، و إثبات إمکانه و وقوعه، و قد اقتبسناه ممّا أفاده بعض الأساطین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محاضراته، و حاصله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النسخ عبارة عن ارتفاع الحکم و انتهاء أمد الحکم المجعول فی الشریعة، و لا إشکال و لا کلام فی إمکانه و وقوعه فی الشریعة المقدّسة، کما هو المعروف و المشهور بین المسلمین</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أنّه ما لم یحرز ذلک یحمل علی التخصیص، و لعلّ وجهه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أنّ المقنّن و الشارع فی الحقیقة هو اللَّه تعالی، و إطلاق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النبی الأکرم صلی الله علیه و آله لیس علی سبیل الحقیقة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کتاب التجارة، أبواب مقدّماتها،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ضمن مصنّفات الشیخ المفید، الجزء الأوّل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یعجبنی إیراد ما ذکره سیّد مشایخنا الحکیم قدس سره فی حقائق الاصول فی مسألة استعمال اللفظ فی أکثر من معنی، و فی أنّ للقرآن بطوناً سبعة أو سبعین؛ ففیه تأیید و تبیین للمقال، قال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بعض الأعاظم دام تأییده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حضر یوماً منزل الآخوند ملّا فتح علی قدس سره مع جماعة من الأعیان، منهم السیّد إسماعیل الصدر رحمه الله و الحاجّ النوری صاحب المستدرک رحمه الله و السیّد حسن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فتلا الآخوند رحمه الله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اعْلَمُوا أنَّ فِیکُمْ رَسُولَ لَوْ یُطِیعُکُمْ فِی کَثِیرٍ مِنَ الأمْرِ لَعَنِتُّمْ وَ لَکِنَّ اللّهَ حَبَّبَ إلَیْکُمُ الإیمَانَ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ثمّ شرع فی تفسیر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حَبَّبَ إلَیْکُمُ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و بعد بیان طویل فسّرها بمعنی لمّا سمعوه منه استوضحوه، و استغربوا من عدم انتقالهم إلیه قبل بیانه، فحضروا عنده فی الیوم الثانی، ففسّرها بمعنی آخر غیر الأوّل، فاستوضحوه أیضاً، و تعجّبوا من عدم انتقالهم إلیه قبل بیانه، ثمّ حضروا عنده فی الیوم الثالث، فکان مثل ما کان فی الیومین الأوّلین، و لم یزالوا علی هذه الحال؛ کلّما حضروا عنده یوماً ذکر لها معنی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ما یقرب ثلاثین یوماً، و کلّما سمعوا منه استوضحوه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نقل الثقات لهذا المفسّر کرامات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تعطّلت دروس الحوزة العلمیة المقدّسة بقم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صانها اللَّه من الحوادث و البلیات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بمناسبة حلول الصیف، و کان ذلک یوم الأحد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الحجّة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سنة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الحمد للَّه أوّلًا و آخراً، حرّره العبد الفانی السیّد محمّد حسن المرتضوی اللنگرودی عفی عنه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یتعرّض سماحة الاستاذ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هذه الدورة لهذا المبحث، و قد تعرّض له فی الدورة السابقة، فأحببت الإشارة إلیه تتمیماً للفائدة؛ مقتبساً ممّا أفاد سماحته فی الدورة السابقة، و ما قیل فی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اصول الشریعة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رسائل الشریف المرتضی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فی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قوانین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الکفایة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جواز تخصیص الکتاب بخبر الواحد المعتبر بالخصوص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مراده بهذا الخبر الذی قام الدلیل علی اعتباره بالخصوص، لا ما ثبت اعتباره بدلیل الانسداد، فهو قدس سره مفصّل فی المسألة بأنّه إن ثبتت حجّیة خبر الواحد بالظنّ الخاصّ، یصحّ تخصیص الکتاب به، دون ما إذا ثبتت حجّیته بالظنّ المطلق و دلیل الانسداد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یمکن تصحیح مقاله بأنّ ذلک فیما إذا کانت نتیجة مقدّمات الانسداد، التبعیض فی الاحتیاط، أو حکم العقل بالعمل بالظنّ عند ذلک؛ لأنّه لا یکون خبر الواحد عند ذلک، حجّة شرعیة حتّی یصلح لتخصیص الحجّة الشرعیة، و أمّا إذا کانت نتیجتها کشفها عن حجّیة الظنّ شرعاً، فإذا أفاد خبر الواحد الظنّ، فالظاهر أنّ وزانه وزان ما إذا ثبتت حجّیته بدلیل خاصّ فی جواز تخصیص الکتاب به،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کتاب القضاء، أبواب صفات القاضی،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أفاده بعض الأساطین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بعد ثبوت حجّیة خبر الواحد شرعاً بدلیل قطعی یکون رفع الید عن عموم الکتاب أو إطلاقه بالخبر، رفعاً للید عنه بالقطع</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اصول الفقه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تأریخ شروع البحث بعد التعطیلات یوم السبت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ربیع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إلی أنّه یشعر بکون الإطلاق و التقیید من صفات اللفظ، و هذا ینافی ما هو الظاهر من أنّهما من صفات المعنی،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المنظومة، قسم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المقسم هو نفس الماهیة و ذاتها من حیث هی؛ علی وجه تکون الحیثیة مرآة للذات، ثمّ أمر بالتأمّل، و أنت خبیر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لا یغنی و لا یسمن عن بیان ما یمتاز به القسم عن المقسم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استاذنا الأعظم البروجردی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هل تری أنّه بمجرّد اعتبار شی‌ء لا بشرط، یتحد مع ألف شرط، و بعد اعتباره بشرط لا یمتنع عن الاتحاد؟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إلّا اختلاق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فصوص الحکم، القیصری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یظهر من العلّامة الحائری قدس سره أنّ الشبح الذی یراه الإنسان من بعید و یتردّد بین کونه زیداً أو عمراً أو إنساناً أو غیره، هو جزئی، و لا یخرجه التردّد عن الجزئیة، و هو أیضاً غیر وجیه؛ ضرورة أنّ الکلّیة وصف للصور المنتقشة فی الذهن بلحاظ قابلیتها للصدق علی الخارج، و معلوم أنّ الصورة المنتقشة فی الذهن من الشبح کذلک، و لا ینافی هذا جزئیة الشبح الخارجی، و لعلّه اختلط لدیه قدس سره حکم الخارج بالذهن،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من لم یکن فی مقام تمام مراده 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بصدد إثبات الحکم لطبیعة الموضوع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بذکر بعض خصوصیاته، و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یکون فی مقام الإجمال أیضاً؛ بأن یکون فی مقام بیان سنخ موضوع الحکم، کما إذا قال الطبیب للمریض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 محتاج إلی شرب الدواء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کان المتکلّم فی مقام أصل تشریع الحکم، أو بیان حکم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تأریخ الشروع یوم الأحد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ربیع الثانی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کتاب الطهارة، أبواب نواقض الوضوء،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الترجیح للأسد؛ لأنّ ظهوره بالوضع، بخلاف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بالإطلاق، و الظهور المستند إلی الوضع أقوی من الظهور المستند إلی الإطلاق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بذلک أنّ النهی لم یتعلّق بالطبیعة المقیّدة، بل بإضافة الطبیعة إلی القید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المحقّق الحائری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السطر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تقدیر تمامیة هذا الجمع لا یختصّ بصورة عدم إحراز کون الأمر و النهی للوجوب و الحرمة، بل یجری فی جمیع الصور التی یکون بین المطلق و المقیّد تنافٍ، فذکر هذا الجمع و دفعه هنا، کأنّه فی غیر محلّه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کفایة عتق الرقبة المؤمنة بعد تحقّق الظهار منه و عدمها کلام تقدّم تحقیقه فی مسألة تداخل الأسباب و المسبّبات،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المقرّر حفظه اللَّه</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الوصول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image" Target="media/image2.jpeg"/><Relationship Id="rId579" Type="http://schemas.openxmlformats.org/officeDocument/2006/relationships/image" Target="media/image2.jpeg"/><Relationship Id="rId580" Type="http://schemas.openxmlformats.org/officeDocument/2006/relationships/footer" Target="footer573.xml"/><Relationship Id="rId581" Type="http://schemas.openxmlformats.org/officeDocument/2006/relationships/footnotes" Target="footnotes.xml"/><Relationship Id="rId582" Type="http://schemas.openxmlformats.org/officeDocument/2006/relationships/numbering" Target="numbering.xml"/><Relationship Id="rId583" Type="http://schemas.openxmlformats.org/officeDocument/2006/relationships/fontTable" Target="fontTable.xml"/><Relationship Id="rId584" Type="http://schemas.openxmlformats.org/officeDocument/2006/relationships/settings" Target="settings.xml"/><Relationship Id="rId5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582</Pages>
  <Words>62763</Words>
  <Characters>266491</Characters>
  <CharactersWithSpaces>327434</CharactersWithSpaces>
  <Paragraphs>1821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2026-08-23T22:19:07Z</dcterms:created>
  <dc:creator>ghaemiyeh.com</dc:creator>
  <dc:description/>
  <dc:language>en-US</dc:language>
  <cp:lastModifiedBy/>
  <dcterms:modified xsi:type="dcterms:W3CDTF">2026-08-24T01:49:23Z</dcterms:modified>
  <cp:revision>1</cp:revision>
  <dc:subject/>
  <dc:title>جواهر الاصول تقریر ابحاث لاستاد روح الله الموسوی الامام الخمینی قدس سره جلد 4</dc:title>
</cp:coreProperties>
</file>

<file path=docProps/custom.xml><?xml version="1.0" encoding="utf-8"?>
<Properties xmlns="http://schemas.openxmlformats.org/officeDocument/2006/custom-properties" xmlns:vt="http://schemas.openxmlformats.org/officeDocument/2006/docPropsVTypes"/>
</file>