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5321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25323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25325_3224264995">
            <w:r>
              <w:rPr>
                <w:webHidden/>
                <w:rStyle w:val="IndexLink"/>
                <w:rtl w:val="true"/>
              </w:rPr>
              <w:t>المقصد السابع فی الاصول العملیة</w:t>
            </w:r>
            <w:r>
              <w:rPr>
                <w:rStyle w:val="IndexLink"/>
                <w:rtl w:val="true"/>
              </w:rPr>
              <w:tab/>
            </w:r>
            <w:r>
              <w:rPr>
                <w:rStyle w:val="IndexLink"/>
              </w:rPr>
              <w:t>12</w:t>
            </w:r>
          </w:hyperlink>
        </w:p>
        <w:p>
          <w:pPr>
            <w:pStyle w:val="Contents3"/>
            <w:tabs>
              <w:tab w:val="clear" w:pos="8459"/>
              <w:tab w:val="right" w:pos="9026" w:leader="dot"/>
            </w:tabs>
            <w:rPr/>
          </w:pPr>
          <w:hyperlink w:anchor="__RefHeading___Toc3425327_3224264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425329_3224264995">
            <w:r>
              <w:rPr>
                <w:webHidden/>
                <w:rStyle w:val="IndexLink"/>
                <w:rtl w:val="true"/>
              </w:rPr>
              <w:t>القول فی البراءة</w:t>
            </w:r>
            <w:r>
              <w:rPr>
                <w:rStyle w:val="IndexLink"/>
                <w:rtl w:val="true"/>
              </w:rPr>
              <w:tab/>
            </w:r>
            <w:r>
              <w:rPr>
                <w:rStyle w:val="IndexLink"/>
              </w:rPr>
              <w:t>13</w:t>
            </w:r>
          </w:hyperlink>
        </w:p>
        <w:p>
          <w:pPr>
            <w:pStyle w:val="Contents4"/>
            <w:tabs>
              <w:tab w:val="clear" w:pos="8176"/>
              <w:tab w:val="right" w:pos="9026" w:leader="dot"/>
            </w:tabs>
            <w:rPr/>
          </w:pPr>
          <w:hyperlink w:anchor="__RefHeading___Toc3425331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425333_3224264995">
            <w:r>
              <w:rPr>
                <w:webHidden/>
                <w:rStyle w:val="IndexLink"/>
                <w:rtl w:val="true"/>
              </w:rPr>
              <w:t>تمهید</w:t>
            </w:r>
            <w:r>
              <w:rPr>
                <w:rStyle w:val="IndexLink"/>
                <w:rtl w:val="true"/>
              </w:rPr>
              <w:tab/>
            </w:r>
            <w:r>
              <w:rPr>
                <w:rStyle w:val="IndexLink"/>
              </w:rPr>
              <w:t>14</w:t>
            </w:r>
          </w:hyperlink>
        </w:p>
        <w:p>
          <w:pPr>
            <w:pStyle w:val="Contents5"/>
            <w:tabs>
              <w:tab w:val="clear" w:pos="7892"/>
              <w:tab w:val="right" w:pos="9026" w:leader="dot"/>
            </w:tabs>
            <w:rPr/>
          </w:pPr>
          <w:hyperlink w:anchor="__RefHeading___Toc3425335_3224264995">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425337_3224264995">
            <w:r>
              <w:rPr>
                <w:webHidden/>
                <w:rStyle w:val="IndexLink"/>
                <w:rtl w:val="true"/>
              </w:rPr>
              <w:t>الأمر الأوّل</w:t>
            </w:r>
            <w:r>
              <w:rPr>
                <w:rStyle w:val="IndexLink"/>
                <w:rtl w:val="true"/>
              </w:rPr>
              <w:t xml:space="preserve">: </w:t>
            </w:r>
            <w:r>
              <w:rPr>
                <w:rStyle w:val="IndexLink"/>
                <w:rtl w:val="true"/>
              </w:rPr>
              <w:t>فی بیان حالات المکلّف و ذکر مجاری الاصول</w:t>
            </w:r>
            <w:r>
              <w:rPr>
                <w:rStyle w:val="IndexLink"/>
                <w:rtl w:val="true"/>
              </w:rPr>
              <w:tab/>
            </w:r>
            <w:r>
              <w:rPr>
                <w:rStyle w:val="IndexLink"/>
              </w:rPr>
              <w:t>14</w:t>
            </w:r>
          </w:hyperlink>
        </w:p>
        <w:p>
          <w:pPr>
            <w:pStyle w:val="Contents5"/>
            <w:tabs>
              <w:tab w:val="clear" w:pos="7892"/>
              <w:tab w:val="right" w:pos="9026" w:leader="dot"/>
            </w:tabs>
            <w:rPr/>
          </w:pPr>
          <w:hyperlink w:anchor="__RefHeading___Toc3425339_3224264995">
            <w:r>
              <w:rPr>
                <w:webHidden/>
                <w:rStyle w:val="IndexLink"/>
                <w:rtl w:val="true"/>
              </w:rPr>
              <w:t>الأمر الثانی</w:t>
            </w:r>
            <w:r>
              <w:rPr>
                <w:rStyle w:val="IndexLink"/>
                <w:rtl w:val="true"/>
              </w:rPr>
              <w:t xml:space="preserve">: </w:t>
            </w:r>
            <w:r>
              <w:rPr>
                <w:rStyle w:val="IndexLink"/>
                <w:rtl w:val="true"/>
              </w:rPr>
              <w:t>فی وجه تقدیم الأمارات علی الاصول</w:t>
            </w:r>
            <w:r>
              <w:rPr>
                <w:rStyle w:val="IndexLink"/>
                <w:rtl w:val="true"/>
              </w:rPr>
              <w:tab/>
            </w:r>
            <w:r>
              <w:rPr>
                <w:rStyle w:val="IndexLink"/>
              </w:rPr>
              <w:t>16</w:t>
            </w:r>
          </w:hyperlink>
        </w:p>
        <w:p>
          <w:pPr>
            <w:pStyle w:val="Contents5"/>
            <w:tabs>
              <w:tab w:val="clear" w:pos="7892"/>
              <w:tab w:val="right" w:pos="9026" w:leader="dot"/>
            </w:tabs>
            <w:rPr/>
          </w:pPr>
          <w:hyperlink w:anchor="__RefHeading___Toc3425341_3224264995">
            <w:r>
              <w:rPr>
                <w:webHidden/>
                <w:rStyle w:val="IndexLink"/>
                <w:rtl w:val="true"/>
              </w:rPr>
              <w:t>الأمر الثالث</w:t>
            </w:r>
            <w:r>
              <w:rPr>
                <w:rStyle w:val="IndexLink"/>
                <w:rtl w:val="true"/>
              </w:rPr>
              <w:t xml:space="preserve">: </w:t>
            </w:r>
            <w:r>
              <w:rPr>
                <w:rStyle w:val="IndexLink"/>
                <w:rtl w:val="true"/>
              </w:rPr>
              <w:t>وحدة مناط البحث فی جمیع أقسام الشبهات</w:t>
            </w:r>
            <w:r>
              <w:rPr>
                <w:rStyle w:val="IndexLink"/>
                <w:rtl w:val="true"/>
              </w:rPr>
              <w:tab/>
            </w:r>
            <w:r>
              <w:rPr>
                <w:rStyle w:val="IndexLink"/>
              </w:rPr>
              <w:t>19</w:t>
            </w:r>
          </w:hyperlink>
        </w:p>
        <w:p>
          <w:pPr>
            <w:pStyle w:val="Contents4"/>
            <w:tabs>
              <w:tab w:val="clear" w:pos="8176"/>
              <w:tab w:val="right" w:pos="9026" w:leader="dot"/>
            </w:tabs>
            <w:rPr/>
          </w:pPr>
          <w:hyperlink w:anchor="__RefHeading___Toc3425343_3224264995">
            <w:r>
              <w:rPr>
                <w:webHidden/>
                <w:rStyle w:val="IndexLink"/>
                <w:rtl w:val="true"/>
              </w:rPr>
              <w:t>حول استدلال الاصولیّین علی البراءة</w:t>
            </w:r>
            <w:r>
              <w:rPr>
                <w:rStyle w:val="IndexLink"/>
                <w:rtl w:val="true"/>
              </w:rPr>
              <w:tab/>
            </w:r>
            <w:r>
              <w:rPr>
                <w:rStyle w:val="IndexLink"/>
              </w:rPr>
              <w:t>20</w:t>
            </w:r>
          </w:hyperlink>
        </w:p>
        <w:p>
          <w:pPr>
            <w:pStyle w:val="Contents5"/>
            <w:tabs>
              <w:tab w:val="clear" w:pos="7892"/>
              <w:tab w:val="right" w:pos="9026" w:leader="dot"/>
            </w:tabs>
            <w:rPr/>
          </w:pPr>
          <w:hyperlink w:anchor="__RefHeading___Toc3425345_3224264995">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425347_3224264995">
            <w:r>
              <w:rPr>
                <w:webHidden/>
                <w:rStyle w:val="IndexLink"/>
                <w:rtl w:val="true"/>
              </w:rPr>
              <w:t>الاستدلال بالآیات</w:t>
            </w:r>
            <w:r>
              <w:rPr>
                <w:rStyle w:val="IndexLink"/>
                <w:rtl w:val="true"/>
              </w:rPr>
              <w:tab/>
            </w:r>
            <w:r>
              <w:rPr>
                <w:rStyle w:val="IndexLink"/>
              </w:rPr>
              <w:t>20</w:t>
            </w:r>
          </w:hyperlink>
        </w:p>
        <w:p>
          <w:pPr>
            <w:pStyle w:val="Contents5"/>
            <w:tabs>
              <w:tab w:val="clear" w:pos="7892"/>
              <w:tab w:val="right" w:pos="9026" w:leader="dot"/>
            </w:tabs>
            <w:rPr/>
          </w:pPr>
          <w:hyperlink w:anchor="__RefHeading___Toc3425349_3224264995">
            <w:r>
              <w:rPr>
                <w:webHidden/>
                <w:rStyle w:val="IndexLink"/>
                <w:rtl w:val="true"/>
              </w:rPr>
              <w:t>الاستدلال بالروایات علی البراءة</w:t>
            </w:r>
            <w:r>
              <w:rPr>
                <w:rStyle w:val="IndexLink"/>
                <w:rtl w:val="true"/>
              </w:rPr>
              <w:tab/>
            </w:r>
            <w:r>
              <w:rPr>
                <w:rStyle w:val="IndexLink"/>
              </w:rPr>
              <w:t>31</w:t>
            </w:r>
          </w:hyperlink>
        </w:p>
        <w:p>
          <w:pPr>
            <w:pStyle w:val="Contents6"/>
            <w:tabs>
              <w:tab w:val="clear" w:pos="7609"/>
              <w:tab w:val="right" w:pos="9026" w:leader="dot"/>
            </w:tabs>
            <w:rPr/>
          </w:pPr>
          <w:hyperlink w:anchor="__RefHeading___Toc3425351_3224264995">
            <w:r>
              <w:rPr>
                <w:webHidden/>
                <w:rStyle w:val="IndexLink"/>
                <w:rtl w:val="true"/>
              </w:rPr>
              <w:t>الروایة الاولی</w:t>
            </w:r>
            <w:r>
              <w:rPr>
                <w:rStyle w:val="IndexLink"/>
                <w:rtl w:val="true"/>
              </w:rPr>
              <w:t xml:space="preserve">: </w:t>
            </w:r>
            <w:r>
              <w:rPr>
                <w:rStyle w:val="IndexLink"/>
                <w:rtl w:val="true"/>
              </w:rPr>
              <w:t>حدیث الرفع</w:t>
            </w:r>
            <w:r>
              <w:rPr>
                <w:rStyle w:val="IndexLink"/>
                <w:rtl w:val="true"/>
              </w:rPr>
              <w:tab/>
            </w:r>
            <w:r>
              <w:rPr>
                <w:rStyle w:val="IndexLink"/>
              </w:rPr>
              <w:t>31</w:t>
            </w:r>
          </w:hyperlink>
        </w:p>
        <w:p>
          <w:pPr>
            <w:pStyle w:val="Contents6"/>
            <w:tabs>
              <w:tab w:val="clear" w:pos="7609"/>
              <w:tab w:val="right" w:pos="9026" w:leader="dot"/>
            </w:tabs>
            <w:rPr/>
          </w:pPr>
          <w:hyperlink w:anchor="__RefHeading___Toc3425353_3224264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425355_3224264995">
            <w:r>
              <w:rPr>
                <w:webHidden/>
                <w:rStyle w:val="IndexLink"/>
                <w:rtl w:val="true"/>
              </w:rPr>
              <w:t>الأمر الأوّل</w:t>
            </w:r>
            <w:r>
              <w:rPr>
                <w:rStyle w:val="IndexLink"/>
                <w:rtl w:val="true"/>
              </w:rPr>
              <w:t xml:space="preserve">: </w:t>
            </w:r>
            <w:r>
              <w:rPr>
                <w:rStyle w:val="IndexLink"/>
                <w:rtl w:val="true"/>
              </w:rPr>
              <w:t>فی شمول الحدیث للشبهات الحکمیة</w:t>
            </w:r>
            <w:r>
              <w:rPr>
                <w:rStyle w:val="IndexLink"/>
                <w:rtl w:val="true"/>
              </w:rPr>
              <w:tab/>
            </w:r>
            <w:r>
              <w:rPr>
                <w:rStyle w:val="IndexLink"/>
              </w:rPr>
              <w:t>31</w:t>
            </w:r>
          </w:hyperlink>
        </w:p>
        <w:p>
          <w:pPr>
            <w:pStyle w:val="Contents6"/>
            <w:tabs>
              <w:tab w:val="clear" w:pos="7609"/>
              <w:tab w:val="right" w:pos="9026" w:leader="dot"/>
            </w:tabs>
            <w:rPr/>
          </w:pPr>
          <w:hyperlink w:anchor="__RefHeading___Toc3425357_3224264995">
            <w:r>
              <w:rPr>
                <w:webHidden/>
                <w:rStyle w:val="IndexLink"/>
                <w:rtl w:val="true"/>
              </w:rPr>
              <w:t>الأمر الثانی</w:t>
            </w:r>
            <w:r>
              <w:rPr>
                <w:rStyle w:val="IndexLink"/>
                <w:rtl w:val="true"/>
              </w:rPr>
              <w:t xml:space="preserve">: </w:t>
            </w:r>
            <w:r>
              <w:rPr>
                <w:rStyle w:val="IndexLink"/>
                <w:rtl w:val="true"/>
              </w:rPr>
              <w:t>معنی الرفع فی الحدیث</w:t>
            </w:r>
            <w:r>
              <w:rPr>
                <w:rStyle w:val="IndexLink"/>
                <w:rtl w:val="true"/>
              </w:rPr>
              <w:tab/>
            </w:r>
            <w:r>
              <w:rPr>
                <w:rStyle w:val="IndexLink"/>
              </w:rPr>
              <w:t>38</w:t>
            </w:r>
          </w:hyperlink>
        </w:p>
        <w:p>
          <w:pPr>
            <w:pStyle w:val="Contents6"/>
            <w:tabs>
              <w:tab w:val="clear" w:pos="7609"/>
              <w:tab w:val="right" w:pos="9026" w:leader="dot"/>
            </w:tabs>
            <w:rPr/>
          </w:pPr>
          <w:hyperlink w:anchor="__RefHeading___Toc3425359_3224264995">
            <w:r>
              <w:rPr>
                <w:webHidden/>
                <w:rStyle w:val="IndexLink"/>
                <w:rtl w:val="true"/>
              </w:rPr>
              <w:t>الأمر الثالث</w:t>
            </w:r>
            <w:r>
              <w:rPr>
                <w:rStyle w:val="IndexLink"/>
                <w:rtl w:val="true"/>
              </w:rPr>
              <w:t xml:space="preserve">: </w:t>
            </w:r>
            <w:r>
              <w:rPr>
                <w:rStyle w:val="IndexLink"/>
                <w:rtl w:val="true"/>
              </w:rPr>
              <w:t>فی کیفیة حکومة حدیث الرفع</w:t>
            </w:r>
            <w:r>
              <w:rPr>
                <w:rStyle w:val="IndexLink"/>
                <w:rtl w:val="true"/>
              </w:rPr>
              <w:tab/>
            </w:r>
            <w:r>
              <w:rPr>
                <w:rStyle w:val="IndexLink"/>
              </w:rPr>
              <w:t>42</w:t>
            </w:r>
          </w:hyperlink>
        </w:p>
        <w:p>
          <w:pPr>
            <w:pStyle w:val="Contents6"/>
            <w:tabs>
              <w:tab w:val="clear" w:pos="7609"/>
              <w:tab w:val="right" w:pos="9026" w:leader="dot"/>
            </w:tabs>
            <w:rPr/>
          </w:pPr>
          <w:hyperlink w:anchor="__RefHeading___Toc3425361_3224264995">
            <w:r>
              <w:rPr>
                <w:webHidden/>
                <w:rStyle w:val="IndexLink"/>
                <w:rtl w:val="true"/>
              </w:rPr>
              <w:t>الأمر الرابع</w:t>
            </w:r>
            <w:r>
              <w:rPr>
                <w:rStyle w:val="IndexLink"/>
                <w:rtl w:val="true"/>
              </w:rPr>
              <w:t xml:space="preserve">: </w:t>
            </w:r>
            <w:r>
              <w:rPr>
                <w:rStyle w:val="IndexLink"/>
                <w:rtl w:val="true"/>
              </w:rPr>
              <w:t>فی بیان المصحّح لإسناد الرفع</w:t>
            </w:r>
            <w:r>
              <w:rPr>
                <w:rStyle w:val="IndexLink"/>
                <w:rtl w:val="true"/>
              </w:rPr>
              <w:tab/>
            </w:r>
            <w:r>
              <w:rPr>
                <w:rStyle w:val="IndexLink"/>
              </w:rPr>
              <w:t>44</w:t>
            </w:r>
          </w:hyperlink>
        </w:p>
        <w:p>
          <w:pPr>
            <w:pStyle w:val="Contents6"/>
            <w:tabs>
              <w:tab w:val="clear" w:pos="7609"/>
              <w:tab w:val="right" w:pos="9026" w:leader="dot"/>
            </w:tabs>
            <w:rPr/>
          </w:pPr>
          <w:hyperlink w:anchor="__RefHeading___Toc3425363_3224264995">
            <w:r>
              <w:rPr>
                <w:webHidden/>
                <w:rStyle w:val="IndexLink"/>
                <w:rtl w:val="true"/>
              </w:rPr>
              <w:t>الأمر الخامس</w:t>
            </w:r>
            <w:r>
              <w:rPr>
                <w:rStyle w:val="IndexLink"/>
                <w:rtl w:val="true"/>
              </w:rPr>
              <w:t xml:space="preserve">: </w:t>
            </w:r>
            <w:r>
              <w:rPr>
                <w:rStyle w:val="IndexLink"/>
                <w:rtl w:val="true"/>
              </w:rPr>
              <w:t>فی شمول الحدیث للُامور العدمیة</w:t>
            </w:r>
            <w:r>
              <w:rPr>
                <w:rStyle w:val="IndexLink"/>
                <w:rtl w:val="true"/>
              </w:rPr>
              <w:tab/>
            </w:r>
            <w:r>
              <w:rPr>
                <w:rStyle w:val="IndexLink"/>
              </w:rPr>
              <w:t>47</w:t>
            </w:r>
          </w:hyperlink>
        </w:p>
        <w:p>
          <w:pPr>
            <w:pStyle w:val="Contents6"/>
            <w:tabs>
              <w:tab w:val="clear" w:pos="7609"/>
              <w:tab w:val="right" w:pos="9026" w:leader="dot"/>
            </w:tabs>
            <w:rPr/>
          </w:pPr>
          <w:hyperlink w:anchor="__RefHeading___Toc3425365_3224264995">
            <w:r>
              <w:rPr>
                <w:webHidden/>
                <w:rStyle w:val="IndexLink"/>
                <w:rtl w:val="true"/>
              </w:rPr>
              <w:t>الأمر السادس فی شمول الحدیث للأجزاء و الشرائط و الأسباب و المسبّبات</w:t>
            </w:r>
            <w:r>
              <w:rPr>
                <w:rStyle w:val="IndexLink"/>
                <w:rtl w:val="true"/>
              </w:rPr>
              <w:tab/>
            </w:r>
            <w:r>
              <w:rPr>
                <w:rStyle w:val="IndexLink"/>
              </w:rPr>
              <w:t>50</w:t>
            </w:r>
          </w:hyperlink>
        </w:p>
        <w:p>
          <w:pPr>
            <w:pStyle w:val="Contents6"/>
            <w:tabs>
              <w:tab w:val="clear" w:pos="7609"/>
              <w:tab w:val="right" w:pos="9026" w:leader="dot"/>
            </w:tabs>
            <w:rPr/>
          </w:pPr>
          <w:hyperlink w:anchor="__RefHeading___Toc3425367_3224264995">
            <w:r>
              <w:rPr>
                <w:webHidden/>
                <w:rStyle w:val="IndexLink"/>
                <w:rtl w:val="true"/>
              </w:rPr>
              <w:t>القول فی نسیان الجزء و الشرط فی العبادات</w:t>
            </w:r>
            <w:r>
              <w:rPr>
                <w:rStyle w:val="IndexLink"/>
                <w:rtl w:val="true"/>
              </w:rPr>
              <w:tab/>
            </w:r>
            <w:r>
              <w:rPr>
                <w:rStyle w:val="IndexLink"/>
              </w:rPr>
              <w:t>50</w:t>
            </w:r>
          </w:hyperlink>
        </w:p>
        <w:p>
          <w:pPr>
            <w:pStyle w:val="Contents6"/>
            <w:tabs>
              <w:tab w:val="clear" w:pos="7609"/>
              <w:tab w:val="right" w:pos="9026" w:leader="dot"/>
            </w:tabs>
            <w:rPr/>
          </w:pPr>
          <w:hyperlink w:anchor="__RefHeading___Toc3425369_3224264995">
            <w:r>
              <w:rPr>
                <w:webHidden/>
                <w:rStyle w:val="IndexLink"/>
                <w:rtl w:val="true"/>
              </w:rPr>
              <w:t>القول فی نسیان الأسباب فی المعاملات</w:t>
            </w:r>
            <w:r>
              <w:rPr>
                <w:rStyle w:val="IndexLink"/>
                <w:rtl w:val="true"/>
              </w:rPr>
              <w:tab/>
            </w:r>
            <w:r>
              <w:rPr>
                <w:rStyle w:val="IndexLink"/>
              </w:rPr>
              <w:t>58</w:t>
            </w:r>
          </w:hyperlink>
        </w:p>
        <w:p>
          <w:pPr>
            <w:pStyle w:val="Contents6"/>
            <w:tabs>
              <w:tab w:val="clear" w:pos="7609"/>
              <w:tab w:val="right" w:pos="9026" w:leader="dot"/>
            </w:tabs>
            <w:rPr/>
          </w:pPr>
          <w:hyperlink w:anchor="__RefHeading___Toc3425371_3224264995">
            <w:r>
              <w:rPr>
                <w:webHidden/>
                <w:rStyle w:val="IndexLink"/>
                <w:rtl w:val="true"/>
              </w:rPr>
              <w:t>القول فی الإکراه</w:t>
            </w:r>
            <w:r>
              <w:rPr>
                <w:rStyle w:val="IndexLink"/>
                <w:rtl w:val="true"/>
              </w:rPr>
              <w:tab/>
            </w:r>
            <w:r>
              <w:rPr>
                <w:rStyle w:val="IndexLink"/>
              </w:rPr>
              <w:t>60</w:t>
            </w:r>
          </w:hyperlink>
        </w:p>
        <w:p>
          <w:pPr>
            <w:pStyle w:val="Contents6"/>
            <w:tabs>
              <w:tab w:val="clear" w:pos="7609"/>
              <w:tab w:val="right" w:pos="9026" w:leader="dot"/>
            </w:tabs>
            <w:rPr/>
          </w:pPr>
          <w:hyperlink w:anchor="__RefHeading___Toc3425373_3224264995">
            <w:r>
              <w:rPr>
                <w:webHidden/>
                <w:rStyle w:val="IndexLink"/>
                <w:rtl w:val="true"/>
              </w:rPr>
              <w:t>القول فی الاضطرار</w:t>
            </w:r>
            <w:r>
              <w:rPr>
                <w:rStyle w:val="IndexLink"/>
                <w:rtl w:val="true"/>
              </w:rPr>
              <w:tab/>
            </w:r>
            <w:r>
              <w:rPr>
                <w:rStyle w:val="IndexLink"/>
              </w:rPr>
              <w:t>62</w:t>
            </w:r>
          </w:hyperlink>
        </w:p>
        <w:p>
          <w:pPr>
            <w:pStyle w:val="Contents6"/>
            <w:tabs>
              <w:tab w:val="clear" w:pos="7609"/>
              <w:tab w:val="right" w:pos="9026" w:leader="dot"/>
            </w:tabs>
            <w:rPr/>
          </w:pPr>
          <w:hyperlink w:anchor="__RefHeading___Toc3425375_3224264995">
            <w:r>
              <w:rPr>
                <w:webHidden/>
                <w:rStyle w:val="IndexLink"/>
                <w:rtl w:val="true"/>
              </w:rPr>
              <w:t>القول فی المسبّبات</w:t>
            </w:r>
            <w:r>
              <w:rPr>
                <w:rStyle w:val="IndexLink"/>
                <w:rtl w:val="true"/>
              </w:rPr>
              <w:tab/>
            </w:r>
            <w:r>
              <w:rPr>
                <w:rStyle w:val="IndexLink"/>
              </w:rPr>
              <w:t>62</w:t>
            </w:r>
          </w:hyperlink>
        </w:p>
        <w:p>
          <w:pPr>
            <w:pStyle w:val="Contents6"/>
            <w:tabs>
              <w:tab w:val="clear" w:pos="7609"/>
              <w:tab w:val="right" w:pos="9026" w:leader="dot"/>
            </w:tabs>
            <w:rPr/>
          </w:pPr>
          <w:hyperlink w:anchor="__RefHeading___Toc3425377_3224264995">
            <w:r>
              <w:rPr>
                <w:webHidden/>
                <w:rStyle w:val="IndexLink"/>
                <w:rtl w:val="true"/>
              </w:rPr>
              <w:t>بحث و تحقیق فی عدم اختصاص رافعیة الإکراه بباب المعاملات بالمعنی الأخصّ</w:t>
            </w:r>
            <w:r>
              <w:rPr>
                <w:rStyle w:val="IndexLink"/>
                <w:rtl w:val="true"/>
              </w:rPr>
              <w:tab/>
            </w:r>
            <w:r>
              <w:rPr>
                <w:rStyle w:val="IndexLink"/>
              </w:rPr>
              <w:t>64</w:t>
            </w:r>
          </w:hyperlink>
        </w:p>
        <w:p>
          <w:pPr>
            <w:pStyle w:val="Contents6"/>
            <w:tabs>
              <w:tab w:val="clear" w:pos="7609"/>
              <w:tab w:val="right" w:pos="9026" w:leader="dot"/>
            </w:tabs>
            <w:rPr/>
          </w:pPr>
          <w:hyperlink w:anchor="__RefHeading___Toc3425379_3224264995">
            <w:r>
              <w:rPr>
                <w:webHidden/>
                <w:rStyle w:val="IndexLink"/>
                <w:rtl w:val="true"/>
              </w:rPr>
              <w:t>الأمر السابع</w:t>
            </w:r>
            <w:r>
              <w:rPr>
                <w:rStyle w:val="IndexLink"/>
                <w:rtl w:val="true"/>
              </w:rPr>
              <w:t xml:space="preserve">: </w:t>
            </w:r>
            <w:r>
              <w:rPr>
                <w:rStyle w:val="IndexLink"/>
                <w:rtl w:val="true"/>
              </w:rPr>
              <w:t>تصحیح العبادة بالحدیث عند الشکّ فی المانعیة</w:t>
            </w:r>
            <w:r>
              <w:rPr>
                <w:rStyle w:val="IndexLink"/>
                <w:rtl w:val="true"/>
              </w:rPr>
              <w:tab/>
            </w:r>
            <w:r>
              <w:rPr>
                <w:rStyle w:val="IndexLink"/>
              </w:rPr>
              <w:t>66</w:t>
            </w:r>
          </w:hyperlink>
        </w:p>
        <w:p>
          <w:pPr>
            <w:pStyle w:val="Contents6"/>
            <w:tabs>
              <w:tab w:val="clear" w:pos="7609"/>
              <w:tab w:val="right" w:pos="9026" w:leader="dot"/>
            </w:tabs>
            <w:rPr/>
          </w:pPr>
          <w:hyperlink w:anchor="__RefHeading___Toc3425381_3224264995">
            <w:r>
              <w:rPr>
                <w:webHidden/>
                <w:rStyle w:val="IndexLink"/>
                <w:rtl w:val="true"/>
              </w:rPr>
              <w:t>الروایة الثانیة</w:t>
            </w:r>
            <w:r>
              <w:rPr>
                <w:rStyle w:val="IndexLink"/>
                <w:rtl w:val="true"/>
              </w:rPr>
              <w:t xml:space="preserve">: </w:t>
            </w:r>
            <w:r>
              <w:rPr>
                <w:rStyle w:val="IndexLink"/>
                <w:rtl w:val="true"/>
              </w:rPr>
              <w:t>حدیث الحَجْب</w:t>
            </w:r>
            <w:r>
              <w:rPr>
                <w:rStyle w:val="IndexLink"/>
                <w:rtl w:val="true"/>
              </w:rPr>
              <w:tab/>
            </w:r>
            <w:r>
              <w:rPr>
                <w:rStyle w:val="IndexLink"/>
              </w:rPr>
              <w:t>67</w:t>
            </w:r>
          </w:hyperlink>
        </w:p>
        <w:p>
          <w:pPr>
            <w:pStyle w:val="Contents6"/>
            <w:tabs>
              <w:tab w:val="clear" w:pos="7609"/>
              <w:tab w:val="right" w:pos="9026" w:leader="dot"/>
            </w:tabs>
            <w:rPr/>
          </w:pPr>
          <w:hyperlink w:anchor="__RefHeading___Toc3425383_3224264995">
            <w:r>
              <w:rPr>
                <w:webHidden/>
                <w:rStyle w:val="IndexLink"/>
                <w:rtl w:val="true"/>
              </w:rPr>
              <w:t>الروایة الثالثة</w:t>
            </w:r>
            <w:r>
              <w:rPr>
                <w:rStyle w:val="IndexLink"/>
                <w:rtl w:val="true"/>
              </w:rPr>
              <w:t xml:space="preserve">: </w:t>
            </w:r>
            <w:r>
              <w:rPr>
                <w:rStyle w:val="IndexLink"/>
                <w:rtl w:val="true"/>
              </w:rPr>
              <w:t>حدیث السعة</w:t>
            </w:r>
            <w:r>
              <w:rPr>
                <w:rStyle w:val="IndexLink"/>
                <w:rtl w:val="true"/>
              </w:rPr>
              <w:tab/>
            </w:r>
            <w:r>
              <w:rPr>
                <w:rStyle w:val="IndexLink"/>
              </w:rPr>
              <w:t>69</w:t>
            </w:r>
          </w:hyperlink>
        </w:p>
        <w:p>
          <w:pPr>
            <w:pStyle w:val="Contents6"/>
            <w:tabs>
              <w:tab w:val="clear" w:pos="7609"/>
              <w:tab w:val="right" w:pos="9026" w:leader="dot"/>
            </w:tabs>
            <w:rPr/>
          </w:pPr>
          <w:hyperlink w:anchor="__RefHeading___Toc3425385_3224264995">
            <w:r>
              <w:rPr>
                <w:webHidden/>
                <w:rStyle w:val="IndexLink"/>
                <w:rtl w:val="true"/>
              </w:rPr>
              <w:t>الروایة الرابعة</w:t>
            </w:r>
            <w:r>
              <w:rPr>
                <w:rStyle w:val="IndexLink"/>
                <w:rtl w:val="true"/>
              </w:rPr>
              <w:t xml:space="preserve">: </w:t>
            </w:r>
            <w:r>
              <w:rPr>
                <w:rStyle w:val="IndexLink"/>
                <w:rtl w:val="true"/>
              </w:rPr>
              <w:t>حدیث الحلّ</w:t>
            </w:r>
            <w:r>
              <w:rPr>
                <w:rStyle w:val="IndexLink"/>
                <w:rtl w:val="true"/>
              </w:rPr>
              <w:tab/>
            </w:r>
            <w:r>
              <w:rPr>
                <w:rStyle w:val="IndexLink"/>
              </w:rPr>
              <w:t>71</w:t>
            </w:r>
          </w:hyperlink>
        </w:p>
        <w:p>
          <w:pPr>
            <w:pStyle w:val="Contents6"/>
            <w:tabs>
              <w:tab w:val="clear" w:pos="7609"/>
              <w:tab w:val="right" w:pos="9026" w:leader="dot"/>
            </w:tabs>
            <w:rPr/>
          </w:pPr>
          <w:hyperlink w:anchor="__RefHeading___Toc3425387_3224264995">
            <w:r>
              <w:rPr>
                <w:webHidden/>
                <w:rStyle w:val="IndexLink"/>
                <w:rtl w:val="true"/>
              </w:rPr>
              <w:t>الروایة الخامسة</w:t>
            </w:r>
            <w:r>
              <w:rPr>
                <w:rStyle w:val="IndexLink"/>
                <w:rtl w:val="true"/>
              </w:rPr>
              <w:t xml:space="preserve">: </w:t>
            </w:r>
            <w:r>
              <w:rPr>
                <w:rStyle w:val="IndexLink"/>
                <w:rtl w:val="true"/>
              </w:rPr>
              <w:t>صحیحة عبد الصمد بن بشیر</w:t>
            </w:r>
            <w:r>
              <w:rPr>
                <w:rStyle w:val="IndexLink"/>
                <w:rtl w:val="true"/>
              </w:rPr>
              <w:tab/>
            </w:r>
            <w:r>
              <w:rPr>
                <w:rStyle w:val="IndexLink"/>
              </w:rPr>
              <w:t>73</w:t>
            </w:r>
          </w:hyperlink>
        </w:p>
        <w:p>
          <w:pPr>
            <w:pStyle w:val="Contents6"/>
            <w:tabs>
              <w:tab w:val="clear" w:pos="7609"/>
              <w:tab w:val="right" w:pos="9026" w:leader="dot"/>
            </w:tabs>
            <w:rPr/>
          </w:pPr>
          <w:hyperlink w:anchor="__RefHeading___Toc3425389_3224264995">
            <w:r>
              <w:rPr>
                <w:webHidden/>
                <w:rStyle w:val="IndexLink"/>
                <w:rtl w:val="true"/>
              </w:rPr>
              <w:t>الروایة السادسة</w:t>
            </w:r>
            <w:r>
              <w:rPr>
                <w:rStyle w:val="IndexLink"/>
                <w:rtl w:val="true"/>
              </w:rPr>
              <w:t xml:space="preserve">: </w:t>
            </w:r>
            <w:r>
              <w:rPr>
                <w:rStyle w:val="IndexLink"/>
                <w:rtl w:val="true"/>
              </w:rPr>
              <w:t>حسنة ابن الطیّار</w:t>
            </w:r>
            <w:r>
              <w:rPr>
                <w:rStyle w:val="IndexLink"/>
                <w:rtl w:val="true"/>
              </w:rPr>
              <w:tab/>
            </w:r>
            <w:r>
              <w:rPr>
                <w:rStyle w:val="IndexLink"/>
              </w:rPr>
              <w:t>75</w:t>
            </w:r>
          </w:hyperlink>
        </w:p>
        <w:p>
          <w:pPr>
            <w:pStyle w:val="Contents6"/>
            <w:tabs>
              <w:tab w:val="clear" w:pos="7609"/>
              <w:tab w:val="right" w:pos="9026" w:leader="dot"/>
            </w:tabs>
            <w:rPr/>
          </w:pPr>
          <w:hyperlink w:anchor="__RefHeading___Toc3425391_3224264995">
            <w:r>
              <w:rPr>
                <w:webHidden/>
                <w:rStyle w:val="IndexLink"/>
                <w:rtl w:val="true"/>
              </w:rPr>
              <w:t>الروایة السابعة</w:t>
            </w:r>
            <w:r>
              <w:rPr>
                <w:rStyle w:val="IndexLink"/>
                <w:rtl w:val="true"/>
              </w:rPr>
              <w:t xml:space="preserve">: </w:t>
            </w:r>
            <w:r>
              <w:rPr>
                <w:rStyle w:val="IndexLink"/>
                <w:rtl w:val="true"/>
              </w:rPr>
              <w:t>روایة إبراهیم بن عمر الیمانی</w:t>
            </w:r>
            <w:r>
              <w:rPr>
                <w:rStyle w:val="IndexLink"/>
                <w:rtl w:val="true"/>
              </w:rPr>
              <w:tab/>
            </w:r>
            <w:r>
              <w:rPr>
                <w:rStyle w:val="IndexLink"/>
              </w:rPr>
              <w:t>77</w:t>
            </w:r>
          </w:hyperlink>
        </w:p>
        <w:p>
          <w:pPr>
            <w:pStyle w:val="Contents6"/>
            <w:tabs>
              <w:tab w:val="clear" w:pos="7609"/>
              <w:tab w:val="right" w:pos="9026" w:leader="dot"/>
            </w:tabs>
            <w:rPr/>
          </w:pPr>
          <w:hyperlink w:anchor="__RefHeading___Toc3425393_3224264995">
            <w:r>
              <w:rPr>
                <w:webHidden/>
                <w:rStyle w:val="IndexLink"/>
                <w:rtl w:val="true"/>
              </w:rPr>
              <w:t>الروایة الثامنة</w:t>
            </w:r>
            <w:r>
              <w:rPr>
                <w:rStyle w:val="IndexLink"/>
                <w:rtl w:val="true"/>
              </w:rPr>
              <w:t xml:space="preserve">: </w:t>
            </w:r>
            <w:r>
              <w:rPr>
                <w:rStyle w:val="IndexLink"/>
                <w:rtl w:val="true"/>
              </w:rPr>
              <w:t>حدیث الإطلاق</w:t>
            </w:r>
            <w:r>
              <w:rPr>
                <w:rStyle w:val="IndexLink"/>
                <w:rtl w:val="true"/>
              </w:rPr>
              <w:tab/>
            </w:r>
            <w:r>
              <w:rPr>
                <w:rStyle w:val="IndexLink"/>
              </w:rPr>
              <w:t>78</w:t>
            </w:r>
          </w:hyperlink>
        </w:p>
        <w:p>
          <w:pPr>
            <w:pStyle w:val="Contents6"/>
            <w:tabs>
              <w:tab w:val="clear" w:pos="7609"/>
              <w:tab w:val="right" w:pos="9026" w:leader="dot"/>
            </w:tabs>
            <w:rPr/>
          </w:pPr>
          <w:hyperlink w:anchor="__RefHeading___Toc3425395_3224264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425397_3224264995">
            <w:r>
              <w:rPr>
                <w:webHidden/>
                <w:rStyle w:val="IndexLink"/>
                <w:rtl w:val="true"/>
              </w:rPr>
              <w:t>المختار فی معنی الروایة</w:t>
            </w:r>
            <w:r>
              <w:rPr>
                <w:rStyle w:val="IndexLink"/>
                <w:rtl w:val="true"/>
              </w:rPr>
              <w:tab/>
            </w:r>
            <w:r>
              <w:rPr>
                <w:rStyle w:val="IndexLink"/>
              </w:rPr>
              <w:t>85</w:t>
            </w:r>
          </w:hyperlink>
        </w:p>
        <w:p>
          <w:pPr>
            <w:pStyle w:val="Contents6"/>
            <w:tabs>
              <w:tab w:val="clear" w:pos="7609"/>
              <w:tab w:val="right" w:pos="9026" w:leader="dot"/>
            </w:tabs>
            <w:rPr/>
          </w:pPr>
          <w:hyperlink w:anchor="__RefHeading___Toc3425399_3224264995">
            <w:r>
              <w:rPr>
                <w:webHidden/>
                <w:rStyle w:val="IndexLink"/>
                <w:rtl w:val="true"/>
              </w:rPr>
              <w:t>الروایة التاسعة</w:t>
            </w:r>
            <w:r>
              <w:rPr>
                <w:rStyle w:val="IndexLink"/>
                <w:rtl w:val="true"/>
              </w:rPr>
              <w:t xml:space="preserve">: </w:t>
            </w:r>
            <w:r>
              <w:rPr>
                <w:rStyle w:val="IndexLink"/>
                <w:rtl w:val="true"/>
              </w:rPr>
              <w:t>صحیحة عبد الرحمن بن الحجّاج</w:t>
            </w:r>
            <w:r>
              <w:rPr>
                <w:rStyle w:val="IndexLink"/>
                <w:rtl w:val="true"/>
              </w:rPr>
              <w:tab/>
            </w:r>
            <w:r>
              <w:rPr>
                <w:rStyle w:val="IndexLink"/>
              </w:rPr>
              <w:t>87</w:t>
            </w:r>
          </w:hyperlink>
        </w:p>
        <w:p>
          <w:pPr>
            <w:pStyle w:val="Contents6"/>
            <w:tabs>
              <w:tab w:val="clear" w:pos="7609"/>
              <w:tab w:val="right" w:pos="9026" w:leader="dot"/>
            </w:tabs>
            <w:rPr/>
          </w:pPr>
          <w:hyperlink w:anchor="__RefHeading___Toc3425401_3224264995">
            <w:r>
              <w:rPr>
                <w:webHidden/>
                <w:rStyle w:val="IndexLink"/>
                <w:rtl w:val="true"/>
              </w:rPr>
              <w:t>الروایة العاشرة</w:t>
            </w:r>
            <w:r>
              <w:rPr>
                <w:rStyle w:val="IndexLink"/>
                <w:rtl w:val="true"/>
              </w:rPr>
              <w:t xml:space="preserve">: </w:t>
            </w:r>
            <w:r>
              <w:rPr>
                <w:rStyle w:val="IndexLink"/>
                <w:rtl w:val="true"/>
              </w:rPr>
              <w:t xml:space="preserve">روایة </w:t>
            </w:r>
            <w:r>
              <w:rPr>
                <w:rStyle w:val="IndexLink"/>
                <w:rtl w:val="true"/>
              </w:rPr>
              <w:t>«</w:t>
            </w:r>
            <w:r>
              <w:rPr>
                <w:rStyle w:val="IndexLink"/>
                <w:rtl w:val="true"/>
              </w:rPr>
              <w:t xml:space="preserve">کلّ شی‌ء فیه حلال و حرام </w:t>
            </w:r>
            <w:r>
              <w:rPr>
                <w:rStyle w:val="IndexLink"/>
                <w:rtl w:val="true"/>
              </w:rPr>
              <w:t>...»</w:t>
              <w:tab/>
            </w:r>
            <w:r>
              <w:rPr>
                <w:rStyle w:val="IndexLink"/>
              </w:rPr>
              <w:t>88</w:t>
            </w:r>
          </w:hyperlink>
        </w:p>
        <w:p>
          <w:pPr>
            <w:pStyle w:val="Contents5"/>
            <w:tabs>
              <w:tab w:val="clear" w:pos="7892"/>
              <w:tab w:val="right" w:pos="9026" w:leader="dot"/>
            </w:tabs>
            <w:rPr/>
          </w:pPr>
          <w:hyperlink w:anchor="__RefHeading___Toc3425403_3224264995">
            <w:r>
              <w:rPr>
                <w:webHidden/>
                <w:rStyle w:val="IndexLink"/>
                <w:rtl w:val="true"/>
              </w:rPr>
              <w:t>الاستدلال بالإجماع و العقل علی البراءة</w:t>
            </w:r>
            <w:r>
              <w:rPr>
                <w:rStyle w:val="IndexLink"/>
                <w:rtl w:val="true"/>
              </w:rPr>
              <w:tab/>
            </w:r>
            <w:r>
              <w:rPr>
                <w:rStyle w:val="IndexLink"/>
              </w:rPr>
              <w:t>91</w:t>
            </w:r>
          </w:hyperlink>
        </w:p>
        <w:p>
          <w:pPr>
            <w:pStyle w:val="Contents5"/>
            <w:tabs>
              <w:tab w:val="clear" w:pos="7892"/>
              <w:tab w:val="right" w:pos="9026" w:leader="dot"/>
            </w:tabs>
            <w:rPr/>
          </w:pPr>
          <w:hyperlink w:anchor="__RefHeading___Toc3425405_3224264995">
            <w:r>
              <w:rPr>
                <w:webHidden/>
                <w:rStyle w:val="IndexLink"/>
                <w:rtl w:val="true"/>
              </w:rPr>
              <w:t>جولة حول وجوب دفع الضرر المحتمل</w:t>
            </w:r>
            <w:r>
              <w:rPr>
                <w:rStyle w:val="IndexLink"/>
                <w:rtl w:val="true"/>
              </w:rPr>
              <w:tab/>
            </w:r>
            <w:r>
              <w:rPr>
                <w:rStyle w:val="IndexLink"/>
              </w:rPr>
              <w:t>93</w:t>
            </w:r>
          </w:hyperlink>
        </w:p>
        <w:p>
          <w:pPr>
            <w:pStyle w:val="Contents5"/>
            <w:tabs>
              <w:tab w:val="clear" w:pos="7892"/>
              <w:tab w:val="right" w:pos="9026" w:leader="dot"/>
            </w:tabs>
            <w:rPr/>
          </w:pPr>
          <w:hyperlink w:anchor="__RefHeading___Toc3425407_3224264995">
            <w:r>
              <w:rPr>
                <w:webHidden/>
                <w:rStyle w:val="IndexLink"/>
                <w:rtl w:val="true"/>
              </w:rPr>
              <w:t>حول استدلال الأخباریّین علی وجوب الاحتیاط</w:t>
            </w:r>
            <w:r>
              <w:rPr>
                <w:rStyle w:val="IndexLink"/>
                <w:rtl w:val="true"/>
              </w:rPr>
              <w:tab/>
            </w:r>
            <w:r>
              <w:rPr>
                <w:rStyle w:val="IndexLink"/>
              </w:rPr>
              <w:t>97</w:t>
            </w:r>
          </w:hyperlink>
        </w:p>
        <w:p>
          <w:pPr>
            <w:pStyle w:val="Contents6"/>
            <w:tabs>
              <w:tab w:val="clear" w:pos="7609"/>
              <w:tab w:val="right" w:pos="9026" w:leader="dot"/>
            </w:tabs>
            <w:rPr/>
          </w:pPr>
          <w:hyperlink w:anchor="__RefHeading___Toc3425409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425411_3224264995">
            <w:r>
              <w:rPr>
                <w:webHidden/>
                <w:rStyle w:val="IndexLink"/>
                <w:rtl w:val="true"/>
              </w:rPr>
              <w:t>الاستدلال بالآیات</w:t>
            </w:r>
            <w:r>
              <w:rPr>
                <w:rStyle w:val="IndexLink"/>
                <w:rtl w:val="true"/>
              </w:rPr>
              <w:tab/>
            </w:r>
            <w:r>
              <w:rPr>
                <w:rStyle w:val="IndexLink"/>
              </w:rPr>
              <w:t>97</w:t>
            </w:r>
          </w:hyperlink>
        </w:p>
        <w:p>
          <w:pPr>
            <w:pStyle w:val="Contents6"/>
            <w:tabs>
              <w:tab w:val="clear" w:pos="7609"/>
              <w:tab w:val="right" w:pos="9026" w:leader="dot"/>
            </w:tabs>
            <w:rPr/>
          </w:pPr>
          <w:hyperlink w:anchor="__RefHeading___Toc3425413_3224264995">
            <w:r>
              <w:rPr>
                <w:webHidden/>
                <w:rStyle w:val="IndexLink"/>
                <w:rtl w:val="true"/>
              </w:rPr>
              <w:t>الاستدلال علی وجوب الاحتیاط بالسنّة</w:t>
            </w:r>
            <w:r>
              <w:rPr>
                <w:rStyle w:val="IndexLink"/>
                <w:rtl w:val="true"/>
              </w:rPr>
              <w:tab/>
            </w:r>
            <w:r>
              <w:rPr>
                <w:rStyle w:val="IndexLink"/>
              </w:rPr>
              <w:t>101</w:t>
            </w:r>
          </w:hyperlink>
        </w:p>
        <w:p>
          <w:pPr>
            <w:pStyle w:val="Contents6"/>
            <w:tabs>
              <w:tab w:val="clear" w:pos="7609"/>
              <w:tab w:val="right" w:pos="9026" w:leader="dot"/>
            </w:tabs>
            <w:rPr/>
          </w:pPr>
          <w:hyperlink w:anchor="__RefHeading___Toc3425415_3224264995">
            <w:r>
              <w:rPr>
                <w:webHidden/>
                <w:rStyle w:val="IndexLink"/>
                <w:rtl w:val="true"/>
              </w:rPr>
              <w:t xml:space="preserve">الاستدلال علی وجوب الاحتیاط بالدلیل العقلی </w:t>
            </w:r>
            <w:r>
              <w:rPr>
                <w:rStyle w:val="IndexLink"/>
                <w:rtl w:val="true"/>
              </w:rPr>
              <w:t>(</w:t>
            </w:r>
            <w:r>
              <w:rPr>
                <w:rStyle w:val="IndexLink"/>
                <w:rtl w:val="true"/>
              </w:rPr>
              <w:t>العلم الإجمالی</w:t>
            </w:r>
            <w:r>
              <w:rPr>
                <w:rStyle w:val="IndexLink"/>
                <w:rtl w:val="true"/>
              </w:rPr>
              <w:t>)</w:t>
              <w:tab/>
            </w:r>
            <w:r>
              <w:rPr>
                <w:rStyle w:val="IndexLink"/>
              </w:rPr>
              <w:t>115</w:t>
            </w:r>
          </w:hyperlink>
        </w:p>
        <w:p>
          <w:pPr>
            <w:pStyle w:val="Contents6"/>
            <w:tabs>
              <w:tab w:val="clear" w:pos="7609"/>
              <w:tab w:val="right" w:pos="9026" w:leader="dot"/>
            </w:tabs>
            <w:rPr/>
          </w:pPr>
          <w:hyperlink w:anchor="__RefHeading___Toc3425417_3224264995">
            <w:r>
              <w:rPr>
                <w:webHidden/>
                <w:rStyle w:val="IndexLink"/>
                <w:rtl w:val="true"/>
              </w:rPr>
              <w:t xml:space="preserve">استدلال عقلی آخر للأخباری </w:t>
            </w:r>
            <w:r>
              <w:rPr>
                <w:rStyle w:val="IndexLink"/>
                <w:rtl w:val="true"/>
              </w:rPr>
              <w:t>(</w:t>
            </w:r>
            <w:r>
              <w:rPr>
                <w:rStyle w:val="IndexLink"/>
                <w:rtl w:val="true"/>
              </w:rPr>
              <w:t>أصالة الحظر</w:t>
            </w:r>
            <w:r>
              <w:rPr>
                <w:rStyle w:val="IndexLink"/>
                <w:rtl w:val="true"/>
              </w:rPr>
              <w:t>)</w:t>
              <w:tab/>
            </w:r>
            <w:r>
              <w:rPr>
                <w:rStyle w:val="IndexLink"/>
              </w:rPr>
              <w:t>127</w:t>
            </w:r>
          </w:hyperlink>
        </w:p>
        <w:p>
          <w:pPr>
            <w:pStyle w:val="Contents4"/>
            <w:tabs>
              <w:tab w:val="clear" w:pos="8176"/>
              <w:tab w:val="right" w:pos="9026" w:leader="dot"/>
            </w:tabs>
            <w:rPr/>
          </w:pPr>
          <w:hyperlink w:anchor="__RefHeading___Toc3425419_3224264995">
            <w:r>
              <w:rPr>
                <w:webHidden/>
                <w:rStyle w:val="IndexLink"/>
                <w:rtl w:val="true"/>
              </w:rPr>
              <w:t>تنبیهات البراءة</w:t>
            </w:r>
            <w:r>
              <w:rPr>
                <w:rStyle w:val="IndexLink"/>
                <w:rtl w:val="true"/>
              </w:rPr>
              <w:t>:</w:t>
              <w:tab/>
            </w:r>
            <w:r>
              <w:rPr>
                <w:rStyle w:val="IndexLink"/>
              </w:rPr>
              <w:t>128</w:t>
            </w:r>
          </w:hyperlink>
        </w:p>
        <w:p>
          <w:pPr>
            <w:pStyle w:val="Contents5"/>
            <w:tabs>
              <w:tab w:val="clear" w:pos="7892"/>
              <w:tab w:val="right" w:pos="9026" w:leader="dot"/>
            </w:tabs>
            <w:rPr/>
          </w:pPr>
          <w:hyperlink w:anchor="__RefHeading___Toc3425421_3224264995">
            <w:r>
              <w:rPr>
                <w:webHidden/>
                <w:rStyle w:val="IndexLink"/>
                <w:rtl w:val="true"/>
              </w:rPr>
              <w:t>التنبیه الأوّل تقدیم الأصل الموضوعی علی البراءة</w:t>
            </w:r>
            <w:r>
              <w:rPr>
                <w:rStyle w:val="IndexLink"/>
                <w:rtl w:val="true"/>
              </w:rPr>
              <w:tab/>
            </w:r>
            <w:r>
              <w:rPr>
                <w:rStyle w:val="IndexLink"/>
              </w:rPr>
              <w:t>128</w:t>
            </w:r>
          </w:hyperlink>
        </w:p>
        <w:p>
          <w:pPr>
            <w:pStyle w:val="Contents6"/>
            <w:tabs>
              <w:tab w:val="clear" w:pos="7609"/>
              <w:tab w:val="right" w:pos="9026" w:leader="dot"/>
            </w:tabs>
            <w:rPr/>
          </w:pPr>
          <w:hyperlink w:anchor="__RefHeading___Toc3425423_3224264995">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425425_3224264995">
            <w:r>
              <w:rPr>
                <w:webHidden/>
                <w:rStyle w:val="IndexLink"/>
                <w:rtl w:val="true"/>
              </w:rPr>
              <w:t>حول أصالة عدم التذکیة</w:t>
            </w:r>
            <w:r>
              <w:rPr>
                <w:rStyle w:val="IndexLink"/>
                <w:rtl w:val="true"/>
              </w:rPr>
              <w:tab/>
            </w:r>
            <w:r>
              <w:rPr>
                <w:rStyle w:val="IndexLink"/>
              </w:rPr>
              <w:t>129</w:t>
            </w:r>
          </w:hyperlink>
        </w:p>
        <w:p>
          <w:pPr>
            <w:pStyle w:val="Contents6"/>
            <w:tabs>
              <w:tab w:val="clear" w:pos="7609"/>
              <w:tab w:val="right" w:pos="9026" w:leader="dot"/>
            </w:tabs>
            <w:rPr/>
          </w:pPr>
          <w:hyperlink w:anchor="__RefHeading___Toc3425427_3224264995">
            <w:r>
              <w:rPr>
                <w:webHidden/>
                <w:rStyle w:val="IndexLink"/>
                <w:rtl w:val="true"/>
              </w:rPr>
              <w:t>صور الشکّ فی حلّیة الحیوان</w:t>
            </w:r>
            <w:r>
              <w:rPr>
                <w:rStyle w:val="IndexLink"/>
                <w:rtl w:val="true"/>
              </w:rPr>
              <w:tab/>
            </w:r>
            <w:r>
              <w:rPr>
                <w:rStyle w:val="IndexLink"/>
              </w:rPr>
              <w:t>129</w:t>
            </w:r>
          </w:hyperlink>
        </w:p>
        <w:p>
          <w:pPr>
            <w:pStyle w:val="Contents6"/>
            <w:tabs>
              <w:tab w:val="clear" w:pos="7609"/>
              <w:tab w:val="right" w:pos="9026" w:leader="dot"/>
            </w:tabs>
            <w:rPr/>
          </w:pPr>
          <w:hyperlink w:anchor="__RefHeading___Toc3425429_3224264995">
            <w:r>
              <w:rPr>
                <w:webHidden/>
                <w:rStyle w:val="IndexLink"/>
                <w:rtl w:val="true"/>
              </w:rPr>
              <w:t>الاحتمالات فی حقیقة التذکیة</w:t>
            </w:r>
            <w:r>
              <w:rPr>
                <w:rStyle w:val="IndexLink"/>
                <w:rtl w:val="true"/>
              </w:rPr>
              <w:tab/>
            </w:r>
            <w:r>
              <w:rPr>
                <w:rStyle w:val="IndexLink"/>
              </w:rPr>
              <w:t>130</w:t>
            </w:r>
          </w:hyperlink>
        </w:p>
        <w:p>
          <w:pPr>
            <w:pStyle w:val="Contents6"/>
            <w:tabs>
              <w:tab w:val="clear" w:pos="7609"/>
              <w:tab w:val="right" w:pos="9026" w:leader="dot"/>
            </w:tabs>
            <w:rPr/>
          </w:pPr>
          <w:hyperlink w:anchor="__RefHeading___Toc3425431_3224264995">
            <w:r>
              <w:rPr>
                <w:webHidden/>
                <w:rStyle w:val="IndexLink"/>
                <w:rtl w:val="true"/>
              </w:rPr>
              <w:t>مقتضی الأصل فی الاحتمالات</w:t>
            </w:r>
            <w:r>
              <w:rPr>
                <w:rStyle w:val="IndexLink"/>
                <w:rtl w:val="true"/>
              </w:rPr>
              <w:tab/>
            </w:r>
            <w:r>
              <w:rPr>
                <w:rStyle w:val="IndexLink"/>
              </w:rPr>
              <w:t>130</w:t>
            </w:r>
          </w:hyperlink>
        </w:p>
        <w:p>
          <w:pPr>
            <w:pStyle w:val="Contents6"/>
            <w:tabs>
              <w:tab w:val="clear" w:pos="7609"/>
              <w:tab w:val="right" w:pos="9026" w:leader="dot"/>
            </w:tabs>
            <w:rPr/>
          </w:pPr>
          <w:hyperlink w:anchor="__RefHeading___Toc3425433_3224264995">
            <w:r>
              <w:rPr>
                <w:webHidden/>
                <w:rStyle w:val="IndexLink"/>
                <w:rtl w:val="true"/>
              </w:rPr>
              <w:t>أصالة عدم التذکیة فی الشبهة الحکمیة</w:t>
            </w:r>
            <w:r>
              <w:rPr>
                <w:rStyle w:val="IndexLink"/>
                <w:rtl w:val="true"/>
              </w:rPr>
              <w:tab/>
            </w:r>
            <w:r>
              <w:rPr>
                <w:rStyle w:val="IndexLink"/>
              </w:rPr>
              <w:t>131</w:t>
            </w:r>
          </w:hyperlink>
        </w:p>
        <w:p>
          <w:pPr>
            <w:pStyle w:val="Contents6"/>
            <w:tabs>
              <w:tab w:val="clear" w:pos="7609"/>
              <w:tab w:val="right" w:pos="9026" w:leader="dot"/>
            </w:tabs>
            <w:rPr/>
          </w:pPr>
          <w:hyperlink w:anchor="__RefHeading___Toc3425435_3224264995">
            <w:r>
              <w:rPr>
                <w:webHidden/>
                <w:rStyle w:val="IndexLink"/>
                <w:rtl w:val="true"/>
              </w:rPr>
              <w:t>کلام المحقّق الحائری فی المقام و نقده</w:t>
            </w:r>
            <w:r>
              <w:rPr>
                <w:rStyle w:val="IndexLink"/>
                <w:rtl w:val="true"/>
              </w:rPr>
              <w:tab/>
            </w:r>
            <w:r>
              <w:rPr>
                <w:rStyle w:val="IndexLink"/>
              </w:rPr>
              <w:t>131</w:t>
            </w:r>
          </w:hyperlink>
        </w:p>
        <w:p>
          <w:pPr>
            <w:pStyle w:val="Contents6"/>
            <w:tabs>
              <w:tab w:val="clear" w:pos="7609"/>
              <w:tab w:val="right" w:pos="9026" w:leader="dot"/>
            </w:tabs>
            <w:rPr/>
          </w:pPr>
          <w:hyperlink w:anchor="__RefHeading___Toc3425437_3224264995">
            <w:r>
              <w:rPr>
                <w:webHidden/>
                <w:rStyle w:val="IndexLink"/>
                <w:rtl w:val="true"/>
              </w:rPr>
              <w:t>حول استصحاب العدم الأزلی عند الشکّ فی القابلیة للتذکیة</w:t>
            </w:r>
            <w:r>
              <w:rPr>
                <w:rStyle w:val="IndexLink"/>
                <w:rtl w:val="true"/>
              </w:rPr>
              <w:tab/>
            </w:r>
            <w:r>
              <w:rPr>
                <w:rStyle w:val="IndexLink"/>
              </w:rPr>
              <w:t>133</w:t>
            </w:r>
          </w:hyperlink>
        </w:p>
        <w:p>
          <w:pPr>
            <w:pStyle w:val="Contents6"/>
            <w:tabs>
              <w:tab w:val="clear" w:pos="7609"/>
              <w:tab w:val="right" w:pos="9026" w:leader="dot"/>
            </w:tabs>
            <w:rPr/>
          </w:pPr>
          <w:hyperlink w:anchor="__RefHeading___Toc3425439_3224264995">
            <w:r>
              <w:rPr>
                <w:webHidden/>
                <w:rStyle w:val="IndexLink"/>
                <w:rtl w:val="true"/>
              </w:rPr>
              <w:t>فی بیان اعتبارات القضایا السالبة</w:t>
            </w:r>
            <w:r>
              <w:rPr>
                <w:rStyle w:val="IndexLink"/>
                <w:rtl w:val="true"/>
              </w:rPr>
              <w:tab/>
            </w:r>
            <w:r>
              <w:rPr>
                <w:rStyle w:val="IndexLink"/>
              </w:rPr>
              <w:t>134</w:t>
            </w:r>
          </w:hyperlink>
        </w:p>
        <w:p>
          <w:pPr>
            <w:pStyle w:val="Contents6"/>
            <w:tabs>
              <w:tab w:val="clear" w:pos="7609"/>
              <w:tab w:val="right" w:pos="9026" w:leader="dot"/>
            </w:tabs>
            <w:rPr/>
          </w:pPr>
          <w:hyperlink w:anchor="__RefHeading___Toc3425441_3224264995">
            <w:r>
              <w:rPr>
                <w:webHidden/>
                <w:rStyle w:val="IndexLink"/>
                <w:rtl w:val="true"/>
              </w:rPr>
              <w:t>التحقیق فی جریان أصالة عدم التذکیة فی المحتملات</w:t>
            </w:r>
            <w:r>
              <w:rPr>
                <w:rStyle w:val="IndexLink"/>
                <w:rtl w:val="true"/>
              </w:rPr>
              <w:tab/>
            </w:r>
            <w:r>
              <w:rPr>
                <w:rStyle w:val="IndexLink"/>
              </w:rPr>
              <w:t>140</w:t>
            </w:r>
          </w:hyperlink>
        </w:p>
        <w:p>
          <w:pPr>
            <w:pStyle w:val="Contents6"/>
            <w:tabs>
              <w:tab w:val="clear" w:pos="7609"/>
              <w:tab w:val="right" w:pos="9026" w:leader="dot"/>
            </w:tabs>
            <w:rPr/>
          </w:pPr>
          <w:hyperlink w:anchor="__RefHeading___Toc3425443_3224264995">
            <w:r>
              <w:rPr>
                <w:webHidden/>
                <w:rStyle w:val="IndexLink"/>
                <w:rtl w:val="true"/>
              </w:rPr>
              <w:t>تفصیل المحقّق الهمدانی فی المقام</w:t>
            </w:r>
            <w:r>
              <w:rPr>
                <w:rStyle w:val="IndexLink"/>
                <w:rtl w:val="true"/>
              </w:rPr>
              <w:tab/>
            </w:r>
            <w:r>
              <w:rPr>
                <w:rStyle w:val="IndexLink"/>
              </w:rPr>
              <w:t>143</w:t>
            </w:r>
          </w:hyperlink>
        </w:p>
        <w:p>
          <w:pPr>
            <w:pStyle w:val="Contents6"/>
            <w:tabs>
              <w:tab w:val="clear" w:pos="7609"/>
              <w:tab w:val="right" w:pos="9026" w:leader="dot"/>
            </w:tabs>
            <w:rPr/>
          </w:pPr>
          <w:hyperlink w:anchor="__RefHeading___Toc3425445_3224264995">
            <w:r>
              <w:rPr>
                <w:webHidden/>
                <w:rStyle w:val="IndexLink"/>
                <w:rtl w:val="true"/>
              </w:rPr>
              <w:t>أصالة عدم التذکیة فی الشبهة الموضوعیة</w:t>
            </w:r>
            <w:r>
              <w:rPr>
                <w:rStyle w:val="IndexLink"/>
                <w:rtl w:val="true"/>
              </w:rPr>
              <w:tab/>
            </w:r>
            <w:r>
              <w:rPr>
                <w:rStyle w:val="IndexLink"/>
              </w:rPr>
              <w:t>145</w:t>
            </w:r>
          </w:hyperlink>
        </w:p>
        <w:p>
          <w:pPr>
            <w:pStyle w:val="Contents5"/>
            <w:tabs>
              <w:tab w:val="clear" w:pos="7892"/>
              <w:tab w:val="right" w:pos="9026" w:leader="dot"/>
            </w:tabs>
            <w:rPr/>
          </w:pPr>
          <w:hyperlink w:anchor="__RefHeading___Toc3425447_3224264995">
            <w:r>
              <w:rPr>
                <w:webHidden/>
                <w:rStyle w:val="IndexLink"/>
                <w:rtl w:val="true"/>
              </w:rPr>
              <w:t>التنبیه الثانی فی حسن الاحتیاط</w:t>
            </w:r>
            <w:r>
              <w:rPr>
                <w:rStyle w:val="IndexLink"/>
                <w:rtl w:val="true"/>
              </w:rPr>
              <w:tab/>
            </w:r>
            <w:r>
              <w:rPr>
                <w:rStyle w:val="IndexLink"/>
              </w:rPr>
              <w:t>150</w:t>
            </w:r>
          </w:hyperlink>
        </w:p>
        <w:p>
          <w:pPr>
            <w:pStyle w:val="Contents6"/>
            <w:tabs>
              <w:tab w:val="clear" w:pos="7609"/>
              <w:tab w:val="right" w:pos="9026" w:leader="dot"/>
            </w:tabs>
            <w:rPr/>
          </w:pPr>
          <w:hyperlink w:anchor="__RefHeading___Toc3425449_3224264995">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3425451_3224264995">
            <w:r>
              <w:rPr>
                <w:webHidden/>
                <w:rStyle w:val="IndexLink"/>
                <w:rtl w:val="true"/>
              </w:rPr>
              <w:t>تقریر إشکال الاحتیاط فی العبادات</w:t>
            </w:r>
            <w:r>
              <w:rPr>
                <w:rStyle w:val="IndexLink"/>
                <w:rtl w:val="true"/>
              </w:rPr>
              <w:tab/>
            </w:r>
            <w:r>
              <w:rPr>
                <w:rStyle w:val="IndexLink"/>
              </w:rPr>
              <w:t>150</w:t>
            </w:r>
          </w:hyperlink>
        </w:p>
        <w:p>
          <w:pPr>
            <w:pStyle w:val="Contents6"/>
            <w:tabs>
              <w:tab w:val="clear" w:pos="7609"/>
              <w:tab w:val="right" w:pos="9026" w:leader="dot"/>
            </w:tabs>
            <w:rPr/>
          </w:pPr>
          <w:hyperlink w:anchor="__RefHeading___Toc3425453_3224264995">
            <w:r>
              <w:rPr>
                <w:webHidden/>
                <w:rStyle w:val="IndexLink"/>
                <w:rtl w:val="true"/>
              </w:rPr>
              <w:t>تصحیح عبادیة الشی‌ء بأوامر الاحتیاط</w:t>
            </w:r>
            <w:r>
              <w:rPr>
                <w:rStyle w:val="IndexLink"/>
                <w:rtl w:val="true"/>
              </w:rPr>
              <w:tab/>
            </w:r>
            <w:r>
              <w:rPr>
                <w:rStyle w:val="IndexLink"/>
              </w:rPr>
              <w:t>153</w:t>
            </w:r>
          </w:hyperlink>
        </w:p>
        <w:p>
          <w:pPr>
            <w:pStyle w:val="Contents6"/>
            <w:tabs>
              <w:tab w:val="clear" w:pos="7609"/>
              <w:tab w:val="right" w:pos="9026" w:leader="dot"/>
            </w:tabs>
            <w:rPr/>
          </w:pPr>
          <w:hyperlink w:anchor="__RefHeading___Toc3425455_3224264995">
            <w:r>
              <w:rPr>
                <w:webHidden/>
                <w:rStyle w:val="IndexLink"/>
                <w:rtl w:val="true"/>
              </w:rPr>
              <w:t>الاستدلال لإمکان الاحتیاط بأخبار من بلغ</w:t>
            </w:r>
            <w:r>
              <w:rPr>
                <w:rStyle w:val="IndexLink"/>
                <w:rtl w:val="true"/>
              </w:rPr>
              <w:tab/>
            </w:r>
            <w:r>
              <w:rPr>
                <w:rStyle w:val="IndexLink"/>
              </w:rPr>
              <w:t>155</w:t>
            </w:r>
          </w:hyperlink>
        </w:p>
        <w:p>
          <w:pPr>
            <w:pStyle w:val="Contents6"/>
            <w:tabs>
              <w:tab w:val="clear" w:pos="7609"/>
              <w:tab w:val="right" w:pos="9026" w:leader="dot"/>
            </w:tabs>
            <w:rPr/>
          </w:pPr>
          <w:hyperlink w:anchor="__RefHeading___Toc3425457_3224264995">
            <w:r>
              <w:rPr>
                <w:webHidden/>
                <w:rStyle w:val="IndexLink"/>
                <w:rtl w:val="true"/>
              </w:rPr>
              <w:t>القول فی مفاد أخبار من بلغ</w:t>
            </w:r>
            <w:r>
              <w:rPr>
                <w:rStyle w:val="IndexLink"/>
                <w:rtl w:val="true"/>
              </w:rPr>
              <w:tab/>
            </w:r>
            <w:r>
              <w:rPr>
                <w:rStyle w:val="IndexLink"/>
              </w:rPr>
              <w:t>156</w:t>
            </w:r>
          </w:hyperlink>
        </w:p>
        <w:p>
          <w:pPr>
            <w:pStyle w:val="Contents6"/>
            <w:tabs>
              <w:tab w:val="clear" w:pos="7609"/>
              <w:tab w:val="right" w:pos="9026" w:leader="dot"/>
            </w:tabs>
            <w:rPr/>
          </w:pPr>
          <w:hyperlink w:anchor="__RefHeading___Toc3425459_3224264995">
            <w:r>
              <w:rPr>
                <w:webHidden/>
                <w:rStyle w:val="IndexLink"/>
                <w:rtl w:val="true"/>
              </w:rPr>
              <w:t>استفادة الاستحباب الشرعی من أخبار من بلغ</w:t>
            </w:r>
            <w:r>
              <w:rPr>
                <w:rStyle w:val="IndexLink"/>
                <w:rtl w:val="true"/>
              </w:rPr>
              <w:tab/>
            </w:r>
            <w:r>
              <w:rPr>
                <w:rStyle w:val="IndexLink"/>
              </w:rPr>
              <w:t>157</w:t>
            </w:r>
          </w:hyperlink>
        </w:p>
        <w:p>
          <w:pPr>
            <w:pStyle w:val="Contents5"/>
            <w:tabs>
              <w:tab w:val="clear" w:pos="7892"/>
              <w:tab w:val="right" w:pos="9026" w:leader="dot"/>
            </w:tabs>
            <w:rPr/>
          </w:pPr>
          <w:hyperlink w:anchor="__RefHeading___Toc3425461_3224264995">
            <w:r>
              <w:rPr>
                <w:webHidden/>
                <w:rStyle w:val="IndexLink"/>
                <w:rtl w:val="true"/>
              </w:rPr>
              <w:t>التنبیه الثالث فی دوران الأمر بین المحذورین</w:t>
            </w:r>
            <w:r>
              <w:rPr>
                <w:rStyle w:val="IndexLink"/>
                <w:rtl w:val="true"/>
              </w:rPr>
              <w:tab/>
            </w:r>
            <w:r>
              <w:rPr>
                <w:rStyle w:val="IndexLink"/>
              </w:rPr>
              <w:t>163</w:t>
            </w:r>
          </w:hyperlink>
        </w:p>
        <w:p>
          <w:pPr>
            <w:pStyle w:val="Contents6"/>
            <w:tabs>
              <w:tab w:val="clear" w:pos="7609"/>
              <w:tab w:val="right" w:pos="9026" w:leader="dot"/>
            </w:tabs>
            <w:rPr/>
          </w:pPr>
          <w:hyperlink w:anchor="__RefHeading___Toc3425463_322426499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3425465_3224264995">
            <w:r>
              <w:rPr>
                <w:webHidden/>
                <w:rStyle w:val="IndexLink"/>
                <w:rtl w:val="true"/>
              </w:rPr>
              <w:t>مقتضی الأصل فی تساوی المحذورین من حیث الأهمیة مع وحدة الواقعة</w:t>
            </w:r>
            <w:r>
              <w:rPr>
                <w:rStyle w:val="IndexLink"/>
                <w:rtl w:val="true"/>
              </w:rPr>
              <w:tab/>
            </w:r>
            <w:r>
              <w:rPr>
                <w:rStyle w:val="IndexLink"/>
              </w:rPr>
              <w:t>164</w:t>
            </w:r>
          </w:hyperlink>
        </w:p>
        <w:p>
          <w:pPr>
            <w:pStyle w:val="Contents6"/>
            <w:tabs>
              <w:tab w:val="clear" w:pos="7609"/>
              <w:tab w:val="right" w:pos="9026" w:leader="dot"/>
            </w:tabs>
            <w:rPr/>
          </w:pPr>
          <w:hyperlink w:anchor="__RefHeading___Toc3425467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425469_3224264995">
            <w:r>
              <w:rPr>
                <w:webHidden/>
                <w:rStyle w:val="IndexLink"/>
                <w:rtl w:val="true"/>
              </w:rPr>
              <w:t>فی جریان الأصل العقلی</w:t>
            </w:r>
            <w:r>
              <w:rPr>
                <w:rStyle w:val="IndexLink"/>
                <w:rtl w:val="true"/>
              </w:rPr>
              <w:tab/>
            </w:r>
            <w:r>
              <w:rPr>
                <w:rStyle w:val="IndexLink"/>
              </w:rPr>
              <w:t>164</w:t>
            </w:r>
          </w:hyperlink>
        </w:p>
        <w:p>
          <w:pPr>
            <w:pStyle w:val="Contents6"/>
            <w:tabs>
              <w:tab w:val="clear" w:pos="7609"/>
              <w:tab w:val="right" w:pos="9026" w:leader="dot"/>
            </w:tabs>
            <w:rPr/>
          </w:pPr>
          <w:hyperlink w:anchor="__RefHeading___Toc3425471_3224264995">
            <w:r>
              <w:rPr>
                <w:webHidden/>
                <w:rStyle w:val="IndexLink"/>
                <w:rtl w:val="true"/>
              </w:rPr>
              <w:t>فی جریان الأصل الشرعی</w:t>
            </w:r>
            <w:r>
              <w:rPr>
                <w:rStyle w:val="IndexLink"/>
                <w:rtl w:val="true"/>
              </w:rPr>
              <w:tab/>
            </w:r>
            <w:r>
              <w:rPr>
                <w:rStyle w:val="IndexLink"/>
              </w:rPr>
              <w:t>167</w:t>
            </w:r>
          </w:hyperlink>
        </w:p>
        <w:p>
          <w:pPr>
            <w:pStyle w:val="Contents6"/>
            <w:tabs>
              <w:tab w:val="clear" w:pos="7609"/>
              <w:tab w:val="right" w:pos="9026" w:leader="dot"/>
            </w:tabs>
            <w:rPr/>
          </w:pPr>
          <w:hyperlink w:anchor="__RefHeading___Toc3425473_3224264995">
            <w:r>
              <w:rPr>
                <w:webHidden/>
                <w:rStyle w:val="IndexLink"/>
                <w:rtl w:val="true"/>
              </w:rPr>
              <w:t>مقتضی الأصل فی اختلاف المحذورین من حیث الأهمیة مع وحدة الواقعة</w:t>
            </w:r>
            <w:r>
              <w:rPr>
                <w:rStyle w:val="IndexLink"/>
                <w:rtl w:val="true"/>
              </w:rPr>
              <w:tab/>
            </w:r>
            <w:r>
              <w:rPr>
                <w:rStyle w:val="IndexLink"/>
              </w:rPr>
              <w:t>172</w:t>
            </w:r>
          </w:hyperlink>
        </w:p>
        <w:p>
          <w:pPr>
            <w:pStyle w:val="Contents6"/>
            <w:tabs>
              <w:tab w:val="clear" w:pos="7609"/>
              <w:tab w:val="right" w:pos="9026" w:leader="dot"/>
            </w:tabs>
            <w:rPr/>
          </w:pPr>
          <w:hyperlink w:anchor="__RefHeading___Toc3425475_3224264995">
            <w:r>
              <w:rPr>
                <w:webHidden/>
                <w:rStyle w:val="IndexLink"/>
                <w:rtl w:val="true"/>
              </w:rPr>
              <w:t>هل التخییر فی صورة تعدّد الواقعة بدوی أو استمراری؟</w:t>
            </w:r>
            <w:r>
              <w:rPr>
                <w:rStyle w:val="IndexLink"/>
                <w:rtl w:val="true"/>
              </w:rPr>
              <w:tab/>
            </w:r>
            <w:r>
              <w:rPr>
                <w:rStyle w:val="IndexLink"/>
              </w:rPr>
              <w:t>173</w:t>
            </w:r>
          </w:hyperlink>
        </w:p>
        <w:p>
          <w:pPr>
            <w:pStyle w:val="Contents6"/>
            <w:tabs>
              <w:tab w:val="clear" w:pos="7609"/>
              <w:tab w:val="right" w:pos="9026" w:leader="dot"/>
            </w:tabs>
            <w:rPr/>
          </w:pPr>
          <w:hyperlink w:anchor="__RefHeading___Toc3425477_3224264995">
            <w:r>
              <w:rPr>
                <w:webHidden/>
                <w:rStyle w:val="IndexLink"/>
                <w:rtl w:val="true"/>
              </w:rPr>
              <w:t>تتمیم فی دوران الأمر بین المحذورین فی التعبّدیات</w:t>
            </w:r>
            <w:r>
              <w:rPr>
                <w:rStyle w:val="IndexLink"/>
                <w:rtl w:val="true"/>
              </w:rPr>
              <w:tab/>
            </w:r>
            <w:r>
              <w:rPr>
                <w:rStyle w:val="IndexLink"/>
              </w:rPr>
              <w:t>175</w:t>
            </w:r>
          </w:hyperlink>
        </w:p>
        <w:p>
          <w:pPr>
            <w:pStyle w:val="Contents3"/>
            <w:tabs>
              <w:tab w:val="clear" w:pos="8459"/>
              <w:tab w:val="right" w:pos="9026" w:leader="dot"/>
            </w:tabs>
            <w:rPr/>
          </w:pPr>
          <w:hyperlink w:anchor="__RefHeading___Toc3425479_3224264995">
            <w:r>
              <w:rPr>
                <w:webHidden/>
                <w:rStyle w:val="IndexLink"/>
                <w:rtl w:val="true"/>
              </w:rPr>
              <w:t>القول فی الشکّ فی المکلّف به</w:t>
            </w:r>
            <w:r>
              <w:rPr>
                <w:rStyle w:val="IndexLink"/>
                <w:rtl w:val="true"/>
              </w:rPr>
              <w:tab/>
            </w:r>
            <w:r>
              <w:rPr>
                <w:rStyle w:val="IndexLink"/>
              </w:rPr>
              <w:t>177</w:t>
            </w:r>
          </w:hyperlink>
        </w:p>
        <w:p>
          <w:pPr>
            <w:pStyle w:val="Contents4"/>
            <w:tabs>
              <w:tab w:val="clear" w:pos="8176"/>
              <w:tab w:val="right" w:pos="9026" w:leader="dot"/>
            </w:tabs>
            <w:rPr/>
          </w:pPr>
          <w:hyperlink w:anchor="__RefHeading___Toc3425481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425483_3224264995">
            <w:r>
              <w:rPr>
                <w:webHidden/>
                <w:rStyle w:val="IndexLink"/>
                <w:rtl w:val="true"/>
              </w:rPr>
              <w:t>المقام الأوّل فی دوران الأمر بین المتباینین</w:t>
            </w:r>
            <w:r>
              <w:rPr>
                <w:rStyle w:val="IndexLink"/>
                <w:rtl w:val="true"/>
              </w:rPr>
              <w:tab/>
            </w:r>
            <w:r>
              <w:rPr>
                <w:rStyle w:val="IndexLink"/>
              </w:rPr>
              <w:t>178</w:t>
            </w:r>
          </w:hyperlink>
        </w:p>
        <w:p>
          <w:pPr>
            <w:pStyle w:val="Contents5"/>
            <w:tabs>
              <w:tab w:val="clear" w:pos="7892"/>
              <w:tab w:val="right" w:pos="9026" w:leader="dot"/>
            </w:tabs>
            <w:rPr/>
          </w:pPr>
          <w:hyperlink w:anchor="__RefHeading___Toc3425485_3224264995">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425487_3224264995">
            <w:r>
              <w:rPr>
                <w:webHidden/>
                <w:rStyle w:val="IndexLink"/>
                <w:rtl w:val="true"/>
              </w:rPr>
              <w:t>ضابط الشکّ فی المکلّف به</w:t>
            </w:r>
            <w:r>
              <w:rPr>
                <w:rStyle w:val="IndexLink"/>
                <w:rtl w:val="true"/>
              </w:rPr>
              <w:tab/>
            </w:r>
            <w:r>
              <w:rPr>
                <w:rStyle w:val="IndexLink"/>
              </w:rPr>
              <w:t>178</w:t>
            </w:r>
          </w:hyperlink>
        </w:p>
        <w:p>
          <w:pPr>
            <w:pStyle w:val="Contents5"/>
            <w:tabs>
              <w:tab w:val="clear" w:pos="7892"/>
              <w:tab w:val="right" w:pos="9026" w:leader="dot"/>
            </w:tabs>
            <w:rPr/>
          </w:pPr>
          <w:hyperlink w:anchor="__RefHeading___Toc3425489_3224264995">
            <w:r>
              <w:rPr>
                <w:webHidden/>
                <w:rStyle w:val="IndexLink"/>
                <w:rtl w:val="true"/>
              </w:rPr>
              <w:t>تنقیح محلّ النزاع فی المقام</w:t>
            </w:r>
            <w:r>
              <w:rPr>
                <w:rStyle w:val="IndexLink"/>
                <w:rtl w:val="true"/>
              </w:rPr>
              <w:tab/>
            </w:r>
            <w:r>
              <w:rPr>
                <w:rStyle w:val="IndexLink"/>
              </w:rPr>
              <w:t>179</w:t>
            </w:r>
          </w:hyperlink>
        </w:p>
        <w:p>
          <w:pPr>
            <w:pStyle w:val="Contents5"/>
            <w:tabs>
              <w:tab w:val="clear" w:pos="7892"/>
              <w:tab w:val="right" w:pos="9026" w:leader="dot"/>
            </w:tabs>
            <w:rPr/>
          </w:pPr>
          <w:hyperlink w:anchor="__RefHeading___Toc3425491_3224264995">
            <w:r>
              <w:rPr>
                <w:webHidden/>
                <w:rStyle w:val="IndexLink"/>
                <w:rtl w:val="true"/>
              </w:rPr>
              <w:t>تنبیه فی عدم تقیید الأدلّة الواقعیة بجواز الترخیص فی أطراف العلم الإجمالی</w:t>
            </w:r>
            <w:r>
              <w:rPr>
                <w:rStyle w:val="IndexLink"/>
                <w:rtl w:val="true"/>
              </w:rPr>
              <w:tab/>
            </w:r>
            <w:r>
              <w:rPr>
                <w:rStyle w:val="IndexLink"/>
              </w:rPr>
              <w:t>182</w:t>
            </w:r>
          </w:hyperlink>
        </w:p>
        <w:p>
          <w:pPr>
            <w:pStyle w:val="Contents5"/>
            <w:tabs>
              <w:tab w:val="clear" w:pos="7892"/>
              <w:tab w:val="right" w:pos="9026" w:leader="dot"/>
            </w:tabs>
            <w:rPr/>
          </w:pPr>
          <w:hyperlink w:anchor="__RefHeading___Toc3425493_3224264995">
            <w:r>
              <w:rPr>
                <w:webHidden/>
                <w:rStyle w:val="IndexLink"/>
                <w:rtl w:val="true"/>
              </w:rPr>
              <w:t>الکلام فی المخالفة القطعیة</w:t>
            </w:r>
            <w:r>
              <w:rPr>
                <w:rStyle w:val="IndexLink"/>
                <w:rtl w:val="true"/>
              </w:rPr>
              <w:tab/>
            </w:r>
            <w:r>
              <w:rPr>
                <w:rStyle w:val="IndexLink"/>
              </w:rPr>
              <w:t>184</w:t>
            </w:r>
          </w:hyperlink>
        </w:p>
        <w:p>
          <w:pPr>
            <w:pStyle w:val="Contents6"/>
            <w:tabs>
              <w:tab w:val="clear" w:pos="7609"/>
              <w:tab w:val="right" w:pos="9026" w:leader="dot"/>
            </w:tabs>
            <w:rPr/>
          </w:pPr>
          <w:hyperlink w:anchor="__RefHeading___Toc3425495_3224264995">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425497_3224264995">
            <w:r>
              <w:rPr>
                <w:webHidden/>
                <w:rStyle w:val="IndexLink"/>
                <w:rtl w:val="true"/>
              </w:rPr>
              <w:t>الجهة الاولی</w:t>
            </w:r>
            <w:r>
              <w:rPr>
                <w:rStyle w:val="IndexLink"/>
                <w:rtl w:val="true"/>
              </w:rPr>
              <w:t xml:space="preserve">: </w:t>
            </w:r>
            <w:r>
              <w:rPr>
                <w:rStyle w:val="IndexLink"/>
                <w:rtl w:val="true"/>
              </w:rPr>
              <w:t>فی إمکان الترخیص فی أطراف العلم الإجمالی</w:t>
            </w:r>
            <w:r>
              <w:rPr>
                <w:rStyle w:val="IndexLink"/>
                <w:rtl w:val="true"/>
              </w:rPr>
              <w:tab/>
            </w:r>
            <w:r>
              <w:rPr>
                <w:rStyle w:val="IndexLink"/>
              </w:rPr>
              <w:t>184</w:t>
            </w:r>
          </w:hyperlink>
        </w:p>
        <w:p>
          <w:pPr>
            <w:pStyle w:val="Contents6"/>
            <w:tabs>
              <w:tab w:val="clear" w:pos="7609"/>
              <w:tab w:val="right" w:pos="9026" w:leader="dot"/>
            </w:tabs>
            <w:rPr/>
          </w:pPr>
          <w:hyperlink w:anchor="__RefHeading___Toc3425499_3224264995">
            <w:r>
              <w:rPr>
                <w:webHidden/>
                <w:rStyle w:val="IndexLink"/>
                <w:rtl w:val="true"/>
              </w:rPr>
              <w:t>الجهة الثانیة</w:t>
            </w:r>
            <w:r>
              <w:rPr>
                <w:rStyle w:val="IndexLink"/>
                <w:rtl w:val="true"/>
              </w:rPr>
              <w:t xml:space="preserve">: </w:t>
            </w:r>
            <w:r>
              <w:rPr>
                <w:rStyle w:val="IndexLink"/>
                <w:rtl w:val="true"/>
              </w:rPr>
              <w:t>فی وقوع الترخیص فی أطراف العلم الإجمالی</w:t>
            </w:r>
            <w:r>
              <w:rPr>
                <w:rStyle w:val="IndexLink"/>
                <w:rtl w:val="true"/>
              </w:rPr>
              <w:tab/>
            </w:r>
            <w:r>
              <w:rPr>
                <w:rStyle w:val="IndexLink"/>
              </w:rPr>
              <w:t>187</w:t>
            </w:r>
          </w:hyperlink>
        </w:p>
        <w:p>
          <w:pPr>
            <w:pStyle w:val="Contents6"/>
            <w:tabs>
              <w:tab w:val="clear" w:pos="7609"/>
              <w:tab w:val="right" w:pos="9026" w:leader="dot"/>
            </w:tabs>
            <w:rPr/>
          </w:pPr>
          <w:hyperlink w:anchor="__RefHeading___Toc3425501_3224264995">
            <w:r>
              <w:rPr>
                <w:webHidden/>
                <w:rStyle w:val="IndexLink"/>
                <w:rtl w:val="true"/>
              </w:rPr>
              <w:t>مقالة الشیخ فی وجه عدم جریان الاصول فی أطراف العلم الإجمالی</w:t>
            </w:r>
            <w:r>
              <w:rPr>
                <w:rStyle w:val="IndexLink"/>
                <w:rtl w:val="true"/>
              </w:rPr>
              <w:tab/>
            </w:r>
            <w:r>
              <w:rPr>
                <w:rStyle w:val="IndexLink"/>
              </w:rPr>
              <w:t>195</w:t>
            </w:r>
          </w:hyperlink>
        </w:p>
        <w:p>
          <w:pPr>
            <w:pStyle w:val="Contents6"/>
            <w:tabs>
              <w:tab w:val="clear" w:pos="7609"/>
              <w:tab w:val="right" w:pos="9026" w:leader="dot"/>
            </w:tabs>
            <w:rPr/>
          </w:pPr>
          <w:hyperlink w:anchor="__RefHeading___Toc3425503_3224264995">
            <w:r>
              <w:rPr>
                <w:webHidden/>
                <w:rStyle w:val="IndexLink"/>
                <w:rtl w:val="true"/>
              </w:rPr>
              <w:t>تفصیل المحقّق النائینی بین الاصول التنزیلیة و غیرها</w:t>
            </w:r>
            <w:r>
              <w:rPr>
                <w:rStyle w:val="IndexLink"/>
                <w:rtl w:val="true"/>
              </w:rPr>
              <w:tab/>
            </w:r>
            <w:r>
              <w:rPr>
                <w:rStyle w:val="IndexLink"/>
              </w:rPr>
              <w:t>197</w:t>
            </w:r>
          </w:hyperlink>
        </w:p>
        <w:p>
          <w:pPr>
            <w:pStyle w:val="Contents5"/>
            <w:tabs>
              <w:tab w:val="clear" w:pos="7892"/>
              <w:tab w:val="right" w:pos="9026" w:leader="dot"/>
            </w:tabs>
            <w:rPr/>
          </w:pPr>
          <w:hyperlink w:anchor="__RefHeading___Toc3425505_3224264995">
            <w:r>
              <w:rPr>
                <w:webHidden/>
                <w:rStyle w:val="IndexLink"/>
                <w:rtl w:val="true"/>
              </w:rPr>
              <w:t>وجوب الموافقة القطعیة و عدمه</w:t>
            </w:r>
            <w:r>
              <w:rPr>
                <w:rStyle w:val="IndexLink"/>
                <w:rtl w:val="true"/>
              </w:rPr>
              <w:tab/>
            </w:r>
            <w:r>
              <w:rPr>
                <w:rStyle w:val="IndexLink"/>
              </w:rPr>
              <w:t>204</w:t>
            </w:r>
          </w:hyperlink>
        </w:p>
        <w:p>
          <w:pPr>
            <w:pStyle w:val="Contents6"/>
            <w:tabs>
              <w:tab w:val="clear" w:pos="7609"/>
              <w:tab w:val="right" w:pos="9026" w:leader="dot"/>
            </w:tabs>
            <w:rPr/>
          </w:pPr>
          <w:hyperlink w:anchor="__RefHeading___Toc3425507_3224264995">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425509_3224264995">
            <w:r>
              <w:rPr>
                <w:webHidden/>
                <w:rStyle w:val="IndexLink"/>
                <w:rtl w:val="true"/>
              </w:rPr>
              <w:t>جواز الترخیص فی بعض أطراف العلم الإجمالی ثبوتاً</w:t>
            </w:r>
            <w:r>
              <w:rPr>
                <w:rStyle w:val="IndexLink"/>
                <w:rtl w:val="true"/>
              </w:rPr>
              <w:tab/>
            </w:r>
            <w:r>
              <w:rPr>
                <w:rStyle w:val="IndexLink"/>
              </w:rPr>
              <w:t>204</w:t>
            </w:r>
          </w:hyperlink>
        </w:p>
        <w:p>
          <w:pPr>
            <w:pStyle w:val="Contents6"/>
            <w:tabs>
              <w:tab w:val="clear" w:pos="7609"/>
              <w:tab w:val="right" w:pos="9026" w:leader="dot"/>
            </w:tabs>
            <w:rPr/>
          </w:pPr>
          <w:hyperlink w:anchor="__RefHeading___Toc3425511_3224264995">
            <w:r>
              <w:rPr>
                <w:webHidden/>
                <w:rStyle w:val="IndexLink"/>
                <w:rtl w:val="true"/>
              </w:rPr>
              <w:t>جواز الترخیص فی بعض أطراف العلم الإجمالی إثباتاً</w:t>
            </w:r>
            <w:r>
              <w:rPr>
                <w:rStyle w:val="IndexLink"/>
                <w:rtl w:val="true"/>
              </w:rPr>
              <w:tab/>
            </w:r>
            <w:r>
              <w:rPr>
                <w:rStyle w:val="IndexLink"/>
              </w:rPr>
              <w:t>205</w:t>
            </w:r>
          </w:hyperlink>
        </w:p>
        <w:p>
          <w:pPr>
            <w:pStyle w:val="Contents6"/>
            <w:tabs>
              <w:tab w:val="clear" w:pos="7609"/>
              <w:tab w:val="right" w:pos="9026" w:leader="dot"/>
            </w:tabs>
            <w:rPr/>
          </w:pPr>
          <w:hyperlink w:anchor="__RefHeading___Toc3425513_3224264995">
            <w:r>
              <w:rPr>
                <w:webHidden/>
                <w:rStyle w:val="IndexLink"/>
                <w:rtl w:val="true"/>
              </w:rPr>
              <w:t>حول استفادة الترخیص فی بعض الأطراف من الأدلّة العامّة</w:t>
            </w:r>
            <w:r>
              <w:rPr>
                <w:rStyle w:val="IndexLink"/>
                <w:rtl w:val="true"/>
              </w:rPr>
              <w:tab/>
            </w:r>
            <w:r>
              <w:rPr>
                <w:rStyle w:val="IndexLink"/>
              </w:rPr>
              <w:t>208</w:t>
            </w:r>
          </w:hyperlink>
        </w:p>
        <w:p>
          <w:pPr>
            <w:pStyle w:val="Contents6"/>
            <w:tabs>
              <w:tab w:val="clear" w:pos="7609"/>
              <w:tab w:val="right" w:pos="9026" w:leader="dot"/>
            </w:tabs>
            <w:rPr/>
          </w:pPr>
          <w:hyperlink w:anchor="__RefHeading___Toc3425515_3224264995">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3425517_3224264995">
            <w:r>
              <w:rPr>
                <w:webHidden/>
                <w:rStyle w:val="IndexLink"/>
                <w:rtl w:val="true"/>
              </w:rPr>
              <w:t>الوجه الأوّل</w:t>
            </w:r>
            <w:r>
              <w:rPr>
                <w:rStyle w:val="IndexLink"/>
                <w:rtl w:val="true"/>
              </w:rPr>
              <w:t>:</w:t>
              <w:tab/>
            </w:r>
            <w:r>
              <w:rPr>
                <w:rStyle w:val="IndexLink"/>
              </w:rPr>
              <w:t>208</w:t>
            </w:r>
          </w:hyperlink>
        </w:p>
        <w:p>
          <w:pPr>
            <w:pStyle w:val="Contents6"/>
            <w:tabs>
              <w:tab w:val="clear" w:pos="7609"/>
              <w:tab w:val="right" w:pos="9026" w:leader="dot"/>
            </w:tabs>
            <w:rPr/>
          </w:pPr>
          <w:hyperlink w:anchor="__RefHeading___Toc3425519_3224264995">
            <w:r>
              <w:rPr>
                <w:webHidden/>
                <w:rStyle w:val="IndexLink"/>
                <w:rtl w:val="true"/>
              </w:rPr>
              <w:t>الوجه الثانی</w:t>
            </w:r>
            <w:r>
              <w:rPr>
                <w:rStyle w:val="IndexLink"/>
                <w:rtl w:val="true"/>
              </w:rPr>
              <w:t>:</w:t>
              <w:tab/>
            </w:r>
            <w:r>
              <w:rPr>
                <w:rStyle w:val="IndexLink"/>
              </w:rPr>
              <w:t>208</w:t>
            </w:r>
          </w:hyperlink>
        </w:p>
        <w:p>
          <w:pPr>
            <w:pStyle w:val="Contents6"/>
            <w:tabs>
              <w:tab w:val="clear" w:pos="7609"/>
              <w:tab w:val="right" w:pos="9026" w:leader="dot"/>
            </w:tabs>
            <w:rPr/>
          </w:pPr>
          <w:hyperlink w:anchor="__RefHeading___Toc3425521_3224264995">
            <w:r>
              <w:rPr>
                <w:webHidden/>
                <w:rStyle w:val="IndexLink"/>
                <w:rtl w:val="true"/>
              </w:rPr>
              <w:t>الوجه الثالث</w:t>
            </w:r>
            <w:r>
              <w:rPr>
                <w:rStyle w:val="IndexLink"/>
                <w:rtl w:val="true"/>
              </w:rPr>
              <w:t>:</w:t>
              <w:tab/>
            </w:r>
            <w:r>
              <w:rPr>
                <w:rStyle w:val="IndexLink"/>
              </w:rPr>
              <w:t>209</w:t>
            </w:r>
          </w:hyperlink>
        </w:p>
        <w:p>
          <w:pPr>
            <w:pStyle w:val="Contents6"/>
            <w:tabs>
              <w:tab w:val="clear" w:pos="7609"/>
              <w:tab w:val="right" w:pos="9026" w:leader="dot"/>
            </w:tabs>
            <w:rPr/>
          </w:pPr>
          <w:hyperlink w:anchor="__RefHeading___Toc3425523_3224264995">
            <w:r>
              <w:rPr>
                <w:webHidden/>
                <w:rStyle w:val="IndexLink"/>
                <w:rtl w:val="true"/>
              </w:rPr>
              <w:t>حول رجوع الترخیص فی البعض إلی جعل البدلیة</w:t>
            </w:r>
            <w:r>
              <w:rPr>
                <w:rStyle w:val="IndexLink"/>
                <w:rtl w:val="true"/>
              </w:rPr>
              <w:tab/>
            </w:r>
            <w:r>
              <w:rPr>
                <w:rStyle w:val="IndexLink"/>
              </w:rPr>
              <w:t>215</w:t>
            </w:r>
          </w:hyperlink>
        </w:p>
        <w:p>
          <w:pPr>
            <w:pStyle w:val="Contents6"/>
            <w:tabs>
              <w:tab w:val="clear" w:pos="7609"/>
              <w:tab w:val="right" w:pos="9026" w:leader="dot"/>
            </w:tabs>
            <w:rPr/>
          </w:pPr>
          <w:hyperlink w:anchor="__RefHeading___Toc3425525_3224264995">
            <w:r>
              <w:rPr>
                <w:webHidden/>
                <w:rStyle w:val="IndexLink"/>
                <w:rtl w:val="true"/>
              </w:rPr>
              <w:t>تنجیز العلم الإجمالی فی التدریجیات</w:t>
            </w:r>
            <w:r>
              <w:rPr>
                <w:rStyle w:val="IndexLink"/>
                <w:rtl w:val="true"/>
              </w:rPr>
              <w:tab/>
            </w:r>
            <w:r>
              <w:rPr>
                <w:rStyle w:val="IndexLink"/>
              </w:rPr>
              <w:t>216</w:t>
            </w:r>
          </w:hyperlink>
        </w:p>
        <w:p>
          <w:pPr>
            <w:pStyle w:val="Contents5"/>
            <w:tabs>
              <w:tab w:val="clear" w:pos="7892"/>
              <w:tab w:val="right" w:pos="9026" w:leader="dot"/>
            </w:tabs>
            <w:rPr/>
          </w:pPr>
          <w:hyperlink w:anchor="__RefHeading___Toc3425527_3224264995">
            <w:r>
              <w:rPr>
                <w:webHidden/>
                <w:rStyle w:val="IndexLink"/>
                <w:rtl w:val="true"/>
              </w:rPr>
              <w:t>و ینبغی التنبیه علی امور</w:t>
            </w:r>
            <w:r>
              <w:rPr>
                <w:rStyle w:val="IndexLink"/>
                <w:rtl w:val="true"/>
              </w:rPr>
              <w:t>:</w:t>
              <w:tab/>
            </w:r>
            <w:r>
              <w:rPr>
                <w:rStyle w:val="IndexLink"/>
              </w:rPr>
              <w:t>216</w:t>
            </w:r>
          </w:hyperlink>
        </w:p>
        <w:p>
          <w:pPr>
            <w:pStyle w:val="Contents6"/>
            <w:tabs>
              <w:tab w:val="clear" w:pos="7609"/>
              <w:tab w:val="right" w:pos="9026" w:leader="dot"/>
            </w:tabs>
            <w:rPr/>
          </w:pPr>
          <w:hyperlink w:anchor="__RefHeading___Toc3425529_3224264995">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425531_3224264995">
            <w:r>
              <w:rPr>
                <w:webHidden/>
                <w:rStyle w:val="IndexLink"/>
                <w:rtl w:val="true"/>
              </w:rPr>
              <w:t>الأمر الأوّل فیما إذا اضطرّ إلی أحد الأطراف</w:t>
            </w:r>
            <w:r>
              <w:rPr>
                <w:rStyle w:val="IndexLink"/>
                <w:rtl w:val="true"/>
              </w:rPr>
              <w:tab/>
            </w:r>
            <w:r>
              <w:rPr>
                <w:rStyle w:val="IndexLink"/>
              </w:rPr>
              <w:t>217</w:t>
            </w:r>
          </w:hyperlink>
        </w:p>
        <w:p>
          <w:pPr>
            <w:pStyle w:val="Contents6"/>
            <w:tabs>
              <w:tab w:val="clear" w:pos="7609"/>
              <w:tab w:val="right" w:pos="9026" w:leader="dot"/>
            </w:tabs>
            <w:rPr/>
          </w:pPr>
          <w:hyperlink w:anchor="__RefHeading___Toc3425533_3224264995">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425535_3224264995">
            <w:r>
              <w:rPr>
                <w:webHidden/>
                <w:rStyle w:val="IndexLink"/>
                <w:rtl w:val="true"/>
              </w:rPr>
              <w:t>فی الاضطرار إلی بعض الأطراف المعیّن</w:t>
            </w:r>
            <w:r>
              <w:rPr>
                <w:rStyle w:val="IndexLink"/>
                <w:rtl w:val="true"/>
              </w:rPr>
              <w:tab/>
            </w:r>
            <w:r>
              <w:rPr>
                <w:rStyle w:val="IndexLink"/>
              </w:rPr>
              <w:t>218</w:t>
            </w:r>
          </w:hyperlink>
        </w:p>
        <w:p>
          <w:pPr>
            <w:pStyle w:val="Contents6"/>
            <w:tabs>
              <w:tab w:val="clear" w:pos="7609"/>
              <w:tab w:val="right" w:pos="9026" w:leader="dot"/>
            </w:tabs>
            <w:rPr/>
          </w:pPr>
          <w:hyperlink w:anchor="__RefHeading___Toc3425537_3224264995">
            <w:r>
              <w:rPr>
                <w:webHidden/>
                <w:rStyle w:val="IndexLink"/>
                <w:rtl w:val="true"/>
              </w:rPr>
              <w:t>فی الاضطرار إلی بعض الأطراف الغیر المعیّن</w:t>
            </w:r>
            <w:r>
              <w:rPr>
                <w:rStyle w:val="IndexLink"/>
                <w:rtl w:val="true"/>
              </w:rPr>
              <w:tab/>
            </w:r>
            <w:r>
              <w:rPr>
                <w:rStyle w:val="IndexLink"/>
              </w:rPr>
              <w:t>222</w:t>
            </w:r>
          </w:hyperlink>
        </w:p>
        <w:p>
          <w:pPr>
            <w:pStyle w:val="Contents6"/>
            <w:tabs>
              <w:tab w:val="clear" w:pos="7609"/>
              <w:tab w:val="right" w:pos="9026" w:leader="dot"/>
            </w:tabs>
            <w:rPr/>
          </w:pPr>
          <w:hyperlink w:anchor="__RefHeading___Toc3425539_3224264995">
            <w:r>
              <w:rPr>
                <w:webHidden/>
                <w:rStyle w:val="IndexLink"/>
                <w:rtl w:val="true"/>
              </w:rPr>
              <w:t>مختار المحقّق الخراسانی فی الکتاب و هامشه</w:t>
            </w:r>
            <w:r>
              <w:rPr>
                <w:rStyle w:val="IndexLink"/>
                <w:rtl w:val="true"/>
              </w:rPr>
              <w:tab/>
            </w:r>
            <w:r>
              <w:rPr>
                <w:rStyle w:val="IndexLink"/>
              </w:rPr>
              <w:t>223</w:t>
            </w:r>
          </w:hyperlink>
        </w:p>
        <w:p>
          <w:pPr>
            <w:pStyle w:val="Contents6"/>
            <w:tabs>
              <w:tab w:val="clear" w:pos="7609"/>
              <w:tab w:val="right" w:pos="9026" w:leader="dot"/>
            </w:tabs>
            <w:rPr/>
          </w:pPr>
          <w:hyperlink w:anchor="__RefHeading___Toc3425541_3224264995">
            <w:r>
              <w:rPr>
                <w:webHidden/>
                <w:rStyle w:val="IndexLink"/>
                <w:rtl w:val="true"/>
              </w:rPr>
              <w:t>الأمر الثانی فی شرطیة الابتلاء لتنجیز العلم الإجمالی</w:t>
            </w:r>
            <w:r>
              <w:rPr>
                <w:rStyle w:val="IndexLink"/>
                <w:rtl w:val="true"/>
              </w:rPr>
              <w:tab/>
            </w:r>
            <w:r>
              <w:rPr>
                <w:rStyle w:val="IndexLink"/>
              </w:rPr>
              <w:t>226</w:t>
            </w:r>
          </w:hyperlink>
        </w:p>
        <w:p>
          <w:pPr>
            <w:pStyle w:val="Contents6"/>
            <w:tabs>
              <w:tab w:val="clear" w:pos="7609"/>
              <w:tab w:val="right" w:pos="9026" w:leader="dot"/>
            </w:tabs>
            <w:rPr/>
          </w:pPr>
          <w:hyperlink w:anchor="__RefHeading___Toc3425543_3224264995">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425545_3224264995">
            <w:r>
              <w:rPr>
                <w:webHidden/>
                <w:rStyle w:val="IndexLink"/>
                <w:rtl w:val="true"/>
              </w:rPr>
              <w:t>الفرق بین الخطابات القانونیة و الشخصیة</w:t>
            </w:r>
            <w:r>
              <w:rPr>
                <w:rStyle w:val="IndexLink"/>
                <w:rtl w:val="true"/>
              </w:rPr>
              <w:tab/>
            </w:r>
            <w:r>
              <w:rPr>
                <w:rStyle w:val="IndexLink"/>
              </w:rPr>
              <w:t>229</w:t>
            </w:r>
          </w:hyperlink>
        </w:p>
        <w:p>
          <w:pPr>
            <w:pStyle w:val="Contents6"/>
            <w:tabs>
              <w:tab w:val="clear" w:pos="7609"/>
              <w:tab w:val="right" w:pos="9026" w:leader="dot"/>
            </w:tabs>
            <w:rPr/>
          </w:pPr>
          <w:hyperlink w:anchor="__RefHeading___Toc3425547_3224264995">
            <w:r>
              <w:rPr>
                <w:webHidden/>
                <w:rStyle w:val="IndexLink"/>
                <w:rtl w:val="true"/>
              </w:rPr>
              <w:t>مقتضی الأصل عند الشکّ فی الخروج عن محلّ الابتلاء</w:t>
            </w:r>
            <w:r>
              <w:rPr>
                <w:rStyle w:val="IndexLink"/>
                <w:rtl w:val="true"/>
              </w:rPr>
              <w:tab/>
            </w:r>
            <w:r>
              <w:rPr>
                <w:rStyle w:val="IndexLink"/>
              </w:rPr>
              <w:t>235</w:t>
            </w:r>
          </w:hyperlink>
        </w:p>
        <w:p>
          <w:pPr>
            <w:pStyle w:val="Contents6"/>
            <w:tabs>
              <w:tab w:val="clear" w:pos="7609"/>
              <w:tab w:val="right" w:pos="9026" w:leader="dot"/>
            </w:tabs>
            <w:rPr/>
          </w:pPr>
          <w:hyperlink w:anchor="__RefHeading___Toc3425549_3224264995">
            <w:r>
              <w:rPr>
                <w:webHidden/>
                <w:rStyle w:val="IndexLink"/>
                <w:rtl w:val="true"/>
              </w:rPr>
              <w:t>الأمر الثالث فی الشبهة غیر المحصورة</w:t>
            </w:r>
            <w:r>
              <w:rPr>
                <w:rStyle w:val="IndexLink"/>
                <w:rtl w:val="true"/>
              </w:rPr>
              <w:tab/>
            </w:r>
            <w:r>
              <w:rPr>
                <w:rStyle w:val="IndexLink"/>
              </w:rPr>
              <w:t>243</w:t>
            </w:r>
          </w:hyperlink>
        </w:p>
        <w:p>
          <w:pPr>
            <w:pStyle w:val="Contents6"/>
            <w:tabs>
              <w:tab w:val="clear" w:pos="7609"/>
              <w:tab w:val="right" w:pos="9026" w:leader="dot"/>
            </w:tabs>
            <w:rPr/>
          </w:pPr>
          <w:hyperlink w:anchor="__RefHeading___Toc3425551_3224264995">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3425553_3224264995">
            <w:r>
              <w:rPr>
                <w:webHidden/>
                <w:rStyle w:val="IndexLink"/>
                <w:rtl w:val="true"/>
              </w:rPr>
              <w:t>الأوّل</w:t>
            </w:r>
            <w:r>
              <w:rPr>
                <w:rStyle w:val="IndexLink"/>
                <w:rtl w:val="true"/>
              </w:rPr>
              <w:t xml:space="preserve">: </w:t>
            </w:r>
            <w:r>
              <w:rPr>
                <w:rStyle w:val="IndexLink"/>
                <w:rtl w:val="true"/>
              </w:rPr>
              <w:t>تنقیح محلّ البحث</w:t>
            </w:r>
            <w:r>
              <w:rPr>
                <w:rStyle w:val="IndexLink"/>
                <w:rtl w:val="true"/>
              </w:rPr>
              <w:tab/>
            </w:r>
            <w:r>
              <w:rPr>
                <w:rStyle w:val="IndexLink"/>
              </w:rPr>
              <w:t>243</w:t>
            </w:r>
          </w:hyperlink>
        </w:p>
        <w:p>
          <w:pPr>
            <w:pStyle w:val="Contents6"/>
            <w:tabs>
              <w:tab w:val="clear" w:pos="7609"/>
              <w:tab w:val="right" w:pos="9026" w:leader="dot"/>
            </w:tabs>
            <w:rPr/>
          </w:pPr>
          <w:hyperlink w:anchor="__RefHeading___Toc3425555_3224264995">
            <w:r>
              <w:rPr>
                <w:webHidden/>
                <w:rStyle w:val="IndexLink"/>
                <w:rtl w:val="true"/>
              </w:rPr>
              <w:t>الثانی</w:t>
            </w:r>
            <w:r>
              <w:rPr>
                <w:rStyle w:val="IndexLink"/>
                <w:rtl w:val="true"/>
              </w:rPr>
              <w:t xml:space="preserve">: </w:t>
            </w:r>
            <w:r>
              <w:rPr>
                <w:rStyle w:val="IndexLink"/>
                <w:rtl w:val="true"/>
              </w:rPr>
              <w:t>فیما یدلّ علی عدم وجوب الاحتیاط فی الشبهة غیر المحصورة</w:t>
            </w:r>
            <w:r>
              <w:rPr>
                <w:rStyle w:val="IndexLink"/>
                <w:rtl w:val="true"/>
              </w:rPr>
              <w:tab/>
            </w:r>
            <w:r>
              <w:rPr>
                <w:rStyle w:val="IndexLink"/>
              </w:rPr>
              <w:t>244</w:t>
            </w:r>
          </w:hyperlink>
        </w:p>
        <w:p>
          <w:pPr>
            <w:pStyle w:val="Contents6"/>
            <w:tabs>
              <w:tab w:val="clear" w:pos="7609"/>
              <w:tab w:val="right" w:pos="9026" w:leader="dot"/>
            </w:tabs>
            <w:rPr/>
          </w:pPr>
          <w:hyperlink w:anchor="__RefHeading___Toc3425557_3224264995">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3425559_3224264995">
            <w:r>
              <w:rPr>
                <w:webHidden/>
                <w:rStyle w:val="IndexLink"/>
                <w:rtl w:val="true"/>
              </w:rPr>
              <w:t>ضابط الشبهة غیر المحصورة</w:t>
            </w:r>
            <w:r>
              <w:rPr>
                <w:rStyle w:val="IndexLink"/>
                <w:rtl w:val="true"/>
              </w:rPr>
              <w:tab/>
            </w:r>
            <w:r>
              <w:rPr>
                <w:rStyle w:val="IndexLink"/>
              </w:rPr>
              <w:t>248</w:t>
            </w:r>
          </w:hyperlink>
        </w:p>
        <w:p>
          <w:pPr>
            <w:pStyle w:val="Contents6"/>
            <w:tabs>
              <w:tab w:val="clear" w:pos="7609"/>
              <w:tab w:val="right" w:pos="9026" w:leader="dot"/>
            </w:tabs>
            <w:rPr/>
          </w:pPr>
          <w:hyperlink w:anchor="__RefHeading___Toc3425561_3224264995">
            <w:r>
              <w:rPr>
                <w:webHidden/>
                <w:rStyle w:val="IndexLink"/>
                <w:rtl w:val="true"/>
              </w:rPr>
              <w:t>الثالث</w:t>
            </w:r>
            <w:r>
              <w:rPr>
                <w:rStyle w:val="IndexLink"/>
                <w:rtl w:val="true"/>
              </w:rPr>
              <w:t xml:space="preserve">: </w:t>
            </w:r>
            <w:r>
              <w:rPr>
                <w:rStyle w:val="IndexLink"/>
                <w:rtl w:val="true"/>
              </w:rPr>
              <w:t>فی جواز مخالفة القطعیة فی الشبهة التحریمیة الغیر المحصورة</w:t>
            </w:r>
            <w:r>
              <w:rPr>
                <w:rStyle w:val="IndexLink"/>
                <w:rtl w:val="true"/>
              </w:rPr>
              <w:tab/>
            </w:r>
            <w:r>
              <w:rPr>
                <w:rStyle w:val="IndexLink"/>
              </w:rPr>
              <w:t>251</w:t>
            </w:r>
          </w:hyperlink>
        </w:p>
        <w:p>
          <w:pPr>
            <w:pStyle w:val="Contents6"/>
            <w:tabs>
              <w:tab w:val="clear" w:pos="7609"/>
              <w:tab w:val="right" w:pos="9026" w:leader="dot"/>
            </w:tabs>
            <w:rPr/>
          </w:pPr>
          <w:hyperlink w:anchor="__RefHeading___Toc3425563_3224264995">
            <w:r>
              <w:rPr>
                <w:webHidden/>
                <w:rStyle w:val="IndexLink"/>
                <w:rtl w:val="true"/>
              </w:rPr>
              <w:t>الرابع</w:t>
            </w:r>
            <w:r>
              <w:rPr>
                <w:rStyle w:val="IndexLink"/>
                <w:rtl w:val="true"/>
              </w:rPr>
              <w:t xml:space="preserve">: </w:t>
            </w:r>
            <w:r>
              <w:rPr>
                <w:rStyle w:val="IndexLink"/>
                <w:rtl w:val="true"/>
              </w:rPr>
              <w:t>فی سقوط حکم الشکّ البدوی عن بعض الأطراف الغیر المحصورة</w:t>
            </w:r>
            <w:r>
              <w:rPr>
                <w:rStyle w:val="IndexLink"/>
                <w:rtl w:val="true"/>
              </w:rPr>
              <w:tab/>
            </w:r>
            <w:r>
              <w:rPr>
                <w:rStyle w:val="IndexLink"/>
              </w:rPr>
              <w:t>252</w:t>
            </w:r>
          </w:hyperlink>
        </w:p>
        <w:p>
          <w:pPr>
            <w:pStyle w:val="Contents6"/>
            <w:tabs>
              <w:tab w:val="clear" w:pos="7609"/>
              <w:tab w:val="right" w:pos="9026" w:leader="dot"/>
            </w:tabs>
            <w:rPr/>
          </w:pPr>
          <w:hyperlink w:anchor="__RefHeading___Toc3425565_3224264995">
            <w:r>
              <w:rPr>
                <w:webHidden/>
                <w:rStyle w:val="IndexLink"/>
                <w:rtl w:val="true"/>
              </w:rPr>
              <w:t>الخامس</w:t>
            </w:r>
            <w:r>
              <w:rPr>
                <w:rStyle w:val="IndexLink"/>
                <w:rtl w:val="true"/>
              </w:rPr>
              <w:t xml:space="preserve">: </w:t>
            </w:r>
            <w:r>
              <w:rPr>
                <w:rStyle w:val="IndexLink"/>
                <w:rtl w:val="true"/>
              </w:rPr>
              <w:t>فی حکم الشبهة الوجوبیة الغیر المحصورة</w:t>
            </w:r>
            <w:r>
              <w:rPr>
                <w:rStyle w:val="IndexLink"/>
                <w:rtl w:val="true"/>
              </w:rPr>
              <w:tab/>
            </w:r>
            <w:r>
              <w:rPr>
                <w:rStyle w:val="IndexLink"/>
              </w:rPr>
              <w:t>253</w:t>
            </w:r>
          </w:hyperlink>
        </w:p>
        <w:p>
          <w:pPr>
            <w:pStyle w:val="Contents6"/>
            <w:tabs>
              <w:tab w:val="clear" w:pos="7609"/>
              <w:tab w:val="right" w:pos="9026" w:leader="dot"/>
            </w:tabs>
            <w:rPr/>
          </w:pPr>
          <w:hyperlink w:anchor="__RefHeading___Toc3425567_3224264995">
            <w:r>
              <w:rPr>
                <w:webHidden/>
                <w:rStyle w:val="IndexLink"/>
                <w:rtl w:val="true"/>
              </w:rPr>
              <w:t>الأمر الرابع فی ملاقی الشبهة المحصورة</w:t>
            </w:r>
            <w:r>
              <w:rPr>
                <w:rStyle w:val="IndexLink"/>
                <w:rtl w:val="true"/>
              </w:rPr>
              <w:tab/>
            </w:r>
            <w:r>
              <w:rPr>
                <w:rStyle w:val="IndexLink"/>
              </w:rPr>
              <w:t>254</w:t>
            </w:r>
          </w:hyperlink>
        </w:p>
        <w:p>
          <w:pPr>
            <w:pStyle w:val="Contents6"/>
            <w:tabs>
              <w:tab w:val="clear" w:pos="7609"/>
              <w:tab w:val="right" w:pos="9026" w:leader="dot"/>
            </w:tabs>
            <w:rPr/>
          </w:pPr>
          <w:hyperlink w:anchor="__RefHeading___Toc3425569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425571_3224264995">
            <w:r>
              <w:rPr>
                <w:webHidden/>
                <w:rStyle w:val="IndexLink"/>
                <w:rtl w:val="true"/>
              </w:rPr>
              <w:t>فی أنّ ملاقی النجس بعنوانه من النجس</w:t>
            </w:r>
            <w:r>
              <w:rPr>
                <w:rStyle w:val="IndexLink"/>
                <w:rtl w:val="true"/>
              </w:rPr>
              <w:tab/>
            </w:r>
            <w:r>
              <w:rPr>
                <w:rStyle w:val="IndexLink"/>
              </w:rPr>
              <w:t>254</w:t>
            </w:r>
          </w:hyperlink>
        </w:p>
        <w:p>
          <w:pPr>
            <w:pStyle w:val="Contents6"/>
            <w:tabs>
              <w:tab w:val="clear" w:pos="7609"/>
              <w:tab w:val="right" w:pos="9026" w:leader="dot"/>
            </w:tabs>
            <w:rPr/>
          </w:pPr>
          <w:hyperlink w:anchor="__RefHeading___Toc3425573_3224264995">
            <w:r>
              <w:rPr>
                <w:webHidden/>
                <w:rStyle w:val="IndexLink"/>
                <w:rtl w:val="true"/>
              </w:rPr>
              <w:t>صور الملاقاة فی المسألة</w:t>
            </w:r>
            <w:r>
              <w:rPr>
                <w:rStyle w:val="IndexLink"/>
                <w:rtl w:val="true"/>
              </w:rPr>
              <w:tab/>
            </w:r>
            <w:r>
              <w:rPr>
                <w:rStyle w:val="IndexLink"/>
              </w:rPr>
              <w:t>257</w:t>
            </w:r>
          </w:hyperlink>
        </w:p>
        <w:p>
          <w:pPr>
            <w:pStyle w:val="Contents6"/>
            <w:tabs>
              <w:tab w:val="clear" w:pos="7609"/>
              <w:tab w:val="right" w:pos="9026" w:leader="dot"/>
            </w:tabs>
            <w:rPr/>
          </w:pPr>
          <w:hyperlink w:anchor="__RefHeading___Toc3425575_3224264995">
            <w:r>
              <w:rPr>
                <w:webHidden/>
                <w:rStyle w:val="IndexLink"/>
                <w:rtl w:val="true"/>
              </w:rPr>
              <w:t>مقتضی الأصل العقلی فی صور الملاقاة</w:t>
            </w:r>
            <w:r>
              <w:rPr>
                <w:rStyle w:val="IndexLink"/>
                <w:rtl w:val="true"/>
              </w:rPr>
              <w:tab/>
            </w:r>
            <w:r>
              <w:rPr>
                <w:rStyle w:val="IndexLink"/>
              </w:rPr>
              <w:t>257</w:t>
            </w:r>
          </w:hyperlink>
        </w:p>
        <w:p>
          <w:pPr>
            <w:pStyle w:val="Contents6"/>
            <w:tabs>
              <w:tab w:val="clear" w:pos="7609"/>
              <w:tab w:val="right" w:pos="9026" w:leader="dot"/>
            </w:tabs>
            <w:rPr/>
          </w:pPr>
          <w:hyperlink w:anchor="__RefHeading___Toc3425577_322426499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3425579_3224264995">
            <w:r>
              <w:rPr>
                <w:webHidden/>
                <w:rStyle w:val="IndexLink"/>
                <w:rtl w:val="true"/>
              </w:rPr>
              <w:t>و التحقیق</w:t>
            </w:r>
            <w:r>
              <w:rPr>
                <w:rStyle w:val="IndexLink"/>
                <w:rtl w:val="true"/>
              </w:rPr>
              <w:t xml:space="preserve">: </w:t>
            </w:r>
            <w:r>
              <w:rPr>
                <w:rStyle w:val="IndexLink"/>
                <w:rtl w:val="true"/>
              </w:rPr>
              <w:t>هو ما اختاره المحقّق الخراسانی من التفصیل؛</w:t>
            </w:r>
            <w:r>
              <w:rPr>
                <w:rStyle w:val="IndexLink"/>
                <w:rtl w:val="true"/>
              </w:rPr>
              <w:tab/>
            </w:r>
            <w:r>
              <w:rPr>
                <w:rStyle w:val="IndexLink"/>
              </w:rPr>
              <w:t>259</w:t>
            </w:r>
          </w:hyperlink>
        </w:p>
        <w:p>
          <w:pPr>
            <w:pStyle w:val="Contents6"/>
            <w:tabs>
              <w:tab w:val="clear" w:pos="7609"/>
              <w:tab w:val="right" w:pos="9026" w:leader="dot"/>
            </w:tabs>
            <w:rPr/>
          </w:pPr>
          <w:hyperlink w:anchor="__RefHeading___Toc3425581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425583_3224264995">
            <w:r>
              <w:rPr>
                <w:webHidden/>
                <w:rStyle w:val="IndexLink"/>
                <w:rtl w:val="true"/>
              </w:rPr>
              <w:t>أمّا الصورة الاولی</w:t>
            </w:r>
            <w:r>
              <w:rPr>
                <w:rStyle w:val="IndexLink"/>
                <w:rtl w:val="true"/>
              </w:rPr>
              <w:t>:</w:t>
              <w:tab/>
            </w:r>
            <w:r>
              <w:rPr>
                <w:rStyle w:val="IndexLink"/>
              </w:rPr>
              <w:t>259</w:t>
            </w:r>
          </w:hyperlink>
        </w:p>
        <w:p>
          <w:pPr>
            <w:pStyle w:val="Contents6"/>
            <w:tabs>
              <w:tab w:val="clear" w:pos="7609"/>
              <w:tab w:val="right" w:pos="9026" w:leader="dot"/>
            </w:tabs>
            <w:rPr/>
          </w:pPr>
          <w:hyperlink w:anchor="__RefHeading___Toc3425585_3224264995">
            <w:r>
              <w:rPr>
                <w:webHidden/>
                <w:rStyle w:val="IndexLink"/>
                <w:rtl w:val="true"/>
              </w:rPr>
              <w:t>و أمّا الصورة الثانیة</w:t>
            </w:r>
            <w:r>
              <w:rPr>
                <w:rStyle w:val="IndexLink"/>
                <w:rtl w:val="true"/>
              </w:rPr>
              <w:tab/>
            </w:r>
            <w:r>
              <w:rPr>
                <w:rStyle w:val="IndexLink"/>
              </w:rPr>
              <w:t>260</w:t>
            </w:r>
          </w:hyperlink>
        </w:p>
        <w:p>
          <w:pPr>
            <w:pStyle w:val="Contents6"/>
            <w:tabs>
              <w:tab w:val="clear" w:pos="7609"/>
              <w:tab w:val="right" w:pos="9026" w:leader="dot"/>
            </w:tabs>
            <w:rPr/>
          </w:pPr>
          <w:hyperlink w:anchor="__RefHeading___Toc3425587_3224264995">
            <w:r>
              <w:rPr>
                <w:webHidden/>
                <w:rStyle w:val="IndexLink"/>
                <w:rtl w:val="true"/>
              </w:rPr>
              <w:t>و أمّا الصورة الثالثة</w:t>
            </w:r>
            <w:r>
              <w:rPr>
                <w:rStyle w:val="IndexLink"/>
                <w:rtl w:val="true"/>
              </w:rPr>
              <w:tab/>
            </w:r>
            <w:r>
              <w:rPr>
                <w:rStyle w:val="IndexLink"/>
              </w:rPr>
              <w:t>261</w:t>
            </w:r>
          </w:hyperlink>
        </w:p>
        <w:p>
          <w:pPr>
            <w:pStyle w:val="Contents6"/>
            <w:tabs>
              <w:tab w:val="clear" w:pos="7609"/>
              <w:tab w:val="right" w:pos="9026" w:leader="dot"/>
            </w:tabs>
            <w:rPr/>
          </w:pPr>
          <w:hyperlink w:anchor="__RefHeading___Toc3425589_3224264995">
            <w:r>
              <w:rPr>
                <w:webHidden/>
                <w:rStyle w:val="IndexLink"/>
                <w:rtl w:val="true"/>
              </w:rPr>
              <w:t>مقتضی الأصل الشرعی فی صور الملاقاة</w:t>
            </w:r>
            <w:r>
              <w:rPr>
                <w:rStyle w:val="IndexLink"/>
                <w:rtl w:val="true"/>
              </w:rPr>
              <w:tab/>
            </w:r>
            <w:r>
              <w:rPr>
                <w:rStyle w:val="IndexLink"/>
              </w:rPr>
              <w:t>268</w:t>
            </w:r>
          </w:hyperlink>
        </w:p>
        <w:p>
          <w:pPr>
            <w:pStyle w:val="Contents6"/>
            <w:tabs>
              <w:tab w:val="clear" w:pos="7609"/>
              <w:tab w:val="right" w:pos="9026" w:leader="dot"/>
            </w:tabs>
            <w:rPr/>
          </w:pPr>
          <w:hyperlink w:anchor="__RefHeading___Toc3425591_3224264995">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425593_3224264995">
            <w:r>
              <w:rPr>
                <w:webHidden/>
                <w:rStyle w:val="IndexLink"/>
                <w:rtl w:val="true"/>
              </w:rPr>
              <w:t>فذلکة البحث فی المقام</w:t>
            </w:r>
            <w:r>
              <w:rPr>
                <w:rStyle w:val="IndexLink"/>
                <w:rtl w:val="true"/>
              </w:rPr>
              <w:tab/>
            </w:r>
            <w:r>
              <w:rPr>
                <w:rStyle w:val="IndexLink"/>
              </w:rPr>
              <w:t>271</w:t>
            </w:r>
          </w:hyperlink>
        </w:p>
        <w:p>
          <w:pPr>
            <w:pStyle w:val="Contents6"/>
            <w:tabs>
              <w:tab w:val="clear" w:pos="7609"/>
              <w:tab w:val="right" w:pos="9026" w:leader="dot"/>
            </w:tabs>
            <w:rPr/>
          </w:pPr>
          <w:hyperlink w:anchor="__RefHeading___Toc3425595_3224264995">
            <w:r>
              <w:rPr>
                <w:webHidden/>
                <w:rStyle w:val="IndexLink"/>
                <w:rtl w:val="true"/>
              </w:rPr>
              <w:t>شبهة التفکیک بین قاعدتی الطهارة و الحلّ فی الملاقی</w:t>
            </w:r>
            <w:r>
              <w:rPr>
                <w:rStyle w:val="IndexLink"/>
                <w:rtl w:val="true"/>
              </w:rPr>
              <w:tab/>
            </w:r>
            <w:r>
              <w:rPr>
                <w:rStyle w:val="IndexLink"/>
              </w:rPr>
              <w:t>273</w:t>
            </w:r>
          </w:hyperlink>
        </w:p>
        <w:p>
          <w:pPr>
            <w:pStyle w:val="Contents6"/>
            <w:tabs>
              <w:tab w:val="clear" w:pos="7609"/>
              <w:tab w:val="right" w:pos="9026" w:leader="dot"/>
            </w:tabs>
            <w:rPr/>
          </w:pPr>
          <w:hyperlink w:anchor="__RefHeading___Toc3425597_3224264995">
            <w:r>
              <w:rPr>
                <w:webHidden/>
                <w:rStyle w:val="IndexLink"/>
                <w:rtl w:val="true"/>
              </w:rPr>
              <w:t>ما أفاده شیخنا العلّامة من الجواب حول الشبهة</w:t>
            </w:r>
            <w:r>
              <w:rPr>
                <w:rStyle w:val="IndexLink"/>
                <w:rtl w:val="true"/>
              </w:rPr>
              <w:tab/>
            </w:r>
            <w:r>
              <w:rPr>
                <w:rStyle w:val="IndexLink"/>
              </w:rPr>
              <w:t>277</w:t>
            </w:r>
          </w:hyperlink>
        </w:p>
        <w:p>
          <w:pPr>
            <w:pStyle w:val="Contents6"/>
            <w:tabs>
              <w:tab w:val="clear" w:pos="7609"/>
              <w:tab w:val="right" w:pos="9026" w:leader="dot"/>
            </w:tabs>
            <w:rPr/>
          </w:pPr>
          <w:hyperlink w:anchor="__RefHeading___Toc3425599_3224264995">
            <w:r>
              <w:rPr>
                <w:webHidden/>
                <w:rStyle w:val="IndexLink"/>
                <w:rtl w:val="true"/>
              </w:rPr>
              <w:t>مقتضی الأصل عند الشکّ فی نجاسة الملاقی بعنوانه</w:t>
            </w:r>
            <w:r>
              <w:rPr>
                <w:rStyle w:val="IndexLink"/>
                <w:rtl w:val="true"/>
              </w:rPr>
              <w:tab/>
            </w:r>
            <w:r>
              <w:rPr>
                <w:rStyle w:val="IndexLink"/>
              </w:rPr>
              <w:t>278</w:t>
            </w:r>
          </w:hyperlink>
        </w:p>
        <w:p>
          <w:pPr>
            <w:pStyle w:val="Contents6"/>
            <w:tabs>
              <w:tab w:val="clear" w:pos="7609"/>
              <w:tab w:val="right" w:pos="9026" w:leader="dot"/>
            </w:tabs>
            <w:rPr/>
          </w:pPr>
          <w:hyperlink w:anchor="__RefHeading___Toc3425601_3224264995">
            <w:r>
              <w:rPr>
                <w:webHidden/>
                <w:rStyle w:val="IndexLink"/>
                <w:rtl w:val="true"/>
              </w:rPr>
              <w:t>تنبیهات</w:t>
            </w:r>
            <w:r>
              <w:rPr>
                <w:rStyle w:val="IndexLink"/>
                <w:rtl w:val="true"/>
              </w:rPr>
              <w:tab/>
            </w:r>
            <w:r>
              <w:rPr>
                <w:rStyle w:val="IndexLink"/>
              </w:rPr>
              <w:t>280</w:t>
            </w:r>
          </w:hyperlink>
        </w:p>
        <w:p>
          <w:pPr>
            <w:pStyle w:val="Contents6"/>
            <w:tabs>
              <w:tab w:val="clear" w:pos="7609"/>
              <w:tab w:val="right" w:pos="9026" w:leader="dot"/>
            </w:tabs>
            <w:rPr/>
          </w:pPr>
          <w:hyperlink w:anchor="__RefHeading___Toc3425603_3224264995">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425605_3224264995">
            <w:r>
              <w:rPr>
                <w:webHidden/>
                <w:rStyle w:val="IndexLink"/>
                <w:rtl w:val="true"/>
              </w:rPr>
              <w:t>التنبیه الأوّل</w:t>
            </w:r>
            <w:r>
              <w:rPr>
                <w:rStyle w:val="IndexLink"/>
                <w:rtl w:val="true"/>
              </w:rPr>
              <w:t xml:space="preserve">: </w:t>
            </w:r>
            <w:r>
              <w:rPr>
                <w:rStyle w:val="IndexLink"/>
                <w:rtl w:val="true"/>
              </w:rPr>
              <w:t>فی وجوب الاحتیاط عند الجهل بالموضوع</w:t>
            </w:r>
            <w:r>
              <w:rPr>
                <w:rStyle w:val="IndexLink"/>
                <w:rtl w:val="true"/>
              </w:rPr>
              <w:tab/>
            </w:r>
            <w:r>
              <w:rPr>
                <w:rStyle w:val="IndexLink"/>
              </w:rPr>
              <w:t>280</w:t>
            </w:r>
          </w:hyperlink>
        </w:p>
        <w:p>
          <w:pPr>
            <w:pStyle w:val="Contents6"/>
            <w:tabs>
              <w:tab w:val="clear" w:pos="7609"/>
              <w:tab w:val="right" w:pos="9026" w:leader="dot"/>
            </w:tabs>
            <w:rPr/>
          </w:pPr>
          <w:hyperlink w:anchor="__RefHeading___Toc3425607_3224264995">
            <w:r>
              <w:rPr>
                <w:webHidden/>
                <w:rStyle w:val="IndexLink"/>
                <w:rtl w:val="true"/>
              </w:rPr>
              <w:t>التنبیه الثانی</w:t>
            </w:r>
            <w:r>
              <w:rPr>
                <w:rStyle w:val="IndexLink"/>
                <w:rtl w:val="true"/>
              </w:rPr>
              <w:t xml:space="preserve">: </w:t>
            </w:r>
            <w:r>
              <w:rPr>
                <w:rStyle w:val="IndexLink"/>
                <w:rtl w:val="true"/>
              </w:rPr>
              <w:t>فی کیفیة النیة لو کان المعلوم بالإجمال من العبادات</w:t>
            </w:r>
            <w:r>
              <w:rPr>
                <w:rStyle w:val="IndexLink"/>
                <w:rtl w:val="true"/>
              </w:rPr>
              <w:tab/>
            </w:r>
            <w:r>
              <w:rPr>
                <w:rStyle w:val="IndexLink"/>
              </w:rPr>
              <w:t>282</w:t>
            </w:r>
          </w:hyperlink>
        </w:p>
        <w:p>
          <w:pPr>
            <w:pStyle w:val="Contents6"/>
            <w:tabs>
              <w:tab w:val="clear" w:pos="7609"/>
              <w:tab w:val="right" w:pos="9026" w:leader="dot"/>
            </w:tabs>
            <w:rPr/>
          </w:pPr>
          <w:hyperlink w:anchor="__RefHeading___Toc3425609_3224264995">
            <w:r>
              <w:rPr>
                <w:webHidden/>
                <w:rStyle w:val="IndexLink"/>
                <w:rtl w:val="true"/>
              </w:rPr>
              <w:t>التنبیه الثالث</w:t>
            </w:r>
            <w:r>
              <w:rPr>
                <w:rStyle w:val="IndexLink"/>
                <w:rtl w:val="true"/>
              </w:rPr>
              <w:t xml:space="preserve">: </w:t>
            </w:r>
            <w:r>
              <w:rPr>
                <w:rStyle w:val="IndexLink"/>
                <w:rtl w:val="true"/>
              </w:rPr>
              <w:t>حکم ما لو کان المعلوم بالإجمال واجبین مترتبین شرعاً</w:t>
            </w:r>
            <w:r>
              <w:rPr>
                <w:rStyle w:val="IndexLink"/>
                <w:rtl w:val="true"/>
              </w:rPr>
              <w:tab/>
            </w:r>
            <w:r>
              <w:rPr>
                <w:rStyle w:val="IndexLink"/>
              </w:rPr>
              <w:t>284</w:t>
            </w:r>
          </w:hyperlink>
        </w:p>
        <w:p>
          <w:pPr>
            <w:pStyle w:val="Contents4"/>
            <w:tabs>
              <w:tab w:val="clear" w:pos="8176"/>
              <w:tab w:val="right" w:pos="9026" w:leader="dot"/>
            </w:tabs>
            <w:rPr/>
          </w:pPr>
          <w:hyperlink w:anchor="__RefHeading___Toc3425611_3224264995">
            <w:r>
              <w:rPr>
                <w:webHidden/>
                <w:rStyle w:val="IndexLink"/>
                <w:rtl w:val="true"/>
              </w:rPr>
              <w:t>المقام الثانی فی الأقلّ و الأکثر الارتباطیین</w:t>
            </w:r>
            <w:r>
              <w:rPr>
                <w:rStyle w:val="IndexLink"/>
                <w:rtl w:val="true"/>
              </w:rPr>
              <w:tab/>
            </w:r>
            <w:r>
              <w:rPr>
                <w:rStyle w:val="IndexLink"/>
              </w:rPr>
              <w:t>287</w:t>
            </w:r>
          </w:hyperlink>
        </w:p>
        <w:p>
          <w:pPr>
            <w:pStyle w:val="Contents5"/>
            <w:tabs>
              <w:tab w:val="clear" w:pos="7892"/>
              <w:tab w:val="right" w:pos="9026" w:leader="dot"/>
            </w:tabs>
            <w:rPr/>
          </w:pPr>
          <w:hyperlink w:anchor="__RefHeading___Toc3425613_3224264995">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425615_3224264995">
            <w:r>
              <w:rPr>
                <w:webHidden/>
                <w:rStyle w:val="IndexLink"/>
                <w:rtl w:val="true"/>
              </w:rPr>
              <w:t>تنقیح المقام یتوقّف علی بیان مقدّمات</w:t>
            </w:r>
            <w:r>
              <w:rPr>
                <w:rStyle w:val="IndexLink"/>
                <w:rtl w:val="true"/>
              </w:rPr>
              <w:t>:</w:t>
              <w:tab/>
            </w:r>
            <w:r>
              <w:rPr>
                <w:rStyle w:val="IndexLink"/>
              </w:rPr>
              <w:t>287</w:t>
            </w:r>
          </w:hyperlink>
        </w:p>
        <w:p>
          <w:pPr>
            <w:pStyle w:val="Contents6"/>
            <w:tabs>
              <w:tab w:val="clear" w:pos="7609"/>
              <w:tab w:val="right" w:pos="9026" w:leader="dot"/>
            </w:tabs>
            <w:rPr/>
          </w:pPr>
          <w:hyperlink w:anchor="__RefHeading___Toc3425617_3224264995">
            <w:r>
              <w:rPr>
                <w:webHidden/>
                <w:rStyle w:val="IndexLink"/>
                <w:rtl w:val="true"/>
              </w:rPr>
              <w:t>الاولی</w:t>
            </w:r>
            <w:r>
              <w:rPr>
                <w:rStyle w:val="IndexLink"/>
                <w:rtl w:val="true"/>
              </w:rPr>
              <w:t xml:space="preserve">: </w:t>
            </w:r>
            <w:r>
              <w:rPr>
                <w:rStyle w:val="IndexLink"/>
                <w:rtl w:val="true"/>
              </w:rPr>
              <w:t>فی الفرق بین الأقل و الأکثر الاستقلالیین و الارتباطیین</w:t>
            </w:r>
            <w:r>
              <w:rPr>
                <w:rStyle w:val="IndexLink"/>
                <w:rtl w:val="true"/>
              </w:rPr>
              <w:tab/>
            </w:r>
            <w:r>
              <w:rPr>
                <w:rStyle w:val="IndexLink"/>
              </w:rPr>
              <w:t>287</w:t>
            </w:r>
          </w:hyperlink>
        </w:p>
        <w:p>
          <w:pPr>
            <w:pStyle w:val="Contents6"/>
            <w:tabs>
              <w:tab w:val="clear" w:pos="7609"/>
              <w:tab w:val="right" w:pos="9026" w:leader="dot"/>
            </w:tabs>
            <w:rPr/>
          </w:pPr>
          <w:hyperlink w:anchor="__RefHeading___Toc3425619_3224264995">
            <w:r>
              <w:rPr>
                <w:webHidden/>
                <w:rStyle w:val="IndexLink"/>
                <w:rtl w:val="true"/>
              </w:rPr>
              <w:t>الثانیة</w:t>
            </w:r>
            <w:r>
              <w:rPr>
                <w:rStyle w:val="IndexLink"/>
                <w:rtl w:val="true"/>
              </w:rPr>
              <w:t xml:space="preserve">: </w:t>
            </w:r>
            <w:r>
              <w:rPr>
                <w:rStyle w:val="IndexLink"/>
                <w:rtl w:val="true"/>
              </w:rPr>
              <w:t>تنقیح محطّ البحث</w:t>
            </w:r>
            <w:r>
              <w:rPr>
                <w:rStyle w:val="IndexLink"/>
                <w:rtl w:val="true"/>
              </w:rPr>
              <w:tab/>
            </w:r>
            <w:r>
              <w:rPr>
                <w:rStyle w:val="IndexLink"/>
              </w:rPr>
              <w:t>288</w:t>
            </w:r>
          </w:hyperlink>
        </w:p>
        <w:p>
          <w:pPr>
            <w:pStyle w:val="Contents6"/>
            <w:tabs>
              <w:tab w:val="clear" w:pos="7609"/>
              <w:tab w:val="right" w:pos="9026" w:leader="dot"/>
            </w:tabs>
            <w:rPr/>
          </w:pPr>
          <w:hyperlink w:anchor="__RefHeading___Toc3425621_3224264995">
            <w:r>
              <w:rPr>
                <w:webHidden/>
                <w:rStyle w:val="IndexLink"/>
                <w:rtl w:val="true"/>
              </w:rPr>
              <w:t>الثالثة</w:t>
            </w:r>
            <w:r>
              <w:rPr>
                <w:rStyle w:val="IndexLink"/>
                <w:rtl w:val="true"/>
              </w:rPr>
              <w:t xml:space="preserve">: </w:t>
            </w:r>
            <w:r>
              <w:rPr>
                <w:rStyle w:val="IndexLink"/>
                <w:rtl w:val="true"/>
              </w:rPr>
              <w:t>فی الصور المحتملة فی المسألة</w:t>
            </w:r>
            <w:r>
              <w:rPr>
                <w:rStyle w:val="IndexLink"/>
                <w:rtl w:val="true"/>
              </w:rPr>
              <w:tab/>
            </w:r>
            <w:r>
              <w:rPr>
                <w:rStyle w:val="IndexLink"/>
              </w:rPr>
              <w:t>290</w:t>
            </w:r>
          </w:hyperlink>
        </w:p>
        <w:p>
          <w:pPr>
            <w:pStyle w:val="Contents5"/>
            <w:tabs>
              <w:tab w:val="clear" w:pos="7892"/>
              <w:tab w:val="right" w:pos="9026" w:leader="dot"/>
            </w:tabs>
            <w:rPr/>
          </w:pPr>
          <w:hyperlink w:anchor="__RefHeading___Toc3425623_3224264995">
            <w:r>
              <w:rPr>
                <w:webHidden/>
                <w:rStyle w:val="IndexLink"/>
                <w:rtl w:val="true"/>
              </w:rPr>
              <w:t>المطلب الأوّل فیما إذا کان الأقلّ و الأکثر من قبیل الکلّ و الجزء</w:t>
            </w:r>
            <w:r>
              <w:rPr>
                <w:rStyle w:val="IndexLink"/>
                <w:rtl w:val="true"/>
              </w:rPr>
              <w:tab/>
            </w:r>
            <w:r>
              <w:rPr>
                <w:rStyle w:val="IndexLink"/>
              </w:rPr>
              <w:t>291</w:t>
            </w:r>
          </w:hyperlink>
        </w:p>
        <w:p>
          <w:pPr>
            <w:pStyle w:val="Contents6"/>
            <w:tabs>
              <w:tab w:val="clear" w:pos="7609"/>
              <w:tab w:val="right" w:pos="9026" w:leader="dot"/>
            </w:tabs>
            <w:rPr/>
          </w:pPr>
          <w:hyperlink w:anchor="__RefHeading___Toc3425625_322426499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425627_3224264995">
            <w:r>
              <w:rPr>
                <w:webHidden/>
                <w:rStyle w:val="IndexLink"/>
                <w:rtl w:val="true"/>
              </w:rPr>
              <w:t>بیان امور لجریان البراءة العقلیة</w:t>
            </w:r>
            <w:r>
              <w:rPr>
                <w:rStyle w:val="IndexLink"/>
                <w:rtl w:val="true"/>
              </w:rPr>
              <w:tab/>
            </w:r>
            <w:r>
              <w:rPr>
                <w:rStyle w:val="IndexLink"/>
              </w:rPr>
              <w:t>291</w:t>
            </w:r>
          </w:hyperlink>
        </w:p>
        <w:p>
          <w:pPr>
            <w:pStyle w:val="Contents6"/>
            <w:tabs>
              <w:tab w:val="clear" w:pos="7609"/>
              <w:tab w:val="right" w:pos="9026" w:leader="dot"/>
            </w:tabs>
            <w:rPr/>
          </w:pPr>
          <w:hyperlink w:anchor="__RefHeading___Toc3425629_3224264995">
            <w:r>
              <w:rPr>
                <w:webHidden/>
                <w:rStyle w:val="IndexLink"/>
                <w:rtl w:val="true"/>
              </w:rPr>
              <w:t>تقریب جریان البراءة العقلیة</w:t>
            </w:r>
            <w:r>
              <w:rPr>
                <w:rStyle w:val="IndexLink"/>
                <w:rtl w:val="true"/>
              </w:rPr>
              <w:tab/>
            </w:r>
            <w:r>
              <w:rPr>
                <w:rStyle w:val="IndexLink"/>
              </w:rPr>
              <w:t>296</w:t>
            </w:r>
          </w:hyperlink>
        </w:p>
        <w:p>
          <w:pPr>
            <w:pStyle w:val="Contents6"/>
            <w:tabs>
              <w:tab w:val="clear" w:pos="7609"/>
              <w:tab w:val="right" w:pos="9026" w:leader="dot"/>
            </w:tabs>
            <w:rPr/>
          </w:pPr>
          <w:hyperlink w:anchor="__RefHeading___Toc3425631_3224264995">
            <w:r>
              <w:rPr>
                <w:webHidden/>
                <w:rStyle w:val="IndexLink"/>
                <w:rtl w:val="true"/>
              </w:rPr>
              <w:t>الإشکالات الثمانیة علی جریان البراءة العقلیة عن الأکثر و دفعها</w:t>
            </w:r>
            <w:r>
              <w:rPr>
                <w:rStyle w:val="IndexLink"/>
                <w:rtl w:val="true"/>
              </w:rPr>
              <w:tab/>
            </w:r>
            <w:r>
              <w:rPr>
                <w:rStyle w:val="IndexLink"/>
              </w:rPr>
              <w:t>297</w:t>
            </w:r>
          </w:hyperlink>
        </w:p>
        <w:p>
          <w:pPr>
            <w:pStyle w:val="Contents6"/>
            <w:tabs>
              <w:tab w:val="clear" w:pos="7609"/>
              <w:tab w:val="right" w:pos="9026" w:leader="dot"/>
            </w:tabs>
            <w:rPr/>
          </w:pPr>
          <w:hyperlink w:anchor="__RefHeading___Toc3425633_3224264995">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425635_3224264995">
            <w:r>
              <w:rPr>
                <w:webHidden/>
                <w:rStyle w:val="IndexLink"/>
                <w:rtl w:val="true"/>
              </w:rPr>
              <w:t>الإشکال الأوّل</w:t>
            </w:r>
            <w:r>
              <w:rPr>
                <w:rStyle w:val="IndexLink"/>
                <w:rtl w:val="true"/>
              </w:rPr>
              <w:t>:</w:t>
              <w:tab/>
            </w:r>
            <w:r>
              <w:rPr>
                <w:rStyle w:val="IndexLink"/>
              </w:rPr>
              <w:t>298</w:t>
            </w:r>
          </w:hyperlink>
        </w:p>
        <w:p>
          <w:pPr>
            <w:pStyle w:val="Contents6"/>
            <w:tabs>
              <w:tab w:val="clear" w:pos="7609"/>
              <w:tab w:val="right" w:pos="9026" w:leader="dot"/>
            </w:tabs>
            <w:rPr/>
          </w:pPr>
          <w:hyperlink w:anchor="__RefHeading___Toc3425637_3224264995">
            <w:r>
              <w:rPr>
                <w:webHidden/>
                <w:rStyle w:val="IndexLink"/>
                <w:rtl w:val="true"/>
              </w:rPr>
              <w:t>الإشکال الثانی</w:t>
            </w:r>
            <w:r>
              <w:rPr>
                <w:rStyle w:val="IndexLink"/>
                <w:rtl w:val="true"/>
              </w:rPr>
              <w:t>:</w:t>
              <w:tab/>
            </w:r>
            <w:r>
              <w:rPr>
                <w:rStyle w:val="IndexLink"/>
              </w:rPr>
              <w:t>302</w:t>
            </w:r>
          </w:hyperlink>
        </w:p>
        <w:p>
          <w:pPr>
            <w:pStyle w:val="Contents6"/>
            <w:tabs>
              <w:tab w:val="clear" w:pos="7609"/>
              <w:tab w:val="right" w:pos="9026" w:leader="dot"/>
            </w:tabs>
            <w:rPr/>
          </w:pPr>
          <w:hyperlink w:anchor="__RefHeading___Toc3425639_3224264995">
            <w:r>
              <w:rPr>
                <w:webHidden/>
                <w:rStyle w:val="IndexLink"/>
                <w:rtl w:val="true"/>
              </w:rPr>
              <w:t>الإشکال الثالث</w:t>
            </w:r>
            <w:r>
              <w:rPr>
                <w:rStyle w:val="IndexLink"/>
                <w:rtl w:val="true"/>
              </w:rPr>
              <w:t>:</w:t>
              <w:tab/>
            </w:r>
            <w:r>
              <w:rPr>
                <w:rStyle w:val="IndexLink"/>
              </w:rPr>
              <w:t>303</w:t>
            </w:r>
          </w:hyperlink>
        </w:p>
        <w:p>
          <w:pPr>
            <w:pStyle w:val="Contents6"/>
            <w:tabs>
              <w:tab w:val="clear" w:pos="7609"/>
              <w:tab w:val="right" w:pos="9026" w:leader="dot"/>
            </w:tabs>
            <w:rPr/>
          </w:pPr>
          <w:hyperlink w:anchor="__RefHeading___Toc3425641_3224264995">
            <w:r>
              <w:rPr>
                <w:webHidden/>
                <w:rStyle w:val="IndexLink"/>
                <w:rtl w:val="true"/>
              </w:rPr>
              <w:t>الإشکال الرابع</w:t>
            </w:r>
            <w:r>
              <w:rPr>
                <w:rStyle w:val="IndexLink"/>
                <w:rtl w:val="true"/>
              </w:rPr>
              <w:t>:</w:t>
              <w:tab/>
            </w:r>
            <w:r>
              <w:rPr>
                <w:rStyle w:val="IndexLink"/>
              </w:rPr>
              <w:t>306</w:t>
            </w:r>
          </w:hyperlink>
        </w:p>
        <w:p>
          <w:pPr>
            <w:pStyle w:val="Contents6"/>
            <w:tabs>
              <w:tab w:val="clear" w:pos="7609"/>
              <w:tab w:val="right" w:pos="9026" w:leader="dot"/>
            </w:tabs>
            <w:rPr/>
          </w:pPr>
          <w:hyperlink w:anchor="__RefHeading___Toc3425643_3224264995">
            <w:r>
              <w:rPr>
                <w:webHidden/>
                <w:rStyle w:val="IndexLink"/>
                <w:rtl w:val="true"/>
              </w:rPr>
              <w:t>الإشکال الخامس</w:t>
            </w:r>
            <w:r>
              <w:rPr>
                <w:rStyle w:val="IndexLink"/>
                <w:rtl w:val="true"/>
              </w:rPr>
              <w:t>:</w:t>
              <w:tab/>
            </w:r>
            <w:r>
              <w:rPr>
                <w:rStyle w:val="IndexLink"/>
              </w:rPr>
              <w:t>310</w:t>
            </w:r>
          </w:hyperlink>
        </w:p>
        <w:p>
          <w:pPr>
            <w:pStyle w:val="Contents6"/>
            <w:tabs>
              <w:tab w:val="clear" w:pos="7609"/>
              <w:tab w:val="right" w:pos="9026" w:leader="dot"/>
            </w:tabs>
            <w:rPr/>
          </w:pPr>
          <w:hyperlink w:anchor="__RefHeading___Toc3425645_3224264995">
            <w:r>
              <w:rPr>
                <w:webHidden/>
                <w:rStyle w:val="IndexLink"/>
                <w:rtl w:val="true"/>
              </w:rPr>
              <w:t>الإشکال السادس</w:t>
            </w:r>
            <w:r>
              <w:rPr>
                <w:rStyle w:val="IndexLink"/>
                <w:rtl w:val="true"/>
              </w:rPr>
              <w:t>:</w:t>
              <w:tab/>
            </w:r>
            <w:r>
              <w:rPr>
                <w:rStyle w:val="IndexLink"/>
              </w:rPr>
              <w:t>312</w:t>
            </w:r>
          </w:hyperlink>
        </w:p>
        <w:p>
          <w:pPr>
            <w:pStyle w:val="Contents6"/>
            <w:tabs>
              <w:tab w:val="clear" w:pos="7609"/>
              <w:tab w:val="right" w:pos="9026" w:leader="dot"/>
            </w:tabs>
            <w:rPr/>
          </w:pPr>
          <w:hyperlink w:anchor="__RefHeading___Toc3425647_3224264995">
            <w:r>
              <w:rPr>
                <w:webHidden/>
                <w:rStyle w:val="IndexLink"/>
                <w:rtl w:val="true"/>
              </w:rPr>
              <w:t>الإشکال السابع</w:t>
            </w:r>
            <w:r>
              <w:rPr>
                <w:rStyle w:val="IndexLink"/>
                <w:rtl w:val="true"/>
              </w:rPr>
              <w:t>:</w:t>
              <w:tab/>
            </w:r>
            <w:r>
              <w:rPr>
                <w:rStyle w:val="IndexLink"/>
              </w:rPr>
              <w:t>314</w:t>
            </w:r>
          </w:hyperlink>
        </w:p>
        <w:p>
          <w:pPr>
            <w:pStyle w:val="Contents6"/>
            <w:tabs>
              <w:tab w:val="clear" w:pos="7609"/>
              <w:tab w:val="right" w:pos="9026" w:leader="dot"/>
            </w:tabs>
            <w:rPr/>
          </w:pPr>
          <w:hyperlink w:anchor="__RefHeading___Toc3425649_3224264995">
            <w:r>
              <w:rPr>
                <w:webHidden/>
                <w:rStyle w:val="IndexLink"/>
                <w:rtl w:val="true"/>
              </w:rPr>
              <w:t>الإشکال الثامن</w:t>
            </w:r>
            <w:r>
              <w:rPr>
                <w:rStyle w:val="IndexLink"/>
                <w:rtl w:val="true"/>
              </w:rPr>
              <w:t>:</w:t>
              <w:tab/>
            </w:r>
            <w:r>
              <w:rPr>
                <w:rStyle w:val="IndexLink"/>
              </w:rPr>
              <w:t>318</w:t>
            </w:r>
          </w:hyperlink>
        </w:p>
        <w:p>
          <w:pPr>
            <w:pStyle w:val="Contents6"/>
            <w:tabs>
              <w:tab w:val="clear" w:pos="7609"/>
              <w:tab w:val="right" w:pos="9026" w:leader="dot"/>
            </w:tabs>
            <w:rPr/>
          </w:pPr>
          <w:hyperlink w:anchor="__RefHeading___Toc3425651_3224264995">
            <w:r>
              <w:rPr>
                <w:webHidden/>
                <w:rStyle w:val="IndexLink"/>
                <w:rtl w:val="true"/>
              </w:rPr>
              <w:t>فی جریان البراءة الشرعیة فی المقام</w:t>
            </w:r>
            <w:r>
              <w:rPr>
                <w:rStyle w:val="IndexLink"/>
                <w:rtl w:val="true"/>
              </w:rPr>
              <w:tab/>
            </w:r>
            <w:r>
              <w:rPr>
                <w:rStyle w:val="IndexLink"/>
              </w:rPr>
              <w:t>320</w:t>
            </w:r>
          </w:hyperlink>
        </w:p>
        <w:p>
          <w:pPr>
            <w:pStyle w:val="Contents5"/>
            <w:tabs>
              <w:tab w:val="clear" w:pos="7892"/>
              <w:tab w:val="right" w:pos="9026" w:leader="dot"/>
            </w:tabs>
            <w:rPr/>
          </w:pPr>
          <w:hyperlink w:anchor="__RefHeading___Toc3425653_3224264995">
            <w:r>
              <w:rPr>
                <w:webHidden/>
                <w:rStyle w:val="IndexLink"/>
                <w:rtl w:val="true"/>
              </w:rPr>
              <w:t>المطلب الثانی فیما إذا کان الأقلّ و الأکثر من قبیل المطلق و المشروط</w:t>
            </w:r>
            <w:r>
              <w:rPr>
                <w:rStyle w:val="IndexLink"/>
                <w:rtl w:val="true"/>
              </w:rPr>
              <w:tab/>
            </w:r>
            <w:r>
              <w:rPr>
                <w:rStyle w:val="IndexLink"/>
              </w:rPr>
              <w:t>321</w:t>
            </w:r>
          </w:hyperlink>
        </w:p>
        <w:p>
          <w:pPr>
            <w:pStyle w:val="Contents5"/>
            <w:tabs>
              <w:tab w:val="clear" w:pos="7892"/>
              <w:tab w:val="right" w:pos="9026" w:leader="dot"/>
            </w:tabs>
            <w:rPr/>
          </w:pPr>
          <w:hyperlink w:anchor="__RefHeading___Toc3425655_3224264995">
            <w:r>
              <w:rPr>
                <w:webHidden/>
                <w:rStyle w:val="IndexLink"/>
                <w:rtl w:val="true"/>
              </w:rPr>
              <w:t>المطلب الثالث فی دوران الأمر بین الأقلّ و الأکثر فی الأسباب و المحصّلات</w:t>
            </w:r>
            <w:r>
              <w:rPr>
                <w:rStyle w:val="IndexLink"/>
                <w:rtl w:val="true"/>
              </w:rPr>
              <w:tab/>
            </w:r>
            <w:r>
              <w:rPr>
                <w:rStyle w:val="IndexLink"/>
              </w:rPr>
              <w:t>325</w:t>
            </w:r>
          </w:hyperlink>
        </w:p>
        <w:p>
          <w:pPr>
            <w:pStyle w:val="Contents6"/>
            <w:tabs>
              <w:tab w:val="clear" w:pos="7609"/>
              <w:tab w:val="right" w:pos="9026" w:leader="dot"/>
            </w:tabs>
            <w:rPr/>
          </w:pPr>
          <w:hyperlink w:anchor="__RefHeading___Toc3425657_3224264995">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425659_3224264995">
            <w:r>
              <w:rPr>
                <w:webHidden/>
                <w:rStyle w:val="IndexLink"/>
                <w:rtl w:val="true"/>
              </w:rPr>
              <w:t>بیان الحقّ فی الأسباب الشرعیة</w:t>
            </w:r>
            <w:r>
              <w:rPr>
                <w:rStyle w:val="IndexLink"/>
                <w:rtl w:val="true"/>
              </w:rPr>
              <w:tab/>
            </w:r>
            <w:r>
              <w:rPr>
                <w:rStyle w:val="IndexLink"/>
              </w:rPr>
              <w:t>329</w:t>
            </w:r>
          </w:hyperlink>
        </w:p>
        <w:p>
          <w:pPr>
            <w:pStyle w:val="Contents6"/>
            <w:tabs>
              <w:tab w:val="clear" w:pos="7609"/>
              <w:tab w:val="right" w:pos="9026" w:leader="dot"/>
            </w:tabs>
            <w:rPr/>
          </w:pPr>
          <w:hyperlink w:anchor="__RefHeading___Toc3425661_3224264995">
            <w:r>
              <w:rPr>
                <w:webHidden/>
                <w:rStyle w:val="IndexLink"/>
                <w:rtl w:val="true"/>
              </w:rPr>
              <w:t>عدم جریان البراءة فی الأسباب الشرعیة</w:t>
            </w:r>
            <w:r>
              <w:rPr>
                <w:rStyle w:val="IndexLink"/>
                <w:rtl w:val="true"/>
              </w:rPr>
              <w:tab/>
            </w:r>
            <w:r>
              <w:rPr>
                <w:rStyle w:val="IndexLink"/>
              </w:rPr>
              <w:t>332</w:t>
            </w:r>
          </w:hyperlink>
        </w:p>
        <w:p>
          <w:pPr>
            <w:pStyle w:val="Contents5"/>
            <w:tabs>
              <w:tab w:val="clear" w:pos="7892"/>
              <w:tab w:val="right" w:pos="9026" w:leader="dot"/>
            </w:tabs>
            <w:rPr/>
          </w:pPr>
          <w:hyperlink w:anchor="__RefHeading___Toc3425663_3224264995">
            <w:r>
              <w:rPr>
                <w:webHidden/>
                <w:rStyle w:val="IndexLink"/>
                <w:rtl w:val="true"/>
              </w:rPr>
              <w:t>المطلب الرابع فی الشبهة الموضوعیة من الأقلّ و الأکثر الارتباطیین</w:t>
            </w:r>
            <w:r>
              <w:rPr>
                <w:rStyle w:val="IndexLink"/>
                <w:rtl w:val="true"/>
              </w:rPr>
              <w:tab/>
            </w:r>
            <w:r>
              <w:rPr>
                <w:rStyle w:val="IndexLink"/>
              </w:rPr>
              <w:t>334</w:t>
            </w:r>
          </w:hyperlink>
        </w:p>
        <w:p>
          <w:pPr>
            <w:pStyle w:val="Contents6"/>
            <w:tabs>
              <w:tab w:val="clear" w:pos="7609"/>
              <w:tab w:val="right" w:pos="9026" w:leader="dot"/>
            </w:tabs>
            <w:rPr/>
          </w:pPr>
          <w:hyperlink w:anchor="__RefHeading___Toc3425665_3224264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425667_3224264995">
            <w:r>
              <w:rPr>
                <w:webHidden/>
                <w:rStyle w:val="IndexLink"/>
                <w:rtl w:val="true"/>
              </w:rPr>
              <w:t>الأقسام المتصوّرة فی الشبهة الموضوعیة</w:t>
            </w:r>
            <w:r>
              <w:rPr>
                <w:rStyle w:val="IndexLink"/>
                <w:rtl w:val="true"/>
              </w:rPr>
              <w:tab/>
            </w:r>
            <w:r>
              <w:rPr>
                <w:rStyle w:val="IndexLink"/>
              </w:rPr>
              <w:t>334</w:t>
            </w:r>
          </w:hyperlink>
        </w:p>
        <w:p>
          <w:pPr>
            <w:pStyle w:val="Contents6"/>
            <w:tabs>
              <w:tab w:val="clear" w:pos="7609"/>
              <w:tab w:val="right" w:pos="9026" w:leader="dot"/>
            </w:tabs>
            <w:rPr/>
          </w:pPr>
          <w:hyperlink w:anchor="__RefHeading___Toc3425669_3224264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425671_3224264995">
            <w:r>
              <w:rPr>
                <w:webHidden/>
                <w:rStyle w:val="IndexLink"/>
                <w:rtl w:val="true"/>
              </w:rPr>
              <w:t>الأمر الأوّل</w:t>
            </w:r>
            <w:r>
              <w:rPr>
                <w:rStyle w:val="IndexLink"/>
                <w:rtl w:val="true"/>
              </w:rPr>
              <w:t xml:space="preserve">: </w:t>
            </w:r>
            <w:r>
              <w:rPr>
                <w:rStyle w:val="IndexLink"/>
                <w:rtl w:val="true"/>
              </w:rPr>
              <w:t>حال الأقسام فیما إذا کان الحکم نفسیاً</w:t>
            </w:r>
            <w:r>
              <w:rPr>
                <w:rStyle w:val="IndexLink"/>
                <w:rtl w:val="true"/>
              </w:rPr>
              <w:tab/>
            </w:r>
            <w:r>
              <w:rPr>
                <w:rStyle w:val="IndexLink"/>
              </w:rPr>
              <w:t>335</w:t>
            </w:r>
          </w:hyperlink>
        </w:p>
        <w:p>
          <w:pPr>
            <w:pStyle w:val="Contents6"/>
            <w:tabs>
              <w:tab w:val="clear" w:pos="7609"/>
              <w:tab w:val="right" w:pos="9026" w:leader="dot"/>
            </w:tabs>
            <w:rPr/>
          </w:pPr>
          <w:hyperlink w:anchor="__RefHeading___Toc3425673_3224264995">
            <w:r>
              <w:rPr>
                <w:webHidden/>
                <w:rStyle w:val="IndexLink"/>
                <w:rtl w:val="true"/>
              </w:rPr>
              <w:t>الأمر الثانی</w:t>
            </w:r>
            <w:r>
              <w:rPr>
                <w:rStyle w:val="IndexLink"/>
                <w:rtl w:val="true"/>
              </w:rPr>
              <w:t xml:space="preserve">: </w:t>
            </w:r>
            <w:r>
              <w:rPr>
                <w:rStyle w:val="IndexLink"/>
                <w:rtl w:val="true"/>
              </w:rPr>
              <w:t>حال الأقسام فیما إذا کان الحکم غیریاً</w:t>
            </w:r>
            <w:r>
              <w:rPr>
                <w:rStyle w:val="IndexLink"/>
                <w:rtl w:val="true"/>
              </w:rPr>
              <w:tab/>
            </w:r>
            <w:r>
              <w:rPr>
                <w:rStyle w:val="IndexLink"/>
              </w:rPr>
              <w:t>340</w:t>
            </w:r>
          </w:hyperlink>
        </w:p>
        <w:p>
          <w:pPr>
            <w:pStyle w:val="Contents6"/>
            <w:tabs>
              <w:tab w:val="clear" w:pos="7609"/>
              <w:tab w:val="right" w:pos="9026" w:leader="dot"/>
            </w:tabs>
            <w:rPr/>
          </w:pPr>
          <w:hyperlink w:anchor="__RefHeading___Toc3425675_3224264995">
            <w:r>
              <w:rPr>
                <w:webHidden/>
                <w:rStyle w:val="IndexLink"/>
                <w:rtl w:val="true"/>
              </w:rPr>
              <w:t>الأمر الأوّل فی أصالة الرکنیة فی الأجزاء و الشرائط</w:t>
            </w:r>
            <w:r>
              <w:rPr>
                <w:rStyle w:val="IndexLink"/>
                <w:rtl w:val="true"/>
              </w:rPr>
              <w:tab/>
            </w:r>
            <w:r>
              <w:rPr>
                <w:rStyle w:val="IndexLink"/>
              </w:rPr>
              <w:t>342</w:t>
            </w:r>
          </w:hyperlink>
        </w:p>
        <w:p>
          <w:pPr>
            <w:pStyle w:val="Contents6"/>
            <w:tabs>
              <w:tab w:val="clear" w:pos="7609"/>
              <w:tab w:val="right" w:pos="9026" w:leader="dot"/>
            </w:tabs>
            <w:rPr/>
          </w:pPr>
          <w:hyperlink w:anchor="__RefHeading___Toc3425677_3224264995">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3425679_3224264995">
            <w:r>
              <w:rPr>
                <w:webHidden/>
                <w:rStyle w:val="IndexLink"/>
                <w:rtl w:val="true"/>
              </w:rPr>
              <w:t>المقام الأوّل فیما یقتضیه الأصل العقلی بالنسبة إلی النقیصة السهویة</w:t>
            </w:r>
            <w:r>
              <w:rPr>
                <w:rStyle w:val="IndexLink"/>
                <w:rtl w:val="true"/>
              </w:rPr>
              <w:tab/>
            </w:r>
            <w:r>
              <w:rPr>
                <w:rStyle w:val="IndexLink"/>
              </w:rPr>
              <w:t>342</w:t>
            </w:r>
          </w:hyperlink>
        </w:p>
        <w:p>
          <w:pPr>
            <w:pStyle w:val="Contents6"/>
            <w:tabs>
              <w:tab w:val="clear" w:pos="7609"/>
              <w:tab w:val="right" w:pos="9026" w:leader="dot"/>
            </w:tabs>
            <w:rPr/>
          </w:pPr>
          <w:hyperlink w:anchor="__RefHeading___Toc3425681_3224264995">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3425683_3224264995">
            <w:r>
              <w:rPr>
                <w:webHidden/>
                <w:rStyle w:val="IndexLink"/>
                <w:rtl w:val="true"/>
              </w:rPr>
              <w:t>إشکال الشیخ الأعظم علی جریان البراءة بعدم إمکان خطاب الناسی</w:t>
            </w:r>
            <w:r>
              <w:rPr>
                <w:rStyle w:val="IndexLink"/>
                <w:rtl w:val="true"/>
              </w:rPr>
              <w:tab/>
            </w:r>
            <w:r>
              <w:rPr>
                <w:rStyle w:val="IndexLink"/>
              </w:rPr>
              <w:t>346</w:t>
            </w:r>
          </w:hyperlink>
        </w:p>
        <w:p>
          <w:pPr>
            <w:pStyle w:val="Contents6"/>
            <w:tabs>
              <w:tab w:val="clear" w:pos="7609"/>
              <w:tab w:val="right" w:pos="9026" w:leader="dot"/>
            </w:tabs>
            <w:rPr/>
          </w:pPr>
          <w:hyperlink w:anchor="__RefHeading___Toc3425685_3224264995">
            <w:r>
              <w:rPr>
                <w:webHidden/>
                <w:rStyle w:val="IndexLink"/>
                <w:rtl w:val="true"/>
              </w:rPr>
              <w:t>التحقیق فی الجواب و ذکر أجوبة القوم</w:t>
            </w:r>
            <w:r>
              <w:rPr>
                <w:rStyle w:val="IndexLink"/>
                <w:rtl w:val="true"/>
              </w:rPr>
              <w:tab/>
            </w:r>
            <w:r>
              <w:rPr>
                <w:rStyle w:val="IndexLink"/>
              </w:rPr>
              <w:t>346</w:t>
            </w:r>
          </w:hyperlink>
        </w:p>
        <w:p>
          <w:pPr>
            <w:pStyle w:val="Contents6"/>
            <w:tabs>
              <w:tab w:val="clear" w:pos="7609"/>
              <w:tab w:val="right" w:pos="9026" w:leader="dot"/>
            </w:tabs>
            <w:rPr/>
          </w:pPr>
          <w:hyperlink w:anchor="__RefHeading___Toc3425687_3224264995">
            <w:r>
              <w:rPr>
                <w:webHidden/>
                <w:rStyle w:val="IndexLink"/>
                <w:rtl w:val="true"/>
              </w:rPr>
              <w:t>تفصیل المحقّق النائینی بین نسیان المستوعب للوقت و عدمه</w:t>
            </w:r>
            <w:r>
              <w:rPr>
                <w:rStyle w:val="IndexLink"/>
                <w:rtl w:val="true"/>
              </w:rPr>
              <w:tab/>
            </w:r>
            <w:r>
              <w:rPr>
                <w:rStyle w:val="IndexLink"/>
              </w:rPr>
              <w:t>351</w:t>
            </w:r>
          </w:hyperlink>
        </w:p>
        <w:p>
          <w:pPr>
            <w:pStyle w:val="Contents6"/>
            <w:tabs>
              <w:tab w:val="clear" w:pos="7609"/>
              <w:tab w:val="right" w:pos="9026" w:leader="dot"/>
            </w:tabs>
            <w:rPr/>
          </w:pPr>
          <w:hyperlink w:anchor="__RefHeading___Toc3425689_3224264995">
            <w:r>
              <w:rPr>
                <w:webHidden/>
                <w:rStyle w:val="IndexLink"/>
                <w:rtl w:val="true"/>
              </w:rPr>
              <w:t>المقام الثانی فیما یقتضیه الأصل الشرعی فی النقیصة السهویة</w:t>
            </w:r>
            <w:r>
              <w:rPr>
                <w:rStyle w:val="IndexLink"/>
                <w:rtl w:val="true"/>
              </w:rPr>
              <w:tab/>
            </w:r>
            <w:r>
              <w:rPr>
                <w:rStyle w:val="IndexLink"/>
              </w:rPr>
              <w:t>353</w:t>
            </w:r>
          </w:hyperlink>
        </w:p>
        <w:p>
          <w:pPr>
            <w:pStyle w:val="Contents6"/>
            <w:tabs>
              <w:tab w:val="clear" w:pos="7609"/>
              <w:tab w:val="right" w:pos="9026" w:leader="dot"/>
            </w:tabs>
            <w:rPr/>
          </w:pPr>
          <w:hyperlink w:anchor="__RefHeading___Toc3425691_3224264995">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3425693_3224264995">
            <w:r>
              <w:rPr>
                <w:webHidden/>
                <w:rStyle w:val="IndexLink"/>
                <w:rtl w:val="true"/>
              </w:rPr>
              <w:t>صحّة التمسّک بحدیث الرفع فی رفع جزئیة المنسی</w:t>
            </w:r>
            <w:r>
              <w:rPr>
                <w:rStyle w:val="IndexLink"/>
                <w:rtl w:val="true"/>
              </w:rPr>
              <w:tab/>
            </w:r>
            <w:r>
              <w:rPr>
                <w:rStyle w:val="IndexLink"/>
              </w:rPr>
              <w:t>353</w:t>
            </w:r>
          </w:hyperlink>
        </w:p>
        <w:p>
          <w:pPr>
            <w:pStyle w:val="Contents6"/>
            <w:tabs>
              <w:tab w:val="clear" w:pos="7609"/>
              <w:tab w:val="right" w:pos="9026" w:leader="dot"/>
            </w:tabs>
            <w:rPr/>
          </w:pPr>
          <w:hyperlink w:anchor="__RefHeading___Toc3425695_3224264995">
            <w:r>
              <w:rPr>
                <w:webHidden/>
                <w:rStyle w:val="IndexLink"/>
                <w:rtl w:val="true"/>
              </w:rPr>
              <w:t xml:space="preserve">فیما أورد المحقّق العراقی علی التمسّک بحدیث </w:t>
            </w:r>
            <w:r>
              <w:rPr>
                <w:rStyle w:val="IndexLink"/>
                <w:rtl w:val="true"/>
              </w:rPr>
              <w:t>«</w:t>
            </w:r>
            <w:r>
              <w:rPr>
                <w:rStyle w:val="IndexLink"/>
                <w:rtl w:val="true"/>
              </w:rPr>
              <w:t xml:space="preserve">رفع </w:t>
            </w:r>
            <w:r>
              <w:rPr>
                <w:rStyle w:val="IndexLink"/>
                <w:rtl w:val="true"/>
              </w:rPr>
              <w:t xml:space="preserve">... </w:t>
            </w:r>
            <w:r>
              <w:rPr>
                <w:rStyle w:val="IndexLink"/>
                <w:rtl w:val="true"/>
              </w:rPr>
              <w:t>النسیان</w:t>
            </w:r>
            <w:r>
              <w:rPr>
                <w:rStyle w:val="IndexLink"/>
                <w:rtl w:val="true"/>
              </w:rPr>
              <w:t>»</w:t>
              <w:tab/>
            </w:r>
            <w:r>
              <w:rPr>
                <w:rStyle w:val="IndexLink"/>
              </w:rPr>
              <w:t>357</w:t>
            </w:r>
          </w:hyperlink>
        </w:p>
        <w:p>
          <w:pPr>
            <w:pStyle w:val="Contents6"/>
            <w:tabs>
              <w:tab w:val="clear" w:pos="7609"/>
              <w:tab w:val="right" w:pos="9026" w:leader="dot"/>
            </w:tabs>
            <w:rPr/>
          </w:pPr>
          <w:hyperlink w:anchor="__RefHeading___Toc3425697_3224264995">
            <w:r>
              <w:rPr>
                <w:webHidden/>
                <w:rStyle w:val="IndexLink"/>
                <w:rtl w:val="true"/>
              </w:rPr>
              <w:t>المقام الثالث فی حال الزیادة العمدیة و السهویة</w:t>
            </w:r>
            <w:r>
              <w:rPr>
                <w:rStyle w:val="IndexLink"/>
                <w:rtl w:val="true"/>
              </w:rPr>
              <w:tab/>
            </w:r>
            <w:r>
              <w:rPr>
                <w:rStyle w:val="IndexLink"/>
              </w:rPr>
              <w:t>362</w:t>
            </w:r>
          </w:hyperlink>
        </w:p>
        <w:p>
          <w:pPr>
            <w:pStyle w:val="Contents6"/>
            <w:tabs>
              <w:tab w:val="clear" w:pos="7609"/>
              <w:tab w:val="right" w:pos="9026" w:leader="dot"/>
            </w:tabs>
            <w:rPr/>
          </w:pPr>
          <w:hyperlink w:anchor="__RefHeading___Toc3425699_3224264995">
            <w:r>
              <w:rPr>
                <w:webHidden/>
                <w:rStyle w:val="IndexLink"/>
                <w:rtl w:val="true"/>
              </w:rPr>
              <w:t>تصویر الزیادة فی الجزئیة و الشرطیة</w:t>
            </w:r>
            <w:r>
              <w:rPr>
                <w:rStyle w:val="IndexLink"/>
                <w:rtl w:val="true"/>
              </w:rPr>
              <w:tab/>
            </w:r>
            <w:r>
              <w:rPr>
                <w:rStyle w:val="IndexLink"/>
              </w:rPr>
              <w:t>362</w:t>
            </w:r>
          </w:hyperlink>
        </w:p>
        <w:p>
          <w:pPr>
            <w:pStyle w:val="Contents6"/>
            <w:tabs>
              <w:tab w:val="clear" w:pos="7609"/>
              <w:tab w:val="right" w:pos="9026" w:leader="dot"/>
            </w:tabs>
            <w:rPr/>
          </w:pPr>
          <w:hyperlink w:anchor="__RefHeading___Toc3425701_3224264995">
            <w:r>
              <w:rPr>
                <w:webHidden/>
                <w:rStyle w:val="IndexLink"/>
                <w:rtl w:val="true"/>
              </w:rPr>
              <w:t>عدم مبطلیة الزیادة مطلقاً</w:t>
            </w:r>
            <w:r>
              <w:rPr>
                <w:rStyle w:val="IndexLink"/>
                <w:rtl w:val="true"/>
              </w:rPr>
              <w:tab/>
            </w:r>
            <w:r>
              <w:rPr>
                <w:rStyle w:val="IndexLink"/>
              </w:rPr>
              <w:t>367</w:t>
            </w:r>
          </w:hyperlink>
        </w:p>
        <w:p>
          <w:pPr>
            <w:pStyle w:val="Contents6"/>
            <w:tabs>
              <w:tab w:val="clear" w:pos="7609"/>
              <w:tab w:val="right" w:pos="9026" w:leader="dot"/>
            </w:tabs>
            <w:rPr/>
          </w:pPr>
          <w:hyperlink w:anchor="__RefHeading___Toc3425703_3224264995">
            <w:r>
              <w:rPr>
                <w:webHidden/>
                <w:rStyle w:val="IndexLink"/>
                <w:rtl w:val="true"/>
              </w:rPr>
              <w:t>التمسّک بالاستصحاب لإثبات صحّة العمل مع الزیادة</w:t>
            </w:r>
            <w:r>
              <w:rPr>
                <w:rStyle w:val="IndexLink"/>
                <w:rtl w:val="true"/>
              </w:rPr>
              <w:tab/>
            </w:r>
            <w:r>
              <w:rPr>
                <w:rStyle w:val="IndexLink"/>
              </w:rPr>
              <w:t>367</w:t>
            </w:r>
          </w:hyperlink>
        </w:p>
        <w:p>
          <w:pPr>
            <w:pStyle w:val="Contents6"/>
            <w:tabs>
              <w:tab w:val="clear" w:pos="7609"/>
              <w:tab w:val="right" w:pos="9026" w:leader="dot"/>
            </w:tabs>
            <w:rPr/>
          </w:pPr>
          <w:hyperlink w:anchor="__RefHeading___Toc3425705_3224264995">
            <w:r>
              <w:rPr>
                <w:webHidden/>
                <w:rStyle w:val="IndexLink"/>
                <w:rtl w:val="true"/>
              </w:rPr>
              <w:t>المقام الرابع فیما تقتضیه القواعد الثانویة فی الزیادة و النقیصة</w:t>
            </w:r>
            <w:r>
              <w:rPr>
                <w:rStyle w:val="IndexLink"/>
                <w:rtl w:val="true"/>
              </w:rPr>
              <w:tab/>
            </w:r>
            <w:r>
              <w:rPr>
                <w:rStyle w:val="IndexLink"/>
              </w:rPr>
              <w:t>373</w:t>
            </w:r>
          </w:hyperlink>
        </w:p>
        <w:p>
          <w:pPr>
            <w:pStyle w:val="Contents6"/>
            <w:tabs>
              <w:tab w:val="clear" w:pos="7609"/>
              <w:tab w:val="right" w:pos="9026" w:leader="dot"/>
            </w:tabs>
            <w:rPr/>
          </w:pPr>
          <w:hyperlink w:anchor="__RefHeading___Toc3425707_3224264995">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3425709_3224264995">
            <w:r>
              <w:rPr>
                <w:webHidden/>
                <w:rStyle w:val="IndexLink"/>
                <w:rtl w:val="true"/>
              </w:rPr>
              <w:t>مقتضی الروایات الواردة فی الزیادة</w:t>
            </w:r>
            <w:r>
              <w:rPr>
                <w:rStyle w:val="IndexLink"/>
                <w:rtl w:val="true"/>
              </w:rPr>
              <w:tab/>
            </w:r>
            <w:r>
              <w:rPr>
                <w:rStyle w:val="IndexLink"/>
              </w:rPr>
              <w:t>373</w:t>
            </w:r>
          </w:hyperlink>
        </w:p>
        <w:p>
          <w:pPr>
            <w:pStyle w:val="Contents6"/>
            <w:tabs>
              <w:tab w:val="clear" w:pos="7609"/>
              <w:tab w:val="right" w:pos="9026" w:leader="dot"/>
            </w:tabs>
            <w:rPr/>
          </w:pPr>
          <w:hyperlink w:anchor="__RefHeading___Toc3425711_3224264995">
            <w:r>
              <w:rPr>
                <w:webHidden/>
                <w:rStyle w:val="IndexLink"/>
                <w:rtl w:val="true"/>
              </w:rPr>
              <w:t xml:space="preserve">بیان مفاد قاعدة </w:t>
            </w:r>
            <w:r>
              <w:rPr>
                <w:rStyle w:val="IndexLink"/>
                <w:rtl w:val="true"/>
              </w:rPr>
              <w:t>«</w:t>
            </w:r>
            <w:r>
              <w:rPr>
                <w:rStyle w:val="IndexLink"/>
                <w:rtl w:val="true"/>
              </w:rPr>
              <w:t>لا تعاد</w:t>
            </w:r>
            <w:r>
              <w:rPr>
                <w:rStyle w:val="IndexLink"/>
                <w:rtl w:val="true"/>
              </w:rPr>
              <w:t>»</w:t>
              <w:tab/>
            </w:r>
            <w:r>
              <w:rPr>
                <w:rStyle w:val="IndexLink"/>
              </w:rPr>
              <w:t>376</w:t>
            </w:r>
          </w:hyperlink>
        </w:p>
        <w:p>
          <w:pPr>
            <w:pStyle w:val="Contents6"/>
            <w:tabs>
              <w:tab w:val="clear" w:pos="7609"/>
              <w:tab w:val="right" w:pos="9026" w:leader="dot"/>
            </w:tabs>
            <w:rPr/>
          </w:pPr>
          <w:hyperlink w:anchor="__RefHeading___Toc3425713_3224264995">
            <w:r>
              <w:rPr>
                <w:webHidden/>
                <w:rStyle w:val="IndexLink"/>
                <w:rtl w:val="true"/>
              </w:rPr>
              <w:t xml:space="preserve">النسبة بین </w:t>
            </w:r>
            <w:r>
              <w:rPr>
                <w:rStyle w:val="IndexLink"/>
                <w:rtl w:val="true"/>
              </w:rPr>
              <w:t>«</w:t>
            </w:r>
            <w:r>
              <w:rPr>
                <w:rStyle w:val="IndexLink"/>
                <w:rtl w:val="true"/>
              </w:rPr>
              <w:t>لا تعاد</w:t>
            </w:r>
            <w:r>
              <w:rPr>
                <w:rStyle w:val="IndexLink"/>
                <w:rtl w:val="true"/>
              </w:rPr>
              <w:t xml:space="preserve">» </w:t>
            </w:r>
            <w:r>
              <w:rPr>
                <w:rStyle w:val="IndexLink"/>
                <w:rtl w:val="true"/>
              </w:rPr>
              <w:t xml:space="preserve">و حدیث </w:t>
            </w:r>
            <w:r>
              <w:rPr>
                <w:rStyle w:val="IndexLink"/>
                <w:rtl w:val="true"/>
              </w:rPr>
              <w:t>«</w:t>
            </w:r>
            <w:r>
              <w:rPr>
                <w:rStyle w:val="IndexLink"/>
                <w:rtl w:val="true"/>
              </w:rPr>
              <w:t>من زاد</w:t>
            </w:r>
            <w:r>
              <w:rPr>
                <w:rStyle w:val="IndexLink"/>
                <w:rtl w:val="true"/>
              </w:rPr>
              <w:t>»</w:t>
              <w:tab/>
            </w:r>
            <w:r>
              <w:rPr>
                <w:rStyle w:val="IndexLink"/>
              </w:rPr>
              <w:t>380</w:t>
            </w:r>
          </w:hyperlink>
        </w:p>
        <w:p>
          <w:pPr>
            <w:pStyle w:val="Contents6"/>
            <w:tabs>
              <w:tab w:val="clear" w:pos="7609"/>
              <w:tab w:val="right" w:pos="9026" w:leader="dot"/>
            </w:tabs>
            <w:rPr/>
          </w:pPr>
          <w:hyperlink w:anchor="__RefHeading___Toc3425715_3224264995">
            <w:r>
              <w:rPr>
                <w:webHidden/>
                <w:rStyle w:val="IndexLink"/>
                <w:rtl w:val="true"/>
              </w:rPr>
              <w:t xml:space="preserve">حال النسبة بین قاعدة </w:t>
            </w:r>
            <w:r>
              <w:rPr>
                <w:rStyle w:val="IndexLink"/>
                <w:rtl w:val="true"/>
              </w:rPr>
              <w:t>«</w:t>
            </w:r>
            <w:r>
              <w:rPr>
                <w:rStyle w:val="IndexLink"/>
                <w:rtl w:val="true"/>
              </w:rPr>
              <w:t>لا تعاد</w:t>
            </w:r>
            <w:r>
              <w:rPr>
                <w:rStyle w:val="IndexLink"/>
                <w:rtl w:val="true"/>
              </w:rPr>
              <w:t xml:space="preserve">» </w:t>
            </w:r>
            <w:r>
              <w:rPr>
                <w:rStyle w:val="IndexLink"/>
                <w:rtl w:val="true"/>
              </w:rPr>
              <w:t>و حدیث</w:t>
            </w:r>
            <w:r>
              <w:rPr>
                <w:rStyle w:val="IndexLink"/>
                <w:rtl w:val="true"/>
              </w:rPr>
              <w:t>: «</w:t>
            </w:r>
            <w:r>
              <w:rPr>
                <w:rStyle w:val="IndexLink"/>
                <w:rtl w:val="true"/>
              </w:rPr>
              <w:t>إذا استیقن أنّه زاد فی صلاته</w:t>
            </w:r>
            <w:r>
              <w:rPr>
                <w:rStyle w:val="IndexLink"/>
                <w:rtl w:val="true"/>
              </w:rPr>
              <w:t>»</w:t>
              <w:tab/>
            </w:r>
            <w:r>
              <w:rPr>
                <w:rStyle w:val="IndexLink"/>
              </w:rPr>
              <w:t>384</w:t>
            </w:r>
          </w:hyperlink>
        </w:p>
        <w:p>
          <w:pPr>
            <w:pStyle w:val="Contents6"/>
            <w:tabs>
              <w:tab w:val="clear" w:pos="7609"/>
              <w:tab w:val="right" w:pos="9026" w:leader="dot"/>
            </w:tabs>
            <w:rPr/>
          </w:pPr>
          <w:hyperlink w:anchor="__RefHeading___Toc3425717_3224264995">
            <w:r>
              <w:rPr>
                <w:webHidden/>
                <w:rStyle w:val="IndexLink"/>
                <w:rtl w:val="true"/>
              </w:rPr>
              <w:t>کلام المحقّق النائینی فیما تحقّق به الزیادة</w:t>
            </w:r>
            <w:r>
              <w:rPr>
                <w:rStyle w:val="IndexLink"/>
                <w:rtl w:val="true"/>
              </w:rPr>
              <w:tab/>
            </w:r>
            <w:r>
              <w:rPr>
                <w:rStyle w:val="IndexLink"/>
              </w:rPr>
              <w:t>386</w:t>
            </w:r>
          </w:hyperlink>
        </w:p>
        <w:p>
          <w:pPr>
            <w:pStyle w:val="Contents6"/>
            <w:tabs>
              <w:tab w:val="clear" w:pos="7609"/>
              <w:tab w:val="right" w:pos="9026" w:leader="dot"/>
            </w:tabs>
            <w:rPr/>
          </w:pPr>
          <w:hyperlink w:anchor="__RefHeading___Toc3425719_3224264995">
            <w:r>
              <w:rPr>
                <w:webHidden/>
                <w:rStyle w:val="IndexLink"/>
                <w:rtl w:val="true"/>
              </w:rPr>
              <w:t>الأمر الثانی فی تعذّر أحد قیود المأمور به</w:t>
            </w:r>
            <w:r>
              <w:rPr>
                <w:rStyle w:val="IndexLink"/>
                <w:rtl w:val="true"/>
              </w:rPr>
              <w:tab/>
            </w:r>
            <w:r>
              <w:rPr>
                <w:rStyle w:val="IndexLink"/>
              </w:rPr>
              <w:t>390</w:t>
            </w:r>
          </w:hyperlink>
        </w:p>
        <w:p>
          <w:pPr>
            <w:pStyle w:val="Contents6"/>
            <w:tabs>
              <w:tab w:val="clear" w:pos="7609"/>
              <w:tab w:val="right" w:pos="9026" w:leader="dot"/>
            </w:tabs>
            <w:rPr/>
          </w:pPr>
          <w:hyperlink w:anchor="__RefHeading___Toc3425721_3224264995">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3425723_3224264995">
            <w:r>
              <w:rPr>
                <w:webHidden/>
                <w:rStyle w:val="IndexLink"/>
                <w:rtl w:val="true"/>
              </w:rPr>
              <w:t>تحریر محلّ النزاع</w:t>
            </w:r>
            <w:r>
              <w:rPr>
                <w:rStyle w:val="IndexLink"/>
                <w:rtl w:val="true"/>
              </w:rPr>
              <w:tab/>
            </w:r>
            <w:r>
              <w:rPr>
                <w:rStyle w:val="IndexLink"/>
              </w:rPr>
              <w:t>390</w:t>
            </w:r>
          </w:hyperlink>
        </w:p>
        <w:p>
          <w:pPr>
            <w:pStyle w:val="Contents6"/>
            <w:tabs>
              <w:tab w:val="clear" w:pos="7609"/>
              <w:tab w:val="right" w:pos="9026" w:leader="dot"/>
            </w:tabs>
            <w:rPr/>
          </w:pPr>
          <w:hyperlink w:anchor="__RefHeading___Toc3425725_3224264995">
            <w:r>
              <w:rPr>
                <w:webHidden/>
                <w:rStyle w:val="IndexLink"/>
                <w:rtl w:val="true"/>
              </w:rPr>
              <w:t>المقام الأوّل فی مقتضی القواعد الأوّلیة</w:t>
            </w:r>
            <w:r>
              <w:rPr>
                <w:rStyle w:val="IndexLink"/>
                <w:rtl w:val="true"/>
              </w:rPr>
              <w:tab/>
            </w:r>
            <w:r>
              <w:rPr>
                <w:rStyle w:val="IndexLink"/>
              </w:rPr>
              <w:t>395</w:t>
            </w:r>
          </w:hyperlink>
        </w:p>
        <w:p>
          <w:pPr>
            <w:pStyle w:val="Contents6"/>
            <w:tabs>
              <w:tab w:val="clear" w:pos="7609"/>
              <w:tab w:val="right" w:pos="9026" w:leader="dot"/>
            </w:tabs>
            <w:rPr/>
          </w:pPr>
          <w:hyperlink w:anchor="__RefHeading___Toc3425727_3224264995">
            <w:r>
              <w:rPr>
                <w:webHidden/>
                <w:rStyle w:val="IndexLink"/>
                <w:rtl w:val="true"/>
              </w:rPr>
              <w:t>فی جریان البراءة العقلیة</w:t>
            </w:r>
            <w:r>
              <w:rPr>
                <w:rStyle w:val="IndexLink"/>
                <w:rtl w:val="true"/>
              </w:rPr>
              <w:tab/>
            </w:r>
            <w:r>
              <w:rPr>
                <w:rStyle w:val="IndexLink"/>
              </w:rPr>
              <w:t>395</w:t>
            </w:r>
          </w:hyperlink>
        </w:p>
        <w:p>
          <w:pPr>
            <w:pStyle w:val="Contents6"/>
            <w:tabs>
              <w:tab w:val="clear" w:pos="7609"/>
              <w:tab w:val="right" w:pos="9026" w:leader="dot"/>
            </w:tabs>
            <w:rPr/>
          </w:pPr>
          <w:hyperlink w:anchor="__RefHeading___Toc3425729_3224264995">
            <w:r>
              <w:rPr>
                <w:webHidden/>
                <w:rStyle w:val="IndexLink"/>
                <w:rtl w:val="true"/>
              </w:rPr>
              <w:t>فی جریان البراءة الشرعیة</w:t>
            </w:r>
            <w:r>
              <w:rPr>
                <w:rStyle w:val="IndexLink"/>
                <w:rtl w:val="true"/>
              </w:rPr>
              <w:tab/>
            </w:r>
            <w:r>
              <w:rPr>
                <w:rStyle w:val="IndexLink"/>
              </w:rPr>
              <w:t>396</w:t>
            </w:r>
          </w:hyperlink>
        </w:p>
        <w:p>
          <w:pPr>
            <w:pStyle w:val="Contents6"/>
            <w:tabs>
              <w:tab w:val="clear" w:pos="7609"/>
              <w:tab w:val="right" w:pos="9026" w:leader="dot"/>
            </w:tabs>
            <w:rPr/>
          </w:pPr>
          <w:hyperlink w:anchor="__RefHeading___Toc3425731_3224264995">
            <w:r>
              <w:rPr>
                <w:webHidden/>
                <w:rStyle w:val="IndexLink"/>
                <w:rtl w:val="true"/>
              </w:rPr>
              <w:t>المقام الثانی فی مقتضی القواعد الثانویة</w:t>
            </w:r>
            <w:r>
              <w:rPr>
                <w:rStyle w:val="IndexLink"/>
                <w:rtl w:val="true"/>
              </w:rPr>
              <w:tab/>
            </w:r>
            <w:r>
              <w:rPr>
                <w:rStyle w:val="IndexLink"/>
              </w:rPr>
              <w:t>398</w:t>
            </w:r>
          </w:hyperlink>
        </w:p>
        <w:p>
          <w:pPr>
            <w:pStyle w:val="Contents6"/>
            <w:tabs>
              <w:tab w:val="clear" w:pos="7609"/>
              <w:tab w:val="right" w:pos="9026" w:leader="dot"/>
            </w:tabs>
            <w:rPr/>
          </w:pPr>
          <w:hyperlink w:anchor="__RefHeading___Toc3425733_3224264995">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3425735_3224264995">
            <w:r>
              <w:rPr>
                <w:webHidden/>
                <w:rStyle w:val="IndexLink"/>
                <w:rtl w:val="true"/>
              </w:rPr>
              <w:t>التمسّک بالاستصحاب لإثبات وجوب باقی الأجزاء</w:t>
            </w:r>
            <w:r>
              <w:rPr>
                <w:rStyle w:val="IndexLink"/>
                <w:rtl w:val="true"/>
              </w:rPr>
              <w:tab/>
            </w:r>
            <w:r>
              <w:rPr>
                <w:rStyle w:val="IndexLink"/>
              </w:rPr>
              <w:t>398</w:t>
            </w:r>
          </w:hyperlink>
        </w:p>
        <w:p>
          <w:pPr>
            <w:pStyle w:val="Contents6"/>
            <w:tabs>
              <w:tab w:val="clear" w:pos="7609"/>
              <w:tab w:val="right" w:pos="9026" w:leader="dot"/>
            </w:tabs>
            <w:rPr/>
          </w:pPr>
          <w:hyperlink w:anchor="__RefHeading___Toc3425737_3224264995">
            <w:r>
              <w:rPr>
                <w:webHidden/>
                <w:rStyle w:val="IndexLink"/>
                <w:rtl w:val="true"/>
              </w:rPr>
              <w:t>التمسّک بقاعدة المیسور لإثبات وجوب باقی الأجزاء</w:t>
            </w:r>
            <w:r>
              <w:rPr>
                <w:rStyle w:val="IndexLink"/>
                <w:rtl w:val="true"/>
              </w:rPr>
              <w:tab/>
            </w:r>
            <w:r>
              <w:rPr>
                <w:rStyle w:val="IndexLink"/>
              </w:rPr>
              <w:t>403</w:t>
            </w:r>
          </w:hyperlink>
        </w:p>
        <w:p>
          <w:pPr>
            <w:pStyle w:val="Contents6"/>
            <w:tabs>
              <w:tab w:val="clear" w:pos="7609"/>
              <w:tab w:val="right" w:pos="9026" w:leader="dot"/>
            </w:tabs>
            <w:rPr/>
          </w:pPr>
          <w:hyperlink w:anchor="__RefHeading___Toc3425739_3224264995">
            <w:r>
              <w:rPr>
                <w:webHidden/>
                <w:rStyle w:val="IndexLink"/>
                <w:rtl w:val="true"/>
              </w:rPr>
              <w:t>الکلام فی مفاد النبوی</w:t>
            </w:r>
            <w:r>
              <w:rPr>
                <w:rStyle w:val="IndexLink"/>
                <w:rtl w:val="true"/>
              </w:rPr>
              <w:tab/>
            </w:r>
            <w:r>
              <w:rPr>
                <w:rStyle w:val="IndexLink"/>
              </w:rPr>
              <w:t>404</w:t>
            </w:r>
          </w:hyperlink>
        </w:p>
        <w:p>
          <w:pPr>
            <w:pStyle w:val="Contents6"/>
            <w:tabs>
              <w:tab w:val="clear" w:pos="7609"/>
              <w:tab w:val="right" w:pos="9026" w:leader="dot"/>
            </w:tabs>
            <w:rPr/>
          </w:pPr>
          <w:hyperlink w:anchor="__RefHeading___Toc3425741_3224264995">
            <w:r>
              <w:rPr>
                <w:webHidden/>
                <w:rStyle w:val="IndexLink"/>
                <w:rtl w:val="true"/>
              </w:rPr>
              <w:t>الکلام فی مفاد العلوی الأوّل</w:t>
            </w:r>
            <w:r>
              <w:rPr>
                <w:rStyle w:val="IndexLink"/>
                <w:rtl w:val="true"/>
              </w:rPr>
              <w:tab/>
            </w:r>
            <w:r>
              <w:rPr>
                <w:rStyle w:val="IndexLink"/>
              </w:rPr>
              <w:t>407</w:t>
            </w:r>
          </w:hyperlink>
        </w:p>
        <w:p>
          <w:pPr>
            <w:pStyle w:val="Contents6"/>
            <w:tabs>
              <w:tab w:val="clear" w:pos="7609"/>
              <w:tab w:val="right" w:pos="9026" w:leader="dot"/>
            </w:tabs>
            <w:rPr/>
          </w:pPr>
          <w:hyperlink w:anchor="__RefHeading___Toc3425743_3224264995">
            <w:r>
              <w:rPr>
                <w:webHidden/>
                <w:rStyle w:val="IndexLink"/>
                <w:rtl w:val="true"/>
              </w:rPr>
              <w:t>الکلام فی مفاد العلوی الثانی</w:t>
            </w:r>
            <w:r>
              <w:rPr>
                <w:rStyle w:val="IndexLink"/>
                <w:rtl w:val="true"/>
              </w:rPr>
              <w:tab/>
            </w:r>
            <w:r>
              <w:rPr>
                <w:rStyle w:val="IndexLink"/>
              </w:rPr>
              <w:t>410</w:t>
            </w:r>
          </w:hyperlink>
        </w:p>
        <w:p>
          <w:pPr>
            <w:pStyle w:val="Contents6"/>
            <w:tabs>
              <w:tab w:val="clear" w:pos="7609"/>
              <w:tab w:val="right" w:pos="9026" w:leader="dot"/>
            </w:tabs>
            <w:rPr/>
          </w:pPr>
          <w:hyperlink w:anchor="__RefHeading___Toc3425745_3224264995">
            <w:r>
              <w:rPr>
                <w:webHidden/>
                <w:rStyle w:val="IndexLink"/>
                <w:rtl w:val="true"/>
              </w:rPr>
              <w:t>توضیح محتملات الحدیث</w:t>
            </w:r>
            <w:r>
              <w:rPr>
                <w:rStyle w:val="IndexLink"/>
                <w:rtl w:val="true"/>
              </w:rPr>
              <w:tab/>
            </w:r>
            <w:r>
              <w:rPr>
                <w:rStyle w:val="IndexLink"/>
              </w:rPr>
              <w:t>411</w:t>
            </w:r>
          </w:hyperlink>
        </w:p>
        <w:p>
          <w:pPr>
            <w:pStyle w:val="Contents6"/>
            <w:tabs>
              <w:tab w:val="clear" w:pos="7609"/>
              <w:tab w:val="right" w:pos="9026" w:leader="dot"/>
            </w:tabs>
            <w:rPr/>
          </w:pPr>
          <w:hyperlink w:anchor="__RefHeading___Toc3425747_3224264995">
            <w:r>
              <w:rPr>
                <w:webHidden/>
                <w:rStyle w:val="IndexLink"/>
                <w:rtl w:val="true"/>
              </w:rPr>
              <w:t>فی اعتبار صدق المیسور فی جریان القاعدة</w:t>
            </w:r>
            <w:r>
              <w:rPr>
                <w:rStyle w:val="IndexLink"/>
                <w:rtl w:val="true"/>
              </w:rPr>
              <w:tab/>
            </w:r>
            <w:r>
              <w:rPr>
                <w:rStyle w:val="IndexLink"/>
              </w:rPr>
              <w:t>413</w:t>
            </w:r>
          </w:hyperlink>
        </w:p>
        <w:p>
          <w:pPr>
            <w:pStyle w:val="Contents6"/>
            <w:tabs>
              <w:tab w:val="clear" w:pos="7609"/>
              <w:tab w:val="right" w:pos="9026" w:leader="dot"/>
            </w:tabs>
            <w:rPr/>
          </w:pPr>
          <w:hyperlink w:anchor="__RefHeading___Toc3425749_3224264995">
            <w:r>
              <w:rPr>
                <w:webHidden/>
                <w:rStyle w:val="IndexLink"/>
                <w:rtl w:val="true"/>
              </w:rPr>
              <w:t>المرجع فی تعیین المیسور</w:t>
            </w:r>
            <w:r>
              <w:rPr>
                <w:rStyle w:val="IndexLink"/>
                <w:rtl w:val="true"/>
              </w:rPr>
              <w:tab/>
            </w:r>
            <w:r>
              <w:rPr>
                <w:rStyle w:val="IndexLink"/>
              </w:rPr>
              <w:t>415</w:t>
            </w:r>
          </w:hyperlink>
        </w:p>
        <w:p>
          <w:pPr>
            <w:pStyle w:val="Contents5"/>
            <w:tabs>
              <w:tab w:val="clear" w:pos="7892"/>
              <w:tab w:val="right" w:pos="9026" w:leader="dot"/>
            </w:tabs>
            <w:rPr/>
          </w:pPr>
          <w:hyperlink w:anchor="__RefHeading___Toc3425751_3224264995">
            <w:r>
              <w:rPr>
                <w:webHidden/>
                <w:rStyle w:val="IndexLink"/>
                <w:rtl w:val="true"/>
              </w:rPr>
              <w:t>خاتمة فی شرائط جریان الاصول</w:t>
            </w:r>
            <w:r>
              <w:rPr>
                <w:rStyle w:val="IndexLink"/>
                <w:rtl w:val="true"/>
              </w:rPr>
              <w:tab/>
            </w:r>
            <w:r>
              <w:rPr>
                <w:rStyle w:val="IndexLink"/>
              </w:rPr>
              <w:t>417</w:t>
            </w:r>
          </w:hyperlink>
        </w:p>
        <w:p>
          <w:pPr>
            <w:pStyle w:val="Contents6"/>
            <w:tabs>
              <w:tab w:val="clear" w:pos="7609"/>
              <w:tab w:val="right" w:pos="9026" w:leader="dot"/>
            </w:tabs>
            <w:rPr/>
          </w:pPr>
          <w:hyperlink w:anchor="__RefHeading___Toc3425753_3224264995">
            <w:r>
              <w:rPr>
                <w:webHidden/>
                <w:rStyle w:val="IndexLink"/>
                <w:rtl w:val="true"/>
              </w:rPr>
              <w:t>فی حسن الاحتیاط مطلقاً</w:t>
            </w:r>
            <w:r>
              <w:rPr>
                <w:rStyle w:val="IndexLink"/>
                <w:rtl w:val="true"/>
              </w:rPr>
              <w:tab/>
            </w:r>
            <w:r>
              <w:rPr>
                <w:rStyle w:val="IndexLink"/>
              </w:rPr>
              <w:t>417</w:t>
            </w:r>
          </w:hyperlink>
        </w:p>
        <w:p>
          <w:pPr>
            <w:pStyle w:val="Contents6"/>
            <w:tabs>
              <w:tab w:val="clear" w:pos="7609"/>
              <w:tab w:val="right" w:pos="9026" w:leader="dot"/>
            </w:tabs>
            <w:rPr/>
          </w:pPr>
          <w:hyperlink w:anchor="__RefHeading___Toc3425755_3224264995">
            <w:r>
              <w:rPr>
                <w:webHidden/>
                <w:rStyle w:val="IndexLink"/>
                <w:rtl w:val="true"/>
              </w:rPr>
              <w:t>الإشکال فی مطلق الاحتیاط</w:t>
            </w:r>
            <w:r>
              <w:rPr>
                <w:rStyle w:val="IndexLink"/>
                <w:rtl w:val="true"/>
              </w:rPr>
              <w:tab/>
            </w:r>
            <w:r>
              <w:rPr>
                <w:rStyle w:val="IndexLink"/>
              </w:rPr>
              <w:t>418</w:t>
            </w:r>
          </w:hyperlink>
        </w:p>
        <w:p>
          <w:pPr>
            <w:pStyle w:val="Contents6"/>
            <w:tabs>
              <w:tab w:val="clear" w:pos="7609"/>
              <w:tab w:val="right" w:pos="9026" w:leader="dot"/>
            </w:tabs>
            <w:rPr/>
          </w:pPr>
          <w:hyperlink w:anchor="__RefHeading___Toc3425757_3224264995">
            <w:r>
              <w:rPr>
                <w:webHidden/>
                <w:rStyle w:val="IndexLink"/>
                <w:rtl w:val="true"/>
              </w:rPr>
              <w:t>الإشکال المختصّ بالاحتیاط فی أطراف العلم الإجمالی</w:t>
            </w:r>
            <w:r>
              <w:rPr>
                <w:rStyle w:val="IndexLink"/>
                <w:rtl w:val="true"/>
              </w:rPr>
              <w:tab/>
            </w:r>
            <w:r>
              <w:rPr>
                <w:rStyle w:val="IndexLink"/>
              </w:rPr>
              <w:t>419</w:t>
            </w:r>
          </w:hyperlink>
        </w:p>
        <w:p>
          <w:pPr>
            <w:pStyle w:val="Contents6"/>
            <w:tabs>
              <w:tab w:val="clear" w:pos="7609"/>
              <w:tab w:val="right" w:pos="9026" w:leader="dot"/>
            </w:tabs>
            <w:rPr/>
          </w:pPr>
          <w:hyperlink w:anchor="__RefHeading___Toc3425759_3224264995">
            <w:r>
              <w:rPr>
                <w:webHidden/>
                <w:rStyle w:val="IndexLink"/>
                <w:rtl w:val="true"/>
              </w:rPr>
              <w:t>الإشکال فی الاحتیاط فیما قامت الأمارة علی خلافه</w:t>
            </w:r>
            <w:r>
              <w:rPr>
                <w:rStyle w:val="IndexLink"/>
                <w:rtl w:val="true"/>
              </w:rPr>
              <w:tab/>
            </w:r>
            <w:r>
              <w:rPr>
                <w:rStyle w:val="IndexLink"/>
              </w:rPr>
              <w:t>422</w:t>
            </w:r>
          </w:hyperlink>
        </w:p>
        <w:p>
          <w:pPr>
            <w:pStyle w:val="Contents6"/>
            <w:tabs>
              <w:tab w:val="clear" w:pos="7609"/>
              <w:tab w:val="right" w:pos="9026" w:leader="dot"/>
            </w:tabs>
            <w:rPr/>
          </w:pPr>
          <w:hyperlink w:anchor="__RefHeading___Toc3425761_3224264995">
            <w:r>
              <w:rPr>
                <w:webHidden/>
                <w:rStyle w:val="IndexLink"/>
                <w:rtl w:val="true"/>
              </w:rPr>
              <w:t>شرائط جریان البراءة العقلیة اعتبار الفحص فی الشبهات الحکمیة</w:t>
            </w:r>
            <w:r>
              <w:rPr>
                <w:rStyle w:val="IndexLink"/>
                <w:rtl w:val="true"/>
              </w:rPr>
              <w:tab/>
            </w:r>
            <w:r>
              <w:rPr>
                <w:rStyle w:val="IndexLink"/>
              </w:rPr>
              <w:t>425</w:t>
            </w:r>
          </w:hyperlink>
        </w:p>
        <w:p>
          <w:pPr>
            <w:pStyle w:val="Contents6"/>
            <w:tabs>
              <w:tab w:val="clear" w:pos="7609"/>
              <w:tab w:val="right" w:pos="9026" w:leader="dot"/>
            </w:tabs>
            <w:rPr/>
          </w:pPr>
          <w:hyperlink w:anchor="__RefHeading___Toc3425763_3224264995">
            <w:r>
              <w:rPr>
                <w:webHidden/>
                <w:rStyle w:val="IndexLink"/>
                <w:rtl w:val="true"/>
              </w:rPr>
              <w:t>اعتبار الفحص فی الشبهات الموضوعیة</w:t>
            </w:r>
            <w:r>
              <w:rPr>
                <w:rStyle w:val="IndexLink"/>
                <w:rtl w:val="true"/>
              </w:rPr>
              <w:tab/>
            </w:r>
            <w:r>
              <w:rPr>
                <w:rStyle w:val="IndexLink"/>
              </w:rPr>
              <w:t>433</w:t>
            </w:r>
          </w:hyperlink>
        </w:p>
        <w:p>
          <w:pPr>
            <w:pStyle w:val="Contents6"/>
            <w:tabs>
              <w:tab w:val="clear" w:pos="7609"/>
              <w:tab w:val="right" w:pos="9026" w:leader="dot"/>
            </w:tabs>
            <w:rPr/>
          </w:pPr>
          <w:hyperlink w:anchor="__RefHeading___Toc3425765_3224264995">
            <w:r>
              <w:rPr>
                <w:webHidden/>
                <w:rStyle w:val="IndexLink"/>
                <w:rtl w:val="true"/>
              </w:rPr>
              <w:t>کیفیة وجوب التعلّم و مناط استحقاق عقاب التارک للفحص</w:t>
            </w:r>
            <w:r>
              <w:rPr>
                <w:rStyle w:val="IndexLink"/>
                <w:rtl w:val="true"/>
              </w:rPr>
              <w:tab/>
            </w:r>
            <w:r>
              <w:rPr>
                <w:rStyle w:val="IndexLink"/>
              </w:rPr>
              <w:t>434</w:t>
            </w:r>
          </w:hyperlink>
        </w:p>
        <w:p>
          <w:pPr>
            <w:pStyle w:val="Contents6"/>
            <w:tabs>
              <w:tab w:val="clear" w:pos="7609"/>
              <w:tab w:val="right" w:pos="9026" w:leader="dot"/>
            </w:tabs>
            <w:rPr/>
          </w:pPr>
          <w:hyperlink w:anchor="__RefHeading___Toc3425767_3224264995">
            <w:r>
              <w:rPr>
                <w:webHidden/>
                <w:rStyle w:val="IndexLink"/>
                <w:rtl w:val="true"/>
              </w:rPr>
              <w:t>بحث و تنقیح</w:t>
            </w:r>
            <w:r>
              <w:rPr>
                <w:rStyle w:val="IndexLink"/>
                <w:rtl w:val="true"/>
              </w:rPr>
              <w:tab/>
            </w:r>
            <w:r>
              <w:rPr>
                <w:rStyle w:val="IndexLink"/>
              </w:rPr>
              <w:t>435</w:t>
            </w:r>
          </w:hyperlink>
        </w:p>
        <w:p>
          <w:pPr>
            <w:pStyle w:val="Contents6"/>
            <w:tabs>
              <w:tab w:val="clear" w:pos="7609"/>
              <w:tab w:val="right" w:pos="9026" w:leader="dot"/>
            </w:tabs>
            <w:rPr/>
          </w:pPr>
          <w:hyperlink w:anchor="__RefHeading___Toc3425769_3224264995">
            <w:r>
              <w:rPr>
                <w:webHidden/>
                <w:rStyle w:val="IndexLink"/>
                <w:rtl w:val="true"/>
              </w:rPr>
              <w:t>تنبیه</w:t>
            </w:r>
            <w:r>
              <w:rPr>
                <w:rStyle w:val="IndexLink"/>
                <w:rtl w:val="true"/>
              </w:rPr>
              <w:t xml:space="preserve">: </w:t>
            </w:r>
            <w:r>
              <w:rPr>
                <w:rStyle w:val="IndexLink"/>
                <w:rtl w:val="true"/>
              </w:rPr>
              <w:t>فیما أفاده المحقّق الخراسانی فی المقام</w:t>
            </w:r>
            <w:r>
              <w:rPr>
                <w:rStyle w:val="IndexLink"/>
                <w:rtl w:val="true"/>
              </w:rPr>
              <w:tab/>
            </w:r>
            <w:r>
              <w:rPr>
                <w:rStyle w:val="IndexLink"/>
              </w:rPr>
              <w:t>437</w:t>
            </w:r>
          </w:hyperlink>
        </w:p>
        <w:p>
          <w:pPr>
            <w:pStyle w:val="Contents6"/>
            <w:tabs>
              <w:tab w:val="clear" w:pos="7609"/>
              <w:tab w:val="right" w:pos="9026" w:leader="dot"/>
            </w:tabs>
            <w:rPr/>
          </w:pPr>
          <w:hyperlink w:anchor="__RefHeading___Toc3425771_3224264995">
            <w:r>
              <w:rPr>
                <w:webHidden/>
                <w:rStyle w:val="IndexLink"/>
                <w:rtl w:val="true"/>
              </w:rPr>
              <w:t>تتمّة</w:t>
            </w:r>
            <w:r>
              <w:rPr>
                <w:rStyle w:val="IndexLink"/>
                <w:rtl w:val="true"/>
              </w:rPr>
              <w:t xml:space="preserve">: </w:t>
            </w:r>
            <w:r>
              <w:rPr>
                <w:rStyle w:val="IndexLink"/>
                <w:rtl w:val="true"/>
              </w:rPr>
              <w:t>فیما إذا انجرّ ترک الفحص إلی ترک واجب مشروط</w:t>
            </w:r>
            <w:r>
              <w:rPr>
                <w:rStyle w:val="IndexLink"/>
                <w:rtl w:val="true"/>
              </w:rPr>
              <w:tab/>
            </w:r>
            <w:r>
              <w:rPr>
                <w:rStyle w:val="IndexLink"/>
              </w:rPr>
              <w:t>439</w:t>
            </w:r>
          </w:hyperlink>
        </w:p>
        <w:p>
          <w:pPr>
            <w:pStyle w:val="Contents6"/>
            <w:tabs>
              <w:tab w:val="clear" w:pos="7609"/>
              <w:tab w:val="right" w:pos="9026" w:leader="dot"/>
            </w:tabs>
            <w:rPr/>
          </w:pPr>
          <w:hyperlink w:anchor="__RefHeading___Toc3425773_3224264995">
            <w:r>
              <w:rPr>
                <w:webHidden/>
                <w:rStyle w:val="IndexLink"/>
                <w:rtl w:val="true"/>
              </w:rPr>
              <w:t>حول کلام المحقّق الأردبیلی و صاحب المدارک فی وجوب التعلّم</w:t>
            </w:r>
            <w:r>
              <w:rPr>
                <w:rStyle w:val="IndexLink"/>
                <w:rtl w:val="true"/>
              </w:rPr>
              <w:tab/>
            </w:r>
            <w:r>
              <w:rPr>
                <w:rStyle w:val="IndexLink"/>
              </w:rPr>
              <w:t>442</w:t>
            </w:r>
          </w:hyperlink>
        </w:p>
        <w:p>
          <w:pPr>
            <w:pStyle w:val="Contents6"/>
            <w:tabs>
              <w:tab w:val="clear" w:pos="7609"/>
              <w:tab w:val="right" w:pos="9026" w:leader="dot"/>
            </w:tabs>
            <w:rPr/>
          </w:pPr>
          <w:hyperlink w:anchor="__RefHeading___Toc3425775_3224264995">
            <w:r>
              <w:rPr>
                <w:webHidden/>
                <w:rStyle w:val="IndexLink"/>
                <w:rtl w:val="true"/>
              </w:rPr>
              <w:t>إشکال تنافی الصحّة و استحقاق العقوبة فی مسألتی الجهر و الإخفات و القصر و التمام</w:t>
            </w:r>
            <w:r>
              <w:rPr>
                <w:rStyle w:val="IndexLink"/>
                <w:rtl w:val="true"/>
              </w:rPr>
              <w:tab/>
            </w:r>
            <w:r>
              <w:rPr>
                <w:rStyle w:val="IndexLink"/>
              </w:rPr>
              <w:t>445</w:t>
            </w:r>
          </w:hyperlink>
        </w:p>
        <w:p>
          <w:pPr>
            <w:pStyle w:val="Contents6"/>
            <w:tabs>
              <w:tab w:val="clear" w:pos="7609"/>
              <w:tab w:val="right" w:pos="9026" w:leader="dot"/>
            </w:tabs>
            <w:rPr/>
          </w:pPr>
          <w:hyperlink w:anchor="__RefHeading___Toc3425777_3224264995">
            <w:r>
              <w:rPr>
                <w:webHidden/>
                <w:rStyle w:val="IndexLink"/>
                <w:rtl w:val="true"/>
              </w:rPr>
              <w:t>مناط صحّة عمل الجاهل و بطلانه</w:t>
            </w:r>
            <w:r>
              <w:rPr>
                <w:rStyle w:val="IndexLink"/>
                <w:rtl w:val="true"/>
              </w:rPr>
              <w:tab/>
            </w:r>
            <w:r>
              <w:rPr>
                <w:rStyle w:val="IndexLink"/>
              </w:rPr>
              <w:t>445</w:t>
            </w:r>
          </w:hyperlink>
        </w:p>
        <w:p>
          <w:pPr>
            <w:pStyle w:val="Contents6"/>
            <w:tabs>
              <w:tab w:val="clear" w:pos="7609"/>
              <w:tab w:val="right" w:pos="9026" w:leader="dot"/>
            </w:tabs>
            <w:rPr/>
          </w:pPr>
          <w:hyperlink w:anchor="__RefHeading___Toc3425779_3224264995">
            <w:r>
              <w:rPr>
                <w:webHidden/>
                <w:rStyle w:val="IndexLink"/>
                <w:rtl w:val="true"/>
              </w:rPr>
              <w:t>أجوبة المحقّقین عن إشکال التنافی</w:t>
            </w:r>
            <w:r>
              <w:rPr>
                <w:rStyle w:val="IndexLink"/>
                <w:rtl w:val="true"/>
              </w:rPr>
              <w:tab/>
            </w:r>
            <w:r>
              <w:rPr>
                <w:rStyle w:val="IndexLink"/>
              </w:rPr>
              <w:t>446</w:t>
            </w:r>
          </w:hyperlink>
        </w:p>
        <w:p>
          <w:pPr>
            <w:pStyle w:val="Contents6"/>
            <w:tabs>
              <w:tab w:val="clear" w:pos="7609"/>
              <w:tab w:val="right" w:pos="9026" w:leader="dot"/>
            </w:tabs>
            <w:rPr/>
          </w:pPr>
          <w:hyperlink w:anchor="__RefHeading___Toc3425781_3224264995">
            <w:r>
              <w:rPr>
                <w:webHidden/>
                <w:rStyle w:val="IndexLink"/>
                <w:rtl w:val="true"/>
              </w:rPr>
              <w:t>شرائط جریان البراءة الشرعیة</w:t>
            </w:r>
            <w:r>
              <w:rPr>
                <w:rStyle w:val="IndexLink"/>
                <w:rtl w:val="true"/>
              </w:rPr>
              <w:tab/>
            </w:r>
            <w:r>
              <w:rPr>
                <w:rStyle w:val="IndexLink"/>
              </w:rPr>
              <w:t>452</w:t>
            </w:r>
          </w:hyperlink>
        </w:p>
        <w:p>
          <w:pPr>
            <w:pStyle w:val="Contents3"/>
            <w:tabs>
              <w:tab w:val="clear" w:pos="8459"/>
              <w:tab w:val="right" w:pos="9026" w:leader="dot"/>
            </w:tabs>
            <w:rPr/>
          </w:pPr>
          <w:hyperlink w:anchor="__RefHeading___Toc3425783_3224264995">
            <w:r>
              <w:rPr>
                <w:webHidden/>
                <w:rStyle w:val="IndexLink"/>
                <w:rtl w:val="true"/>
              </w:rPr>
              <w:t xml:space="preserve">نیل الأوطار فی بیان قاعدة </w:t>
            </w:r>
            <w:r>
              <w:rPr>
                <w:rStyle w:val="IndexLink"/>
                <w:rtl w:val="true"/>
              </w:rPr>
              <w:t>«</w:t>
            </w:r>
            <w:r>
              <w:rPr>
                <w:rStyle w:val="IndexLink"/>
                <w:rtl w:val="true"/>
              </w:rPr>
              <w:t>لا ضرر و لا ضرار</w:t>
            </w:r>
            <w:r>
              <w:rPr>
                <w:rStyle w:val="IndexLink"/>
                <w:rtl w:val="true"/>
              </w:rPr>
              <w:t>»</w:t>
              <w:tab/>
            </w:r>
            <w:r>
              <w:rPr>
                <w:rStyle w:val="IndexLink"/>
              </w:rPr>
              <w:t>458</w:t>
            </w:r>
          </w:hyperlink>
        </w:p>
        <w:p>
          <w:pPr>
            <w:pStyle w:val="Contents4"/>
            <w:tabs>
              <w:tab w:val="clear" w:pos="8176"/>
              <w:tab w:val="right" w:pos="9026" w:leader="dot"/>
            </w:tabs>
            <w:rPr/>
          </w:pPr>
          <w:hyperlink w:anchor="__RefHeading___Toc3425785_3224264995">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3425787_3224264995">
            <w:r>
              <w:rPr>
                <w:webHidden/>
                <w:rStyle w:val="IndexLink"/>
                <w:rtl w:val="true"/>
              </w:rPr>
              <w:t>تمهید فی ذکر الأحادیث المربوطة بالمقام</w:t>
            </w:r>
            <w:r>
              <w:rPr>
                <w:rStyle w:val="IndexLink"/>
                <w:rtl w:val="true"/>
              </w:rPr>
              <w:tab/>
            </w:r>
            <w:r>
              <w:rPr>
                <w:rStyle w:val="IndexLink"/>
              </w:rPr>
              <w:t>460</w:t>
            </w:r>
          </w:hyperlink>
        </w:p>
        <w:p>
          <w:pPr>
            <w:pStyle w:val="Contents5"/>
            <w:tabs>
              <w:tab w:val="clear" w:pos="7892"/>
              <w:tab w:val="right" w:pos="9026" w:leader="dot"/>
            </w:tabs>
            <w:rPr/>
          </w:pPr>
          <w:hyperlink w:anchor="__RefHeading___Toc3425789_3224264995">
            <w:r>
              <w:rPr>
                <w:webHidden/>
                <w:rStyle w:val="IndexLink"/>
                <w:rtl w:val="true"/>
              </w:rPr>
              <w:t>ما ورد فی جوامع الحدیث للشیعة</w:t>
            </w:r>
            <w:r>
              <w:rPr>
                <w:rStyle w:val="IndexLink"/>
                <w:rtl w:val="true"/>
              </w:rPr>
              <w:tab/>
            </w:r>
            <w:r>
              <w:rPr>
                <w:rStyle w:val="IndexLink"/>
              </w:rPr>
              <w:t>460</w:t>
            </w:r>
          </w:hyperlink>
        </w:p>
        <w:p>
          <w:pPr>
            <w:pStyle w:val="Contents5"/>
            <w:tabs>
              <w:tab w:val="clear" w:pos="7892"/>
              <w:tab w:val="right" w:pos="9026" w:leader="dot"/>
            </w:tabs>
            <w:rPr/>
          </w:pPr>
          <w:hyperlink w:anchor="__RefHeading___Toc3425791_3224264995">
            <w:r>
              <w:rPr>
                <w:webHidden/>
                <w:rStyle w:val="IndexLink"/>
                <w:rtl w:val="true"/>
              </w:rPr>
              <w:t>ما ورد فی جوامع الحدیث للعامّة</w:t>
            </w:r>
            <w:r>
              <w:rPr>
                <w:rStyle w:val="IndexLink"/>
                <w:rtl w:val="true"/>
              </w:rPr>
              <w:tab/>
            </w:r>
            <w:r>
              <w:rPr>
                <w:rStyle w:val="IndexLink"/>
              </w:rPr>
              <w:t>465</w:t>
            </w:r>
          </w:hyperlink>
        </w:p>
        <w:p>
          <w:pPr>
            <w:pStyle w:val="Contents5"/>
            <w:tabs>
              <w:tab w:val="clear" w:pos="7892"/>
              <w:tab w:val="right" w:pos="9026" w:leader="dot"/>
            </w:tabs>
            <w:rPr/>
          </w:pPr>
          <w:hyperlink w:anchor="__RefHeading___Toc3425793_3224264995">
            <w:r>
              <w:rPr>
                <w:webHidden/>
                <w:rStyle w:val="IndexLink"/>
                <w:rtl w:val="true"/>
              </w:rPr>
              <w:t xml:space="preserve">الروایات المتحدة المضمون مع حدیث </w:t>
            </w:r>
            <w:r>
              <w:rPr>
                <w:rStyle w:val="IndexLink"/>
                <w:rtl w:val="true"/>
              </w:rPr>
              <w:t>«</w:t>
            </w:r>
            <w:r>
              <w:rPr>
                <w:rStyle w:val="IndexLink"/>
                <w:rtl w:val="true"/>
              </w:rPr>
              <w:t>لا ضرر</w:t>
            </w:r>
            <w:r>
              <w:rPr>
                <w:rStyle w:val="IndexLink"/>
                <w:rtl w:val="true"/>
              </w:rPr>
              <w:t>»</w:t>
              <w:tab/>
            </w:r>
            <w:r>
              <w:rPr>
                <w:rStyle w:val="IndexLink"/>
              </w:rPr>
              <w:t>466</w:t>
            </w:r>
          </w:hyperlink>
        </w:p>
        <w:p>
          <w:pPr>
            <w:pStyle w:val="Contents4"/>
            <w:tabs>
              <w:tab w:val="clear" w:pos="8176"/>
              <w:tab w:val="right" w:pos="9026" w:leader="dot"/>
            </w:tabs>
            <w:rPr/>
          </w:pPr>
          <w:hyperlink w:anchor="__RefHeading___Toc3425795_3224264995">
            <w:r>
              <w:rPr>
                <w:webHidden/>
                <w:rStyle w:val="IndexLink"/>
                <w:rtl w:val="true"/>
              </w:rPr>
              <w:t xml:space="preserve">التحقیق فی حال ورود </w:t>
            </w:r>
            <w:r>
              <w:rPr>
                <w:rStyle w:val="IndexLink"/>
                <w:rtl w:val="true"/>
              </w:rPr>
              <w:t>«</w:t>
            </w:r>
            <w:r>
              <w:rPr>
                <w:rStyle w:val="IndexLink"/>
                <w:rtl w:val="true"/>
              </w:rPr>
              <w:t>لا ضرر</w:t>
            </w:r>
            <w:r>
              <w:rPr>
                <w:rStyle w:val="IndexLink"/>
                <w:rtl w:val="true"/>
              </w:rPr>
              <w:t xml:space="preserve">» </w:t>
            </w:r>
            <w:r>
              <w:rPr>
                <w:rStyle w:val="IndexLink"/>
                <w:rtl w:val="true"/>
              </w:rPr>
              <w:t>مستقلًاّ</w:t>
            </w:r>
            <w:r>
              <w:rPr>
                <w:rStyle w:val="IndexLink"/>
                <w:rtl w:val="true"/>
              </w:rPr>
              <w:tab/>
            </w:r>
            <w:r>
              <w:rPr>
                <w:rStyle w:val="IndexLink"/>
              </w:rPr>
              <w:t>470</w:t>
            </w:r>
          </w:hyperlink>
        </w:p>
        <w:p>
          <w:pPr>
            <w:pStyle w:val="Contents5"/>
            <w:tabs>
              <w:tab w:val="clear" w:pos="7892"/>
              <w:tab w:val="right" w:pos="9026" w:leader="dot"/>
            </w:tabs>
            <w:rPr/>
          </w:pPr>
          <w:hyperlink w:anchor="__RefHeading___Toc3425797_3224264995">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425799_3224264995">
            <w:r>
              <w:rPr>
                <w:webHidden/>
                <w:rStyle w:val="IndexLink"/>
                <w:rtl w:val="true"/>
              </w:rPr>
              <w:t xml:space="preserve">إشکالات تذییل حدیث الشفعة و منع فضل الماء ب </w:t>
            </w:r>
            <w:r>
              <w:rPr>
                <w:rStyle w:val="IndexLink"/>
                <w:rtl w:val="true"/>
              </w:rPr>
              <w:t>«</w:t>
            </w:r>
            <w:r>
              <w:rPr>
                <w:rStyle w:val="IndexLink"/>
                <w:rtl w:val="true"/>
              </w:rPr>
              <w:t>لا ضرر</w:t>
            </w:r>
            <w:r>
              <w:rPr>
                <w:rStyle w:val="IndexLink"/>
                <w:rtl w:val="true"/>
              </w:rPr>
              <w:t>»</w:t>
              <w:tab/>
            </w:r>
            <w:r>
              <w:rPr>
                <w:rStyle w:val="IndexLink"/>
              </w:rPr>
              <w:t>472</w:t>
            </w:r>
          </w:hyperlink>
        </w:p>
        <w:p>
          <w:pPr>
            <w:pStyle w:val="Contents5"/>
            <w:tabs>
              <w:tab w:val="clear" w:pos="7892"/>
              <w:tab w:val="right" w:pos="9026" w:leader="dot"/>
            </w:tabs>
            <w:rPr/>
          </w:pPr>
          <w:hyperlink w:anchor="__RefHeading___Toc3425801_3224264995">
            <w:r>
              <w:rPr>
                <w:webHidden/>
                <w:rStyle w:val="IndexLink"/>
                <w:rtl w:val="true"/>
              </w:rPr>
              <w:t>مقالة شیخ الشریعة فی المقام</w:t>
            </w:r>
            <w:r>
              <w:rPr>
                <w:rStyle w:val="IndexLink"/>
                <w:rtl w:val="true"/>
              </w:rPr>
              <w:tab/>
            </w:r>
            <w:r>
              <w:rPr>
                <w:rStyle w:val="IndexLink"/>
              </w:rPr>
              <w:t>473</w:t>
            </w:r>
          </w:hyperlink>
        </w:p>
        <w:p>
          <w:pPr>
            <w:pStyle w:val="Contents5"/>
            <w:tabs>
              <w:tab w:val="clear" w:pos="7892"/>
              <w:tab w:val="right" w:pos="9026" w:leader="dot"/>
            </w:tabs>
            <w:rPr/>
          </w:pPr>
          <w:hyperlink w:anchor="__RefHeading___Toc3425803_3224264995">
            <w:r>
              <w:rPr>
                <w:webHidden/>
                <w:rStyle w:val="IndexLink"/>
                <w:rtl w:val="true"/>
              </w:rPr>
              <w:t>حلّ العقدة</w:t>
            </w:r>
            <w:r>
              <w:rPr>
                <w:rStyle w:val="IndexLink"/>
                <w:rtl w:val="true"/>
              </w:rPr>
              <w:tab/>
            </w:r>
            <w:r>
              <w:rPr>
                <w:rStyle w:val="IndexLink"/>
              </w:rPr>
              <w:t>476</w:t>
            </w:r>
          </w:hyperlink>
        </w:p>
        <w:p>
          <w:pPr>
            <w:pStyle w:val="Contents5"/>
            <w:tabs>
              <w:tab w:val="clear" w:pos="7892"/>
              <w:tab w:val="right" w:pos="9026" w:leader="dot"/>
            </w:tabs>
            <w:rPr/>
          </w:pPr>
          <w:hyperlink w:anchor="__RefHeading___Toc3425805_3224264995">
            <w:r>
              <w:rPr>
                <w:webHidden/>
                <w:rStyle w:val="IndexLink"/>
                <w:rtl w:val="true"/>
              </w:rPr>
              <w:t xml:space="preserve">تذییل القاعدة بکلمتی </w:t>
            </w:r>
            <w:r>
              <w:rPr>
                <w:rStyle w:val="IndexLink"/>
                <w:rtl w:val="true"/>
              </w:rPr>
              <w:t>«</w:t>
            </w:r>
            <w:r>
              <w:rPr>
                <w:rStyle w:val="IndexLink"/>
                <w:rtl w:val="true"/>
              </w:rPr>
              <w:t>فی الإسلام</w:t>
            </w:r>
            <w:r>
              <w:rPr>
                <w:rStyle w:val="IndexLink"/>
                <w:rtl w:val="true"/>
              </w:rPr>
              <w:t xml:space="preserve">» </w:t>
            </w:r>
            <w:r>
              <w:rPr>
                <w:rStyle w:val="IndexLink"/>
                <w:rtl w:val="true"/>
              </w:rPr>
              <w:t xml:space="preserve">أو </w:t>
            </w:r>
            <w:r>
              <w:rPr>
                <w:rStyle w:val="IndexLink"/>
                <w:rtl w:val="true"/>
              </w:rPr>
              <w:t>«</w:t>
            </w:r>
            <w:r>
              <w:rPr>
                <w:rStyle w:val="IndexLink"/>
                <w:rtl w:val="true"/>
              </w:rPr>
              <w:t>علی مؤمن</w:t>
            </w:r>
            <w:r>
              <w:rPr>
                <w:rStyle w:val="IndexLink"/>
                <w:rtl w:val="true"/>
              </w:rPr>
              <w:t>»</w:t>
              <w:tab/>
            </w:r>
            <w:r>
              <w:rPr>
                <w:rStyle w:val="IndexLink"/>
              </w:rPr>
              <w:t>481</w:t>
            </w:r>
          </w:hyperlink>
        </w:p>
        <w:p>
          <w:pPr>
            <w:pStyle w:val="Contents4"/>
            <w:tabs>
              <w:tab w:val="clear" w:pos="8176"/>
              <w:tab w:val="right" w:pos="9026" w:leader="dot"/>
            </w:tabs>
            <w:rPr/>
          </w:pPr>
          <w:hyperlink w:anchor="__RefHeading___Toc3425807_3224264995">
            <w:r>
              <w:rPr>
                <w:webHidden/>
                <w:rStyle w:val="IndexLink"/>
                <w:rtl w:val="true"/>
              </w:rPr>
              <w:t>فصل فی فقه الحدیث الشریف</w:t>
            </w:r>
            <w:r>
              <w:rPr>
                <w:rStyle w:val="IndexLink"/>
                <w:rtl w:val="true"/>
              </w:rPr>
              <w:tab/>
            </w:r>
            <w:r>
              <w:rPr>
                <w:rStyle w:val="IndexLink"/>
              </w:rPr>
              <w:t>486</w:t>
            </w:r>
          </w:hyperlink>
        </w:p>
        <w:p>
          <w:pPr>
            <w:pStyle w:val="Contents5"/>
            <w:tabs>
              <w:tab w:val="clear" w:pos="7892"/>
              <w:tab w:val="right" w:pos="9026" w:leader="dot"/>
            </w:tabs>
            <w:rPr/>
          </w:pPr>
          <w:hyperlink w:anchor="__RefHeading___Toc3425809_3224264995">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425811_3224264995">
            <w:r>
              <w:rPr>
                <w:webHidden/>
                <w:rStyle w:val="IndexLink"/>
                <w:rtl w:val="true"/>
              </w:rPr>
              <w:t>المقام الأوّل</w:t>
            </w:r>
            <w:r>
              <w:rPr>
                <w:rStyle w:val="IndexLink"/>
                <w:rtl w:val="true"/>
              </w:rPr>
              <w:t xml:space="preserve">: </w:t>
            </w:r>
            <w:r>
              <w:rPr>
                <w:rStyle w:val="IndexLink"/>
                <w:rtl w:val="true"/>
              </w:rPr>
              <w:t>فی معنی الضرر و الضرار</w:t>
            </w:r>
            <w:r>
              <w:rPr>
                <w:rStyle w:val="IndexLink"/>
                <w:rtl w:val="true"/>
              </w:rPr>
              <w:tab/>
            </w:r>
            <w:r>
              <w:rPr>
                <w:rStyle w:val="IndexLink"/>
              </w:rPr>
              <w:t>486</w:t>
            </w:r>
          </w:hyperlink>
        </w:p>
        <w:p>
          <w:pPr>
            <w:pStyle w:val="Contents6"/>
            <w:tabs>
              <w:tab w:val="clear" w:pos="7609"/>
              <w:tab w:val="right" w:pos="9026" w:leader="dot"/>
            </w:tabs>
            <w:rPr/>
          </w:pPr>
          <w:hyperlink w:anchor="__RefHeading___Toc3425813_3224264995">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3425815_3224264995">
            <w:r>
              <w:rPr>
                <w:webHidden/>
                <w:rStyle w:val="IndexLink"/>
                <w:rtl w:val="true"/>
              </w:rPr>
              <w:t>الفرق بین الضرر و الضرار</w:t>
            </w:r>
            <w:r>
              <w:rPr>
                <w:rStyle w:val="IndexLink"/>
                <w:rtl w:val="true"/>
              </w:rPr>
              <w:tab/>
            </w:r>
            <w:r>
              <w:rPr>
                <w:rStyle w:val="IndexLink"/>
              </w:rPr>
              <w:t>490</w:t>
            </w:r>
          </w:hyperlink>
        </w:p>
        <w:p>
          <w:pPr>
            <w:pStyle w:val="Contents5"/>
            <w:tabs>
              <w:tab w:val="clear" w:pos="7892"/>
              <w:tab w:val="right" w:pos="9026" w:leader="dot"/>
            </w:tabs>
            <w:rPr/>
          </w:pPr>
          <w:hyperlink w:anchor="__RefHeading___Toc3425817_3224264995">
            <w:r>
              <w:rPr>
                <w:webHidden/>
                <w:rStyle w:val="IndexLink"/>
                <w:rtl w:val="true"/>
              </w:rPr>
              <w:t>المقام الثانی</w:t>
            </w:r>
            <w:r>
              <w:rPr>
                <w:rStyle w:val="IndexLink"/>
                <w:rtl w:val="true"/>
              </w:rPr>
              <w:t xml:space="preserve">: </w:t>
            </w:r>
            <w:r>
              <w:rPr>
                <w:rStyle w:val="IndexLink"/>
                <w:rtl w:val="true"/>
              </w:rPr>
              <w:t>فی مفاد الهیئة الترکیبیة</w:t>
            </w:r>
            <w:r>
              <w:rPr>
                <w:rStyle w:val="IndexLink"/>
                <w:rtl w:val="true"/>
              </w:rPr>
              <w:tab/>
            </w:r>
            <w:r>
              <w:rPr>
                <w:rStyle w:val="IndexLink"/>
              </w:rPr>
              <w:t>496</w:t>
            </w:r>
          </w:hyperlink>
        </w:p>
        <w:p>
          <w:pPr>
            <w:pStyle w:val="Contents6"/>
            <w:tabs>
              <w:tab w:val="clear" w:pos="7609"/>
              <w:tab w:val="right" w:pos="9026" w:leader="dot"/>
            </w:tabs>
            <w:rPr/>
          </w:pPr>
          <w:hyperlink w:anchor="__RefHeading___Toc3425819_3224264995">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3425821_3224264995">
            <w:r>
              <w:rPr>
                <w:webHidden/>
                <w:rStyle w:val="IndexLink"/>
                <w:rtl w:val="true"/>
              </w:rPr>
              <w:t>الوجوه المحتملة أو المنقولة حول کلام الشیخ الأعظم</w:t>
            </w:r>
            <w:r>
              <w:rPr>
                <w:rStyle w:val="IndexLink"/>
                <w:rtl w:val="true"/>
              </w:rPr>
              <w:tab/>
            </w:r>
            <w:r>
              <w:rPr>
                <w:rStyle w:val="IndexLink"/>
              </w:rPr>
              <w:t>498</w:t>
            </w:r>
          </w:hyperlink>
        </w:p>
        <w:p>
          <w:pPr>
            <w:pStyle w:val="Contents6"/>
            <w:tabs>
              <w:tab w:val="clear" w:pos="7609"/>
              <w:tab w:val="right" w:pos="9026" w:leader="dot"/>
            </w:tabs>
            <w:rPr/>
          </w:pPr>
          <w:hyperlink w:anchor="__RefHeading___Toc3425823_3224264995">
            <w:r>
              <w:rPr>
                <w:webHidden/>
                <w:rStyle w:val="IndexLink"/>
                <w:rtl w:val="true"/>
              </w:rPr>
              <w:t>فی الوجوه المتصوّرة للحقیقة الادعائیة</w:t>
            </w:r>
            <w:r>
              <w:rPr>
                <w:rStyle w:val="IndexLink"/>
                <w:rtl w:val="true"/>
              </w:rPr>
              <w:tab/>
            </w:r>
            <w:r>
              <w:rPr>
                <w:rStyle w:val="IndexLink"/>
              </w:rPr>
              <w:t>499</w:t>
            </w:r>
          </w:hyperlink>
        </w:p>
        <w:p>
          <w:pPr>
            <w:pStyle w:val="Contents6"/>
            <w:tabs>
              <w:tab w:val="clear" w:pos="7609"/>
              <w:tab w:val="right" w:pos="9026" w:leader="dot"/>
            </w:tabs>
            <w:rPr/>
          </w:pPr>
          <w:hyperlink w:anchor="__RefHeading___Toc3425825_3224264995">
            <w:r>
              <w:rPr>
                <w:webHidden/>
                <w:rStyle w:val="IndexLink"/>
                <w:rtl w:val="true"/>
              </w:rPr>
              <w:t>حول کلام بعض الأعاظم فی توضیح مفاد القاعدة</w:t>
            </w:r>
            <w:r>
              <w:rPr>
                <w:rStyle w:val="IndexLink"/>
                <w:rtl w:val="true"/>
              </w:rPr>
              <w:tab/>
            </w:r>
            <w:r>
              <w:rPr>
                <w:rStyle w:val="IndexLink"/>
              </w:rPr>
              <w:t>504</w:t>
            </w:r>
          </w:hyperlink>
        </w:p>
        <w:p>
          <w:pPr>
            <w:pStyle w:val="Contents6"/>
            <w:tabs>
              <w:tab w:val="clear" w:pos="7609"/>
              <w:tab w:val="right" w:pos="9026" w:leader="dot"/>
            </w:tabs>
            <w:rPr/>
          </w:pPr>
          <w:hyperlink w:anchor="__RefHeading___Toc3425827_3224264995">
            <w:r>
              <w:rPr>
                <w:webHidden/>
                <w:rStyle w:val="IndexLink"/>
                <w:rtl w:val="true"/>
              </w:rPr>
              <w:t>نقد الوجوه المذکورة حول کلام الشیخ الأعظم</w:t>
            </w:r>
            <w:r>
              <w:rPr>
                <w:rStyle w:val="IndexLink"/>
                <w:rtl w:val="true"/>
              </w:rPr>
              <w:tab/>
            </w:r>
            <w:r>
              <w:rPr>
                <w:rStyle w:val="IndexLink"/>
              </w:rPr>
              <w:t>508</w:t>
            </w:r>
          </w:hyperlink>
        </w:p>
        <w:p>
          <w:pPr>
            <w:pStyle w:val="Contents6"/>
            <w:tabs>
              <w:tab w:val="clear" w:pos="7609"/>
              <w:tab w:val="right" w:pos="9026" w:leader="dot"/>
            </w:tabs>
            <w:rPr/>
          </w:pPr>
          <w:hyperlink w:anchor="__RefHeading___Toc3425829_3224264995">
            <w:r>
              <w:rPr>
                <w:webHidden/>
                <w:rStyle w:val="IndexLink"/>
                <w:rtl w:val="true"/>
              </w:rPr>
              <w:t>الإشکالات المشترکة</w:t>
            </w:r>
            <w:r>
              <w:rPr>
                <w:rStyle w:val="IndexLink"/>
                <w:rtl w:val="true"/>
              </w:rPr>
              <w:tab/>
            </w:r>
            <w:r>
              <w:rPr>
                <w:rStyle w:val="IndexLink"/>
              </w:rPr>
              <w:t>508</w:t>
            </w:r>
          </w:hyperlink>
        </w:p>
        <w:p>
          <w:pPr>
            <w:pStyle w:val="Contents6"/>
            <w:tabs>
              <w:tab w:val="clear" w:pos="7609"/>
              <w:tab w:val="right" w:pos="9026" w:leader="dot"/>
            </w:tabs>
            <w:rPr/>
          </w:pPr>
          <w:hyperlink w:anchor="__RefHeading___Toc3425831_3224264995">
            <w:r>
              <w:rPr>
                <w:webHidden/>
                <w:rStyle w:val="IndexLink"/>
                <w:rtl w:val="true"/>
              </w:rPr>
              <w:t>الإشکالات غیر المشترکة</w:t>
            </w:r>
            <w:r>
              <w:rPr>
                <w:rStyle w:val="IndexLink"/>
                <w:rtl w:val="true"/>
              </w:rPr>
              <w:tab/>
            </w:r>
            <w:r>
              <w:rPr>
                <w:rStyle w:val="IndexLink"/>
              </w:rPr>
              <w:t>512</w:t>
            </w:r>
          </w:hyperlink>
        </w:p>
        <w:p>
          <w:pPr>
            <w:pStyle w:val="Contents6"/>
            <w:tabs>
              <w:tab w:val="clear" w:pos="7609"/>
              <w:tab w:val="right" w:pos="9026" w:leader="dot"/>
            </w:tabs>
            <w:rPr/>
          </w:pPr>
          <w:hyperlink w:anchor="__RefHeading___Toc3425833_3224264995">
            <w:r>
              <w:rPr>
                <w:webHidden/>
                <w:rStyle w:val="IndexLink"/>
                <w:rtl w:val="true"/>
              </w:rPr>
              <w:t>حول ما أفاده شیخ الشریعة الأصفهانی</w:t>
            </w:r>
            <w:r>
              <w:rPr>
                <w:rStyle w:val="IndexLink"/>
                <w:rtl w:val="true"/>
              </w:rPr>
              <w:tab/>
            </w:r>
            <w:r>
              <w:rPr>
                <w:rStyle w:val="IndexLink"/>
              </w:rPr>
              <w:t>516</w:t>
            </w:r>
          </w:hyperlink>
        </w:p>
        <w:p>
          <w:pPr>
            <w:pStyle w:val="Contents6"/>
            <w:tabs>
              <w:tab w:val="clear" w:pos="7609"/>
              <w:tab w:val="right" w:pos="9026" w:leader="dot"/>
            </w:tabs>
            <w:rPr/>
          </w:pPr>
          <w:hyperlink w:anchor="__RefHeading___Toc3425835_3224264995">
            <w:r>
              <w:rPr>
                <w:webHidden/>
                <w:rStyle w:val="IndexLink"/>
                <w:rtl w:val="true"/>
              </w:rPr>
              <w:t>حول المختار فی معنی الروایة</w:t>
            </w:r>
            <w:r>
              <w:rPr>
                <w:rStyle w:val="IndexLink"/>
                <w:rtl w:val="true"/>
              </w:rPr>
              <w:tab/>
            </w:r>
            <w:r>
              <w:rPr>
                <w:rStyle w:val="IndexLink"/>
              </w:rPr>
              <w:t>522</w:t>
            </w:r>
          </w:hyperlink>
        </w:p>
        <w:p>
          <w:pPr>
            <w:pStyle w:val="Contents6"/>
            <w:tabs>
              <w:tab w:val="clear" w:pos="7609"/>
              <w:tab w:val="right" w:pos="9026" w:leader="dot"/>
            </w:tabs>
            <w:rPr/>
          </w:pPr>
          <w:hyperlink w:anchor="__RefHeading___Toc3425837_3224264995">
            <w:r>
              <w:rPr>
                <w:webHidden/>
                <w:rStyle w:val="IndexLink"/>
                <w:rtl w:val="true"/>
              </w:rPr>
              <w:t>الغایة من المقالة</w:t>
            </w:r>
            <w:r>
              <w:rPr>
                <w:rStyle w:val="IndexLink"/>
                <w:rtl w:val="true"/>
              </w:rPr>
              <w:tab/>
            </w:r>
            <w:r>
              <w:rPr>
                <w:rStyle w:val="IndexLink"/>
              </w:rPr>
              <w:t>530</w:t>
            </w:r>
          </w:hyperlink>
        </w:p>
        <w:p>
          <w:pPr>
            <w:pStyle w:val="Contents6"/>
            <w:tabs>
              <w:tab w:val="clear" w:pos="7609"/>
              <w:tab w:val="right" w:pos="9026" w:leader="dot"/>
            </w:tabs>
            <w:rPr/>
          </w:pPr>
          <w:hyperlink w:anchor="__RefHeading___Toc3425839_3224264995">
            <w:r>
              <w:rPr>
                <w:webHidden/>
                <w:rStyle w:val="IndexLink"/>
                <w:rtl w:val="true"/>
              </w:rPr>
              <w:t>فذلکة المقام</w:t>
            </w:r>
            <w:r>
              <w:rPr>
                <w:rStyle w:val="IndexLink"/>
                <w:rtl w:val="true"/>
              </w:rPr>
              <w:tab/>
            </w:r>
            <w:r>
              <w:rPr>
                <w:rStyle w:val="IndexLink"/>
              </w:rPr>
              <w:t>535</w:t>
            </w:r>
          </w:hyperlink>
        </w:p>
        <w:p>
          <w:pPr>
            <w:pStyle w:val="Contents6"/>
            <w:tabs>
              <w:tab w:val="clear" w:pos="7609"/>
              <w:tab w:val="right" w:pos="9026" w:leader="dot"/>
            </w:tabs>
            <w:rPr/>
          </w:pPr>
          <w:hyperlink w:anchor="__RefHeading___Toc3425841_3224264995">
            <w:r>
              <w:rPr>
                <w:webHidden/>
                <w:rStyle w:val="IndexLink"/>
                <w:rtl w:val="true"/>
              </w:rPr>
              <w:t>دفع توهّم</w:t>
            </w:r>
            <w:r>
              <w:rPr>
                <w:rStyle w:val="IndexLink"/>
                <w:rtl w:val="true"/>
              </w:rPr>
              <w:tab/>
            </w:r>
            <w:r>
              <w:rPr>
                <w:rStyle w:val="IndexLink"/>
              </w:rPr>
              <w:t>537</w:t>
            </w:r>
          </w:hyperlink>
        </w:p>
        <w:p>
          <w:pPr>
            <w:pStyle w:val="Contents4"/>
            <w:tabs>
              <w:tab w:val="clear" w:pos="8176"/>
              <w:tab w:val="right" w:pos="9026" w:leader="dot"/>
            </w:tabs>
            <w:rPr/>
          </w:pPr>
          <w:hyperlink w:anchor="__RefHeading___Toc3425843_3224264995">
            <w:r>
              <w:rPr>
                <w:webHidden/>
                <w:rStyle w:val="IndexLink"/>
                <w:rtl w:val="true"/>
              </w:rPr>
              <w:t>تنبیهات</w:t>
            </w:r>
            <w:r>
              <w:rPr>
                <w:rStyle w:val="IndexLink"/>
                <w:rtl w:val="true"/>
              </w:rPr>
              <w:t>:</w:t>
              <w:tab/>
            </w:r>
            <w:r>
              <w:rPr>
                <w:rStyle w:val="IndexLink"/>
              </w:rPr>
              <w:t>539</w:t>
            </w:r>
          </w:hyperlink>
        </w:p>
        <w:p>
          <w:pPr>
            <w:pStyle w:val="Contents5"/>
            <w:tabs>
              <w:tab w:val="clear" w:pos="7892"/>
              <w:tab w:val="right" w:pos="9026" w:leader="dot"/>
            </w:tabs>
            <w:rPr/>
          </w:pPr>
          <w:hyperlink w:anchor="__RefHeading___Toc3425845_3224264995">
            <w:r>
              <w:rPr>
                <w:webHidden/>
                <w:rStyle w:val="IndexLink"/>
                <w:rtl w:val="true"/>
              </w:rPr>
              <w:t>التنبیه الأوّل فی اشتمال الروایة علی ما یخالف القواعد</w:t>
            </w:r>
            <w:r>
              <w:rPr>
                <w:rStyle w:val="IndexLink"/>
                <w:rtl w:val="true"/>
              </w:rPr>
              <w:tab/>
            </w:r>
            <w:r>
              <w:rPr>
                <w:rStyle w:val="IndexLink"/>
              </w:rPr>
              <w:t>539</w:t>
            </w:r>
          </w:hyperlink>
        </w:p>
        <w:p>
          <w:pPr>
            <w:pStyle w:val="Contents5"/>
            <w:tabs>
              <w:tab w:val="clear" w:pos="7892"/>
              <w:tab w:val="right" w:pos="9026" w:leader="dot"/>
            </w:tabs>
            <w:rPr/>
          </w:pPr>
          <w:hyperlink w:anchor="__RefHeading___Toc3425847_3224264995">
            <w:r>
              <w:rPr>
                <w:webHidden/>
                <w:rStyle w:val="IndexLink"/>
                <w:rtl w:val="true"/>
              </w:rPr>
              <w:t>التنبیه الثانی فی حکومة القاعدة علی أدلّة الأحکام الأوّلیة</w:t>
            </w:r>
            <w:r>
              <w:rPr>
                <w:rStyle w:val="IndexLink"/>
                <w:rtl w:val="true"/>
              </w:rPr>
              <w:tab/>
            </w:r>
            <w:r>
              <w:rPr>
                <w:rStyle w:val="IndexLink"/>
              </w:rPr>
              <w:t>545</w:t>
            </w:r>
          </w:hyperlink>
        </w:p>
        <w:p>
          <w:pPr>
            <w:pStyle w:val="Contents5"/>
            <w:tabs>
              <w:tab w:val="clear" w:pos="7892"/>
              <w:tab w:val="right" w:pos="9026" w:leader="dot"/>
            </w:tabs>
            <w:rPr/>
          </w:pPr>
          <w:hyperlink w:anchor="__RefHeading___Toc3425849_3224264995">
            <w:r>
              <w:rPr>
                <w:webHidden/>
                <w:rStyle w:val="IndexLink"/>
                <w:rtl w:val="true"/>
              </w:rPr>
              <w:t>التنبیه الثالث فی تحمّل الضرر و الإکراه علی الإضرار</w:t>
            </w:r>
            <w:r>
              <w:rPr>
                <w:rStyle w:val="IndexLink"/>
                <w:rtl w:val="true"/>
              </w:rPr>
              <w:tab/>
            </w:r>
            <w:r>
              <w:rPr>
                <w:rStyle w:val="IndexLink"/>
              </w:rPr>
              <w:t>547</w:t>
            </w:r>
          </w:hyperlink>
        </w:p>
        <w:p>
          <w:pPr>
            <w:pStyle w:val="Contents5"/>
            <w:tabs>
              <w:tab w:val="clear" w:pos="7892"/>
              <w:tab w:val="right" w:pos="9026" w:leader="dot"/>
            </w:tabs>
            <w:rPr/>
          </w:pPr>
          <w:hyperlink w:anchor="__RefHeading___Toc3425851_3224264995">
            <w:r>
              <w:rPr>
                <w:webHidden/>
                <w:rStyle w:val="IndexLink"/>
                <w:rtl w:val="true"/>
              </w:rPr>
              <w:t>التنبیه الرابع فی تعارض الضررین أو تعارض الضرر و الحرج و غیرهما من الصور، کما إذا استلزم التصرّف فی ملکه الضرر علی الغیر</w:t>
            </w:r>
            <w:r>
              <w:rPr>
                <w:rStyle w:val="IndexLink"/>
                <w:rtl w:val="true"/>
              </w:rPr>
              <w:tab/>
            </w:r>
            <w:r>
              <w:rPr>
                <w:rStyle w:val="IndexLink"/>
              </w:rPr>
              <w:t>550</w:t>
            </w:r>
          </w:hyperlink>
        </w:p>
        <w:p>
          <w:pPr>
            <w:pStyle w:val="Contents5"/>
            <w:tabs>
              <w:tab w:val="clear" w:pos="7892"/>
              <w:tab w:val="right" w:pos="9026" w:leader="dot"/>
            </w:tabs>
            <w:rPr/>
          </w:pPr>
          <w:hyperlink w:anchor="__RefHeading___Toc3425853_3224264995">
            <w:r>
              <w:rPr>
                <w:webHidden/>
                <w:rStyle w:val="IndexLink"/>
                <w:rtl w:val="true"/>
              </w:rPr>
              <w:t>إشکال و دفع</w:t>
            </w:r>
            <w:r>
              <w:rPr>
                <w:rStyle w:val="IndexLink"/>
                <w:rtl w:val="true"/>
              </w:rPr>
              <w:tab/>
            </w:r>
            <w:r>
              <w:rPr>
                <w:rStyle w:val="IndexLink"/>
              </w:rPr>
              <w:t>551</w:t>
            </w:r>
          </w:hyperlink>
        </w:p>
        <w:p>
          <w:pPr>
            <w:pStyle w:val="Contents3"/>
            <w:tabs>
              <w:tab w:val="clear" w:pos="8459"/>
              <w:tab w:val="right" w:pos="9026" w:leader="dot"/>
            </w:tabs>
            <w:rPr/>
          </w:pPr>
          <w:hyperlink w:anchor="__RefHeading___Toc3425855_3224264995">
            <w:r>
              <w:rPr>
                <w:webHidden/>
                <w:rStyle w:val="IndexLink"/>
                <w:rtl w:val="true"/>
              </w:rPr>
              <w:t>رسالة فی الاجتهاد و التقلید</w:t>
            </w:r>
            <w:r>
              <w:rPr>
                <w:rStyle w:val="IndexLink"/>
                <w:rtl w:val="true"/>
              </w:rPr>
              <w:tab/>
            </w:r>
            <w:r>
              <w:rPr>
                <w:rStyle w:val="IndexLink"/>
              </w:rPr>
              <w:t>557</w:t>
            </w:r>
          </w:hyperlink>
        </w:p>
        <w:p>
          <w:pPr>
            <w:pStyle w:val="Contents4"/>
            <w:tabs>
              <w:tab w:val="clear" w:pos="8176"/>
              <w:tab w:val="right" w:pos="9026" w:leader="dot"/>
            </w:tabs>
            <w:rPr/>
          </w:pPr>
          <w:hyperlink w:anchor="__RefHeading___Toc3425857_3224264995">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3425859_3224264995">
            <w:r>
              <w:rPr>
                <w:webHidden/>
                <w:rStyle w:val="IndexLink"/>
                <w:rtl w:val="true"/>
              </w:rPr>
              <w:t>ذکر مناصب الفقیه</w:t>
            </w:r>
            <w:r>
              <w:rPr>
                <w:rStyle w:val="IndexLink"/>
                <w:rtl w:val="true"/>
              </w:rPr>
              <w:tab/>
            </w:r>
            <w:r>
              <w:rPr>
                <w:rStyle w:val="IndexLink"/>
              </w:rPr>
              <w:t>559</w:t>
            </w:r>
          </w:hyperlink>
        </w:p>
        <w:p>
          <w:pPr>
            <w:pStyle w:val="Contents5"/>
            <w:tabs>
              <w:tab w:val="clear" w:pos="7892"/>
              <w:tab w:val="right" w:pos="9026" w:leader="dot"/>
            </w:tabs>
            <w:rPr/>
          </w:pPr>
          <w:hyperlink w:anchor="__RefHeading___Toc3425861_3224264995">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3425863_3224264995">
            <w:r>
              <w:rPr>
                <w:webHidden/>
                <w:rStyle w:val="IndexLink"/>
                <w:rtl w:val="true"/>
              </w:rPr>
              <w:t>المقام الأوّل البحث عن منصب الإفتاء</w:t>
            </w:r>
            <w:r>
              <w:rPr>
                <w:rStyle w:val="IndexLink"/>
                <w:rtl w:val="true"/>
              </w:rPr>
              <w:tab/>
            </w:r>
            <w:r>
              <w:rPr>
                <w:rStyle w:val="IndexLink"/>
              </w:rPr>
              <w:t>561</w:t>
            </w:r>
          </w:hyperlink>
        </w:p>
        <w:p>
          <w:pPr>
            <w:pStyle w:val="Contents6"/>
            <w:tabs>
              <w:tab w:val="clear" w:pos="7609"/>
              <w:tab w:val="right" w:pos="9026" w:leader="dot"/>
            </w:tabs>
            <w:rPr/>
          </w:pPr>
          <w:hyperlink w:anchor="__RefHeading___Toc3425865_3224264995">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3425867_3224264995">
            <w:r>
              <w:rPr>
                <w:webHidden/>
                <w:rStyle w:val="IndexLink"/>
                <w:rtl w:val="true"/>
              </w:rPr>
              <w:t>من لا یجوز له الرجوع إلی الغیر</w:t>
            </w:r>
            <w:r>
              <w:rPr>
                <w:rStyle w:val="IndexLink"/>
                <w:rtl w:val="true"/>
              </w:rPr>
              <w:tab/>
            </w:r>
            <w:r>
              <w:rPr>
                <w:rStyle w:val="IndexLink"/>
              </w:rPr>
              <w:t>561</w:t>
            </w:r>
          </w:hyperlink>
        </w:p>
        <w:p>
          <w:pPr>
            <w:pStyle w:val="Contents6"/>
            <w:tabs>
              <w:tab w:val="clear" w:pos="7609"/>
              <w:tab w:val="right" w:pos="9026" w:leader="dot"/>
            </w:tabs>
            <w:rPr/>
          </w:pPr>
          <w:hyperlink w:anchor="__RefHeading___Toc3425869_3224264995">
            <w:r>
              <w:rPr>
                <w:webHidden/>
                <w:rStyle w:val="IndexLink"/>
                <w:rtl w:val="true"/>
              </w:rPr>
              <w:t>من یجوز له العمل بفتوی نفسه</w:t>
            </w:r>
            <w:r>
              <w:rPr>
                <w:rStyle w:val="IndexLink"/>
                <w:rtl w:val="true"/>
              </w:rPr>
              <w:tab/>
            </w:r>
            <w:r>
              <w:rPr>
                <w:rStyle w:val="IndexLink"/>
              </w:rPr>
              <w:t>564</w:t>
            </w:r>
          </w:hyperlink>
        </w:p>
        <w:p>
          <w:pPr>
            <w:pStyle w:val="Contents6"/>
            <w:tabs>
              <w:tab w:val="clear" w:pos="7609"/>
              <w:tab w:val="right" w:pos="9026" w:leader="dot"/>
            </w:tabs>
            <w:rPr/>
          </w:pPr>
          <w:hyperlink w:anchor="__RefHeading___Toc3425871_3224264995">
            <w:r>
              <w:rPr>
                <w:webHidden/>
                <w:rStyle w:val="IndexLink"/>
                <w:rtl w:val="true"/>
              </w:rPr>
              <w:t>من یجوز له التصدّی لمقام الإفتاء</w:t>
            </w:r>
            <w:r>
              <w:rPr>
                <w:rStyle w:val="IndexLink"/>
                <w:rtl w:val="true"/>
              </w:rPr>
              <w:tab/>
            </w:r>
            <w:r>
              <w:rPr>
                <w:rStyle w:val="IndexLink"/>
              </w:rPr>
              <w:t>570</w:t>
            </w:r>
          </w:hyperlink>
        </w:p>
        <w:p>
          <w:pPr>
            <w:pStyle w:val="Contents5"/>
            <w:tabs>
              <w:tab w:val="clear" w:pos="7892"/>
              <w:tab w:val="right" w:pos="9026" w:leader="dot"/>
            </w:tabs>
            <w:rPr/>
          </w:pPr>
          <w:hyperlink w:anchor="__RefHeading___Toc3425873_3224264995">
            <w:r>
              <w:rPr>
                <w:webHidden/>
                <w:rStyle w:val="IndexLink"/>
                <w:rtl w:val="true"/>
              </w:rPr>
              <w:t>المقام الثانی البحث عن منصبی القضاء و الحکومة</w:t>
            </w:r>
            <w:r>
              <w:rPr>
                <w:rStyle w:val="IndexLink"/>
                <w:rtl w:val="true"/>
              </w:rPr>
              <w:tab/>
            </w:r>
            <w:r>
              <w:rPr>
                <w:rStyle w:val="IndexLink"/>
              </w:rPr>
              <w:t>571</w:t>
            </w:r>
          </w:hyperlink>
        </w:p>
        <w:p>
          <w:pPr>
            <w:pStyle w:val="Contents6"/>
            <w:tabs>
              <w:tab w:val="clear" w:pos="7609"/>
              <w:tab w:val="right" w:pos="9026" w:leader="dot"/>
            </w:tabs>
            <w:rPr/>
          </w:pPr>
          <w:hyperlink w:anchor="__RefHeading___Toc3425875_3224264995">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3425877_3224264995">
            <w:r>
              <w:rPr>
                <w:webHidden/>
                <w:rStyle w:val="IndexLink"/>
                <w:rtl w:val="true"/>
              </w:rPr>
              <w:t>مقتضی القواعد الأوّلیة فی المقام</w:t>
            </w:r>
            <w:r>
              <w:rPr>
                <w:rStyle w:val="IndexLink"/>
                <w:rtl w:val="true"/>
              </w:rPr>
              <w:tab/>
            </w:r>
            <w:r>
              <w:rPr>
                <w:rStyle w:val="IndexLink"/>
              </w:rPr>
              <w:t>571</w:t>
            </w:r>
          </w:hyperlink>
        </w:p>
        <w:p>
          <w:pPr>
            <w:pStyle w:val="Contents6"/>
            <w:tabs>
              <w:tab w:val="clear" w:pos="7609"/>
              <w:tab w:val="right" w:pos="9026" w:leader="dot"/>
            </w:tabs>
            <w:rPr/>
          </w:pPr>
          <w:hyperlink w:anchor="__RefHeading___Toc3425879_3224264995">
            <w:r>
              <w:rPr>
                <w:webHidden/>
                <w:rStyle w:val="IndexLink"/>
                <w:rtl w:val="true"/>
              </w:rPr>
              <w:t>ثبوت منصبی الحکومة و القضاء للنبی و الأئمّة</w:t>
            </w:r>
            <w:r>
              <w:rPr>
                <w:rStyle w:val="IndexLink"/>
                <w:rtl w:val="true"/>
              </w:rPr>
              <w:tab/>
            </w:r>
            <w:r>
              <w:rPr>
                <w:rStyle w:val="IndexLink"/>
              </w:rPr>
              <w:t>572</w:t>
            </w:r>
          </w:hyperlink>
        </w:p>
        <w:p>
          <w:pPr>
            <w:pStyle w:val="Contents6"/>
            <w:tabs>
              <w:tab w:val="clear" w:pos="7609"/>
              <w:tab w:val="right" w:pos="9026" w:leader="dot"/>
            </w:tabs>
            <w:rPr/>
          </w:pPr>
          <w:hyperlink w:anchor="__RefHeading___Toc3425881_3224264995">
            <w:r>
              <w:rPr>
                <w:webHidden/>
                <w:rStyle w:val="IndexLink"/>
                <w:rtl w:val="true"/>
              </w:rPr>
              <w:t>الاستدلال علی ثبوت منصبی الحکومة و القضاء للفقیه فی زمن الغیبة</w:t>
            </w:r>
            <w:r>
              <w:rPr>
                <w:rStyle w:val="IndexLink"/>
                <w:rtl w:val="true"/>
              </w:rPr>
              <w:tab/>
            </w:r>
            <w:r>
              <w:rPr>
                <w:rStyle w:val="IndexLink"/>
              </w:rPr>
              <w:t>574</w:t>
            </w:r>
          </w:hyperlink>
        </w:p>
        <w:p>
          <w:pPr>
            <w:pStyle w:val="Contents6"/>
            <w:tabs>
              <w:tab w:val="clear" w:pos="7609"/>
              <w:tab w:val="right" w:pos="9026" w:leader="dot"/>
            </w:tabs>
            <w:rPr/>
          </w:pPr>
          <w:hyperlink w:anchor="__RefHeading___Toc3425883_3224264995">
            <w:r>
              <w:rPr>
                <w:webHidden/>
                <w:rStyle w:val="IndexLink"/>
                <w:rtl w:val="true"/>
              </w:rPr>
              <w:t>الاستدلال بالضرورة و حکم العقل</w:t>
            </w:r>
            <w:r>
              <w:rPr>
                <w:rStyle w:val="IndexLink"/>
                <w:rtl w:val="true"/>
              </w:rPr>
              <w:tab/>
            </w:r>
            <w:r>
              <w:rPr>
                <w:rStyle w:val="IndexLink"/>
              </w:rPr>
              <w:t>574</w:t>
            </w:r>
          </w:hyperlink>
        </w:p>
        <w:p>
          <w:pPr>
            <w:pStyle w:val="Contents6"/>
            <w:tabs>
              <w:tab w:val="clear" w:pos="7609"/>
              <w:tab w:val="right" w:pos="9026" w:leader="dot"/>
            </w:tabs>
            <w:rPr/>
          </w:pPr>
          <w:hyperlink w:anchor="__RefHeading___Toc3425885_3224264995">
            <w:r>
              <w:rPr>
                <w:webHidden/>
                <w:rStyle w:val="IndexLink"/>
                <w:rtl w:val="true"/>
              </w:rPr>
              <w:t>الاستدلال بالروایات</w:t>
            </w:r>
            <w:r>
              <w:rPr>
                <w:rStyle w:val="IndexLink"/>
                <w:rtl w:val="true"/>
              </w:rPr>
              <w:tab/>
            </w:r>
            <w:r>
              <w:rPr>
                <w:rStyle w:val="IndexLink"/>
              </w:rPr>
              <w:t>576</w:t>
            </w:r>
          </w:hyperlink>
        </w:p>
        <w:p>
          <w:pPr>
            <w:pStyle w:val="Contents6"/>
            <w:tabs>
              <w:tab w:val="clear" w:pos="7609"/>
              <w:tab w:val="right" w:pos="9026" w:leader="dot"/>
            </w:tabs>
            <w:rPr/>
          </w:pPr>
          <w:hyperlink w:anchor="__RefHeading___Toc3425887_3224264995">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3425889_3224264995">
            <w:r>
              <w:rPr>
                <w:webHidden/>
                <w:rStyle w:val="IndexLink"/>
                <w:rtl w:val="true"/>
              </w:rPr>
              <w:t>مقبولة عمر بن حنظلة</w:t>
            </w:r>
            <w:r>
              <w:rPr>
                <w:rStyle w:val="IndexLink"/>
                <w:rtl w:val="true"/>
              </w:rPr>
              <w:tab/>
            </w:r>
            <w:r>
              <w:rPr>
                <w:rStyle w:val="IndexLink"/>
              </w:rPr>
              <w:t>577</w:t>
            </w:r>
          </w:hyperlink>
        </w:p>
        <w:p>
          <w:pPr>
            <w:pStyle w:val="Contents6"/>
            <w:tabs>
              <w:tab w:val="clear" w:pos="7609"/>
              <w:tab w:val="right" w:pos="9026" w:leader="dot"/>
            </w:tabs>
            <w:rPr/>
          </w:pPr>
          <w:hyperlink w:anchor="__RefHeading___Toc3425891_3224264995">
            <w:r>
              <w:rPr>
                <w:webHidden/>
                <w:rStyle w:val="IndexLink"/>
                <w:rtl w:val="true"/>
              </w:rPr>
              <w:t>تقریب دلالة المقبولة بوجوه اخر</w:t>
            </w:r>
            <w:r>
              <w:rPr>
                <w:rStyle w:val="IndexLink"/>
                <w:rtl w:val="true"/>
              </w:rPr>
              <w:tab/>
            </w:r>
            <w:r>
              <w:rPr>
                <w:rStyle w:val="IndexLink"/>
              </w:rPr>
              <w:t>579</w:t>
            </w:r>
          </w:hyperlink>
        </w:p>
        <w:p>
          <w:pPr>
            <w:pStyle w:val="Contents6"/>
            <w:tabs>
              <w:tab w:val="clear" w:pos="7609"/>
              <w:tab w:val="right" w:pos="9026" w:leader="dot"/>
            </w:tabs>
            <w:rPr/>
          </w:pPr>
          <w:hyperlink w:anchor="__RefHeading___Toc3425893_3224264995">
            <w:r>
              <w:rPr>
                <w:webHidden/>
                <w:rStyle w:val="IndexLink"/>
                <w:rtl w:val="true"/>
              </w:rPr>
              <w:t>عدم دلالة المقبولة علی اشتراط الاجتهاد المطلق فی المنصب</w:t>
            </w:r>
            <w:r>
              <w:rPr>
                <w:rStyle w:val="IndexLink"/>
                <w:rtl w:val="true"/>
              </w:rPr>
              <w:tab/>
            </w:r>
            <w:r>
              <w:rPr>
                <w:rStyle w:val="IndexLink"/>
              </w:rPr>
              <w:t>581</w:t>
            </w:r>
          </w:hyperlink>
        </w:p>
        <w:p>
          <w:pPr>
            <w:pStyle w:val="Contents6"/>
            <w:tabs>
              <w:tab w:val="clear" w:pos="7609"/>
              <w:tab w:val="right" w:pos="9026" w:leader="dot"/>
            </w:tabs>
            <w:rPr/>
          </w:pPr>
          <w:hyperlink w:anchor="__RefHeading___Toc3425895_3224264995">
            <w:r>
              <w:rPr>
                <w:webHidden/>
                <w:rStyle w:val="IndexLink"/>
                <w:rtl w:val="true"/>
              </w:rPr>
              <w:t>حول ما بقی من الروایات</w:t>
            </w:r>
            <w:r>
              <w:rPr>
                <w:rStyle w:val="IndexLink"/>
                <w:rtl w:val="true"/>
              </w:rPr>
              <w:tab/>
            </w:r>
            <w:r>
              <w:rPr>
                <w:rStyle w:val="IndexLink"/>
              </w:rPr>
              <w:t>583</w:t>
            </w:r>
          </w:hyperlink>
        </w:p>
        <w:p>
          <w:pPr>
            <w:pStyle w:val="Contents6"/>
            <w:tabs>
              <w:tab w:val="clear" w:pos="7609"/>
              <w:tab w:val="right" w:pos="9026" w:leader="dot"/>
            </w:tabs>
            <w:rPr/>
          </w:pPr>
          <w:hyperlink w:anchor="__RefHeading___Toc3425897_3224264995">
            <w:r>
              <w:rPr>
                <w:webHidden/>
                <w:rStyle w:val="IndexLink"/>
                <w:rtl w:val="true"/>
              </w:rPr>
              <w:t>حول جواز القضاء للعامّی مستقلًاّ أو بنصب الحاکم أو بالتوکیل</w:t>
            </w:r>
            <w:r>
              <w:rPr>
                <w:rStyle w:val="IndexLink"/>
                <w:rtl w:val="true"/>
              </w:rPr>
              <w:tab/>
            </w:r>
            <w:r>
              <w:rPr>
                <w:rStyle w:val="IndexLink"/>
              </w:rPr>
              <w:t>588</w:t>
            </w:r>
          </w:hyperlink>
        </w:p>
        <w:p>
          <w:pPr>
            <w:pStyle w:val="Contents6"/>
            <w:tabs>
              <w:tab w:val="clear" w:pos="7609"/>
              <w:tab w:val="right" w:pos="9026" w:leader="dot"/>
            </w:tabs>
            <w:rPr/>
          </w:pPr>
          <w:hyperlink w:anchor="__RefHeading___Toc3425899_3224264995">
            <w:r>
              <w:rPr>
                <w:webHidden/>
                <w:rStyle w:val="IndexLink"/>
                <w:rtl w:val="true"/>
              </w:rPr>
              <w:t>استقلال العامّی فی القضاء</w:t>
            </w:r>
            <w:r>
              <w:rPr>
                <w:rStyle w:val="IndexLink"/>
                <w:rtl w:val="true"/>
              </w:rPr>
              <w:tab/>
            </w:r>
            <w:r>
              <w:rPr>
                <w:rStyle w:val="IndexLink"/>
              </w:rPr>
              <w:t>588</w:t>
            </w:r>
          </w:hyperlink>
        </w:p>
        <w:p>
          <w:pPr>
            <w:pStyle w:val="Contents6"/>
            <w:tabs>
              <w:tab w:val="clear" w:pos="7609"/>
              <w:tab w:val="right" w:pos="9026" w:leader="dot"/>
            </w:tabs>
            <w:rPr/>
          </w:pPr>
          <w:hyperlink w:anchor="__RefHeading___Toc3425901_3224264995">
            <w:r>
              <w:rPr>
                <w:webHidden/>
                <w:rStyle w:val="IndexLink"/>
                <w:rtl w:val="true"/>
              </w:rPr>
              <w:t>جواز نصب العامّی للقضاء</w:t>
            </w:r>
            <w:r>
              <w:rPr>
                <w:rStyle w:val="IndexLink"/>
                <w:rtl w:val="true"/>
              </w:rPr>
              <w:tab/>
            </w:r>
            <w:r>
              <w:rPr>
                <w:rStyle w:val="IndexLink"/>
              </w:rPr>
              <w:t>594</w:t>
            </w:r>
          </w:hyperlink>
        </w:p>
        <w:p>
          <w:pPr>
            <w:pStyle w:val="Contents6"/>
            <w:tabs>
              <w:tab w:val="clear" w:pos="7609"/>
              <w:tab w:val="right" w:pos="9026" w:leader="dot"/>
            </w:tabs>
            <w:rPr/>
          </w:pPr>
          <w:hyperlink w:anchor="__RefHeading___Toc3425903_3224264995">
            <w:r>
              <w:rPr>
                <w:webHidden/>
                <w:rStyle w:val="IndexLink"/>
                <w:rtl w:val="true"/>
              </w:rPr>
              <w:t>جواز توکیل الفقیه العامّی للقضاء</w:t>
            </w:r>
            <w:r>
              <w:rPr>
                <w:rStyle w:val="IndexLink"/>
                <w:rtl w:val="true"/>
              </w:rPr>
              <w:tab/>
            </w:r>
            <w:r>
              <w:rPr>
                <w:rStyle w:val="IndexLink"/>
              </w:rPr>
              <w:t>598</w:t>
            </w:r>
          </w:hyperlink>
        </w:p>
        <w:p>
          <w:pPr>
            <w:pStyle w:val="Contents4"/>
            <w:tabs>
              <w:tab w:val="clear" w:pos="8176"/>
              <w:tab w:val="right" w:pos="9026" w:leader="dot"/>
            </w:tabs>
            <w:rPr/>
          </w:pPr>
          <w:hyperlink w:anchor="__RefHeading___Toc3425905_3224264995">
            <w:r>
              <w:rPr>
                <w:webHidden/>
                <w:rStyle w:val="IndexLink"/>
                <w:rtl w:val="true"/>
              </w:rPr>
              <w:t>القول فیمن یؤخذ عنه الفتوی</w:t>
            </w:r>
            <w:r>
              <w:rPr>
                <w:rStyle w:val="IndexLink"/>
                <w:rtl w:val="true"/>
              </w:rPr>
              <w:tab/>
            </w:r>
            <w:r>
              <w:rPr>
                <w:rStyle w:val="IndexLink"/>
              </w:rPr>
              <w:t>600</w:t>
            </w:r>
          </w:hyperlink>
        </w:p>
        <w:p>
          <w:pPr>
            <w:pStyle w:val="Contents5"/>
            <w:tabs>
              <w:tab w:val="clear" w:pos="7892"/>
              <w:tab w:val="right" w:pos="9026" w:leader="dot"/>
            </w:tabs>
            <w:rPr/>
          </w:pPr>
          <w:hyperlink w:anchor="__RefHeading___Toc3425907_3224264995">
            <w:r>
              <w:rPr>
                <w:webHidden/>
                <w:rStyle w:val="IndexLink"/>
                <w:rtl w:val="true"/>
              </w:rPr>
              <w:t>اشارة</w:t>
            </w:r>
            <w:r>
              <w:rPr>
                <w:rStyle w:val="IndexLink"/>
                <w:rtl w:val="true"/>
              </w:rPr>
              <w:tab/>
            </w:r>
            <w:r>
              <w:rPr>
                <w:rStyle w:val="IndexLink"/>
              </w:rPr>
              <w:t>600</w:t>
            </w:r>
          </w:hyperlink>
        </w:p>
        <w:p>
          <w:pPr>
            <w:pStyle w:val="Contents5"/>
            <w:tabs>
              <w:tab w:val="clear" w:pos="7892"/>
              <w:tab w:val="right" w:pos="9026" w:leader="dot"/>
            </w:tabs>
            <w:rPr/>
          </w:pPr>
          <w:hyperlink w:anchor="__RefHeading___Toc3425909_3224264995">
            <w:r>
              <w:rPr>
                <w:webHidden/>
                <w:rStyle w:val="IndexLink"/>
                <w:rtl w:val="true"/>
              </w:rPr>
              <w:t>مقتضی الأصل الأوّلی وجوب تقلید الأعلم</w:t>
            </w:r>
            <w:r>
              <w:rPr>
                <w:rStyle w:val="IndexLink"/>
                <w:rtl w:val="true"/>
              </w:rPr>
              <w:tab/>
            </w:r>
            <w:r>
              <w:rPr>
                <w:rStyle w:val="IndexLink"/>
              </w:rPr>
              <w:t>600</w:t>
            </w:r>
          </w:hyperlink>
        </w:p>
        <w:p>
          <w:pPr>
            <w:pStyle w:val="Contents5"/>
            <w:tabs>
              <w:tab w:val="clear" w:pos="7892"/>
              <w:tab w:val="right" w:pos="9026" w:leader="dot"/>
            </w:tabs>
            <w:rPr/>
          </w:pPr>
          <w:hyperlink w:anchor="__RefHeading___Toc3425911_3224264995">
            <w:r>
              <w:rPr>
                <w:webHidden/>
                <w:rStyle w:val="IndexLink"/>
                <w:rtl w:val="true"/>
              </w:rPr>
              <w:t>مقتضی بناء العقلاء فی باب تقلید الأعلم</w:t>
            </w:r>
            <w:r>
              <w:rPr>
                <w:rStyle w:val="IndexLink"/>
                <w:rtl w:val="true"/>
              </w:rPr>
              <w:tab/>
            </w:r>
            <w:r>
              <w:rPr>
                <w:rStyle w:val="IndexLink"/>
              </w:rPr>
              <w:t>604</w:t>
            </w:r>
          </w:hyperlink>
        </w:p>
        <w:p>
          <w:pPr>
            <w:pStyle w:val="Contents6"/>
            <w:tabs>
              <w:tab w:val="clear" w:pos="7609"/>
              <w:tab w:val="right" w:pos="9026" w:leader="dot"/>
            </w:tabs>
            <w:rPr/>
          </w:pPr>
          <w:hyperlink w:anchor="__RefHeading___Toc3425913_3224264995">
            <w:r>
              <w:rPr>
                <w:webHidden/>
                <w:rStyle w:val="IndexLink"/>
                <w:rtl w:val="true"/>
              </w:rPr>
              <w:t>تمهید</w:t>
            </w:r>
            <w:r>
              <w:rPr>
                <w:rStyle w:val="IndexLink"/>
                <w:rtl w:val="true"/>
              </w:rPr>
              <w:t xml:space="preserve">: </w:t>
            </w:r>
            <w:r>
              <w:rPr>
                <w:rStyle w:val="IndexLink"/>
                <w:rtl w:val="true"/>
              </w:rPr>
              <w:t>فی بناء العقلاء علی أصل التقلید</w:t>
            </w:r>
            <w:r>
              <w:rPr>
                <w:rStyle w:val="IndexLink"/>
                <w:rtl w:val="true"/>
              </w:rPr>
              <w:tab/>
            </w:r>
            <w:r>
              <w:rPr>
                <w:rStyle w:val="IndexLink"/>
              </w:rPr>
              <w:t>604</w:t>
            </w:r>
          </w:hyperlink>
        </w:p>
        <w:p>
          <w:pPr>
            <w:pStyle w:val="Contents6"/>
            <w:tabs>
              <w:tab w:val="clear" w:pos="7609"/>
              <w:tab w:val="right" w:pos="9026" w:leader="dot"/>
            </w:tabs>
            <w:rPr/>
          </w:pPr>
          <w:hyperlink w:anchor="__RefHeading___Toc3425915_3224264995">
            <w:r>
              <w:rPr>
                <w:webHidden/>
                <w:rStyle w:val="IndexLink"/>
                <w:rtl w:val="true"/>
              </w:rPr>
              <w:t>شبهة عدم وجود هذا البناء فی زمن الأئمّة علیهم السلام</w:t>
            </w:r>
            <w:r>
              <w:rPr>
                <w:rStyle w:val="IndexLink"/>
                <w:rtl w:val="true"/>
              </w:rPr>
              <w:tab/>
            </w:r>
            <w:r>
              <w:rPr>
                <w:rStyle w:val="IndexLink"/>
              </w:rPr>
              <w:t>605</w:t>
            </w:r>
          </w:hyperlink>
        </w:p>
        <w:p>
          <w:pPr>
            <w:pStyle w:val="Contents6"/>
            <w:tabs>
              <w:tab w:val="clear" w:pos="7609"/>
              <w:tab w:val="right" w:pos="9026" w:leader="dot"/>
            </w:tabs>
            <w:rPr/>
          </w:pPr>
          <w:hyperlink w:anchor="__RefHeading___Toc3425917_3224264995">
            <w:r>
              <w:rPr>
                <w:webHidden/>
                <w:rStyle w:val="IndexLink"/>
                <w:rtl w:val="true"/>
              </w:rPr>
              <w:t>الجواب الأوّل عن الشبهة</w:t>
            </w:r>
            <w:r>
              <w:rPr>
                <w:rStyle w:val="IndexLink"/>
                <w:rtl w:val="true"/>
              </w:rPr>
              <w:tab/>
            </w:r>
            <w:r>
              <w:rPr>
                <w:rStyle w:val="IndexLink"/>
              </w:rPr>
              <w:t>607</w:t>
            </w:r>
          </w:hyperlink>
        </w:p>
        <w:p>
          <w:pPr>
            <w:pStyle w:val="Contents6"/>
            <w:tabs>
              <w:tab w:val="clear" w:pos="7609"/>
              <w:tab w:val="right" w:pos="9026" w:leader="dot"/>
            </w:tabs>
            <w:rPr/>
          </w:pPr>
          <w:hyperlink w:anchor="__RefHeading___Toc3425919_3224264995">
            <w:r>
              <w:rPr>
                <w:webHidden/>
                <w:rStyle w:val="IndexLink"/>
                <w:rtl w:val="true"/>
              </w:rPr>
              <w:t>الجواب الثانی عن الشبهة</w:t>
            </w:r>
            <w:r>
              <w:rPr>
                <w:rStyle w:val="IndexLink"/>
                <w:rtl w:val="true"/>
              </w:rPr>
              <w:tab/>
            </w:r>
            <w:r>
              <w:rPr>
                <w:rStyle w:val="IndexLink"/>
              </w:rPr>
              <w:t>615</w:t>
            </w:r>
          </w:hyperlink>
        </w:p>
        <w:p>
          <w:pPr>
            <w:pStyle w:val="Contents5"/>
            <w:tabs>
              <w:tab w:val="clear" w:pos="7892"/>
              <w:tab w:val="right" w:pos="9026" w:leader="dot"/>
            </w:tabs>
            <w:rPr/>
          </w:pPr>
          <w:hyperlink w:anchor="__RefHeading___Toc3425921_3224264995">
            <w:r>
              <w:rPr>
                <w:webHidden/>
                <w:rStyle w:val="IndexLink"/>
                <w:rtl w:val="true"/>
              </w:rPr>
              <w:t>مناط بناء العقلاء فی رجوع الجاهل إلی العالم</w:t>
            </w:r>
            <w:r>
              <w:rPr>
                <w:rStyle w:val="IndexLink"/>
                <w:rtl w:val="true"/>
              </w:rPr>
              <w:tab/>
            </w:r>
            <w:r>
              <w:rPr>
                <w:rStyle w:val="IndexLink"/>
              </w:rPr>
              <w:t>616</w:t>
            </w:r>
          </w:hyperlink>
        </w:p>
        <w:p>
          <w:pPr>
            <w:pStyle w:val="Contents5"/>
            <w:tabs>
              <w:tab w:val="clear" w:pos="7892"/>
              <w:tab w:val="right" w:pos="9026" w:leader="dot"/>
            </w:tabs>
            <w:rPr/>
          </w:pPr>
          <w:hyperlink w:anchor="__RefHeading___Toc3425923_3224264995">
            <w:r>
              <w:rPr>
                <w:webHidden/>
                <w:rStyle w:val="IndexLink"/>
                <w:rtl w:val="true"/>
              </w:rPr>
              <w:t>هل ترجیح قول الأعلم عند العقلاء لزومی أم لا؟</w:t>
            </w:r>
            <w:r>
              <w:rPr>
                <w:rStyle w:val="IndexLink"/>
                <w:rtl w:val="true"/>
              </w:rPr>
              <w:tab/>
            </w:r>
            <w:r>
              <w:rPr>
                <w:rStyle w:val="IndexLink"/>
              </w:rPr>
              <w:t>620</w:t>
            </w:r>
          </w:hyperlink>
        </w:p>
        <w:p>
          <w:pPr>
            <w:pStyle w:val="Contents4"/>
            <w:tabs>
              <w:tab w:val="clear" w:pos="8176"/>
              <w:tab w:val="right" w:pos="9026" w:leader="dot"/>
            </w:tabs>
            <w:rPr/>
          </w:pPr>
          <w:hyperlink w:anchor="__RefHeading___Toc3425925_3224264995">
            <w:r>
              <w:rPr>
                <w:webHidden/>
                <w:rStyle w:val="IndexLink"/>
                <w:rtl w:val="true"/>
              </w:rPr>
              <w:t>حال الأدلّة الشرعیة فی لزوم تقلید الأعلم و عدمه</w:t>
            </w:r>
            <w:r>
              <w:rPr>
                <w:rStyle w:val="IndexLink"/>
                <w:rtl w:val="true"/>
              </w:rPr>
              <w:tab/>
            </w:r>
            <w:r>
              <w:rPr>
                <w:rStyle w:val="IndexLink"/>
              </w:rPr>
              <w:t>622</w:t>
            </w:r>
          </w:hyperlink>
        </w:p>
        <w:p>
          <w:pPr>
            <w:pStyle w:val="Contents5"/>
            <w:tabs>
              <w:tab w:val="clear" w:pos="7892"/>
              <w:tab w:val="right" w:pos="9026" w:leader="dot"/>
            </w:tabs>
            <w:rPr/>
          </w:pPr>
          <w:hyperlink w:anchor="__RefHeading___Toc3425927_3224264995">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3425929_3224264995">
            <w:r>
              <w:rPr>
                <w:webHidden/>
                <w:rStyle w:val="IndexLink"/>
                <w:rtl w:val="true"/>
              </w:rPr>
              <w:t>استدلال القائلین بجواز تقلید المفضول</w:t>
            </w:r>
            <w:r>
              <w:rPr>
                <w:rStyle w:val="IndexLink"/>
                <w:rtl w:val="true"/>
              </w:rPr>
              <w:tab/>
            </w:r>
            <w:r>
              <w:rPr>
                <w:rStyle w:val="IndexLink"/>
              </w:rPr>
              <w:t>622</w:t>
            </w:r>
          </w:hyperlink>
        </w:p>
        <w:p>
          <w:pPr>
            <w:pStyle w:val="Contents6"/>
            <w:tabs>
              <w:tab w:val="clear" w:pos="7609"/>
              <w:tab w:val="right" w:pos="9026" w:leader="dot"/>
            </w:tabs>
            <w:rPr/>
          </w:pPr>
          <w:hyperlink w:anchor="__RefHeading___Toc3425931_3224264995">
            <w:r>
              <w:rPr>
                <w:webHidden/>
                <w:rStyle w:val="IndexLink"/>
                <w:rtl w:val="true"/>
              </w:rPr>
              <w:t>اشارة</w:t>
            </w:r>
            <w:r>
              <w:rPr>
                <w:rStyle w:val="IndexLink"/>
                <w:rtl w:val="true"/>
              </w:rPr>
              <w:tab/>
            </w:r>
            <w:r>
              <w:rPr>
                <w:rStyle w:val="IndexLink"/>
              </w:rPr>
              <w:t>622</w:t>
            </w:r>
          </w:hyperlink>
        </w:p>
        <w:p>
          <w:pPr>
            <w:pStyle w:val="Contents6"/>
            <w:tabs>
              <w:tab w:val="clear" w:pos="7609"/>
              <w:tab w:val="right" w:pos="9026" w:leader="dot"/>
            </w:tabs>
            <w:rPr/>
          </w:pPr>
          <w:hyperlink w:anchor="__RefHeading___Toc3425933_3224264995">
            <w:r>
              <w:rPr>
                <w:webHidden/>
                <w:rStyle w:val="IndexLink"/>
                <w:rtl w:val="true"/>
              </w:rPr>
              <w:t>الأوّل</w:t>
            </w:r>
            <w:r>
              <w:rPr>
                <w:rStyle w:val="IndexLink"/>
                <w:rtl w:val="true"/>
              </w:rPr>
              <w:t xml:space="preserve">: </w:t>
            </w:r>
            <w:r>
              <w:rPr>
                <w:rStyle w:val="IndexLink"/>
                <w:rtl w:val="true"/>
              </w:rPr>
              <w:t>الاستدلال بالآیات</w:t>
            </w:r>
            <w:r>
              <w:rPr>
                <w:rStyle w:val="IndexLink"/>
                <w:rtl w:val="true"/>
              </w:rPr>
              <w:tab/>
            </w:r>
            <w:r>
              <w:rPr>
                <w:rStyle w:val="IndexLink"/>
              </w:rPr>
              <w:t>622</w:t>
            </w:r>
          </w:hyperlink>
        </w:p>
        <w:p>
          <w:pPr>
            <w:pStyle w:val="Contents6"/>
            <w:tabs>
              <w:tab w:val="clear" w:pos="7609"/>
              <w:tab w:val="right" w:pos="9026" w:leader="dot"/>
            </w:tabs>
            <w:rPr/>
          </w:pPr>
          <w:hyperlink w:anchor="__RefHeading___Toc3425935_3224264995">
            <w:r>
              <w:rPr>
                <w:webHidden/>
                <w:rStyle w:val="IndexLink"/>
                <w:rtl w:val="true"/>
              </w:rPr>
              <w:t>الثانی</w:t>
            </w:r>
            <w:r>
              <w:rPr>
                <w:rStyle w:val="IndexLink"/>
                <w:rtl w:val="true"/>
              </w:rPr>
              <w:t xml:space="preserve">: </w:t>
            </w:r>
            <w:r>
              <w:rPr>
                <w:rStyle w:val="IndexLink"/>
                <w:rtl w:val="true"/>
              </w:rPr>
              <w:t>الاستدلال علی جواز تقلید المفضول بالروایات</w:t>
            </w:r>
            <w:r>
              <w:rPr>
                <w:rStyle w:val="IndexLink"/>
                <w:rtl w:val="true"/>
              </w:rPr>
              <w:tab/>
            </w:r>
            <w:r>
              <w:rPr>
                <w:rStyle w:val="IndexLink"/>
              </w:rPr>
              <w:t>628</w:t>
            </w:r>
          </w:hyperlink>
        </w:p>
        <w:p>
          <w:pPr>
            <w:pStyle w:val="Contents5"/>
            <w:tabs>
              <w:tab w:val="clear" w:pos="7892"/>
              <w:tab w:val="right" w:pos="9026" w:leader="dot"/>
            </w:tabs>
            <w:rPr/>
          </w:pPr>
          <w:hyperlink w:anchor="__RefHeading___Toc3425937_3224264995">
            <w:r>
              <w:rPr>
                <w:webHidden/>
                <w:rStyle w:val="IndexLink"/>
                <w:rtl w:val="true"/>
              </w:rPr>
              <w:t>استدلال القائلین بوجوب الرجوع إلی الأعلم</w:t>
            </w:r>
            <w:r>
              <w:rPr>
                <w:rStyle w:val="IndexLink"/>
                <w:rtl w:val="true"/>
              </w:rPr>
              <w:tab/>
            </w:r>
            <w:r>
              <w:rPr>
                <w:rStyle w:val="IndexLink"/>
              </w:rPr>
              <w:t>635</w:t>
            </w:r>
          </w:hyperlink>
        </w:p>
        <w:p>
          <w:pPr>
            <w:pStyle w:val="Contents5"/>
            <w:tabs>
              <w:tab w:val="clear" w:pos="7892"/>
              <w:tab w:val="right" w:pos="9026" w:leader="dot"/>
            </w:tabs>
            <w:rPr/>
          </w:pPr>
          <w:hyperlink w:anchor="__RefHeading___Toc3425939_3224264995">
            <w:r>
              <w:rPr>
                <w:webHidden/>
                <w:rStyle w:val="IndexLink"/>
                <w:rtl w:val="true"/>
              </w:rPr>
              <w:t>حال المجتهدین المتساویین مع اختلاف فتواهما</w:t>
            </w:r>
            <w:r>
              <w:rPr>
                <w:rStyle w:val="IndexLink"/>
                <w:rtl w:val="true"/>
              </w:rPr>
              <w:tab/>
            </w:r>
            <w:r>
              <w:rPr>
                <w:rStyle w:val="IndexLink"/>
              </w:rPr>
              <w:t>643</w:t>
            </w:r>
          </w:hyperlink>
        </w:p>
        <w:p>
          <w:pPr>
            <w:pStyle w:val="Contents5"/>
            <w:tabs>
              <w:tab w:val="clear" w:pos="7892"/>
              <w:tab w:val="right" w:pos="9026" w:leader="dot"/>
            </w:tabs>
            <w:rPr/>
          </w:pPr>
          <w:hyperlink w:anchor="__RefHeading___Toc3425941_3224264995">
            <w:r>
              <w:rPr>
                <w:webHidden/>
                <w:rStyle w:val="IndexLink"/>
                <w:rtl w:val="true"/>
              </w:rPr>
              <w:t>الاستدلال علی التخییر بین المتساویین بالروایات العلاجیة</w:t>
            </w:r>
            <w:r>
              <w:rPr>
                <w:rStyle w:val="IndexLink"/>
                <w:rtl w:val="true"/>
              </w:rPr>
              <w:tab/>
            </w:r>
            <w:r>
              <w:rPr>
                <w:rStyle w:val="IndexLink"/>
              </w:rPr>
              <w:t>645</w:t>
            </w:r>
          </w:hyperlink>
        </w:p>
        <w:p>
          <w:pPr>
            <w:pStyle w:val="Contents5"/>
            <w:tabs>
              <w:tab w:val="clear" w:pos="7892"/>
              <w:tab w:val="right" w:pos="9026" w:leader="dot"/>
            </w:tabs>
            <w:rPr/>
          </w:pPr>
          <w:hyperlink w:anchor="__RefHeading___Toc3425943_3224264995">
            <w:r>
              <w:rPr>
                <w:webHidden/>
                <w:rStyle w:val="IndexLink"/>
                <w:rtl w:val="true"/>
              </w:rPr>
              <w:t>هل التخییر بدوی أو استمراری؟</w:t>
            </w:r>
            <w:r>
              <w:rPr>
                <w:rStyle w:val="IndexLink"/>
                <w:rtl w:val="true"/>
              </w:rPr>
              <w:tab/>
            </w:r>
            <w:r>
              <w:rPr>
                <w:rStyle w:val="IndexLink"/>
              </w:rPr>
              <w:t>648</w:t>
            </w:r>
          </w:hyperlink>
        </w:p>
        <w:p>
          <w:pPr>
            <w:pStyle w:val="Contents4"/>
            <w:tabs>
              <w:tab w:val="clear" w:pos="8176"/>
              <w:tab w:val="right" w:pos="9026" w:leader="dot"/>
            </w:tabs>
            <w:rPr/>
          </w:pPr>
          <w:hyperlink w:anchor="__RefHeading___Toc3425945_3224264995">
            <w:r>
              <w:rPr>
                <w:webHidden/>
                <w:rStyle w:val="IndexLink"/>
                <w:rtl w:val="true"/>
              </w:rPr>
              <w:t>اشتراط الحیاة فی المفتی</w:t>
            </w:r>
            <w:r>
              <w:rPr>
                <w:rStyle w:val="IndexLink"/>
                <w:rtl w:val="true"/>
              </w:rPr>
              <w:tab/>
            </w:r>
            <w:r>
              <w:rPr>
                <w:rStyle w:val="IndexLink"/>
              </w:rPr>
              <w:t>653</w:t>
            </w:r>
          </w:hyperlink>
        </w:p>
        <w:p>
          <w:pPr>
            <w:pStyle w:val="Contents5"/>
            <w:tabs>
              <w:tab w:val="clear" w:pos="7892"/>
              <w:tab w:val="right" w:pos="9026" w:leader="dot"/>
            </w:tabs>
            <w:rPr/>
          </w:pPr>
          <w:hyperlink w:anchor="__RefHeading___Toc3425947_3224264995">
            <w:r>
              <w:rPr>
                <w:webHidden/>
                <w:rStyle w:val="IndexLink"/>
                <w:rtl w:val="true"/>
              </w:rPr>
              <w:t>اشارة</w:t>
            </w:r>
            <w:r>
              <w:rPr>
                <w:rStyle w:val="IndexLink"/>
                <w:rtl w:val="true"/>
              </w:rPr>
              <w:tab/>
            </w:r>
            <w:r>
              <w:rPr>
                <w:rStyle w:val="IndexLink"/>
              </w:rPr>
              <w:t>653</w:t>
            </w:r>
          </w:hyperlink>
        </w:p>
        <w:p>
          <w:pPr>
            <w:pStyle w:val="Contents5"/>
            <w:tabs>
              <w:tab w:val="clear" w:pos="7892"/>
              <w:tab w:val="right" w:pos="9026" w:leader="dot"/>
            </w:tabs>
            <w:rPr/>
          </w:pPr>
          <w:hyperlink w:anchor="__RefHeading___Toc3425949_3224264995">
            <w:r>
              <w:rPr>
                <w:webHidden/>
                <w:rStyle w:val="IndexLink"/>
                <w:rtl w:val="true"/>
              </w:rPr>
              <w:t>التمسّک بالاستصحاب علی جواز تقلید المیّت</w:t>
            </w:r>
            <w:r>
              <w:rPr>
                <w:rStyle w:val="IndexLink"/>
                <w:rtl w:val="true"/>
              </w:rPr>
              <w:tab/>
            </w:r>
            <w:r>
              <w:rPr>
                <w:rStyle w:val="IndexLink"/>
              </w:rPr>
              <w:t>653</w:t>
            </w:r>
          </w:hyperlink>
        </w:p>
        <w:p>
          <w:pPr>
            <w:pStyle w:val="Contents6"/>
            <w:tabs>
              <w:tab w:val="clear" w:pos="7609"/>
              <w:tab w:val="right" w:pos="9026" w:leader="dot"/>
            </w:tabs>
            <w:rPr/>
          </w:pPr>
          <w:hyperlink w:anchor="__RefHeading___Toc3425951_3224264995">
            <w:r>
              <w:rPr>
                <w:webHidden/>
                <w:rStyle w:val="IndexLink"/>
                <w:rtl w:val="true"/>
              </w:rPr>
              <w:t>اشارة</w:t>
            </w:r>
            <w:r>
              <w:rPr>
                <w:rStyle w:val="IndexLink"/>
                <w:rtl w:val="true"/>
              </w:rPr>
              <w:tab/>
            </w:r>
            <w:r>
              <w:rPr>
                <w:rStyle w:val="IndexLink"/>
              </w:rPr>
              <w:t>653</w:t>
            </w:r>
          </w:hyperlink>
        </w:p>
        <w:p>
          <w:pPr>
            <w:pStyle w:val="Contents6"/>
            <w:tabs>
              <w:tab w:val="clear" w:pos="7609"/>
              <w:tab w:val="right" w:pos="9026" w:leader="dot"/>
            </w:tabs>
            <w:rPr/>
          </w:pPr>
          <w:hyperlink w:anchor="__RefHeading___Toc3425953_3224264995">
            <w:r>
              <w:rPr>
                <w:webHidden/>
                <w:rStyle w:val="IndexLink"/>
                <w:rtl w:val="true"/>
              </w:rPr>
              <w:t>الإشکالات التی اورد علی الاستصحاب</w:t>
            </w:r>
            <w:r>
              <w:rPr>
                <w:rStyle w:val="IndexLink"/>
                <w:rtl w:val="true"/>
              </w:rPr>
              <w:tab/>
            </w:r>
            <w:r>
              <w:rPr>
                <w:rStyle w:val="IndexLink"/>
              </w:rPr>
              <w:t>654</w:t>
            </w:r>
          </w:hyperlink>
        </w:p>
        <w:p>
          <w:pPr>
            <w:pStyle w:val="Contents6"/>
            <w:tabs>
              <w:tab w:val="clear" w:pos="7609"/>
              <w:tab w:val="right" w:pos="9026" w:leader="dot"/>
            </w:tabs>
            <w:rPr/>
          </w:pPr>
          <w:hyperlink w:anchor="__RefHeading___Toc3425955_3224264995">
            <w:r>
              <w:rPr>
                <w:webHidden/>
                <w:rStyle w:val="IndexLink"/>
                <w:rtl w:val="true"/>
              </w:rPr>
              <w:t>إشکال عدم بقاء موضوع الاستصحاب و الجواب عنه</w:t>
            </w:r>
            <w:r>
              <w:rPr>
                <w:rStyle w:val="IndexLink"/>
                <w:rtl w:val="true"/>
              </w:rPr>
              <w:tab/>
            </w:r>
            <w:r>
              <w:rPr>
                <w:rStyle w:val="IndexLink"/>
              </w:rPr>
              <w:t>656</w:t>
            </w:r>
          </w:hyperlink>
        </w:p>
        <w:p>
          <w:pPr>
            <w:pStyle w:val="Contents6"/>
            <w:tabs>
              <w:tab w:val="clear" w:pos="7609"/>
              <w:tab w:val="right" w:pos="9026" w:leader="dot"/>
            </w:tabs>
            <w:rPr/>
          </w:pPr>
          <w:hyperlink w:anchor="__RefHeading___Toc3425957_3224264995">
            <w:r>
              <w:rPr>
                <w:webHidden/>
                <w:rStyle w:val="IndexLink"/>
                <w:rtl w:val="true"/>
              </w:rPr>
              <w:t>حول الإشکال الآخر علی الاستصحاب</w:t>
            </w:r>
            <w:r>
              <w:rPr>
                <w:rStyle w:val="IndexLink"/>
                <w:rtl w:val="true"/>
              </w:rPr>
              <w:tab/>
            </w:r>
            <w:r>
              <w:rPr>
                <w:rStyle w:val="IndexLink"/>
              </w:rPr>
              <w:t>661</w:t>
            </w:r>
          </w:hyperlink>
        </w:p>
        <w:p>
          <w:pPr>
            <w:pStyle w:val="Contents6"/>
            <w:tabs>
              <w:tab w:val="clear" w:pos="7609"/>
              <w:tab w:val="right" w:pos="9026" w:leader="dot"/>
            </w:tabs>
            <w:rPr/>
          </w:pPr>
          <w:hyperlink w:anchor="__RefHeading___Toc3425959_3224264995">
            <w:r>
              <w:rPr>
                <w:webHidden/>
                <w:rStyle w:val="IndexLink"/>
                <w:rtl w:val="true"/>
              </w:rPr>
              <w:t>جوابنا عن الشبهة</w:t>
            </w:r>
            <w:r>
              <w:rPr>
                <w:rStyle w:val="IndexLink"/>
                <w:rtl w:val="true"/>
              </w:rPr>
              <w:tab/>
            </w:r>
            <w:r>
              <w:rPr>
                <w:rStyle w:val="IndexLink"/>
              </w:rPr>
              <w:t>664</w:t>
            </w:r>
          </w:hyperlink>
        </w:p>
        <w:p>
          <w:pPr>
            <w:pStyle w:val="Contents5"/>
            <w:tabs>
              <w:tab w:val="clear" w:pos="7892"/>
              <w:tab w:val="right" w:pos="9026" w:leader="dot"/>
            </w:tabs>
            <w:rPr/>
          </w:pPr>
          <w:hyperlink w:anchor="__RefHeading___Toc3425961_3224264995">
            <w:r>
              <w:rPr>
                <w:webHidden/>
                <w:rStyle w:val="IndexLink"/>
                <w:rtl w:val="true"/>
              </w:rPr>
              <w:t>الاستدلال ببناء العقلاء علی جواز تقلید المیّت</w:t>
            </w:r>
            <w:r>
              <w:rPr>
                <w:rStyle w:val="IndexLink"/>
                <w:rtl w:val="true"/>
              </w:rPr>
              <w:tab/>
            </w:r>
            <w:r>
              <w:rPr>
                <w:rStyle w:val="IndexLink"/>
              </w:rPr>
              <w:t>666</w:t>
            </w:r>
          </w:hyperlink>
        </w:p>
        <w:p>
          <w:pPr>
            <w:pStyle w:val="Contents5"/>
            <w:tabs>
              <w:tab w:val="clear" w:pos="7892"/>
              <w:tab w:val="right" w:pos="9026" w:leader="dot"/>
            </w:tabs>
            <w:rPr/>
          </w:pPr>
          <w:hyperlink w:anchor="__RefHeading___Toc3425963_3224264995">
            <w:r>
              <w:rPr>
                <w:webHidden/>
                <w:rStyle w:val="IndexLink"/>
                <w:rtl w:val="true"/>
              </w:rPr>
              <w:t>فیما إذا اختلف الحیّ و المیّت فی مسألة البقاء</w:t>
            </w:r>
            <w:r>
              <w:rPr>
                <w:rStyle w:val="IndexLink"/>
                <w:rtl w:val="true"/>
              </w:rPr>
              <w:tab/>
            </w:r>
            <w:r>
              <w:rPr>
                <w:rStyle w:val="IndexLink"/>
              </w:rPr>
              <w:t>669</w:t>
            </w:r>
          </w:hyperlink>
        </w:p>
        <w:p>
          <w:pPr>
            <w:pStyle w:val="Contents5"/>
            <w:tabs>
              <w:tab w:val="clear" w:pos="7892"/>
              <w:tab w:val="right" w:pos="9026" w:leader="dot"/>
            </w:tabs>
            <w:rPr/>
          </w:pPr>
          <w:hyperlink w:anchor="__RefHeading___Toc3425965_3224264995">
            <w:r>
              <w:rPr>
                <w:webHidden/>
                <w:rStyle w:val="IndexLink"/>
                <w:rtl w:val="true"/>
              </w:rPr>
              <w:t>تکمیل</w:t>
            </w:r>
            <w:r>
              <w:rPr>
                <w:rStyle w:val="IndexLink"/>
                <w:rtl w:val="true"/>
              </w:rPr>
              <w:tab/>
            </w:r>
            <w:r>
              <w:rPr>
                <w:rStyle w:val="IndexLink"/>
              </w:rPr>
              <w:t>671</w:t>
            </w:r>
          </w:hyperlink>
        </w:p>
        <w:p>
          <w:pPr>
            <w:pStyle w:val="Contents5"/>
            <w:tabs>
              <w:tab w:val="clear" w:pos="7892"/>
              <w:tab w:val="right" w:pos="9026" w:leader="dot"/>
            </w:tabs>
            <w:rPr/>
          </w:pPr>
          <w:hyperlink w:anchor="__RefHeading___Toc3425967_3224264995">
            <w:r>
              <w:rPr>
                <w:webHidden/>
                <w:rStyle w:val="IndexLink"/>
                <w:rtl w:val="true"/>
              </w:rPr>
              <w:t>مقالة العلّامة الحائری فی المقام</w:t>
            </w:r>
            <w:r>
              <w:rPr>
                <w:rStyle w:val="IndexLink"/>
                <w:rtl w:val="true"/>
              </w:rPr>
              <w:tab/>
            </w:r>
            <w:r>
              <w:rPr>
                <w:rStyle w:val="IndexLink"/>
              </w:rPr>
              <w:t>672</w:t>
            </w:r>
          </w:hyperlink>
        </w:p>
        <w:p>
          <w:pPr>
            <w:pStyle w:val="Contents4"/>
            <w:tabs>
              <w:tab w:val="clear" w:pos="8176"/>
              <w:tab w:val="right" w:pos="9026" w:leader="dot"/>
            </w:tabs>
            <w:rPr/>
          </w:pPr>
          <w:hyperlink w:anchor="__RefHeading___Toc3425969_3224264995">
            <w:r>
              <w:rPr>
                <w:webHidden/>
                <w:rStyle w:val="IndexLink"/>
                <w:rtl w:val="true"/>
              </w:rPr>
              <w:t>القول فی تبدّل الاجتهاد</w:t>
            </w:r>
            <w:r>
              <w:rPr>
                <w:rStyle w:val="IndexLink"/>
                <w:rtl w:val="true"/>
              </w:rPr>
              <w:tab/>
            </w:r>
            <w:r>
              <w:rPr>
                <w:rStyle w:val="IndexLink"/>
              </w:rPr>
              <w:t>681</w:t>
            </w:r>
          </w:hyperlink>
        </w:p>
        <w:p>
          <w:pPr>
            <w:pStyle w:val="Contents2"/>
            <w:tabs>
              <w:tab w:val="clear" w:pos="8743"/>
              <w:tab w:val="right" w:pos="9026" w:leader="dot"/>
            </w:tabs>
            <w:rPr/>
          </w:pPr>
          <w:hyperlink w:anchor="__RefHeading___Toc3425971_3224264995">
            <w:r>
              <w:rPr>
                <w:webHidden/>
                <w:rStyle w:val="IndexLink"/>
                <w:rtl w:val="true"/>
              </w:rPr>
              <w:t>الفهارس العامّة</w:t>
            </w:r>
            <w:r>
              <w:rPr>
                <w:rStyle w:val="IndexLink"/>
                <w:rtl w:val="true"/>
              </w:rPr>
              <w:tab/>
            </w:r>
            <w:r>
              <w:rPr>
                <w:rStyle w:val="IndexLink"/>
              </w:rPr>
              <w:t>685</w:t>
            </w:r>
          </w:hyperlink>
        </w:p>
        <w:p>
          <w:pPr>
            <w:pStyle w:val="Contents3"/>
            <w:tabs>
              <w:tab w:val="clear" w:pos="8459"/>
              <w:tab w:val="right" w:pos="9026" w:leader="dot"/>
            </w:tabs>
            <w:rPr/>
          </w:pPr>
          <w:hyperlink w:anchor="__RefHeading___Toc3425973_3224264995">
            <w:r>
              <w:rPr>
                <w:webHidden/>
                <w:rStyle w:val="IndexLink"/>
                <w:rtl w:val="true"/>
              </w:rPr>
              <w:t>اشارة</w:t>
            </w:r>
            <w:r>
              <w:rPr>
                <w:rStyle w:val="IndexLink"/>
                <w:rtl w:val="true"/>
              </w:rPr>
              <w:tab/>
            </w:r>
            <w:r>
              <w:rPr>
                <w:rStyle w:val="IndexLink"/>
              </w:rPr>
              <w:t>685</w:t>
            </w:r>
          </w:hyperlink>
        </w:p>
        <w:p>
          <w:pPr>
            <w:pStyle w:val="Contents3"/>
            <w:tabs>
              <w:tab w:val="clear" w:pos="8459"/>
              <w:tab w:val="right" w:pos="9026" w:leader="dot"/>
            </w:tabs>
            <w:rPr/>
          </w:pPr>
          <w:hyperlink w:anchor="__RefHeading___Toc3425975_3224264995">
            <w:r>
              <w:rPr>
                <w:webHidden/>
                <w:rStyle w:val="IndexLink"/>
                <w:rtl w:val="true"/>
              </w:rPr>
              <w:t>فهرس الآیات</w:t>
            </w:r>
            <w:r>
              <w:rPr>
                <w:rStyle w:val="IndexLink"/>
                <w:rtl w:val="true"/>
              </w:rPr>
              <w:tab/>
            </w:r>
            <w:r>
              <w:rPr>
                <w:rStyle w:val="IndexLink"/>
              </w:rPr>
              <w:t>686</w:t>
            </w:r>
          </w:hyperlink>
        </w:p>
        <w:p>
          <w:pPr>
            <w:pStyle w:val="Contents3"/>
            <w:tabs>
              <w:tab w:val="clear" w:pos="8459"/>
              <w:tab w:val="right" w:pos="9026" w:leader="dot"/>
            </w:tabs>
            <w:rPr/>
          </w:pPr>
          <w:hyperlink w:anchor="__RefHeading___Toc3425977_3224264995">
            <w:r>
              <w:rPr>
                <w:webHidden/>
                <w:rStyle w:val="IndexLink"/>
                <w:rtl w:val="true"/>
              </w:rPr>
              <w:t>فهرس الروایات</w:t>
            </w:r>
            <w:r>
              <w:rPr>
                <w:rStyle w:val="IndexLink"/>
                <w:rtl w:val="true"/>
              </w:rPr>
              <w:tab/>
            </w:r>
            <w:r>
              <w:rPr>
                <w:rStyle w:val="IndexLink"/>
              </w:rPr>
              <w:t>692</w:t>
            </w:r>
          </w:hyperlink>
        </w:p>
        <w:p>
          <w:pPr>
            <w:pStyle w:val="Contents3"/>
            <w:tabs>
              <w:tab w:val="clear" w:pos="8459"/>
              <w:tab w:val="right" w:pos="9026" w:leader="dot"/>
            </w:tabs>
            <w:rPr/>
          </w:pPr>
          <w:hyperlink w:anchor="__RefHeading___Toc3425979_3224264995">
            <w:r>
              <w:rPr>
                <w:webHidden/>
                <w:rStyle w:val="IndexLink"/>
                <w:rtl w:val="true"/>
              </w:rPr>
              <w:t>فهرس مصادر التحقیق</w:t>
            </w:r>
            <w:r>
              <w:rPr>
                <w:rStyle w:val="IndexLink"/>
                <w:rtl w:val="true"/>
              </w:rPr>
              <w:tab/>
            </w:r>
            <w:r>
              <w:rPr>
                <w:rStyle w:val="IndexLink"/>
              </w:rPr>
              <w:t>706</w:t>
            </w:r>
          </w:hyperlink>
        </w:p>
        <w:p>
          <w:pPr>
            <w:pStyle w:val="Contents3"/>
            <w:tabs>
              <w:tab w:val="clear" w:pos="8459"/>
              <w:tab w:val="right" w:pos="9026" w:leader="dot"/>
            </w:tabs>
            <w:rPr/>
          </w:pPr>
          <w:hyperlink w:anchor="__RefHeading___Toc3425981_3224264995">
            <w:r>
              <w:rPr>
                <w:webHidden/>
                <w:rStyle w:val="IndexLink"/>
                <w:rtl w:val="true"/>
              </w:rPr>
              <w:t>فهرس المحتویات</w:t>
            </w:r>
            <w:r>
              <w:rPr>
                <w:rStyle w:val="IndexLink"/>
                <w:rtl w:val="true"/>
              </w:rPr>
              <w:tab/>
            </w:r>
            <w:r>
              <w:rPr>
                <w:rStyle w:val="IndexLink"/>
              </w:rPr>
              <w:t>727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2_111583"/>
      <w:bookmarkStart w:id="1" w:name="pg12912_111583"/>
      <w:bookmarkEnd w:id="1"/>
    </w:p>
    <w:p>
      <w:pPr>
        <w:pStyle w:val="Heading2"/>
        <w:numPr>
          <w:ilvl w:val="1"/>
          <w:numId w:val="1"/>
        </w:numPr>
        <w:rPr/>
      </w:pPr>
      <w:bookmarkStart w:id="2" w:name="pg12912_111583"/>
      <w:bookmarkStart w:id="3" w:name="__RefHeading___Toc3425321_322426499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ابحاث الاستادالاعظم والعلامه‌الافخم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 تحقیق موسسه تنظیم و نشر آثار الامام الخمینی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تراث‌الامام‌الخمینی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این کتاب توسط 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۱۹۷۸۲</w:t>
      </w:r>
    </w:p>
    <w:p>
      <w:pPr>
        <w:pStyle w:val="Heading2"/>
        <w:numPr>
          <w:ilvl w:val="1"/>
          <w:numId w:val="1"/>
        </w:numPr>
        <w:rPr/>
      </w:pPr>
      <w:bookmarkStart w:id="5" w:name="__RefHeading___Toc3425323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تهذیب الاصول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الشیخ جعفر السبحانی</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الشیخ جعفر السبحانی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سعر الدورة</w:t>
      </w:r>
      <w:r>
        <w:rPr>
          <w:rFonts w:eastAsia="IRNazanin" w:cs="IRNazanin"/>
          <w:color w:val="111111"/>
          <w:sz w:val="28"/>
          <w:szCs w:val="28"/>
          <w:rtl w:val="true"/>
          <w:lang w:bidi="fa-IR"/>
        </w:rPr>
        <w:t xml:space="preserve">: ...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7" w:name="pg12912_111587"/>
    </w:p>
    <w:p>
      <w:pPr>
        <w:pStyle w:val="Heading2"/>
        <w:numPr>
          <w:ilvl w:val="1"/>
          <w:numId w:val="1"/>
        </w:numPr>
        <w:rPr/>
      </w:pPr>
      <w:bookmarkStart w:id="8" w:name="__RefHeading___Toc3425325_3224264995"/>
      <w:bookmarkStart w:id="9" w:name="_Toc3"/>
      <w:bookmarkEnd w:id="7"/>
      <w:bookmarkEnd w:id="8"/>
      <w:r>
        <w:rPr>
          <w:rtl w:val="true"/>
        </w:rPr>
        <w:t>المقصد السابع فی الاصول العملیة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425327_3224264995"/>
      <w:bookmarkStart w:id="11" w:name="_Toc4"/>
      <w:bookmarkEnd w:id="10"/>
      <w:r>
        <w:rPr>
          <w:rtl w:val="true"/>
        </w:rPr>
        <w:t>اشارة</w:t>
      </w:r>
      <w:bookmarkStart w:id="12" w:name="pg12912_111589"/>
      <w:bookmarkEnd w:id="11"/>
    </w:p>
    <w:p>
      <w:pPr>
        <w:pStyle w:val="Heading3"/>
        <w:numPr>
          <w:ilvl w:val="2"/>
          <w:numId w:val="1"/>
        </w:numPr>
        <w:rPr/>
      </w:pPr>
      <w:bookmarkStart w:id="13" w:name="__RefHeading___Toc3425329_3224264995"/>
      <w:bookmarkStart w:id="14" w:name="_Toc5"/>
      <w:bookmarkEnd w:id="12"/>
      <w:bookmarkEnd w:id="13"/>
      <w:r>
        <w:rPr>
          <w:rtl w:val="true"/>
        </w:rPr>
        <w:t>القول فی البراءة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425331_3224264995"/>
      <w:bookmarkStart w:id="16" w:name="_Toc6"/>
      <w:bookmarkEnd w:id="15"/>
      <w:r>
        <w:rPr>
          <w:rtl w:val="true"/>
        </w:rPr>
        <w:t>اشارة</w:t>
      </w:r>
      <w:bookmarkStart w:id="17" w:name="pg12912_111591"/>
      <w:bookmarkEnd w:id="16"/>
    </w:p>
    <w:p>
      <w:pPr>
        <w:pStyle w:val="Heading4"/>
        <w:numPr>
          <w:ilvl w:val="3"/>
          <w:numId w:val="1"/>
        </w:numPr>
        <w:rPr/>
      </w:pPr>
      <w:bookmarkStart w:id="18" w:name="__RefHeading___Toc3425333_3224264995"/>
      <w:bookmarkStart w:id="19" w:name="_Toc7"/>
      <w:bookmarkEnd w:id="17"/>
      <w:bookmarkEnd w:id="18"/>
      <w:r>
        <w:rPr>
          <w:rtl w:val="true"/>
        </w:rPr>
        <w:t>تمهید</w:t>
      </w:r>
      <w:bookmarkEnd w:id="19"/>
    </w:p>
    <w:p>
      <w:pPr>
        <w:pStyle w:val="Heading5"/>
        <w:numPr>
          <w:ilvl w:val="4"/>
          <w:numId w:val="1"/>
        </w:numPr>
        <w:rPr/>
      </w:pPr>
      <w:bookmarkStart w:id="20" w:name="__RefHeading___Toc3425335_3224264995"/>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 ینبغی تقدیم امور</w:t>
      </w:r>
      <w:r>
        <w:rPr>
          <w:rFonts w:eastAsia="IRNazanin" w:cs="IRNazanin"/>
          <w:color w:val="111111"/>
          <w:sz w:val="28"/>
          <w:szCs w:val="28"/>
          <w:rtl w:val="true"/>
          <w:lang w:bidi="fa-IR"/>
        </w:rPr>
        <w:t>:</w:t>
      </w:r>
    </w:p>
    <w:p>
      <w:pPr>
        <w:pStyle w:val="Heading5"/>
        <w:numPr>
          <w:ilvl w:val="4"/>
          <w:numId w:val="1"/>
        </w:numPr>
        <w:rPr/>
      </w:pPr>
      <w:bookmarkStart w:id="22" w:name="__RefHeading___Toc3425337_3224264995"/>
      <w:bookmarkStart w:id="23" w:name="_Toc9"/>
      <w:bookmarkEnd w:id="22"/>
      <w:r>
        <w:rPr>
          <w:rtl w:val="true"/>
        </w:rPr>
        <w:t>الأمر الأوّل</w:t>
      </w:r>
      <w:r>
        <w:rPr>
          <w:rtl w:val="true"/>
        </w:rPr>
        <w:t xml:space="preserve">: </w:t>
      </w:r>
      <w:r>
        <w:rPr>
          <w:rtl w:val="true"/>
        </w:rPr>
        <w:t>فی بیان حالات المکلّف و ذکر مجاری الاصول</w:t>
      </w:r>
      <w:bookmarkEnd w:id="23"/>
    </w:p>
    <w:p>
      <w:pPr>
        <w:pStyle w:val="BookText"/>
        <w:rPr/>
      </w:pPr>
      <w:r>
        <w:rPr>
          <w:rFonts w:ascii="IRNazanin" w:hAnsi="IRNazanin" w:eastAsia="IRNazanin"/>
          <w:color w:val="111111"/>
          <w:sz w:val="28"/>
          <w:sz w:val="28"/>
          <w:szCs w:val="28"/>
          <w:rtl w:val="true"/>
          <w:lang w:bidi="fa-IR"/>
        </w:rPr>
        <w:t>قد اختلفت کلمات الأعاظم فی بیان حالات المکلّف و ذکر مجاری الاصول</w:t>
      </w:r>
      <w:r>
        <w:rPr>
          <w:rStyle w:val="FootnoteAnchor"/>
          <w:rtl w:val="true"/>
        </w:rPr>
        <w:footnoteReference w:id="2"/>
      </w:r>
      <w:r>
        <w:rPr>
          <w:rFonts w:ascii="IRNazanin" w:hAnsi="IRNazanin" w:eastAsia="IRNazanin"/>
          <w:color w:val="111111"/>
          <w:sz w:val="28"/>
          <w:sz w:val="28"/>
          <w:szCs w:val="28"/>
          <w:rtl w:val="true"/>
          <w:lang w:bidi="fa-IR"/>
        </w:rPr>
        <w:t>، و کلّها لا یخلو عن 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أفاده شیخنا العلّامة و إن کان أحسن و اتقن؛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التفت إلی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قاطعاً به أو لا،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له طریق منصوب من قبل الشارع أو لا،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حالة سابقة ملحوظة أو لا،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الشکّ فی حقیقة التکلیف أو فی متعلّقه،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یتمکّن من الاحتیاط أو لا</w:t>
      </w:r>
      <w:r>
        <w:rPr>
          <w:rStyle w:val="FootnoteAnchor"/>
          <w:rtl w:val="true"/>
        </w:rPr>
        <w:footnoteReference w:id="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من القطع بالحکم هو القطع التفصیلی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وجه لتخصیصه بالتفصیلی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یناسب</w:t>
      </w:r>
    </w:p>
    <w:p>
      <w:pPr>
        <w:pStyle w:val="BookText"/>
        <w:rPr/>
      </w:pPr>
      <w:r>
        <w:rPr>
          <w:rFonts w:ascii="IRNazanin" w:hAnsi="IRNazanin" w:eastAsia="IRNazanin"/>
          <w:color w:val="111111"/>
          <w:sz w:val="28"/>
          <w:sz w:val="28"/>
          <w:szCs w:val="28"/>
          <w:rtl w:val="true"/>
          <w:lang w:bidi="fa-IR"/>
        </w:rPr>
        <w:t>مع البحث عن القطع الإجمالی فی مبحث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الأعمّ منه و من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التداخل بین مباحثه و مباحث الاشتغال، و علیه لا بدّ أن یبحث عن الشکّ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أبحاث القطع لا فی أبحاث الشکّ؛ فإنّ الشکّ فی المتعلّق یلازم القطع الإجمالی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من الطریق المنصوب من الشارع الأعمّ ممّا عرضه الإجمال فی متعلّقه أو لا، یقع التداخل بینه و بین الشکّ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لنا طریق منصوب من الشارع، و أنّه لیس هنا أمارة تأسیسیة، بل کلّها إمضائیة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یصیر البحث عن تلک الأمارات الإمضائیة بحثاً استطرادیاً، فیکون عامّة مباحث الظنّ أبحاثاً استطرادیاً، إلّا أن یراد بالطریق المنصوب أعمّ من الطرق الإمضائیة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یرد علیه الظنّ علی الانسداد، بناءً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محیص عن هذه الإشکالات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إجمال للمباحث الآتیة مفصّلًا، و بیان لسرّ تنظیم المباحث؛ فإنّه لأجل حالات المکلّف بالنسبة إلی الأحکام؛ فإنّه لا یخلو بعد الالتفات من القطع بالحکم أو الظنّ أو الشکّ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حالة سابقة أو لا، و الثانی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الشکّ فی التکلیف أو المکلّف به، و الثانی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الاحتیاط فیه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فرتّبت المباحث حسب حالات المکلّف، من غیر نظر إلی المختار فیها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یرد الإشکال إلّا التداخل بین القطع و الشکّ فی المتعلّق؛ فإنّه من القطع الإجمالی</w:t>
      </w:r>
      <w:r>
        <w:rPr>
          <w:rFonts w:eastAsia="IRNazanin" w:cs="IRNazanin"/>
          <w:color w:val="111111"/>
          <w:sz w:val="28"/>
          <w:szCs w:val="28"/>
          <w:rtl w:val="true"/>
          <w:lang w:bidi="fa-IR"/>
        </w:rPr>
        <w:t>.</w:t>
      </w:r>
      <w:bookmarkStart w:id="24" w:name="pg12912_111593"/>
    </w:p>
    <w:p>
      <w:pPr>
        <w:pStyle w:val="BookText"/>
        <w:rPr/>
      </w:pPr>
      <w:bookmarkEnd w:id="24"/>
      <w:r>
        <w:rPr>
          <w:rFonts w:ascii="IRNazanin" w:hAnsi="IRNazanin" w:eastAsia="IRNazanin"/>
          <w:color w:val="111111"/>
          <w:sz w:val="28"/>
          <w:sz w:val="28"/>
          <w:szCs w:val="28"/>
          <w:rtl w:val="true"/>
          <w:lang w:bidi="fa-IR"/>
        </w:rPr>
        <w:t>و یمکن أن یذبّ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فی مبحث القطع هو حیث حجّیة القطع و ما یرتبط به، و ما ذکر فی مبحث الاشتغال جهات اخر مربوطة بالشکّ، فلا یتداخلان؛ لاختلاف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لا یحتاج إلی تقیید الحالة السابقة بالملحوظة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الضرورة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فی تنظیم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یبحث من القطع بقسمیه فی مبحثٍ، و ادرج فیه بعض مباحث الاشتغال ممّا کان الحکم معلوماً إجمالًا بالعلم الوجدانی، کإمکان الترخیص و امتناعه؛ و لو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اردف بمبحث الأمارات؛ سواء کانت الأمارة قائمة مفصّلًا أو إجمالًا، و ادرج فیه سائر مباحث الاشتغال و التخییر، و ادرج البحث عن التعادل و الترجیح فی ذیل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اردف بمبحث الاستصحاب، ثمّ مبحث البراءة حتّی یکون الترتیب حسب ترتیب حالات المکلّف، و الأمر سهل</w:t>
      </w:r>
      <w:r>
        <w:rPr>
          <w:rFonts w:eastAsia="IRNazanin" w:cs="IRNazanin"/>
          <w:color w:val="111111"/>
          <w:sz w:val="28"/>
          <w:szCs w:val="28"/>
          <w:rtl w:val="true"/>
          <w:lang w:bidi="fa-IR"/>
        </w:rPr>
        <w:t>.</w:t>
      </w:r>
    </w:p>
    <w:p>
      <w:pPr>
        <w:pStyle w:val="Heading5"/>
        <w:numPr>
          <w:ilvl w:val="4"/>
          <w:numId w:val="1"/>
        </w:numPr>
        <w:rPr/>
      </w:pPr>
      <w:bookmarkStart w:id="25" w:name="__RefHeading___Toc3425339_3224264995"/>
      <w:bookmarkStart w:id="26" w:name="_Toc10"/>
      <w:bookmarkEnd w:id="25"/>
      <w:r>
        <w:rPr>
          <w:rtl w:val="true"/>
        </w:rPr>
        <w:t>الأمر الثانی</w:t>
      </w:r>
      <w:r>
        <w:rPr>
          <w:rtl w:val="true"/>
        </w:rPr>
        <w:t xml:space="preserve">: </w:t>
      </w:r>
      <w:r>
        <w:rPr>
          <w:rtl w:val="true"/>
        </w:rPr>
        <w:t>فی وجه تقدیم الأمارات علی الاصول</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 المحقّقون الحکومة بتعاریف</w:t>
      </w:r>
      <w:r>
        <w:rPr>
          <w:rStyle w:val="FootnoteAnchor"/>
          <w:rtl w:val="true"/>
        </w:rPr>
        <w:footnoteReference w:id="4"/>
      </w:r>
      <w:r>
        <w:rPr>
          <w:rFonts w:ascii="IRNazanin" w:hAnsi="IRNazanin" w:eastAsia="IRNazanin"/>
          <w:color w:val="111111"/>
          <w:sz w:val="28"/>
          <w:sz w:val="28"/>
          <w:szCs w:val="28"/>
          <w:rtl w:val="true"/>
          <w:lang w:bidi="fa-IR"/>
        </w:rPr>
        <w:t>، و لعلّ محصّلها یرجع إلی کون الدلیل الحاکم متعرّضاً للمحکوم نحو تعرّض، و لو بنحو اللزوم العرفی أو العقلی ممّا لا یرجع إلی التصادم فی مرحلة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الدلیل متعرّضاً لحیثیة من حیثیات دلیل المحکوم ممّا لا یتکفّله دلیل المحکوم؛ توسعة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تعرّض الحاکم لما لم یتعرّض به المحکوم ممّا یرجع إلی حیثیة من حیثیاته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قائمة بلسان الدلیل الحاکم و کیفیة تأدیته، فلا یتصوّر بین اللبّیة الصرفة کالإجماع أو الأدلّة العقلیة، نعم یتصوّر بینهما الورود أو التخصیص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الأمارات حاکمة علی الاصول العملیة، و الظاهر أنّ فی هذا التعبیر مسامحة؛ فإنّ الحکومة إنّما هو بین أدلّة الأمارات و أدلّة الاصول لا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أدلّة الأمارات لیست علی نسق واحد حتّی یصیر الترجیح علی أدلّة الاصول بمثابة واحدة بل تختلف، و باختلافها یختلف وجه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الأمارات قول الثقة؛ فإن کان المدرک لحجّیة قوله آیة النبأ</w:t>
      </w:r>
      <w:r>
        <w:rPr>
          <w:rStyle w:val="FootnoteAnchor"/>
          <w:rtl w:val="true"/>
        </w:rPr>
        <w:footnoteReference w:id="5"/>
      </w:r>
      <w:r>
        <w:rPr>
          <w:rFonts w:ascii="IRNazanin" w:hAnsi="IRNazanin" w:eastAsia="IRNazanin"/>
          <w:color w:val="111111"/>
          <w:sz w:val="28"/>
          <w:sz w:val="28"/>
          <w:szCs w:val="28"/>
          <w:rtl w:val="true"/>
          <w:lang w:bidi="fa-IR"/>
        </w:rPr>
        <w:t>، فالترجیح إنّما هو بالحکومة؛ فإنّ لسانها أنّ خبر العدل متبیّن، و لیس العمل علی قوله عملًا بجهالة، فیقدّم علی الاصول؛ لکون موضوعاتها الجهالة و عدم العلم أو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حجّیتها لأجل بعض الأخبار الواردة فیها فلا یبعد أن یکون التقدیم أیضاً علی نحو الحکومة،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أدّیا إلیک عنّی فعنّی یؤدّیان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المستند هو بناء العقلاء علی العمل به فی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التقدیم لیس لأجل الحکومة؛ لتقوّمها بلسان الدلیل و دلالته اللفظیة، و لا لسان للدلیل اللبّی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التقدیم بنحو الورود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دلیل أصالة الصحّة فی فعل الغیر علی الاستصحاب لیس بنحو الحکومة، لکونه لبّیاً، و هو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أدلّة قاعدة التجاوز علی دلیل الاستصحاب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نحو الحکومة، بناءً علی أنّ الاستصحاب أصل؛ فإنّ مفاده عدم نقض الیقین بالشکّ، و لسان الأدلّة فی القاعدة هو عدم الشکّ أو عدم شیئیته، و هذا لسان الحکومة، بل أیّ حکومة أقوی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بعض أعاظم العصر نسب إلی الشیخ الأعظم أنّه قال هنا و فی مبحث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التنافی بین الأمارات و الاصول هو التنافی بین الحکم الواقعی و الظاهری و أنّ الجمع هو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المقامین مختلفان تنافیاً و جمعاً، و أنّ الجمع بین الأمارات و الاصول إنّما هو بالحکومة لا بما أفاده</w:t>
      </w:r>
      <w:r>
        <w:rPr>
          <w:rStyle w:val="FootnoteAnchor"/>
          <w:rtl w:val="true"/>
        </w:rPr>
        <w:footnoteReference w:id="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قد صرّح بحکومة الأمارات علی الاصول فی کلا المقامین، و لیس فی کلامه ما یوهم ما نسبه إلیه، فراجع</w:t>
      </w:r>
      <w:r>
        <w:rPr>
          <w:rStyle w:val="FootnoteAnchor"/>
          <w:rtl w:val="true"/>
        </w:rPr>
        <w:footnoteReference w:id="10"/>
      </w:r>
      <w:bookmarkStart w:id="27" w:name="pg12912_111596"/>
    </w:p>
    <w:p>
      <w:pPr>
        <w:pStyle w:val="Heading5"/>
        <w:numPr>
          <w:ilvl w:val="4"/>
          <w:numId w:val="1"/>
        </w:numPr>
        <w:rPr/>
      </w:pPr>
      <w:bookmarkStart w:id="28" w:name="__RefHeading___Toc3425341_3224264995"/>
      <w:bookmarkStart w:id="29" w:name="_Toc11"/>
      <w:bookmarkEnd w:id="27"/>
      <w:bookmarkEnd w:id="28"/>
      <w:r>
        <w:rPr>
          <w:rtl w:val="true"/>
        </w:rPr>
        <w:t>الأمر الثالث</w:t>
      </w:r>
      <w:r>
        <w:rPr>
          <w:rtl w:val="true"/>
        </w:rPr>
        <w:t xml:space="preserve">: </w:t>
      </w:r>
      <w:r>
        <w:rPr>
          <w:rtl w:val="true"/>
        </w:rPr>
        <w:t>وحدة مناط البحث فی جمیع أقسام الشبهات</w:t>
      </w:r>
      <w:bookmarkEnd w:id="29"/>
    </w:p>
    <w:p>
      <w:pPr>
        <w:pStyle w:val="BookText"/>
        <w:rPr/>
      </w:pPr>
      <w:r>
        <w:rPr>
          <w:rFonts w:ascii="IRNazanin" w:hAnsi="IRNazanin" w:eastAsia="IRNazanin"/>
          <w:color w:val="111111"/>
          <w:sz w:val="28"/>
          <w:sz w:val="28"/>
          <w:szCs w:val="28"/>
          <w:rtl w:val="true"/>
          <w:lang w:bidi="fa-IR"/>
        </w:rPr>
        <w:t>أنّ الشیخ الأعظم قدس سره قد بحث عن کلّ من الشبهات بحثاً مستقلًّا، مع أنّ المناط فی الجمیع واحد؛ سواء کانت الشبهة تحریمیة أو وجوبیة، موضوعیة کانت أو حکمیة، کانت الشبهة فی الحکم لأجل فقدان النصّ أو تعارضه أو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اختصاص بعض الأقسام بالخلاف دون بعض، أو عمومیة بعض الأدلّة دون بعض لا یوجب إفراد البحث لکلّ واحدة من الأقسام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w:t>
      </w:r>
      <w:bookmarkStart w:id="30" w:name="pg12912_111597"/>
    </w:p>
    <w:p>
      <w:pPr>
        <w:pStyle w:val="Heading4"/>
        <w:numPr>
          <w:ilvl w:val="3"/>
          <w:numId w:val="1"/>
        </w:numPr>
        <w:rPr/>
      </w:pPr>
      <w:bookmarkStart w:id="31" w:name="__RefHeading___Toc3425343_3224264995"/>
      <w:bookmarkStart w:id="32" w:name="_Toc12"/>
      <w:bookmarkEnd w:id="30"/>
      <w:bookmarkEnd w:id="31"/>
      <w:r>
        <w:rPr>
          <w:rtl w:val="true"/>
        </w:rPr>
        <w:t>حول استدلال الاصولیّین علی البراءة</w:t>
      </w:r>
      <w:bookmarkEnd w:id="32"/>
    </w:p>
    <w:p>
      <w:pPr>
        <w:pStyle w:val="Heading5"/>
        <w:numPr>
          <w:ilvl w:val="4"/>
          <w:numId w:val="1"/>
        </w:numPr>
        <w:rPr/>
      </w:pPr>
      <w:bookmarkStart w:id="33" w:name="__RefHeading___Toc3425345_3224264995"/>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استدلّ علی البراءة بالأدلّة الأربعة</w:t>
      </w:r>
      <w:r>
        <w:rPr>
          <w:rFonts w:eastAsia="IRNazanin" w:cs="IRNazanin"/>
          <w:color w:val="111111"/>
          <w:sz w:val="28"/>
          <w:szCs w:val="28"/>
          <w:rtl w:val="true"/>
          <w:lang w:bidi="fa-IR"/>
        </w:rPr>
        <w:t>:</w:t>
      </w:r>
    </w:p>
    <w:p>
      <w:pPr>
        <w:pStyle w:val="Heading5"/>
        <w:numPr>
          <w:ilvl w:val="4"/>
          <w:numId w:val="1"/>
        </w:numPr>
        <w:rPr/>
      </w:pPr>
      <w:bookmarkStart w:id="35" w:name="__RefHeading___Toc3425347_3224264995"/>
      <w:bookmarkStart w:id="36" w:name="_Toc14"/>
      <w:bookmarkEnd w:id="35"/>
      <w:r>
        <w:rPr>
          <w:rtl w:val="true"/>
        </w:rPr>
        <w:t>الاستدلال بالآیات</w:t>
      </w:r>
      <w:bookmarkEnd w:id="36"/>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علی وجه یندفع ما اشکل علیه من الإیراد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عرفاً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تعلیق العذاب علی بعث الرسول الذی هو مبلّغ لأحکامه تعالی، و بمناسبة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بعث الرسول لیس له موضوعیة فی إنزال العقاب، بل هو طریق لإیصال التکالیف إلی العباد، و إتمام الحجّة به علیهم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بعث الرسول هو بعث نفس الرسول؛ و إن لم یبلّغ أحکامه، فلو فرض أنّه تعالی بعث رسولًا لکن لم یبلّغ الأحکام فی شطر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أو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یعذّبهم؛ لأنّه بعث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بلّغ بعض الأحکام دون البعض یکون التعذیب بالنسبة إلی ما لم یبلّغ مخالفاً للوعد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بلّغ إلی بعض الناس دون بعض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یعذّب الجمیع؛ لأنّه بعث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بلّغ جمیع الأحکام فی عصره ثمّ انقطع الوصول إلی الأعصار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 أشباهه یدلّ علی أنّ الغایة لاستحقاق العذاب هو التبلیغ الواصل، و أنّ ذکر بعث الرسول مع انتخاب هذه الکلمة کنایة عن إیصال الأحکام و إتمام الحجّة، و أنّ التبلیغ غیر الواصل فی حکم العدم، و أنّه لا یصحّح العذاب، کما أنّ وجود الرسول بین الامّة بلا تبلیغ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بحث المکلّف عن تکلیفه و وظیفته بحثاً أکیداً، فلم یصل إلی ما هو حجّة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تفصیلی أو إجمالی و غیرهما من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شکّ أنّه یکون مشمولًا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الغایة للوعید بحسب اللبّ هو إیصال الأحکام إلی العباد، و أنّ بعث الرسل لیس له موضوعیة فیما رتّب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للحقّ تعالی شأنه، و هو یرید بهذا البیان أنّ التعذیب قبل البیان منافٍ لمقامه الربوبی، و أنّ شأنه تعالی أجلّ من أن یرتکب هذا الأمر؛ فلذلک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للإشارة إلی أنّ هذا الأمر منافٍ لمقامه الأرفع و شأنه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لإفادة أنّ التعذیب قبل البیان منافٍ لعدله و قسطه، أو منافٍ لرحمته و عطوفته و لطفه علی العباد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أفاد الأوّل لَدلّ علی نفی الاستحقاق و أنّ تعذیب العبد حین ذاک أمر</w:t>
      </w:r>
    </w:p>
    <w:p>
      <w:pPr>
        <w:pStyle w:val="BookText"/>
        <w:rPr/>
      </w:pPr>
      <w:r>
        <w:rPr>
          <w:rFonts w:ascii="IRNazanin" w:hAnsi="IRNazanin" w:eastAsia="IRNazanin"/>
          <w:color w:val="111111"/>
          <w:sz w:val="28"/>
          <w:sz w:val="28"/>
          <w:szCs w:val="28"/>
          <w:rtl w:val="true"/>
          <w:lang w:bidi="fa-IR"/>
        </w:rPr>
        <w:t>قبیح مستنکر یستحیل صدوره منه، و لو أفاد الثانی لدلّ علی نفی الفعلیة، و أنّ العذاب مرتفع؛ و إن لم یدلّ علی نفی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عدم الفرق بین المفادین فیما هو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بالآیة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أعاظم العصر من أنّ مفاد الآیة أجنبی عن البراءة؛ فإنّ مفادها الإخبار بنفی التعذیب قبل إتمام الحجّة، فلا دلالة لها علی حکم مشتبه الحکم من حیث إنّه مشتبه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تقریر الاستدلال من أنّ بعث الرسل کنایة عن إیصال الأحکام، فالمشتبه الحکم داخل فی مفاد الآیة؛ إمّا لما ذکرناه من أنّ بعث الرسل لأجل کونها واسطة فی التبلیغ، أو بإلغاء الخصوصیة و إلحاق مشتبه الحکم بالموارد التی لم یبلّغها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راجعة إلی نفی التعذیب عن الامم السالفة قبل بعث الرسل، فلا مساس له بالمقام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 الآیات المتقدّمة علیها یعطی خلاف ذلک، فإلیک بمراجعة ما تقدّمها من الآیات تجد صحّة ما ادّعیناه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موردها ما ذکر، غیر أنّ التعبیر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 عن کونه سنّة جاریة للَّه عزّ شأنه، من دون فرق بین السالفة و القادمة، و أنّ تلک الطریقة ساریة فی عامّة الأزمان، من غیر فرق بین السلف و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مفاد الآیة حسب المنطوق فلا أقلّ یفهم العرف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بإلغاء الخصوصیة و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التعذیب قبل البیان لم یقع و لن یقع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لما نحن فیه متقوّم بکونها فی مقام نفی الاستحقاق لا نفی الفعلیة؛ لأنّ النزاع فی البراءة إنّما هو فی استحقاق العقاب علی ارتکاب المشتبه و عدمه، لا فی فعلیة العقاب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أوّل الکلام؛ إذ النزاع بین الاصولی و الأخباری إنّما هو فی ثبوت المؤمّن و عدمه فی ارتکاب الشبهات، و أنّه هل یلزم الاحتیاط أو لا؟ و هذا هو مصبّ النزاع بین الطائفتین، و أمّا البحث عن الاستحقاق و عدمه فهو خارج عمّا یهمّ علی کلا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المرمی للقائل بالبراءة هو تجویز شرب التتن المشتبه الحکم لأجل وجود مؤمّن شرعی أو عقلی حتّی یطمئنّ أنّه لیس فی ارتکابه محذور؛ سواء کان ذلک لأجل رفع العقوبة الفعلیة أو نفی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تری القوم یستدلّون علی البراءة بحدیث الرفع الظاهر عندهم فی رفع المؤاخذة، لا نفی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أسدّ الأدلّة التی استدلّ بها للبراءة، و أنّ ما اورد علیه من الإیرادات غیر خالٍ عن الضعف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یستفاد من الآیة أکثر ممّا یستفاد من حکم العقل الحاکم علی قبح العقاب بلا بیان؛ فلو دلّ الدلیل علی لزوم الاحتیاط أو التوقّف لصار ذلک نفسه بیاناً، فیکون ذاک الدلیل وارداً علی العقل و ما تضمّنته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الموصول التکلیف،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و الإعلام، 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یکلّف نفساً إلّا تکلیفاً أوصلها و 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بیانه بوجه آخر حتّی ینطبق علی ما سبقها من الآیات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الموصول هو الأعمّ من الأمر الخارجی و نفس التکلیف،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نفس الإقدار و الإیصال، و یصیر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یکلّف نفساً تکلیفاً و لا یکلّفه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الإیصال و الإقدار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التقریرین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إرادة خصوص التکلیف منه مخالف لمورد الآیة و ما قبلها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الکبری الکلّیة، و بمنزلة الدلیل علی ما قبلها، کما یظهر من استشهاد الإمام علیه السلام بها فی روایة عبد الأعلی؛ حیث 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کلّف الناس بالمعرفة؟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علی اللَّه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بالمعرفة هی المعرفة الکاملة التی لا یمکن إلّا بإقداره تعالی</w:t>
      </w:r>
    </w:p>
    <w:p>
      <w:pPr>
        <w:pStyle w:val="BookText"/>
        <w:rPr/>
      </w:pPr>
      <w:r>
        <w:rPr>
          <w:rFonts w:ascii="IRNazanin" w:hAnsi="IRNazanin" w:eastAsia="IRNazanin"/>
          <w:color w:val="111111"/>
          <w:sz w:val="28"/>
          <w:sz w:val="28"/>
          <w:szCs w:val="28"/>
          <w:rtl w:val="true"/>
          <w:lang w:bidi="fa-IR"/>
        </w:rPr>
        <w:t>و تأییده، لا مطلق العلم بوجود صانع للعالم، الذی هو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التعبیر بالإیتاء الذی بمعنی الإعطاء لا یبعد أن یکون مشاکلة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فَلْیُنْفِقْ مِمَّا آتاهُ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 التقریرین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 فیه أوضح؛ لأنّ إرادة الأعمّ من الموصول مع إسناد فعل واحد إلیه غیر ممکن فی المقام؛ إذ لو ارید من الموصول نفس التکلیف ینزّل منزلة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مع ذلک الأمر الخارجی الذی یقع علیه التکلیف یصیر مفعولًا به و تعلّق الفعل بالمفعول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نوعیاً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یباین نحو تعلّقه بالمفعول به؛ لعدم الجامع بین التکلیف و المکلّف به بنحو یتعلّق التکلیف بهما علی وزان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 هو المصدر أو ما فی معناه المأخوذ من نفس الفعل، و المفعول به ما یقع علیه الفعل المباین معه، و لا جامع بین الأمرین حتّی یصحّ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محقّقی العصر قدس سره وجّه إرادة الأعمّ من الموصول و الإیتاء،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إنّما یرد فی فرض إرادة الخصوصیات المزبورة من شخص الموصول، و إلّا فبناءً علی استعمال الموصول فی معناه الکلّی العامّ و إرادة الخصوصیات المزبورة من دوالّ اخر خارجیة فلا یتوجّه محذور؛ لا من طرف الموصول، و لا فی لفظ الإیتاء، و لا من جهة تعلّق الفعل بالموصول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الموصول فلأجل استعماله فی معناه الکلّی، و أنّ إفادة الخصوصیات من دوالّ اخر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الإیتاء فهو مستعمل فی معنی الإعطاء، غیر أنّه یختلف مصادیقه؛</w:t>
      </w:r>
    </w:p>
    <w:p>
      <w:pPr>
        <w:pStyle w:val="BookText"/>
        <w:rPr/>
      </w:pPr>
      <w:r>
        <w:rPr>
          <w:rFonts w:ascii="IRNazanin" w:hAnsi="IRNazanin" w:eastAsia="IRNazanin"/>
          <w:color w:val="111111"/>
          <w:sz w:val="28"/>
          <w:sz w:val="28"/>
          <w:szCs w:val="28"/>
          <w:rtl w:val="true"/>
          <w:lang w:bidi="fa-IR"/>
        </w:rPr>
        <w:t>من کونه تارة هو الإعلام عند إضافته إلی الحکم، و اخری الملکیة عند إضافته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الفعل بالموصول؛ حیث لا یکون له إلّا نحو تعلّق واحد به، و مجرّد تعدّده بالتحلیل لا یقتضی تعدّده بالنسبة إلی الجامع الذی هو مفاد الموصول، غایة الأمر یحتاج إلی تعدّد الدالّ و المدلول</w:t>
      </w:r>
      <w:r>
        <w:rPr>
          <w:rStyle w:val="FootnoteAnchor"/>
          <w:rtl w:val="true"/>
        </w:rPr>
        <w:footnoteReference w:id="1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الشی‌ء مفعولًا مطلقاً لیس معناه إلّا کونه ملحوظاً عند إضافة الفعل إلیه بأنّه من شؤون الفعل و کیفیاته علی نحو یکون وجوده بعین وجود الفعل، کما أنّ المفعول به یلاحظ عند إضافة الفعل إلیه بأنّه أمر موجود فی الخارج وقع الفعل علیه، و مع ذلک فکیف یمکن إرادتهما باستعمال واحد؟</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نحو تعلّق الفعل بهما مباین لا 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الدالّ و المدلول أو إقامة القرینة علی الخصوصیات فإنّما یصحّ إذا کان فی المقام جامع واقعی حتّی یکون الخصوصیات من مصادیقه، و أمّا مع عدمه و عدم إمکان إرادتهما منها فلا معنی لإقامة القرینة، کما لا یخفی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صحّ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کون المراد من التکلیف فی الآیة هو الکلفة و المشقّة، لا الحکم الشرعی</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لرجع النسبتان إلی نسبة واحدة؛ إذ یجعل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المفعول به أو المفعول النشوی المعبّر عنه فی کلام بعضهم بالمفعول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لا یوقع عباده فی کلفة حکم إلّا الحکم الذی أوصله إلیهم، و ارتفع الإشکال، لکنّه غیر مفید للمقام، کما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بعد ما استوجه وجود الجامع استشکل فی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بوجود القدر المتیقّن؛ حیث إنّ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سیاق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 و اخری بأنّ المستفاد منها عدم الکلفة من قبل التکالیف المجهولة غیر الواصلة إلی المکلّف، لا نفی الکلفة مطلقاً؛ و لو من قِبل إیجاب الاحتیاط، فیکون مفادها مساوقاً لحکم العقل، فلو ثبت ما یدّعیه الأخباری لصار وارداً علیه</w:t>
      </w:r>
      <w:r>
        <w:rPr>
          <w:rStyle w:val="FootnoteAnchor"/>
          <w:rtl w:val="true"/>
        </w:rPr>
        <w:footnoteReference w:id="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إذ وجود القدر المتیقّن غیر مضرّ فی التمسّک بالإطلاق، کما أوضحناه فی مبحث المطلق و المقیّد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جعل الاحتیاط لأجل التحفّظ علی التکالیف الواقعیة لا یناسب مع سوق الآیة؛ لأنّ مساقها مساق المنّة و الامتنان، و الإخبار عن لطفه و عنایته؛ بأنّه لا یجعل العباد فی الکلفة و المشقّة من جهة التکلیف إلّا مع 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الاحتیاط تضییق علی المکلّف بلا إیصال؛ لأنّ المرمی من الاحتیاط هو التحفّظ علی الواقع، لا کونه طریقاً موصلًا إلی الواقع، فإیجاب التحفّظ فی الشبهات البدویة کلفة بلا إیصال و لا 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استشکل ثالثاً فی التمسّک بالإطلاق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مساقها مساق</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سکت عن أشیاء لم یسکت عنها نسیاناً</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دلالتها ممحّضة فی نفی الکلفة عمّا لم یوصل علمه إلی العباد؛ لمکان سکوته</w:t>
      </w:r>
    </w:p>
    <w:p>
      <w:pPr>
        <w:pStyle w:val="BookText"/>
        <w:rPr/>
      </w:pPr>
      <w:r>
        <w:rPr>
          <w:rFonts w:ascii="IRNazanin" w:hAnsi="IRNazanin" w:eastAsia="IRNazanin"/>
          <w:color w:val="111111"/>
          <w:sz w:val="28"/>
          <w:sz w:val="28"/>
          <w:szCs w:val="28"/>
          <w:rtl w:val="true"/>
          <w:lang w:bidi="fa-IR"/>
        </w:rPr>
        <w:t>و عدم بیانه و إظهاره، لا نفی الکلفة مطلقاً عمّا لم یصل علمه إلی العباد؛ لإخفاء الظالمین</w:t>
      </w:r>
      <w:r>
        <w:rPr>
          <w:rStyle w:val="FootnoteAnchor"/>
          <w:rtl w:val="true"/>
        </w:rPr>
        <w:footnoteReference w:id="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بعید عن مفاد الآیة جدّاً؛ إذ حینئذٍ یصیر من قبیل توضیح الواضح؛ إذ مآلها حسب قول القائل إلی أنّ اللَّه لا یکلّف نفساً بما هو ساکت عنه،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منع التمسّک بالإطلاق بطریق آخر،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الطبیعة تمام الموضوع للحکم، فلو احتملنا دخالة شی‌ء غیر مذکور فی الحکم فنحکم به علی عدم جزئیته و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الاحتجاج به بعد انعقاد الظهور لما وقع تحت دائرة الحکم حتّی یحتجّ بعدم تعرّضه علی قید آخر علی عدم دخالته، و هذا الشرط منتفٍ فی المقام؛ إذ لم یثبت أنّ المتکلّم أراد المعنی الجامع الانتزاعی الذی یحتاج فی تصوّر إرادته إلی تکلّف، أو أراد إحدی المعانی الاخر، و مع ذلک التردّد لا مجال للإطلاق؛ إذ غایة ما ذکرنا من المعانی و الوجوه احتمالات و إمکانات، و هو لا ینفع من دون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الظاهر حسب السیاق هو المعنی الأوّل؛ أعنی جعل المراد من الموصول الأمر الخارجی،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الإقدار و الإعطاء، فلاحظ</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النظر فیما أفاده بعض أعاظم العصر فی المقام 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الموصول خصوص المفعول به، و مع ذلک یکون شاملًا للتکلیف و موضوعه؛ لأنّ إیتاء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المفعول المطلق النوعی و العددی یصحّ جعله مفعولًا به بنحو من العنایة، کما أنّ الوجوب و التحریم یصحّ تعلّق التکلیف بهما باعتبار ما لهما من المعنی الاسم المصدری</w:t>
      </w:r>
      <w:r>
        <w:rPr>
          <w:rStyle w:val="FootnoteAnchor"/>
          <w:rtl w:val="true"/>
        </w:rPr>
        <w:footnoteReference w:id="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إمکان شمول الموصول لهما بما مرّ</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 إنّ المفعول المطلق یصحّ جعله مفعولًا به بنحو من العنایة لا محصّل 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و التحریم یصحّ تعلّق التکلیف بهما؛ إذ کیف یتصوّر تعلّق البعث بهما علی نحو المفعول به؛ و لو اعتبرا بنحو الاسم المصدری؟</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أفاد هو الجمع بین الاعتبارین المتنافیین؛ فإنّ المفعول به مقدّم فی الاعتبار علی المصدر؛ لأنّه إضافة قائمة به فی الاعتبار، و أمّا المفعول المطلق فهو عبارة عن حاصل المصدر، و هو متأخّر رتبةً عن المصدر، فکیف یجمع بینهما فی الاعتبار؟ فیلزم ممّا ذکره اعتبار المتأخّر فی الاعتبار متقدّماً فی الاعتبار فی حال کونه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استشکل علی دلالة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أقصی ما تدلّ علیه الآیة هو أنّ المؤاخذة لا تحسن إلّا بعد بعث الرسل و تبلیغ الأحکام، و هذا لا ربط له بما نحن فیه من الشکّ فی التکلیف بعد البعث و الإنزال و عروض اختفاء التکلیف بما لا یرجع إلی الشارع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لا تدلّ علی البراءة، بل مفادها مفاد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w:t>
      </w:r>
      <w:r>
        <w:rPr>
          <w:rStyle w:val="FootnoteAnchor"/>
          <w:rtl w:val="true"/>
        </w:rPr>
        <w:footnoteReference w:id="27"/>
      </w:r>
      <w:r>
        <w:rPr>
          <w:rFonts w:ascii="IRNazanin" w:hAnsi="IRNazanin" w:eastAsia="IRNazanin"/>
          <w:color w:val="111111"/>
          <w:sz w:val="28"/>
          <w:sz w:val="28"/>
          <w:szCs w:val="28"/>
          <w:rtl w:val="true"/>
          <w:lang w:bidi="fa-IR"/>
        </w:rPr>
        <w:t>فی توضیح دلالة الآیة المتقدّمة؛ بأنّ المیزان هو الإبلاغ و الإیصال فی استحقاق العقاب، لا الإبلاغ و لو مع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دلالة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عمّا ذکرنا من الإشکال</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من المتقدّمة؛ لوضوح دلالتها فی الإبلاغ و الإیصال، من دون أن نحتاج إلی إلغاء الخصوصیة، کما لا یخفی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القوم استدلّوا ببعض الآیات؛ و حیث إنّ فیما ذکرنا أو ما نذکره من السنّة و الأدلّة العقلیة غنیً عن الخوض فیه طوینا البیان عنه، و نذکر ما استدلّوا به من السنّة</w:t>
      </w:r>
      <w:r>
        <w:rPr>
          <w:rFonts w:eastAsia="IRNazanin" w:cs="IRNazanin"/>
          <w:color w:val="111111"/>
          <w:sz w:val="28"/>
          <w:szCs w:val="28"/>
          <w:rtl w:val="true"/>
          <w:lang w:bidi="fa-IR"/>
        </w:rPr>
        <w:t>.</w:t>
      </w:r>
      <w:bookmarkStart w:id="37" w:name="pg12912_111608"/>
    </w:p>
    <w:p>
      <w:pPr>
        <w:pStyle w:val="Heading5"/>
        <w:numPr>
          <w:ilvl w:val="4"/>
          <w:numId w:val="1"/>
        </w:numPr>
        <w:rPr/>
      </w:pPr>
      <w:bookmarkStart w:id="38" w:name="__RefHeading___Toc3425349_3224264995"/>
      <w:bookmarkStart w:id="39" w:name="_Toc15"/>
      <w:bookmarkEnd w:id="37"/>
      <w:bookmarkEnd w:id="38"/>
      <w:r>
        <w:rPr>
          <w:rtl w:val="true"/>
        </w:rPr>
        <w:t>الاستدلال بالروایات علی البراءة</w:t>
      </w:r>
      <w:bookmarkEnd w:id="39"/>
    </w:p>
    <w:p>
      <w:pPr>
        <w:pStyle w:val="Heading6"/>
        <w:numPr>
          <w:ilvl w:val="5"/>
          <w:numId w:val="1"/>
        </w:numPr>
        <w:rPr/>
      </w:pPr>
      <w:bookmarkStart w:id="40" w:name="__RefHeading___Toc3425351_3224264995"/>
      <w:bookmarkStart w:id="41" w:name="_Toc16"/>
      <w:bookmarkEnd w:id="40"/>
      <w:r>
        <w:rPr>
          <w:rtl w:val="true"/>
        </w:rPr>
        <w:t>الروایة الاولی</w:t>
      </w:r>
      <w:r>
        <w:rPr>
          <w:rtl w:val="true"/>
        </w:rPr>
        <w:t xml:space="preserve">: </w:t>
      </w:r>
      <w:r>
        <w:rPr>
          <w:rtl w:val="true"/>
        </w:rPr>
        <w:t>حدیث الرفع</w:t>
      </w:r>
      <w:bookmarkEnd w:id="41"/>
    </w:p>
    <w:p>
      <w:pPr>
        <w:pStyle w:val="Heading6"/>
        <w:numPr>
          <w:ilvl w:val="5"/>
          <w:numId w:val="1"/>
        </w:numPr>
        <w:rPr/>
      </w:pPr>
      <w:bookmarkStart w:id="42" w:name="__RefHeading___Toc3425353_3224264995"/>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إلیه، و الحسد و الطیرة و التفکّر فی الوسوسة فی الخلق ما لم ینطقوا بشفة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القوم کیفیة دلالتها علی المقام، غیر أنّ المهمّ بیان امور یتمّ بها ما یستفاد من الحدیث الشریف</w:t>
      </w:r>
      <w:r>
        <w:rPr>
          <w:rFonts w:eastAsia="IRNazanin" w:cs="IRNazanin"/>
          <w:color w:val="111111"/>
          <w:sz w:val="28"/>
          <w:szCs w:val="28"/>
          <w:rtl w:val="true"/>
          <w:lang w:bidi="fa-IR"/>
        </w:rPr>
        <w:t>:</w:t>
      </w:r>
    </w:p>
    <w:p>
      <w:pPr>
        <w:pStyle w:val="Heading6"/>
        <w:numPr>
          <w:ilvl w:val="5"/>
          <w:numId w:val="1"/>
        </w:numPr>
        <w:rPr/>
      </w:pPr>
      <w:bookmarkStart w:id="44" w:name="__RefHeading___Toc3425355_3224264995"/>
      <w:bookmarkStart w:id="45" w:name="_Toc18"/>
      <w:bookmarkEnd w:id="44"/>
      <w:r>
        <w:rPr>
          <w:rtl w:val="true"/>
        </w:rPr>
        <w:t>الأمر الأوّل</w:t>
      </w:r>
      <w:r>
        <w:rPr>
          <w:rtl w:val="true"/>
        </w:rPr>
        <w:t xml:space="preserve">: </w:t>
      </w:r>
      <w:r>
        <w:rPr>
          <w:rtl w:val="true"/>
        </w:rPr>
        <w:t>فی شمول الحدیث للشبهات الحکمیة</w:t>
      </w:r>
      <w:bookmarkEnd w:id="45"/>
    </w:p>
    <w:p>
      <w:pPr>
        <w:pStyle w:val="BookText"/>
        <w:rPr/>
      </w:pPr>
      <w:r>
        <w:rPr>
          <w:rFonts w:ascii="IRNazanin" w:hAnsi="IRNazanin" w:eastAsia="IRNazanin"/>
          <w:color w:val="111111"/>
          <w:sz w:val="28"/>
          <w:sz w:val="28"/>
          <w:szCs w:val="28"/>
          <w:rtl w:val="true"/>
          <w:lang w:bidi="fa-IR"/>
        </w:rPr>
        <w:t>قد استشکل فی الاستدلال به للشبهات الحکمیة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 أکثر ما ذکر فی الحدیث الشریف موجود فی الخارج کثیر وجوده بین الامّة، مع أنّ ظاهره الإخبار عن نفی وجوده، فلا بدّ من تقدیر أمر فی الحدیث حسب دلالة الاقتضاء؛ صوناً لکلام الحکیم عن اللغویة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المقدّر هو المؤاخذة، غیر أنّه یصحّ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منه الشبهة</w:t>
      </w:r>
    </w:p>
    <w:p>
      <w:pPr>
        <w:pStyle w:val="BookText"/>
        <w:rPr/>
      </w:pPr>
      <w:r>
        <w:rPr>
          <w:rFonts w:ascii="IRNazanin" w:hAnsi="IRNazanin" w:eastAsia="IRNazanin"/>
          <w:color w:val="111111"/>
          <w:sz w:val="28"/>
          <w:sz w:val="28"/>
          <w:szCs w:val="28"/>
          <w:rtl w:val="true"/>
          <w:lang w:bidi="fa-IR"/>
        </w:rPr>
        <w:t>الموضوعیة و المجهول من ناحیة المصداق فیصحّ التقدیر أیضاً؛ و إن ارید منه الأعمّ أو نفس الحکم المجهول فتقدیر المؤاخذة یحتاج إلی العنایة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بعض أعاظم العصر أجاب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حاجة إلی التقدیر؛ فإنّ التقدیر إنّما یحتاج إلیه إذا توقّف تصحیح الکلام علیه، کما إذا کان الکلام إخباراً عن أمر خارجی، أو کان الرفع رفعاً تکوینیاً، فلا بدّ فی تصحیح الکلام من تقدیر أمر یخرجه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الرفع تشریعیاً فالکلام یصحّ بلا تقدیر؛ فإنّ الرفع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کالنفی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إخباراً عن أمر واقع، بل إنشاء لحکم یکون وجوده التشریعی بنفس الرفع و النفی،</w:t>
      </w:r>
    </w:p>
    <w:p>
      <w:pPr>
        <w:pStyle w:val="BookText"/>
        <w:rPr/>
      </w:pPr>
      <w:r>
        <w:rPr>
          <w:rFonts w:ascii="IRNazanin" w:hAnsi="IRNazanin" w:eastAsia="IRNazanin"/>
          <w:color w:val="111111"/>
          <w:sz w:val="28"/>
          <w:sz w:val="28"/>
          <w:szCs w:val="28"/>
          <w:rtl w:val="true"/>
          <w:lang w:bidi="fa-IR"/>
        </w:rPr>
        <w:t>کقوله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ممّا یکون متلوّ النفی أمراً ثابتاً فی الخارج</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الإنشاء و الإخبار فی احتیاج أحدهما إلی التقدیر دون الآخر کما تری؛ فإنّ الکلام فی مصحّح نسبته إلی المذکورات، فلو کان هناک مصحّح؛ بحیث یخرج الکلام عن الکذب و اللغویة تصحّ النسبة مطلقاً؛ إخباراً کان أو إنشاءً، و إن کان غیر موجود فلا تصحّ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الشی‌ء إلی غیر ما هو له یحتاج إلی مناسبة و ادّعاء، فلو صحّ لوجود المناسبة یصحّ مطلقاً، بلا فرق بین الإنشاء و الإخبار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و الأئمّة من بعده علیهم السلام لیسوا مشرّعین حتّی یکون الحدیث المنقول عنه إنشاءً، بل هو إخبار عن أمر واقع؛ و هو رفع الشارع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الإخبار بداعی الإنشاء لا یجعله إنشاءً، لا یسلخه عن الإخباریة؛ فإنّ الإخبار بداعی الإنشاء لا یجعل الشی‌ء من قبیل استعمال الإخبار فی الإنشاء، بل هو یبقی علی إخباریته؛ و إن کان الداعی إلیه هو البعث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الاستفهام الإنکاری و التقریری؛ فإنّ کلمة الاستفهام مستعملة فی معناها حقیقة؛ و إن کان الغرض أمراً آخر مخرجاً به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الرفع التشریعی مآله إلی رفع الشی‌ء باعتبار آثاره و أحکامه الشرعیة، و هو عین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ادّعاه قدس سره من عدم احتیاجه إلی التقدیر صحیح، لا لما ذکره بل لأجل کون الرفع ادّعائیاً، و سیأتی توضیحه، فانتظر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المراد من الموصول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الموضوع الخارجی لا الحکم الشرعی؛ لأنّ هذه العناوین الثلاثة لا تعرض إلّا للموضوع الخارجی دون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وحدة السیاق قرینة علی المراد من الموصول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الموضوع المشتبه، لا الحکم المشتبه المجهول، فیختصّ الحدیث بالشبهات الموضوعیة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الرفع إلی الحکم الشرعی المجهول من قبیل الإسناد إلی ما هو له؛ لأنّ الموصول الذی تعلّق الجهل به بنفسه قابل للوضع و الرفع الشرعی، و أمّا</w:t>
      </w:r>
    </w:p>
    <w:p>
      <w:pPr>
        <w:pStyle w:val="BookText"/>
        <w:rPr/>
      </w:pPr>
      <w:r>
        <w:rPr>
          <w:rFonts w:ascii="IRNazanin" w:hAnsi="IRNazanin" w:eastAsia="IRNazanin"/>
          <w:color w:val="111111"/>
          <w:sz w:val="28"/>
          <w:sz w:val="28"/>
          <w:szCs w:val="28"/>
          <w:rtl w:val="true"/>
          <w:lang w:bidi="fa-IR"/>
        </w:rPr>
        <w:t>الشبهات الموضوعیة فالجهل إنّما تعلّق فیها بالموضوع أوّلًا و بالذات، و بالحکم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إسناد الرفع إلی الموضوع من قبیل إسناد الشی‌ء إلی غیر ما هو له؛ لأنّ الموضوع بنفسه غیر قابل للرفع، بل باعتبار حکمه الشرعی، و لا جامع بین الموضوع و الحکم، فلا بدّ أن یراد من الموصول هو الموضوع؛ تحفّظاً علی وحدة السیاق</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بعض أعاظم العصر قدس سره؛ قائلًا بأنّ المرفوع فی جمیع التسعة إنّما هو الحکم الشرعی، و إضافة الرفع فی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الأفعال الخارجیة لأجل أنّ الإکراه و الاضطرار و نحو ذلک إنّما یعرض الأفعال الخارجیة لا الأحکام، و إلّا فالمرفوع فیها هو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المرفوع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هو الحکم الشرعی، و هو المراد من الموصول، و هو الجامع بین الشبهات الموضوعیة 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اختلاف منشأ الشبهة لا یقتضی الاختلاف فیما اسند الرفع إلیه؛ فإنّ الرفع قد اسند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لمکان أنّ الرفع التشریعی لا بدّ أن یرد علی ما یکون قابلًا للوضع و الرفع الشرعی فالمرفوع إنّما یکون هو الحکم الشرعی؛ سواء فی ذلک الشبهات الحکمیة 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 کلا الشبهتین بجامع واحد، کذلک</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 أشیاء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المقام إشکالین، و هو قدس سره یرید الجواب عنهما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السیاق یقتضی حمل الموصول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الموضوع حتّی یتّحد مع أخواته، فالقول بأنّ رفع تلک العناوین بلحاظ رفع آثارها و أحکامها لا یفی بدفع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ما فی جوابه عن ثانی الإشکالین؛ لأنّ مناطه إنّما هو فی الإسناد بحسب الإرادة الاستعمالیة؛ فإنّ الإسناد إلی الحکم إسناد إلی ما هو له، دون الإسناد إلی الموضوع، فلا بدّ أن یراد فی جمیعها الموضوع حتّی یصحّ الإسناد المجازی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المرفوع بحسب الجدّ الحکم الشرعی لا یدفع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دفع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تحقّق الاضطرار و الإکراه فی الأحکام لا یوجب التخصیص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یقتضی السیاق ذلک؛ فإنّ عموم الموصول إنّما یکون بملاحظة سعة متعلّقه و ضیقه،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منه کلّ ما اضطرّ إلیه فی الخارج،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الاضطرار بالنسبة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فیقتضی اتّحاد السیاق أن یراد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کلّ فرد من أفراد هذا العنوان، أ لا تری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یؤکل و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واحدة لا یوجب انحصار أفراد الأوّل فی الخارج ببعض الأشیاء تخصیص الثانی بذلک البعض</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نشأ من الخلط بین المستعمل فیه و ما ینطبق علیه؛ فإنّ الموصول و الصلة فی عامّة الفقرات مستعمل فی معناهما لا فی المصادیق</w:t>
      </w:r>
    </w:p>
    <w:p>
      <w:pPr>
        <w:pStyle w:val="BookText"/>
        <w:rPr/>
      </w:pPr>
      <w:r>
        <w:rPr>
          <w:rFonts w:ascii="IRNazanin" w:hAnsi="IRNazanin" w:eastAsia="IRNazanin"/>
          <w:color w:val="111111"/>
          <w:sz w:val="28"/>
          <w:sz w:val="28"/>
          <w:szCs w:val="28"/>
          <w:rtl w:val="true"/>
          <w:lang w:bidi="fa-IR"/>
        </w:rPr>
        <w:t>الخارجیة، و الاختلاف بین المصادیق إنّما یظهر عند تطبیق العناوین علی الخارجیات، و هو بمعزل عن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خلط سیّال فی أکثر الأبواب، و من هذا الباب توهّم أنّ الإطلاق یفید العموم الشمولی أو البدلی أو غیرهما، مع أنّ الإطلاق لا یفید قطّ العموم، بل هو مقابل العموم، کما مرّ تحقیقه فی مقامه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الأحکام الواقعیة إن لم تکن قابلة للرفع، و تکون باقیة بفعلیتها فی حال الجهل یکون الإسناد فی کلّ العناوین إسناداً إلی غیر ما هو له، و إن کانت قابلة للرفع یکون الإسناد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إسناداً إلی ما هو له، و إلی غیره إلی غیر ما هو له، و لا یلزم محذور؛ لأنّ المتکلّم ادّعی قابلیة رفع ما لا یقبل الرفع تکویناً، ثمّ أسند الرفع إلی جمیعها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کلّ العناوین بحسب الادّعاء فی رتبة واحدة و صفّ واحد فی قبولها الرفع، و أسند الرفع إلیها حقیقة، فلا یلزم منه محذور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بعض محقّقی العصر أنکر وحدة السیاق فی الحدیث؛ قائلًا بأنّ من الفقرات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الوسوسة، و لا یکون المراد منها الفعل، و مع هذا الاختلاف کیف یمکن دعوی ظهور السیاق فی إرادة الموضوع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ارید تلک فهو یقتضی ارتکاب خلاف الظاهر من جهة اخری؛ فإنّ الظاهر من الموصول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کان بنفسه معروض الوصف، و هو عدم العلم کما فی غیره من العناوین الاخر، کالاضطرار و الإکراه و نحوهما؛</w:t>
      </w:r>
    </w:p>
    <w:p>
      <w:pPr>
        <w:pStyle w:val="BookText"/>
        <w:rPr/>
      </w:pPr>
      <w:r>
        <w:rPr>
          <w:rFonts w:ascii="IRNazanin" w:hAnsi="IRNazanin" w:eastAsia="IRNazanin"/>
          <w:color w:val="111111"/>
          <w:sz w:val="28"/>
          <w:sz w:val="28"/>
          <w:szCs w:val="28"/>
          <w:rtl w:val="true"/>
          <w:lang w:bidi="fa-IR"/>
        </w:rPr>
        <w:t>حیث کان الموصول فیها معروضاً للأوصاف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فتخصیص الموصول بالشبهات الموضوعیة ینافی هذا الظهور؛ إذ لا یکون الفعل فیها بنفسه معروضاً للجهل، و إنّما المعروض له هو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یدور الأمر بین حفظ السیاق من هذه الجهة بحمل الموصول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الحکم، و بین حفظه من جهة اخری بحمله علی إرادة الفعل، و العرف یرجّح الأوّل</w:t>
      </w:r>
      <w:r>
        <w:rPr>
          <w:rStyle w:val="FootnoteAnchor"/>
          <w:rtl w:val="true"/>
        </w:rPr>
        <w:footnoteReference w:id="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المدّعی وحدة السیاق فیما یشتمل علی الموصول، لا فی عامّة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الفقرات الثلاث أیضاً فعل من الأفعال، غایة الأمر أنّها من قبیل الأفعال القلبیة، و لأجل ذلک تقع مورداً للتکلیف؛ فإنّ تمنّی زوال النعمة عن الغیر فعل قلبی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الوسوسة و الطیرة؛ فإنّها من الأفعال الجوانحیة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المجهول فی الشبهات الموضوعیة إنّما هو نفس الفعل أیضاً لا عنوانه فقط، بل الجهل بالعنوان واسطة لثبوت الجهل بالنسبة إلی نفس الفعل، 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فالشرب فی المشکوک خمریته أیضاً مجهول؛ و إن کان الجهل لأجل إضافة العنوان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ما ذکره فلا یختصّ الحدیث بالشبهة الحکمیة؛ لأنّ الرفع ادّعائی، و یجوز تعلّقه بنفس الموضوع، فیدّعی رفع الخمر بما لها من الآثار، فیعمّ الحدیث کلتا الشبهتین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یدّعی اختصاص الحدیث بالشبهة الحکمیة؛ لأنّ الموضوعات الخارجیة غیر متعلّقة للأحکام، و إنّما هی متعلّقة بنفس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الحکم عنها</w:t>
      </w:r>
      <w:bookmarkStart w:id="46" w:name="pg12912_111615"/>
    </w:p>
    <w:p>
      <w:pPr>
        <w:pStyle w:val="BookText"/>
        <w:rPr/>
      </w:pPr>
      <w:bookmarkEnd w:id="46"/>
      <w:r>
        <w:rPr>
          <w:rFonts w:ascii="IRNazanin" w:hAnsi="IRNazanin" w:eastAsia="IRNazanin"/>
          <w:color w:val="111111"/>
          <w:sz w:val="28"/>
          <w:sz w:val="28"/>
          <w:szCs w:val="28"/>
          <w:rtl w:val="true"/>
          <w:lang w:bidi="fa-IR"/>
        </w:rPr>
        <w:t>فرع وضعها لها، و قد عرفت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بالاضطرار و نحوه؛ فإنّه یتعلّق بالموضوع بلا إشکال؛ فأیّ معنیً لرفع الحکم فیه فلیکن هو المعنی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الرفع فی الشبهات الموضوعیة راجع إلی رفع الحکم عن العناوین الکلّیة، کما هو الحال فی الاضطرار و الإکراه؛ فإنّ الحکم مرفوع عن البیع المکره و الشرب المضطرّ و الخمر المجهول حکماً أو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الحکم مآله إلی نفی المؤاخذة أو رفع إیجاب الاحتیاط أو رفع الفعلیة، من غیر فرق بین الشبهة الحکمیة أو الموضوعیة</w:t>
      </w:r>
      <w:r>
        <w:rPr>
          <w:rFonts w:eastAsia="IRNazanin" w:cs="IRNazanin"/>
          <w:color w:val="111111"/>
          <w:sz w:val="28"/>
          <w:szCs w:val="28"/>
          <w:rtl w:val="true"/>
          <w:lang w:bidi="fa-IR"/>
        </w:rPr>
        <w:t>.</w:t>
      </w:r>
    </w:p>
    <w:p>
      <w:pPr>
        <w:pStyle w:val="Heading6"/>
        <w:numPr>
          <w:ilvl w:val="5"/>
          <w:numId w:val="1"/>
        </w:numPr>
        <w:rPr/>
      </w:pPr>
      <w:bookmarkStart w:id="47" w:name="__RefHeading___Toc3425357_3224264995"/>
      <w:bookmarkStart w:id="48" w:name="_Toc19"/>
      <w:bookmarkEnd w:id="47"/>
      <w:r>
        <w:rPr>
          <w:rtl w:val="true"/>
        </w:rPr>
        <w:t>الأمر الثانی</w:t>
      </w:r>
      <w:r>
        <w:rPr>
          <w:rtl w:val="true"/>
        </w:rPr>
        <w:t xml:space="preserve">: </w:t>
      </w:r>
      <w:r>
        <w:rPr>
          <w:rtl w:val="true"/>
        </w:rPr>
        <w:t>معنی الرفع فی الحدیث</w:t>
      </w:r>
      <w:bookmarkEnd w:id="48"/>
    </w:p>
    <w:p>
      <w:pPr>
        <w:pStyle w:val="BookText"/>
        <w:rPr/>
      </w:pPr>
      <w:r>
        <w:rPr>
          <w:rFonts w:ascii="IRNazanin" w:hAnsi="IRNazanin" w:eastAsia="IRNazanin"/>
          <w:color w:val="111111"/>
          <w:sz w:val="28"/>
          <w:sz w:val="28"/>
          <w:szCs w:val="28"/>
          <w:rtl w:val="true"/>
          <w:lang w:bidi="fa-IR"/>
        </w:rPr>
        <w:t>هل الرفع فی الحدیث بمعناه الحقیقی، أو هو بمعنی الدفع، استعمل فی المقام مجازاً؟</w:t>
      </w:r>
    </w:p>
    <w:p>
      <w:pPr>
        <w:pStyle w:val="BookText"/>
        <w:rPr/>
      </w:pPr>
      <w:r>
        <w:rPr>
          <w:rFonts w:ascii="IRNazanin" w:hAnsi="IRNazanin" w:eastAsia="IRNazanin"/>
          <w:color w:val="111111"/>
          <w:sz w:val="28"/>
          <w:sz w:val="28"/>
          <w:szCs w:val="28"/>
          <w:rtl w:val="true"/>
          <w:lang w:bidi="fa-IR"/>
        </w:rPr>
        <w:t>التحقیق هو الأوّل؛ سواء قلنا إنّ المرفوع هو نفس الموضوعات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المرفوع آثارها و أحکامها بالتزام تقدیر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الرفع الحقیقی هو إزالة الشی‌ء بعد وجوده و تحقّقه، و قد اسند إلی نفس هذه العناوین التسعة المتحقّقة فی الخارج، فلا بدّ أن یحمل الرفع إلی الرفع الادّعائی، و هو یحتاج إلی وجود المصحّح لهذا الادّعاء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المصحّح کما یمکن أن یکون رفع الآثار یمکن أن یکون دفع المقتضیات عن التأثیر؛ لأنّ رفع الموضوع تکویناً کما یوجب رفع الآثار المترتّبة علیه و المتحقّقة فیه، کذلک یوجب عدم ترتّب الآثار علیه بعد رفعه و إعدامه، و هذا مصحّح الدعوی؛ لا سیّما مع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نسبة الرفع إلی الموضوع ادّعاءً بواسطة رفع آثاره أو دفعها أو دفع المقتضی عن التأثیر، و ذلک لا یوجب أن یکون الرفع المنسوب إلی الموضوع بمعنی الدفع، بل لو بدّل الرفع بالدفع لیخرج الکلام عمّا له من البلاغة إلی الابتذال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کون المرفوع هو الآثار بالتزام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الرفع إنّما هو لأجل شمول إطلاقات الأدلّة أو عمومها لحالات الاضطرار و الإکراه و النسیان و الخطأ و عدم الطاقة، فعمومات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 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شاملة حسب الإرادة الاستعمالیة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الرفع إنّما هو حسب تلک الإرادة؛ و إن کان حسب الإرادة الجدّیة دفعاً؛ لعدم شمولها لهذه الحالات من أوّل الأمر، لکنّ المصحّح لاستعمال الرفع هو الإرادة الاستعمالیة التی مآله إلی ضرب القانون عموماً علی موضوعات الأحکام، بلا تقیید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فیستقرّ فی ذهن المخاطب بدواً ثبوت الحکم للمضطرّ و الناسی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المتکلّم یخبر برفع الآثار و الأحکام عن الموضوعات المضطرّ إلیها و المستکره بها، و إطلاق الرفع لأجل شمول العامّ القانونی لها، و استقراره فی أذهان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بناءً علی جواز خطاب الناسی واضح، و أمّا بناءً علی عدم جواز خطابه یکون الرفع فی الأحکام التکلیفیة فی حقّه فی غیر مورده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الطیرة و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فالمصحّح لاستعمال الرفع کونهما محکومین</w:t>
      </w:r>
    </w:p>
    <w:p>
      <w:pPr>
        <w:pStyle w:val="BookText"/>
        <w:rPr/>
      </w:pPr>
      <w:r>
        <w:rPr>
          <w:rFonts w:ascii="IRNazanin" w:hAnsi="IRNazanin" w:eastAsia="IRNazanin"/>
          <w:color w:val="111111"/>
          <w:sz w:val="28"/>
          <w:sz w:val="28"/>
          <w:szCs w:val="28"/>
          <w:rtl w:val="true"/>
          <w:lang w:bidi="fa-IR"/>
        </w:rPr>
        <w:t>بالأحکام فی الشرائع السابقة، و لم یکن الشرائع السماویة محدودة ظاهراً، بل أحکامها حسب الإرادة الاستعمالیة کانت ظاهرة فی الدوام و البقاء؛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إطلاق أو عموم یوهم بقاء الحکم فی عامّة الأزمنة، فإطلاق الرفع لأجل رفع تلک الأحکام الظاهرة فی البقاء و الدوام، و یشهد علی ذلک</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 کان کلّ ذلک دفعاً حسب اللبّ و الجدّ، إلّا أنّ مناط حسن الاستعمال هو الاستعمالیة من الإرادتین لا الجدّیة، بل لو کان المیزان للرفع هو إطلاق الأحکام فی الشرائع السماویة یمکن أن یکون وجه استعمال الرفع فی عامّة الموضوعات التسعة لأجل ثبوت الحکم فیها فی الشرائع السابقة علی نحو الدوام و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فیه لأجل إطلاق الأدلّة و ظهورها فی شمول الحکم للعالم و الجاهل بلا فرق، کما هو المختار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بإطلاق الأدلّة فلا شکّ فی قیام الإجماع علی الاشتراک فی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فالرفع لأجل ثبوت الحکم حسب الإرادة الاستعمالیة لکلّ عالم و جاهل؛ و إن کان الجاهل خارجاً حسب الإرادة الجدّیة، غیر أنّ المناط فی حسن الاستعمال هو الاستعمالی من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الرفع بمعناها؛ سواء کان الرفع بلحاظ رفع التسعة بما هی هی، أو کان رفع تلک الامور حسب الآثار الشرعیة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بمعنی الدفع؛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الرفع مکان الدفع لیس مجازاً، و لا یحتاج إلی عنایة أصلًا؛ فإنّ الرفع فی الحقیقة یمنع و یدفع المقتضی عن التأثیر فی الزمان اللاحق؛ لأنّ بقاء الشی‌ء کحدوثه یحتاج</w:t>
      </w:r>
    </w:p>
    <w:p>
      <w:pPr>
        <w:pStyle w:val="BookText"/>
        <w:rPr/>
      </w:pPr>
      <w:r>
        <w:rPr>
          <w:rFonts w:ascii="IRNazanin" w:hAnsi="IRNazanin" w:eastAsia="IRNazanin"/>
          <w:color w:val="111111"/>
          <w:sz w:val="28"/>
          <w:sz w:val="28"/>
          <w:szCs w:val="28"/>
          <w:rtl w:val="true"/>
          <w:lang w:bidi="fa-IR"/>
        </w:rPr>
        <w:t>إلی علّة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فی مرتبة وروده علی الشی‌ء إنّما یکون دفعاً حقیقة، باعتبار علّة البقاء؛ و إن کان رفعاً باعتبار الوجود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فاستعمال الرفع فی مقام الدفع لا یحتاج إلی علاقة المجاز، بل لا یحتاج إلی عنایة أصلًا، بل لا یکون خلاف ما یقتضیه ظاهر اللفظ؛ لأنّ غلبة استعمال الرفع فیما یکون له وجود سابق لا یقتضی ظهوره فی ذلک</w:t>
      </w:r>
      <w:r>
        <w:rPr>
          <w:rStyle w:val="FootnoteAnchor"/>
          <w:rtl w:val="true"/>
        </w:rPr>
        <w:footnoteReference w:id="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اللغة و الارتکاز قد تطابقا علی أنّ معنی الرفع هو إزالة الشی‌ء عن صفة الوجود بعد تحقّقه و تحصّله، فعلی هذا فلو استعمل بمعنی الدفع فلا مناص عن العنایة و ما به یتناسب الاستعمال، و إنکار احتیاجه إلی العنایة مکابرة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أنّ بقاء الشی‌ء یحتاج إلی العلّة کحدوثه صحیح لا ریب فیه إلّا أنّ ما أفاده من أنّ الرفع عبارة عن دفع المقتضی عن التأثیر فی الزمان اللاحق غیر صحیح؛ فإنّ دفع المقتضی عن التأثیر فی الزمان اللاحق لا یطلق علیه الرفع، بل یطلق علیه الدفع، و إنّما یستعمل الرفع فی هذه الحالة لا بهذه الحیثیة، بل باعتبار إزالة الشی‌ء عن صفحة الوجود بعد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تواردهما أحیاناً علی مورد واحد أو حالة واحدة لا یجعلهما مترادفین، و لا یرفع احتیاج الاستعمال إلی العنایة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فاعتبر الحدوث و البقاء؛ فإنّ الأوّل عبارة عن وجود الشی‌ء بعد عدمه وجوداً أوّلیاً، و الثانی عبارة عن استمرار هذا الوجود، و تواردهما علی المورد لا یجعل الحدوث بقاءً و لا بالعکس</w:t>
      </w:r>
      <w:r>
        <w:rPr>
          <w:rFonts w:eastAsia="IRNazanin" w:cs="IRNazanin"/>
          <w:color w:val="111111"/>
          <w:sz w:val="28"/>
          <w:szCs w:val="28"/>
          <w:rtl w:val="true"/>
          <w:lang w:bidi="fa-IR"/>
        </w:rPr>
        <w:t>.</w:t>
      </w:r>
      <w:bookmarkStart w:id="49" w:name="pg12912_111619"/>
    </w:p>
    <w:p>
      <w:pPr>
        <w:pStyle w:val="BookText"/>
        <w:rPr/>
      </w:pPr>
      <w:bookmarkEnd w:id="49"/>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فی المقام ینافی مع ما أفاده فی الأمر الخامس فی بیان عموم النتیجة؛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الرفع تنزیل الموجود منزلة المعدوم، و أنّ الرفع یتوجّه علی الموجود، فیجعله معدوماً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ینافی أیضاً مع ما أفاده فی التنبیه الأوّل من تنبیهات الاشتغال؛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الدفع إنّما یمنع عن تقرّر الشی‌ء خارجاً و تأثیر المقتضی فی الوجود، فهو یساوق المانع، و أمّا الرفع فهو یمنع عن بقاء الوجود و یقتضی إعدام الشی‌ء الموجود عن وعائه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یستعمل الرفع فی مکان الدفع و بالعکس، إلّا أنّ ذلک بضرب من العنایة و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الحقیقة هو استعمال الدفع فی مقام المنع عن تأثیر المقتضی فی الوجود، و استعمال الرفع فی مقام المنع عن بقاء الشی‌ء الموجود</w:t>
      </w:r>
      <w:r>
        <w:rPr>
          <w:rStyle w:val="FootnoteAnchor"/>
          <w:rtl w:val="true"/>
        </w:rPr>
        <w:footnoteReference w:id="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کلامه أنظاراً ترکناها مخافة التطویل</w:t>
      </w:r>
      <w:r>
        <w:rPr>
          <w:rFonts w:eastAsia="IRNazanin" w:cs="IRNazanin"/>
          <w:color w:val="111111"/>
          <w:sz w:val="28"/>
          <w:szCs w:val="28"/>
          <w:rtl w:val="true"/>
          <w:lang w:bidi="fa-IR"/>
        </w:rPr>
        <w:t>.</w:t>
      </w:r>
    </w:p>
    <w:p>
      <w:pPr>
        <w:pStyle w:val="Heading6"/>
        <w:numPr>
          <w:ilvl w:val="5"/>
          <w:numId w:val="1"/>
        </w:numPr>
        <w:rPr/>
      </w:pPr>
      <w:bookmarkStart w:id="50" w:name="__RefHeading___Toc3425359_3224264995"/>
      <w:bookmarkStart w:id="51" w:name="_Toc20"/>
      <w:bookmarkEnd w:id="50"/>
      <w:r>
        <w:rPr>
          <w:rtl w:val="true"/>
        </w:rPr>
        <w:t>الأمر الثالث</w:t>
      </w:r>
      <w:r>
        <w:rPr>
          <w:rtl w:val="true"/>
        </w:rPr>
        <w:t xml:space="preserve">: </w:t>
      </w:r>
      <w:r>
        <w:rPr>
          <w:rtl w:val="true"/>
        </w:rPr>
        <w:t>فی کیفیة حکومة حدیث الرفع</w:t>
      </w:r>
      <w:bookmarkEnd w:id="51"/>
    </w:p>
    <w:p>
      <w:pPr>
        <w:pStyle w:val="BookText"/>
        <w:rPr/>
      </w:pPr>
      <w:r>
        <w:rPr>
          <w:rFonts w:ascii="IRNazanin" w:hAnsi="IRNazanin" w:eastAsia="IRNazanin"/>
          <w:color w:val="111111"/>
          <w:sz w:val="28"/>
          <w:sz w:val="28"/>
          <w:szCs w:val="28"/>
          <w:rtl w:val="true"/>
          <w:lang w:bidi="fa-IR"/>
        </w:rPr>
        <w:t>لا شکّ فی أنّه لا تلاحظ النسبة بین هذه العناوین و ما تضمّنه الأدلّة الواقعیة؛ لحکومتها علیها، کحکومة أدلّة نفی الضرر و العسر و الحرج علیها، إلّا أنّ الکلام فی کیفیة الحکومة و فرقها فی هذه الموارد الثلاثة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أعاظم العصر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أدلّة نفی الضرر و العسر و الحرج</w:t>
      </w:r>
    </w:p>
    <w:p>
      <w:pPr>
        <w:pStyle w:val="BookText"/>
        <w:rPr/>
      </w:pPr>
      <w:r>
        <w:rPr>
          <w:rFonts w:ascii="IRNazanin" w:hAnsi="IRNazanin" w:eastAsia="IRNazanin"/>
          <w:color w:val="111111"/>
          <w:sz w:val="28"/>
          <w:sz w:val="28"/>
          <w:szCs w:val="28"/>
          <w:rtl w:val="true"/>
          <w:lang w:bidi="fa-IR"/>
        </w:rPr>
        <w:t>و بین حدیث الرفع؛ سوی أنّ الحکومة فی أدلّة نفی الضرر و الحرج إنّما یکون باعتبار عقد الحمل؛ حیث إنّ الضرر و العسر و الحرج من العناوین الطارئة علی نفس الأحکام؛ فإنّ الحکم قد یکون ضرریاً أو حرجیاً،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دلیل رفع الإکراه و نحوه إنّما یکون باعتبار عقد الوضع؛ فإنّه لا یمکن طروّ الإکراه و الاضطرار و الخطأ و النسیان علی نفس الأحکام، بل إنّما تعرض موضوعاتها و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الرفع یوجب تضییق دائرة موضوعات الأحکام، نظیر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مع حفظ الإمام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هو نفی جعل نفس الحرج لا الأمر الحرجی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هو نفی نفس الضرر لا الأمر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یصحّ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فی أدلّة نفی الضرر و الحرج باعتبار عقد الحمل؛ فإنّه إنّما یصحّ لو کان المنفی الأمر الضرری و الحرجی؛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قد یکون ضرریاً أو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قائمة بلسان الدلیل، کما سیوافیک بیانه فی محلّه</w:t>
      </w:r>
      <w:r>
        <w:rPr>
          <w:rStyle w:val="FootnoteAnchor"/>
          <w:rtl w:val="true"/>
        </w:rPr>
        <w:footnoteReference w:id="46"/>
      </w:r>
      <w:r>
        <w:rPr>
          <w:rFonts w:ascii="IRNazanin" w:hAnsi="IRNazanin" w:eastAsia="IRNazanin"/>
          <w:color w:val="111111"/>
          <w:sz w:val="28"/>
          <w:sz w:val="28"/>
          <w:szCs w:val="28"/>
          <w:rtl w:val="true"/>
          <w:lang w:bidi="fa-IR"/>
        </w:rPr>
        <w:t>، و لسان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متغایران؛ فإنّ الأوّل ینفی نفس الضرر و الثانی ینفی جعل الحرج، و بینهما</w:t>
      </w:r>
      <w:bookmarkStart w:id="52" w:name="pg12912_111621"/>
    </w:p>
    <w:p>
      <w:pPr>
        <w:pStyle w:val="BookText"/>
        <w:rPr/>
      </w:pPr>
      <w:bookmarkEnd w:id="52"/>
      <w:r>
        <w:rPr>
          <w:rFonts w:ascii="IRNazanin" w:hAnsi="IRNazanin" w:eastAsia="IRNazanin"/>
          <w:color w:val="111111"/>
          <w:sz w:val="28"/>
          <w:sz w:val="28"/>
          <w:szCs w:val="28"/>
          <w:rtl w:val="true"/>
          <w:lang w:bidi="fa-IR"/>
        </w:rPr>
        <w:t>فرق فی باب الحکومة، و یأتی الکلام من أقسام الحکومة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و الحرج من العناوین الطارئة علی الموضوعات التی وقعت تحت دائرة الحکم، کالصوم و الوضوء و المعاملة المغبون فیها أحد الطرفین؛ فإنّ الموصوف بالضرر و الحرج نفس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ینسبان إلی أحکامها بنحو من العنایة و المجاز؛ فإنّ إلزام الشارع و تکلیفه ربّما یصیر سبباً لوقوع المکلّف فی الضرر و الحرج، و علی هذا فلا یصحّ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و الحرج من العناوین الطارئة علی نفس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یرید ما قلنا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الخطأ و النسیان قد یعرضان علی الموضوع و قد یعرضان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العجیب ما أفاده رحمه الله من أنّ الخطأ و النسیان لا یمکن طروّهما علی نفس الأحکام، و لعلّه سهو من قلم المقرّر رحمه الله</w:t>
      </w:r>
      <w:r>
        <w:rPr>
          <w:rFonts w:eastAsia="IRNazanin" w:cs="IRNazanin"/>
          <w:color w:val="111111"/>
          <w:sz w:val="28"/>
          <w:szCs w:val="28"/>
          <w:rtl w:val="true"/>
          <w:lang w:bidi="fa-IR"/>
        </w:rPr>
        <w:t>.</w:t>
      </w:r>
    </w:p>
    <w:p>
      <w:pPr>
        <w:pStyle w:val="Heading6"/>
        <w:numPr>
          <w:ilvl w:val="5"/>
          <w:numId w:val="1"/>
        </w:numPr>
        <w:rPr/>
      </w:pPr>
      <w:bookmarkStart w:id="53" w:name="__RefHeading___Toc3425361_3224264995"/>
      <w:bookmarkStart w:id="54" w:name="_Toc21"/>
      <w:bookmarkEnd w:id="53"/>
      <w:r>
        <w:rPr>
          <w:rtl w:val="true"/>
        </w:rPr>
        <w:t>الأمر الرابع</w:t>
      </w:r>
      <w:r>
        <w:rPr>
          <w:rtl w:val="true"/>
        </w:rPr>
        <w:t xml:space="preserve">: </w:t>
      </w:r>
      <w:r>
        <w:rPr>
          <w:rtl w:val="true"/>
        </w:rPr>
        <w:t>فی بیان المصحّح لإسناد الرفع</w:t>
      </w:r>
      <w:bookmarkEnd w:id="54"/>
    </w:p>
    <w:p>
      <w:pPr>
        <w:pStyle w:val="BookText"/>
        <w:rPr/>
      </w:pP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تعلّق بهذه العناوین فی ظاهر الحدیث، مع أنّها غیر مرفوع عن صفحة الوجود، فیحتاج تعلّق الرفع بها إلی عنایة و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المصحّح للدعوی هی رفع المؤاخذة أو جمیع الآثار أو الأثر المناسب؟ ذهب إلی کلٍّ فریق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الأوّل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لو خلّینا و أنفسنا أنّ نسبة الرفع إلی المذکورات إنّما تکون بملاحظة رفع المؤاخذة</w:t>
      </w:r>
      <w:r>
        <w:rPr>
          <w:rStyle w:val="FootnoteAnchor"/>
          <w:rtl w:val="true"/>
        </w:rPr>
        <w:footnoteReference w:id="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المؤاخذة أمر تکوینی لا یناسب رفعه و لا وضعه مع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المؤاخذة لیست من أظهر خواصّها؛ حتّی یصحّ رفع العناوین لأجل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صحیحة البزنطی</w:t>
      </w:r>
      <w:r>
        <w:rPr>
          <w:rStyle w:val="FootnoteAnchor"/>
          <w:rtl w:val="true"/>
        </w:rPr>
        <w:footnoteReference w:id="48"/>
      </w:r>
      <w:r>
        <w:rPr>
          <w:rFonts w:ascii="IRNazanin" w:hAnsi="IRNazanin" w:eastAsia="IRNazanin"/>
          <w:color w:val="111111"/>
          <w:sz w:val="28"/>
          <w:sz w:val="28"/>
          <w:szCs w:val="28"/>
          <w:rtl w:val="true"/>
          <w:lang w:bidi="fa-IR"/>
        </w:rPr>
        <w:t>التی استشهد الإمام علیه السلام فیها بهذا الحدیث علی رفع الحلف الإکراهی أوضح دلیل علی عدم اختصاص الحدیث برفع المؤاخذة فقط، و الخصم لم یتلقّ حکم الإمام أمراً غریباً، بل أمراً جاریاً مجری الامور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الأثر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استشکل فیه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یحتاج لملاحظات عدیدة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لیس مانعاً عن الذهاب إلیه؛ إذ لا نتصوّر فیه منعاً إذا ناسب الذوق العرفی، بل الوجه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الموضوع برفع بعض آثاره لیس أمراً صحیحاً عند العرف الساذج، بل یری العرف رفع الموضوع مع ثبوت بعض آثاره أمراً مناقضاً، و إنّما یصحّ فی نظره رفع الموضوع إذا رفع جمیع آثاره تشریعاً حتّی یصحّ ادّعاء رفعه عن صفحة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الأثر المناسب من أشهر خواصّه و آثاره؛ بحیث یعدّ العرف ارتفاعه مساوقاً لارتفاع الموضوع فمنع توافق العرف علی هذا الرفع ممنوع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الموضوع برفع بعض الآثار الظاهرة إنّما یصحّ لو نزّل غیره 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الموضوع بلحاظ رفع بعض آثاره یتوقّف علی تصحیح ادّعاءین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دعوی أنّ رفع هذا البعض رفع لجمیع آثاره و خواصّه، الثانیة دعوی أنّ رفع جمیع الآثار و خلوّ الموضوع عن کلّ أثر مساوق لرفع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هو عامّة الآثار؛ فإنّه لا یحتاج إلّا إلی الدعوی الثانیة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إطلاق الدلیل أیضاً یقتضی رفع الموضوع بجمیع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الدعوی الاولی ممّا لا خلاف فیه و لا إشکال؛ فإنّ لهذه العناوین آثاراً غیر شرعیة، فهی غیر مرفوعة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دعوی أنّ الآثار غیر الشرعیة فی حکم العدم، أو أنّ الآثار الشرعیة جمیع الآثار، و أیّ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الأثر الشرعی جمیع الآثار الشرعیة، أو أنّ الآثار الشرعیة تمام الآثار؟</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هذه الدعوی بعد ما کان الرفع فی محیط التشریع؛ فإنّ وظیفة الشارع رفع أو وضع ما هو بیده، و أمّا الخارج عن یده فلیس له بالنسبة إلیهما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فالآثار التکوینیة مغفول عنها، فلا یحتاج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بالحدیث عند طروّ الخطأ و النسیان الآثار المترتّبة علی ذات المعنونات، و أمّا الآثار المترتّبة علی نفس الخطأ و النسیان فغیر مرفوع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یحتاج إلی الدعوی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إنّما هو آثار الخطأ و النسیان المأخوذین طریقاً إلی متعلّقاتهما، و عنواناً و مرآة إلی معنونهما؛ فإنّه المتبادر من الحدیث عند الإلقاء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فالآثار المترتّبة علی نفس الخطأ و النسیان علی نحو الموضوعیة مغفولة عنها، فلا یحتاج إلی الدعوی</w:t>
      </w:r>
      <w:r>
        <w:rPr>
          <w:rFonts w:eastAsia="IRNazanin" w:cs="IRNazanin"/>
          <w:color w:val="111111"/>
          <w:sz w:val="28"/>
          <w:szCs w:val="28"/>
          <w:rtl w:val="true"/>
          <w:lang w:bidi="fa-IR"/>
        </w:rPr>
        <w:t>.</w:t>
      </w:r>
      <w:bookmarkStart w:id="55" w:name="pg12912_111624"/>
    </w:p>
    <w:p>
      <w:pPr>
        <w:pStyle w:val="BookText"/>
        <w:rPr/>
      </w:pPr>
      <w:bookmarkEnd w:id="55"/>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لا یفهم من رفعهما إلّا رفع آثار ما أخطأ و نسی، کما هو المتبادر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جهالاتهم معفوّة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تعبیر الإمام فی صحیحة البزنطی؛ حیث نقل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أخطئوا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الحدیث للآثار المترتّبة علی نفس العناوین، و عدم لزوم التفکیک بین فقرات الحدیث؛ فإنّ أکثر العناوین المذکورة فی الحدیث مأخوذ علی نحو الطریقیة؛ خصوصاً فیما نسب فیه الرفع إلی الموصول، فیکون ذلک قرینة علی انتقال الذهن عند استماع إسناد الرفع إلیها إلی رفع آثار معنوناتها،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العناوین الثلاثة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الطیرة و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نفسیة، لا مناص فیها إلّا رفع ما هو آثار لأنفسها؛ لعدم قابلیتها علی الطریقیة؛ و إن لزم منه التفکیک، إلّا أنّ هذا المقدار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عن وحدة السیاق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قد تعلّق فی الجمیع بعناوین نفسیة حسب الإرادة الجدّیة، إلّا أنّ ذلک إمّا بذکر نفس تلک العناوین النفسیة، أو بذکر ما هو طریق إلیها؛ من الخطأ و النسیان، أو بتوسّط الموصول، من دون تفکیک أو ارتکاب خلاف ظاهر</w:t>
      </w:r>
      <w:r>
        <w:rPr>
          <w:rFonts w:eastAsia="IRNazanin" w:cs="IRNazanin"/>
          <w:color w:val="111111"/>
          <w:sz w:val="28"/>
          <w:szCs w:val="28"/>
          <w:rtl w:val="true"/>
          <w:lang w:bidi="fa-IR"/>
        </w:rPr>
        <w:t>.</w:t>
      </w:r>
    </w:p>
    <w:p>
      <w:pPr>
        <w:pStyle w:val="Heading6"/>
        <w:numPr>
          <w:ilvl w:val="5"/>
          <w:numId w:val="1"/>
        </w:numPr>
        <w:rPr/>
      </w:pPr>
      <w:bookmarkStart w:id="56" w:name="__RefHeading___Toc3425363_3224264995"/>
      <w:bookmarkStart w:id="57" w:name="_Toc22"/>
      <w:bookmarkEnd w:id="56"/>
      <w:r>
        <w:rPr>
          <w:rtl w:val="true"/>
        </w:rPr>
        <w:t>الأمر الخامس</w:t>
      </w:r>
      <w:r>
        <w:rPr>
          <w:rtl w:val="true"/>
        </w:rPr>
        <w:t xml:space="preserve">: </w:t>
      </w:r>
      <w:r>
        <w:rPr>
          <w:rtl w:val="true"/>
        </w:rPr>
        <w:t>فی شمول الحدیث للُامور العدمیة</w:t>
      </w:r>
      <w:bookmarkEnd w:id="57"/>
    </w:p>
    <w:p>
      <w:pPr>
        <w:pStyle w:val="BookText"/>
        <w:rPr/>
      </w:pPr>
      <w:r>
        <w:rPr>
          <w:rFonts w:ascii="IRNazanin" w:hAnsi="IRNazanin" w:eastAsia="IRNazanin"/>
          <w:color w:val="111111"/>
          <w:sz w:val="28"/>
          <w:sz w:val="28"/>
          <w:szCs w:val="28"/>
          <w:rtl w:val="true"/>
          <w:lang w:bidi="fa-IR"/>
        </w:rPr>
        <w:t>بعد ما أثبتنا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فی الحدیث هو عموم الآثار، فهل یختصّ بالأُمور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 آثار امور موجودة فی الخارج إذا انطبق علیها إحدی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یشرب من ماء الفرات، فاکره علی الترک أو اضطرّ إلیه أو</w:t>
      </w:r>
    </w:p>
    <w:p>
      <w:pPr>
        <w:pStyle w:val="BookText"/>
        <w:rPr/>
      </w:pPr>
      <w:r>
        <w:rPr>
          <w:rFonts w:ascii="IRNazanin" w:hAnsi="IRNazanin" w:eastAsia="IRNazanin"/>
          <w:color w:val="111111"/>
          <w:sz w:val="28"/>
          <w:sz w:val="28"/>
          <w:szCs w:val="28"/>
          <w:rtl w:val="true"/>
          <w:lang w:bidi="fa-IR"/>
        </w:rPr>
        <w:t>نسی أن یشربه فهل یجب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اختصاصها بصورة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فیظهر عن بعض أعاظم العصر قدس سره اختصاصه بالأُمور الوجودیة؛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شأن الرفع تنزیل الموجود منزلة المعدوم، لا تنزیل المعدوم منزلة الموجود؛ لأنّ تنزیل المعدوم منزلة الموجود إنّما یکون وضعاً لا رفعاً، و المفروض أنّ المکلّف قد ترک الفعل عن إکراه أو نسیان، فلم یصدر منه أمر وجودی قابل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عدم الشرب فی المثال مرفوعاً و جعله کالشرب؛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یتحقّق مخالفة النذر، فلا حنث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الوضع و الرفع؛ فإنّ الوضع یتوجّه إلی المعدوم فیجعله موجوداً و یلزمه ترتیب آثار الوجود، و الرفع بعکسه، فالفعل الصادر من المکلّف عن نسیان أو إکراه یمکن ورود الرفع علیه، و أمّا الفعل الذی لم یصدر من المکلّف عن نسیان أو إکراه فلا محلّ للرفع فیه؛ لأنّ رفع المعدوم لا یمکن إلّا بالوضع و الجعل، و الحدیث حدیث رفع لا حدیث وضع</w:t>
      </w:r>
      <w:r>
        <w:rPr>
          <w:rStyle w:val="FootnoteAnchor"/>
          <w:rtl w:val="true"/>
        </w:rPr>
        <w:footnoteReference w:id="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الشرب بعد ما تعلّق علیه النذر و صار ذات أثر یکون له ثبوت فی عالم الاعتبار؛ إذ ما لا ثبوت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بهذا النحو من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تحت دائرة الحکم، و لا یصیر موضوعاً للوفاء و الحنث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قد فرضنا أنّ الکفّارة قد تترتّب علی ترک ذاک الترک، و صار ملاکاً للحنث، و بعد هذا الثبوت الاعتباری لا مانع من تعلّق الرفع علیه بما له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أنّ الرفع لا یمکن إلّا بالوضع غریب جدّاً؛ فإنّ الرفع قد تعلّق بحسب الجدّ علی أحکام تلک العناوین و آثارها، فرفع تلک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أثر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الوضع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تعلّق الرفع بالأُمور العدمیة؛ إذ الرفع رفع ادّعائی لا حقیقی، و المصحّح له لیس إلّا آثار ذلک العدم و أحکامها، کما أنّ المصحّح لرفع الامور الوجودیة هو آثارها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الرفع و إن کان نفس الأشیاء لکن لا بما هی هی، بل بمعرّفیة العناوین المذکورة فی الحدیث، فکلّ أمر یتعلّق علیه الاضطرار أو یقع مورد النسیان و الإکراه فهو مرفوع الأثر لأجل تلک العناوین، من غیر فرق؛ سواء کان المضطرّ إلیه أمراً وجودیاً أو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مقام جواب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مطلقاً متعلّق بموضوعیة الموضوعات للأحکام؛ فمعنی 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رفع موضوعیته للحکم، و کذا فی جانب العدم و الترک</w:t>
      </w:r>
      <w:r>
        <w:rPr>
          <w:rStyle w:val="FootnoteAnchor"/>
          <w:rtl w:val="true"/>
        </w:rPr>
        <w:footnoteReference w:id="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رجع إلی ما قلناه فنِعْم الوفاق و الاتّفاق، و إن أراد ظاهره من تقدیر موضوعیة کلّ واحد لأحکامها فهو ضعیف جدّاً؛ لأنّه یکون أسوأ حالًا من تقدیر الآثار، بل لا یصیر الرفع ادّعائیاً، مع أنّه قد اعترف القائل فی بعض کلماته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الرفع ادّعائی</w:t>
      </w:r>
      <w:r>
        <w:rPr>
          <w:rStyle w:val="FootnoteAnchor"/>
          <w:rtl w:val="true"/>
        </w:rPr>
        <w:footnoteReference w:id="52"/>
      </w:r>
      <w:bookmarkStart w:id="58" w:name="pg12912_111627"/>
    </w:p>
    <w:p>
      <w:pPr>
        <w:pStyle w:val="Heading6"/>
        <w:numPr>
          <w:ilvl w:val="5"/>
          <w:numId w:val="1"/>
        </w:numPr>
        <w:rPr/>
      </w:pPr>
      <w:bookmarkStart w:id="59" w:name="__RefHeading___Toc3425365_3224264995"/>
      <w:bookmarkStart w:id="60" w:name="_Toc23"/>
      <w:bookmarkEnd w:id="58"/>
      <w:bookmarkEnd w:id="59"/>
      <w:r>
        <w:rPr>
          <w:rtl w:val="true"/>
        </w:rPr>
        <w:t>الأمر السادس فی شمول الحدیث للأجزاء و الشرائط و الأسباب و المسبّبات</w:t>
      </w:r>
      <w:bookmarkEnd w:id="60"/>
    </w:p>
    <w:p>
      <w:pPr>
        <w:pStyle w:val="Heading6"/>
        <w:numPr>
          <w:ilvl w:val="5"/>
          <w:numId w:val="1"/>
        </w:numPr>
        <w:rPr/>
      </w:pPr>
      <w:bookmarkStart w:id="61" w:name="__RefHeading___Toc3425367_3224264995"/>
      <w:bookmarkStart w:id="62" w:name="_Toc24"/>
      <w:bookmarkEnd w:id="61"/>
      <w:r>
        <w:rPr>
          <w:rtl w:val="true"/>
        </w:rPr>
        <w:t>القول فی نسیان الجزء و الشرط فی العبادات</w:t>
      </w:r>
      <w:bookmarkEnd w:id="62"/>
    </w:p>
    <w:p>
      <w:pPr>
        <w:pStyle w:val="BookText"/>
        <w:rPr/>
      </w:pPr>
      <w:r>
        <w:rPr>
          <w:rFonts w:ascii="IRNazanin" w:hAnsi="IRNazanin" w:eastAsia="IRNazanin"/>
          <w:color w:val="111111"/>
          <w:sz w:val="28"/>
          <w:sz w:val="28"/>
          <w:szCs w:val="28"/>
          <w:rtl w:val="true"/>
          <w:lang w:bidi="fa-IR"/>
        </w:rPr>
        <w:t>لو نسی شرطاً أو جزءًا من المأمور به فهل یمکن تصحیحها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عموم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یمکن؛ و إن کان المرفوع هو العموم؟</w:t>
      </w:r>
    </w:p>
    <w:p>
      <w:pPr>
        <w:pStyle w:val="BookText"/>
        <w:rPr/>
      </w:pPr>
      <w:r>
        <w:rPr>
          <w:rFonts w:ascii="IRNazanin" w:hAnsi="IRNazanin" w:eastAsia="IRNazanin"/>
          <w:color w:val="111111"/>
          <w:sz w:val="28"/>
          <w:sz w:val="28"/>
          <w:szCs w:val="28"/>
          <w:rtl w:val="true"/>
          <w:lang w:bidi="fa-IR"/>
        </w:rPr>
        <w:t>و اختار الثانی بعض أعاظم العصر قدس سره، و أوضحه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لا یشمل الامور العدمیة؛ لأنّه لا محلّ لورود الرفع علی الجزء و الشرط المنسیین؛ لخلوّ صفحة الوجود عنهما، فلا یمکن أن یتعلّق الرفع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المترتّب علی الجزء و الشرط لیس إلّا الإجزاء و صحّة العبادة، و هما لیسا من الآثار الشرعیة التی تقبل الوضع و الرفع، بل من الآثار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رفع السورة بلحاظ رفع أثر الإجزاء و الصحّة؛ فإنّ ذلک یقتضی عدم الإجزاء و فساد العبادة، و هو ینافی الامتنان و ینتج عکس المقصود؛ فإنّ المقصود من التمسّک بالحدیث تصحیح العبادة لا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المرکّب الفاقد للجزء أو الشرط المنسی فهو و إن کان أمراً وجودیاً قابلًا لتوجّه الرفع إلیه 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المنسی أو المکرَه علیه لیتوجّه الرفع إلیه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 رفعه؛ لأنّ رفع المرکّب الفاقد للجزء أو الشرط لا یثبت</w:t>
      </w:r>
    </w:p>
    <w:p>
      <w:pPr>
        <w:pStyle w:val="BookText"/>
        <w:rPr/>
      </w:pPr>
      <w:r>
        <w:rPr>
          <w:rFonts w:ascii="IRNazanin" w:hAnsi="IRNazanin" w:eastAsia="IRNazanin"/>
          <w:color w:val="111111"/>
          <w:sz w:val="28"/>
          <w:sz w:val="28"/>
          <w:szCs w:val="28"/>
          <w:rtl w:val="true"/>
          <w:lang w:bidi="fa-IR"/>
        </w:rPr>
        <w:t>المرکّب الواجد له؛ فإنّ ذلک یکون وضعاً لا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للمرکّب الفاقد للجزء أو الشرط أثر یصحّ رفع المرکّب بلحاظه؛ فإنّ الصلاة بلا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علیها أثر إلّا الفساد و عدم الإجزاء، و هو غیر قابل للرفع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و الشرطیة مرفوعتان؛ لأنّ جزئیة الجزء لم تکن منسیة، و إلّا کان من نسیان الحکم، و محلّ الکلام إنّما هو نسیان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یتعلّق النسیان بالجزئیة حتّی یستشکل بأنّ الجزئیة غیر قابلة للرفع؛ فإنّها غیر مجعولة، فیجاب بأنّها مجعولة بجعل منشأ انتزاعها</w:t>
      </w:r>
      <w:r>
        <w:rPr>
          <w:rStyle w:val="FootnoteAnchor"/>
          <w:rtl w:val="true"/>
        </w:rPr>
        <w:footnoteReference w:id="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فیما یرد علی کلامه نذکر 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النسیان قد یتعلّق بالجزئیة و الشرطیة، فیکون مساوقاً لنسیان الحکم الکلّی، و قد یتعلّق بنسیان نفس الجزء و الشرط مع العلم بحکمهما، کما هو المبحوث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مانع من أن یتعلّق الرفع بنفس ما نسوا حتّی یعمّ الرفع کلا القسمین؛ فإنّ المنسی قد یکون الجزئیة و قد یکون نفس الجزء و الشرط؛ فلو تعلّق الرفع بنفس ذات الجزء و الشرط بما لهما من الآثار یصیر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المرکّب الفاقد لهما، و یکون تمام الموضوع للأمر فی حقّ الناسی هو ذلک الفاقد، و هو یوجب الإجزاء علی ما مرّ تفصیله فی مبحث الإجزاء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حاکم علی أدلّة المرکّبات أو علی أدلّة الأجزاء و الشرائط، و بعد الحکومة تصیر النتیجة اختصاص الأجزاء و الشرائط بغیر حالة</w:t>
      </w:r>
    </w:p>
    <w:p>
      <w:pPr>
        <w:pStyle w:val="BookText"/>
        <w:rPr/>
      </w:pPr>
      <w:r>
        <w:rPr>
          <w:rFonts w:ascii="IRNazanin" w:hAnsi="IRNazanin" w:eastAsia="IRNazanin"/>
          <w:color w:val="111111"/>
          <w:sz w:val="28"/>
          <w:sz w:val="28"/>
          <w:szCs w:val="28"/>
          <w:rtl w:val="true"/>
          <w:lang w:bidi="fa-IR"/>
        </w:rPr>
        <w:t>النسیان، و یکون تمام المأمور به فی حقّ المکلّف عامّة الأجزاء و الشرائط، غیر المنسی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بحکومتها فی حال نسیان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حال نسیان نفس الجزء و الشرط تحکّم محض بعد القول بتعلّق الرفع بنفس ما نسوا؛ أی المنسی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النسیان إذا تعلّق بالموضوع و لم یکن الحکم منسیاً لا یرتفع جزئیة الجزء للمرکّب؛ لعدم نسیانها، فلا بدّ من تسلیم مصداق واجد للجزء؛ حتّی ینطبق علیه عنوان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لرفع الجزء و الشرط من مصداق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رفعه لا یکون مصداقاً للمأمور به ما لم یدلّ دلیل علی رفع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صدق الطبیعة المعتبرة فیها الجزء و الشرط علی المصداق الفاقد لهما، و لا معنی لحکومة دلیل الرفع علی الأدلّة الواقعیة مع عدم تعلّق النسیان بالنسبة إلیها، کما أنّه لا معنی لحکومته علی مصداق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رجوع عمّا ذکرناه أساساً لهذا البحث؛ فإنّ عقد هذا البحث إنّما هو بعد القول برفع الآثار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رفع نفس الجزء رفع جمیع آثاره الشرعیة التی منها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رفع الجزء إلی رفع جزئیة الجزء للمرکّب عند نسیان ذات الجزء، و یتقیّد دلیل إثبات الجزء بغیر حالة النسیان، و مرجع رفع جزئیته إلی کون المرکّب الفاقد تمام المأمور به، و إتیان ما هو تمام المأمور به یوجب الإجزاء و سقوط الأمر، و یکون بقاء الأمر بعد امتثاله بلا جهة و لا ملاک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رفع جزئیة المنسی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التذکّر</w:t>
      </w:r>
    </w:p>
    <w:p>
      <w:pPr>
        <w:pStyle w:val="BookText"/>
        <w:rPr/>
      </w:pPr>
      <w:r>
        <w:rPr>
          <w:rFonts w:ascii="IRNazanin" w:hAnsi="IRNazanin" w:eastAsia="IRNazanin"/>
          <w:color w:val="111111"/>
          <w:sz w:val="28"/>
          <w:sz w:val="28"/>
          <w:szCs w:val="28"/>
          <w:rtl w:val="true"/>
          <w:lang w:bidi="fa-IR"/>
        </w:rPr>
        <w:t>و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 لتحدید دائرة المأمور به فی حال النسیان بما عدا المنسی لکان لاستفادة الإجزاء و عدم وجوب الإعادة مجال، و لکن ذلک خارج عن عهدة حدیث الرفع؛ حیث إنّه لیس من شأنه إثبات التکلیف بالفاقد للمنسی، و إنّما شأنه مجرّد رفع التکلیف عن المنسی ما دام النسیان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ذلک الإشکال بعض محقّقی العصر، غیر أنّه یظهر ضعفه بعد المراجعة بما حرّرناه فی مبحث الإجزاء</w:t>
      </w:r>
      <w:r>
        <w:rPr>
          <w:rStyle w:val="FootnoteAnchor"/>
          <w:rtl w:val="true"/>
        </w:rPr>
        <w:footnoteReference w:id="56"/>
      </w:r>
      <w:r>
        <w:rPr>
          <w:rFonts w:ascii="IRNazanin" w:hAnsi="IRNazanin" w:eastAsia="IRNazanin"/>
          <w:color w:val="111111"/>
          <w:sz w:val="28"/>
          <w:sz w:val="28"/>
          <w:szCs w:val="28"/>
          <w:rtl w:val="true"/>
          <w:lang w:bidi="fa-IR"/>
        </w:rPr>
        <w:t>فإنّ معنی حکومته علی الأدلّة الواقعیة لیس إلّا تقیید الدلیل الدالّ علی جزئیته بغیر حالة النسیان، أو تخصیصه بغیر هذه الحالة، فلو أتی بالمرکّب الفاقد للجزء فقد امتثل الأمر الواقعی، و لا معنی بعدم الإجزاء بعد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الوقوف علی 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یحتاج إلی إثبات کون حدیث الرفع محدّداً لدائرة التکلیف أو متعرّضاً إلی بعد حال النسیان، أو غیر ذلک ممّا هو مذکور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الخلل فیما نقلناه عن بعض الأعاظم قدس سره</w:t>
      </w:r>
      <w:r>
        <w:rPr>
          <w:rStyle w:val="FootnoteAnchor"/>
          <w:rtl w:val="true"/>
        </w:rPr>
        <w:footnoteReference w:id="57"/>
      </w:r>
      <w:r>
        <w:rPr>
          <w:rFonts w:ascii="IRNazanin" w:hAnsi="IRNazanin" w:eastAsia="IRNazanin"/>
          <w:color w:val="111111"/>
          <w:sz w:val="28"/>
          <w:sz w:val="28"/>
          <w:szCs w:val="28"/>
          <w:rtl w:val="true"/>
          <w:lang w:bidi="fa-IR"/>
        </w:rPr>
        <w:t>إذ فیما أفاده مواقع للأنظار،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متعلّق الرفع إنّما هو نفس الجزء المنسی بما له من الآثار، و قد مرّ أنّ معنی رفعه إخراجه عن حدود الطبیعة المأمور بها، و أمّا ترک الجزء فلیس متعلّقاً له حتّی یرد علیه ما أفاد من أنّ الرفع لا یتعلّق بالأعدام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المترتّب علی الجزء و الشرط إنّما هو الجزئیة و الشرطیة،</w:t>
      </w:r>
    </w:p>
    <w:p>
      <w:pPr>
        <w:pStyle w:val="BookText"/>
        <w:rPr/>
      </w:pPr>
      <w:r>
        <w:rPr>
          <w:rFonts w:ascii="IRNazanin" w:hAnsi="IRNazanin" w:eastAsia="IRNazanin"/>
          <w:color w:val="111111"/>
          <w:sz w:val="28"/>
          <w:sz w:val="28"/>
          <w:szCs w:val="28"/>
          <w:rtl w:val="true"/>
          <w:lang w:bidi="fa-IR"/>
        </w:rPr>
        <w:t>و هما ممّا تنالهما ید الجعل باعتبار منشأ انتزاعهما، و لا یحتاج فی رفعهما إلی أثر آخر؛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و صحّة العبادة من الآثار العقلیة،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النظر فی ثالث الوجوه التی ذکرها قدس سره،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عبادة الناسی، و یکون المرکّب الفاقد تمام المأمور به فی حقّه فیما إذا أمکن تخصیص الناسی بالخطاب، و أمّا مع 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 الخطاب بقید أنّه ناسٍ یوجب انقلاب الموضوع إلی الذاکر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تصحیح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صحّحوا بها تخصیص الناسی بالخطاب</w:t>
      </w:r>
      <w:r>
        <w:rPr>
          <w:rStyle w:val="FootnoteAnchor"/>
          <w:rtl w:val="true"/>
        </w:rPr>
        <w:footnoteReference w:id="58"/>
      </w:r>
      <w:r>
        <w:rPr>
          <w:rFonts w:ascii="IRNazanin" w:hAnsi="IRNazanin" w:eastAsia="IRNazanin"/>
          <w:color w:val="111111"/>
          <w:sz w:val="28"/>
          <w:sz w:val="28"/>
          <w:szCs w:val="28"/>
          <w:rtl w:val="true"/>
          <w:lang w:bidi="fa-IR"/>
        </w:rPr>
        <w:t>و إن کان کلّها غیر خالٍ عن التکلّف، إلّا أنّ التصحیح لا یتوقّف علی تخصیصه بالتکلیف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الأمر المتعلّق بالصلاة فی الکتاب و السنّة کافٍ فی التصحیح؛ فإنّ الذاکر و الناسی إنّما یقصد بقیامه و قعوده امتثال تلک الخطابات المتعلّقة بالطبیعة التی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و الداعی إلی العمل و الباعث نحو الفعل فی الذاکر و الناسی أمر واحد بلا اختلاف فی هذه الجهة، و إنّما الاختلاف فی مصداق الطبیعة، و هو لا یوجب اختلافاً فی الأمر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الکامل و الفرد الناقص کلاهما فردان من الطبیعة المأمور بها، غیر أنّه یلزم علی الذاکر إیجادها فی ضمن ذلک الفرد الکامل، و علی الناسی إیجادها فی ضمن ذلک الناقص؛ لرفع جزئیة الجزء فی حقّ الناسی لأجل حکومة</w:t>
      </w:r>
    </w:p>
    <w:p>
      <w:pPr>
        <w:pStyle w:val="BookText"/>
        <w:rPr/>
      </w:pPr>
      <w:r>
        <w:rPr>
          <w:rFonts w:ascii="IRNazanin" w:hAnsi="IRNazanin" w:eastAsia="IRNazanin"/>
          <w:color w:val="111111"/>
          <w:sz w:val="28"/>
          <w:sz w:val="28"/>
          <w:szCs w:val="28"/>
          <w:rtl w:val="true"/>
          <w:lang w:bidi="fa-IR"/>
        </w:rPr>
        <w:t>الحدیث، و إیجاد الفرد إیجاد لنفس الطبیعة المأمور بها، و إیجادها مسقط للأمر محصّل للغرض موجب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فنزّل المقام بما دلّ علی الاکتفاء بالطهارة الترابیة عند فقدان الماء؛ فإنّ باعث الواجد و الفاقد إنّما هو أمر واحد؛ و هو الأوامر المؤکّدة فی الکتاب و السنّة، و المأمور به هو الطبیعة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یجب علی الواجد إیجادها بالطهارة المائیة و علی غیر المتمکّن إیجادها بالطهارة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المصداق لا یوجب تعدّد الأمر و الخطاب، و لا یوجب وقوع طبیعة الصلاة متعلّقاً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 الحال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المقام علیه؛ فإنّ حدیث الرفع یجعل الفاقد مصداق الطبیعة، و لا یصیر الطبیعة متعلّقة لأمرین، و لا تحتاج إلی خطابین، و لا إلی توجّهه بحاله، و لا إلی کون المصداق هو الناقص؛ حتّی یبحث عن إمکان اختصاص الناسی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ممّا ذکر صحّة عبادة الناسی بحدیث الرفع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قدس سره قد أیّد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حدیث الرفع عن إثبات صحّة عبادة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المدرک لصحّة الصلاة الفاقدة للجزء و الشرط نسیاناً إنّما هو قاعدة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المدرک حدیث الرفع کان اللازم صحّة الصلاة بمجرّد نسیان الجزء أو الشرط مطلقاً، من غیر فرق بین الأرکان و غیرها؛ فإنّه لا یمکن استفادة التفصیل من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یعهد من الفقهاء التمسّک بحدیث الرفع لصحّة الصلاة و غیرها من سائر المرکّبات</w:t>
      </w:r>
      <w:r>
        <w:rPr>
          <w:rStyle w:val="FootnoteAnchor"/>
          <w:rtl w:val="true"/>
        </w:rPr>
        <w:footnoteReference w:id="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التفصیل بین الأرکان و غیرها من قاعدة لا تعاد لا یوجب عدم کون حدیث الرفع دلیلًا لصحّة عبادة الناسی، غایة الأمر یلزم من الجمع بین الدلیلین تخصیص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یقتضیه الآخر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عدم معهودیة التمسّک به فی کلمات القوم فکفاه منعاً تمسّک 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و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عند البحث عن التکلّم فی الصلاة نسیاناً، و کلامهما و إن کان فی خصوص التکلّم إلّا أنّه یظهر من الذیل عمومیة الحدیث لجمیع الموارد إلّا ما قام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أنّ کلام الناسی لا یبطل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النسیان و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رفع الفعل؛ لأنّ ذلک لا یرفع، و إنّما أراد رفع الحکم، و ذلک عامّ فی جمیع الأحکام إلّا ما قام علیه دلیل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یقرب منه کلام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تبعهما العلّامة و الأردبیلی فی مواضع</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الشیخ الأعظم فی مسألة ترک غسل موضع النجو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أنّه تمسّک بالحدیث لنفی الإعادة فی مسألة ناسی النجاسة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قد تمسّک</w:t>
      </w:r>
      <w:r>
        <w:rPr>
          <w:rStyle w:val="FootnoteAnchor"/>
          <w:rtl w:val="true"/>
        </w:rPr>
        <w:footnoteReference w:id="66"/>
      </w:r>
      <w:r>
        <w:rPr>
          <w:rFonts w:ascii="IRNazanin" w:hAnsi="IRNazanin" w:eastAsia="IRNazanin"/>
          <w:color w:val="111111"/>
          <w:sz w:val="28"/>
          <w:sz w:val="28"/>
          <w:szCs w:val="28"/>
          <w:rtl w:val="true"/>
          <w:lang w:bidi="fa-IR"/>
        </w:rPr>
        <w:t>الشیخ الأعظم و غیره فی مواضع بحدیث الرفع لتصحیح الصلاة،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البیان جارٍ فی النسیان المستوعب للوقت و غیر المستوعب، بلا فرق بینهما أصلًا؛ لأنّ المفروض أنّ الطبیعة کما یتشخّص بالفرد الکامل کذلک یوجد بالناقص منه، و بعد تحقّق الطبیعة التی تعلّق بها الأمر لا معنی لبقاء الأمر؛ لحصول الامتثال بعد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أمراً واحداً متعلّقاً بنفس الطبیعة التی دلّت الأدلّة الواقعیة علی جزئیة الشی‌ء الفلانی أو شرطیته لها، و المفروض حکومة الحدیث علی تلک الأدلّة، و تخصیصها بحال الذکر أو بغیر حال النسیان، فیبقی إطلاق الأمر المتعلّق بالطبیعة بحالها، و یصیر الإتیان بالفرد الناقص إتیاناً بتمام المأمور به فی ذلک الحال، و هو یلازم الإجزاء و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النسیان مستوعباً أو غیر مستوعب لا یوجب فرقاً فی الحکم؛ فإنّ حکومة الحدیث فی جزء من الوقت کافٍ فی انطباق ما هو عنوان المأمور به علیه، و بانطباقه یسقط الأمر بلا إشکال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الإشکال فیما أفاده بعض أعاظم العصر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یصدق نسیان المأمور به عند نسیان الجزء فی جزء من الوقت مع التذکّر فی بقیّته؛ لأنّ المأمور به هو الفرد الکلّی الواجد لجمیع الأجزاء و الشرائط؛ و لو فی جزء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التذکّر فی أثناء الوقت یجب الإتیان بالمأمور به؛ لبقاء وقته لو کان المدرک حدیث الرفع؛ لأنّ المأتی به لا ینطبق علی المأمور به</w:t>
      </w:r>
      <w:r>
        <w:rPr>
          <w:rFonts w:eastAsia="IRNazanin" w:cs="IRNazanin"/>
          <w:color w:val="111111"/>
          <w:sz w:val="28"/>
          <w:szCs w:val="28"/>
          <w:rtl w:val="true"/>
          <w:lang w:bidi="fa-IR"/>
        </w:rPr>
        <w:t>.</w:t>
      </w:r>
      <w:bookmarkStart w:id="63" w:name="pg12912_111635"/>
    </w:p>
    <w:p>
      <w:pPr>
        <w:pStyle w:val="BookText"/>
        <w:rPr/>
      </w:pPr>
      <w:bookmarkEnd w:id="63"/>
      <w:r>
        <w:rPr>
          <w:rFonts w:ascii="IRNazanin" w:hAnsi="IRNazanin" w:eastAsia="IRNazanin"/>
          <w:color w:val="111111"/>
          <w:sz w:val="28"/>
          <w:sz w:val="28"/>
          <w:szCs w:val="28"/>
          <w:rtl w:val="true"/>
          <w:lang w:bidi="fa-IR"/>
        </w:rPr>
        <w:t>فلو لا حدیث لا تعاد کان اللازم هو إعادة الصلاة الفاقدة للجزء نسیاناً مع التذکّر فی أثناء الوقت</w:t>
      </w:r>
      <w:r>
        <w:rPr>
          <w:rStyle w:val="FootnoteAnchor"/>
          <w:rtl w:val="true"/>
        </w:rPr>
        <w:footnoteReference w:id="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بمواقع النظر فیما أفاده، فلا نطیل بتکرار ما سبق منّا</w:t>
      </w:r>
      <w:r>
        <w:rPr>
          <w:rFonts w:eastAsia="IRNazanin" w:cs="IRNazanin"/>
          <w:color w:val="111111"/>
          <w:sz w:val="28"/>
          <w:szCs w:val="28"/>
          <w:rtl w:val="true"/>
          <w:lang w:bidi="fa-IR"/>
        </w:rPr>
        <w:t>.</w:t>
      </w:r>
    </w:p>
    <w:p>
      <w:pPr>
        <w:pStyle w:val="Heading6"/>
        <w:numPr>
          <w:ilvl w:val="5"/>
          <w:numId w:val="1"/>
        </w:numPr>
        <w:rPr/>
      </w:pPr>
      <w:bookmarkStart w:id="64" w:name="__RefHeading___Toc3425369_3224264995"/>
      <w:bookmarkStart w:id="65" w:name="_Toc25"/>
      <w:bookmarkEnd w:id="64"/>
      <w:r>
        <w:rPr>
          <w:rtl w:val="true"/>
        </w:rPr>
        <w:t>القول فی نسیان الأسباب فی المعاملات</w:t>
      </w:r>
      <w:bookmarkEnd w:id="65"/>
    </w:p>
    <w:p>
      <w:pPr>
        <w:pStyle w:val="BookText"/>
        <w:rPr/>
      </w:pPr>
      <w:r>
        <w:rPr>
          <w:rFonts w:ascii="IRNazanin" w:hAnsi="IRNazanin" w:eastAsia="IRNazanin"/>
          <w:color w:val="111111"/>
          <w:sz w:val="28"/>
          <w:sz w:val="28"/>
          <w:szCs w:val="28"/>
          <w:rtl w:val="true"/>
          <w:lang w:bidi="fa-IR"/>
        </w:rPr>
        <w:t>إنّ ما ذکرنا کلّه فی ناحیة الجزء و الشرط جارٍ فی السبب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بعض أعاظم العصر قد أفاد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النسیان و الإکراه و الاضطرار فی ناحیتها لا یقتضی تأثیرها فی المسبّب و لا تندرج فی حدیث الرفع؛ لما تقدّم فی باب الأجزاء و الشرائط من أنّ حدیث الرفع لا یتکفّل تنزیل الفاقد منزلة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اضطرّ إلی إیقاع العقد بالفارسیة أو اکره علیه أو نسی العربیة کان العقد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 العقد الفارسی لا یقتضی وقوع العقد العربی، و لیس للعقد الفارسی أثر یصحّ رفعه بلحاظ رفع أثره، و شرطیة العربیة لیست منسیة حتّی یکون الرفع بلحاظ رفع الشرطیة</w:t>
      </w:r>
      <w:r>
        <w:rPr>
          <w:rStyle w:val="FootnoteAnchor"/>
          <w:rtl w:val="true"/>
        </w:rPr>
        <w:footnoteReference w:id="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تعلّق النسیان بأصل السبب أو بشرط من شرائطه العقلائیة الذی به قوام العقد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کإرادة تحقّق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بطلان المعاملة؛ إذ لیس هنا عقد عرفی حتّی یتّصف بالصحّة ظاهراً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تعلّق بشرط من شرائط الشرعیة، ککونه عربیاً، أو تقدّم الإیجاب علی القبول و نحو ذلک؛ فلا إشکال فی تصحیح العقد المذکور بحدیث الرفع؛</w:t>
      </w:r>
    </w:p>
    <w:p>
      <w:pPr>
        <w:pStyle w:val="BookText"/>
        <w:rPr/>
      </w:pPr>
      <w:r>
        <w:rPr>
          <w:rFonts w:ascii="IRNazanin" w:hAnsi="IRNazanin" w:eastAsia="IRNazanin"/>
          <w:color w:val="111111"/>
          <w:sz w:val="28"/>
          <w:sz w:val="28"/>
          <w:szCs w:val="28"/>
          <w:rtl w:val="true"/>
          <w:lang w:bidi="fa-IR"/>
        </w:rPr>
        <w:t>فإنّ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قطعاً فی نظر العرف، غیر أنّه فاقد للشرط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بحکومة الحدیث علی الشرائط؛ بمعنی رفع شرطیة العربیة أو تقدّمه علی القبول فی هذه الحالة یصیر العقد الصادر من العاقد عقداً مؤثّراً فی نظر الشارع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النسیان و إن تعلّق بإیجاد الشرط لا بشرطیته لکن لا قصور فی شمول الحدیث لذلک؛ لأنّ معنی رفع الشرط المنسی رفع شرطیته فی هذا الحال، و الاکتفاء بالمجرّد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أنّ رفع العقد الفارسی لا یقتضی وقوع العقد العربی فواضح الإشکال؛ لأنّ النسیان لم یتعلّق بالفارسی من العقد حتّی یترتّب علیه ما ذکر، بل إنّما تعلّق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رفع لشرطیته فی المقام، و رفع الشرطیة عین القول بکون ما صدر سبباً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بصحّة العقد المجرّد عن الشرط خلاف المنّة، بل فیه تکلیف المکلّف بوجوب الوفاء بالعقد، و لا یعدّ مثل ذلک امتناناً أصلًا</w:t>
      </w:r>
      <w:r>
        <w:rPr>
          <w:rStyle w:val="FootnoteAnchor"/>
          <w:rtl w:val="true"/>
        </w:rPr>
        <w:footnoteReference w:id="69"/>
      </w:r>
      <w:r>
        <w:rPr>
          <w:rFonts w:ascii="IRNazanin" w:hAnsi="IRNazanin" w:eastAsia="IRNazanin"/>
          <w:color w:val="111111"/>
          <w:sz w:val="28"/>
          <w:sz w:val="28"/>
          <w:szCs w:val="28"/>
          <w:rtl w:val="true"/>
          <w:lang w:bidi="fa-IR"/>
        </w:rPr>
        <w:t>، مدفوع بأنّ إنفاذ المعاملة و تصحیحها حسب ما تراضیا علیه امتنان جدّاً؛ إذ لیس وجوب الوفاء أمراً علی خلاف رضائه، بل هو ممّا أقدم المتعاقدان علیه بطیب نفسهما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فإنفاذ ما صدر عن المکلّف بطیب نفسه إحسان له، فأیّ منّة أعظم من تصحیح النکاح الذی مضی منه عشرون سنة، و قد رزق الوالدان طیلة هذه المدّة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ببطلان ما عقده بالفارسیة مع کون الحال کذلک من الامور الموحشة الغریبة التی یندهش منه المکلّف، و هذا بخلاف القول بالصحّة</w:t>
      </w:r>
      <w:r>
        <w:rPr>
          <w:rFonts w:eastAsia="IRNazanin" w:cs="IRNazanin"/>
          <w:color w:val="111111"/>
          <w:sz w:val="28"/>
          <w:szCs w:val="28"/>
          <w:rtl w:val="true"/>
          <w:lang w:bidi="fa-IR"/>
        </w:rPr>
        <w:t>.</w:t>
      </w:r>
      <w:bookmarkStart w:id="66" w:name="pg12912_111637"/>
    </w:p>
    <w:p>
      <w:pPr>
        <w:pStyle w:val="Heading6"/>
        <w:numPr>
          <w:ilvl w:val="5"/>
          <w:numId w:val="1"/>
        </w:numPr>
        <w:rPr/>
      </w:pPr>
      <w:bookmarkStart w:id="67" w:name="__RefHeading___Toc3425371_3224264995"/>
      <w:bookmarkStart w:id="68" w:name="_Toc26"/>
      <w:bookmarkEnd w:id="66"/>
      <w:bookmarkEnd w:id="67"/>
      <w:r>
        <w:rPr>
          <w:rtl w:val="true"/>
        </w:rPr>
        <w:t>القول فی الإکراه</w:t>
      </w:r>
      <w:bookmarkEnd w:id="68"/>
    </w:p>
    <w:p>
      <w:pPr>
        <w:pStyle w:val="BookText"/>
        <w:rPr/>
      </w:pPr>
      <w:r>
        <w:rPr>
          <w:rFonts w:ascii="IRNazanin" w:hAnsi="IRNazanin" w:eastAsia="IRNazanin"/>
          <w:color w:val="111111"/>
          <w:sz w:val="28"/>
          <w:sz w:val="28"/>
          <w:szCs w:val="28"/>
          <w:rtl w:val="true"/>
          <w:lang w:bidi="fa-IR"/>
        </w:rPr>
        <w:t>فإن تعلّق الإکراه علی ترک إیجاد السبب أو ما یعدّ أمراً مقوّماً للعقد فهو کالنسیان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تعلّق الإکراه بإیجاد مانع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العاقد مضطرّاً اضطراراً عادیاً أو شرعیاً لإیجاد العقد، و المکرِه یکرهه علی إیجاده فالظاهر جواز التمسّک به لرفع مانعیة المانع فی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 تفصیله فی مبحث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مضطرّاً للعقد فالظاهر عدم صحّة التمسّک؛ لعدم صدق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الإکراه بترک الجزء و الشرط فقد بنینا سابقاً علی صحّة التمسّک بالحدیث علی رفع جزئیته أو شرطیته فی حال الإکراه إذا کان مضطرّاً فی أصل العقد عادة أو شرعاً</w:t>
      </w:r>
      <w:r>
        <w:rPr>
          <w:rStyle w:val="FootnoteAnchor"/>
          <w:rtl w:val="true"/>
        </w:rPr>
        <w:footnoteReference w:id="70"/>
      </w:r>
      <w:r>
        <w:rPr>
          <w:rFonts w:ascii="IRNazanin" w:hAnsi="IRNazanin" w:eastAsia="IRNazanin"/>
          <w:color w:val="111111"/>
          <w:sz w:val="28"/>
          <w:sz w:val="28"/>
          <w:szCs w:val="28"/>
          <w:rtl w:val="true"/>
          <w:lang w:bidi="fa-IR"/>
        </w:rPr>
        <w:t>، غیر أنّه عدلنا عنه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المختار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الحدیث لرفعهما فی هذه الحالة؛ لأنّ الإکراه قد تعلّق بترک الجزء و الشرط، و لیس للترک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شرعی قابل للرفع غیر البطلان و وجوب الإعادة، و هو لیس أثراً شرعیاً، بل من الامور العقلیة الواضحة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 یرجع إلی الشارع لیس إلّا جعل الجزئیة و الشرطیة تبعاً أو استقلالًا، بناءً علی صحّة جعلهما أو إسقاطهما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إیجاب الإعادة و القضاء بعد عدم انطباق المأمور به للمأتی به فإنّما هو أمر عقلی یدرکه هو عند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الرفع عند الإکراه علی ترک جزء أو شرط إلی رفع جزئیته و شرطیته فی هذه الحالة، کما مرّ توضیحه فی رافعیة النسیان إذا تعلّق بنفس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المرفوع لا بدّ و أن یکون ما هو متعلّق العنوان؛ و لو باعتبار أنّه أثر لما تعلّق به العنوان، کالجزئیة عند تعلّق النسیان بنفس الجزء، و أمّا المقام فلم یتعلّق الإکراه إلّا بنفس ترک الجزء و الشرط، و الجزئیة لیست من آثار نفس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لنفس الترک أثر شرعی یرتفع أثره الشرعی عند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الإعادة مترتّب علی بقاء الأمر الأوّل، کترتّب عدم وجوبها علی عدم بقائه، فإذا کان بقاء الأمر کحدوثه أمراً شرعیاً تناله ید الجعل و الرفع، فلا محذور فی التمسّک بالحدیث لنفی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الإعادة لیس أثراً شرعیاً فی حدّ نفسه، و لا أثراً مجعولًا لبقاء الأمر الأوّل، بل هو أمر عقلی منتزع، یحکم به إذا أدرک مناط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یری فی الأخبار من الأمر بالإعادة فإنّما هو إرشاد إلی فساد المأتی به و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التارک للإعادة لا یستحقّ إلّا عقاباً واحداً لأجل عدم الإتیان بالمأمور به، لا لترک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العقابین کاحتمال انقلاب التکلیف إلی وجوب الإعادة باطل بالضرورة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إن تعلّق بإیجاد المانع فیمکن أن یتمسّک بحدیث الرفع لتصحیح المأتی به، و أمّا إذا تعلّق بترک الجزء و الشرط فلا، کما ظهر الفرق بین نسیان الجزء و الشرط و بین ترکهما لأجل الإکراه، فلاحظ</w:t>
      </w:r>
      <w:r>
        <w:rPr>
          <w:rFonts w:eastAsia="IRNazanin" w:cs="IRNazanin"/>
          <w:color w:val="111111"/>
          <w:sz w:val="28"/>
          <w:szCs w:val="28"/>
          <w:rtl w:val="true"/>
          <w:lang w:bidi="fa-IR"/>
        </w:rPr>
        <w:t>.</w:t>
      </w:r>
      <w:bookmarkStart w:id="69" w:name="pg12912_111639"/>
    </w:p>
    <w:p>
      <w:pPr>
        <w:pStyle w:val="Heading6"/>
        <w:numPr>
          <w:ilvl w:val="5"/>
          <w:numId w:val="1"/>
        </w:numPr>
        <w:rPr/>
      </w:pPr>
      <w:bookmarkStart w:id="70" w:name="__RefHeading___Toc3425373_3224264995"/>
      <w:bookmarkStart w:id="71" w:name="_Toc27"/>
      <w:bookmarkEnd w:id="69"/>
      <w:bookmarkEnd w:id="70"/>
      <w:r>
        <w:rPr>
          <w:rtl w:val="true"/>
        </w:rPr>
        <w:t>القول فی الاضطرار</w:t>
      </w:r>
      <w:bookmarkEnd w:id="71"/>
    </w:p>
    <w:p>
      <w:pPr>
        <w:pStyle w:val="BookText"/>
        <w:rPr/>
      </w:pPr>
      <w:r>
        <w:rPr>
          <w:rFonts w:ascii="IRNazanin" w:hAnsi="IRNazanin" w:eastAsia="IRNazanin"/>
          <w:color w:val="111111"/>
          <w:sz w:val="28"/>
          <w:sz w:val="28"/>
          <w:szCs w:val="28"/>
          <w:rtl w:val="true"/>
          <w:lang w:bidi="fa-IR"/>
        </w:rPr>
        <w:t>فقد ظهر حاله ممّا فصّلناه فی حال الإکراه حرفاً بحرف،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بما له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بإتیان حرام نفسی أو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ارتفاع الحرمة بالاضطرار؛ أی حرمة فعله فی الحرام، و مبغوضیة ترکه فی الواجب، بناءً علی الملازمة العرفیة بین الأمر بالشی‌ء و مبغوضیة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بإیجاد مانع فی أثناء المعاملة أو العبادة فلا إشکال فی صحّة العمل برفع المانعیة فی ذلک الظرف، کما مرّ بیانه فی النسیان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بترک جزء أو شرط فلا یمکن تصحیح العمل به حسب ما أوضحناه فی الإکراه، فلا نعیده</w:t>
      </w:r>
      <w:r>
        <w:rPr>
          <w:rFonts w:eastAsia="IRNazanin" w:cs="IRNazanin"/>
          <w:color w:val="111111"/>
          <w:sz w:val="28"/>
          <w:szCs w:val="28"/>
          <w:rtl w:val="true"/>
          <w:lang w:bidi="fa-IR"/>
        </w:rPr>
        <w:t>.</w:t>
      </w:r>
    </w:p>
    <w:p>
      <w:pPr>
        <w:pStyle w:val="Heading6"/>
        <w:numPr>
          <w:ilvl w:val="5"/>
          <w:numId w:val="1"/>
        </w:numPr>
        <w:rPr/>
      </w:pPr>
      <w:bookmarkStart w:id="72" w:name="__RefHeading___Toc3425375_3224264995"/>
      <w:bookmarkStart w:id="73" w:name="_Toc28"/>
      <w:bookmarkEnd w:id="72"/>
      <w:r>
        <w:rPr>
          <w:rtl w:val="true"/>
        </w:rPr>
        <w:t>القول فی المسبّبات</w:t>
      </w:r>
      <w:bookmarkEnd w:id="73"/>
    </w:p>
    <w:p>
      <w:pPr>
        <w:pStyle w:val="BookText"/>
        <w:rPr/>
      </w:pPr>
      <w:r>
        <w:rPr>
          <w:rFonts w:ascii="IRNazanin" w:hAnsi="IRNazanin" w:eastAsia="IRNazanin"/>
          <w:color w:val="111111"/>
          <w:sz w:val="28"/>
          <w:sz w:val="28"/>
          <w:szCs w:val="28"/>
          <w:rtl w:val="true"/>
          <w:lang w:bidi="fa-IR"/>
        </w:rPr>
        <w:t>فلنذکر ما أفاده بعض أعاظم العصر، ثمّ نعقّبه بما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المسبّبات علی قسمین، فهی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الامور الاعتباریة التی لیس بحذائها فی وعاء العین شی‌ء، کالملکیة و الزوجیة ممّا أمضاها الشارع، فهذا القسم من الأحکام الوضعیة یستقلّ بالجعل؛ فلو فرض أنّه أمکن أن یقع المسبّب عن إکراه و نحوه کان للتمسّک بحدیث الرفع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المسبّب منزلة المعدوم فی عدم ترتّب الآثار المترتّبة علی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تعلّق بالآثار، بل تعلّق بنفس المسبّب؛ لأنّه بنفسه ممّا تناله ید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المسبّب من الامور الواقعیة التی کشف عنها الشارع، کالطهارة و النجاسة؛ فإنّها غیر قابلة للرفع التشریعی، و لا تناله ید الجعل 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أن یتعلّق الرفع التشریعی بها بلحاظ ما رتّب علیها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عدم وجوب الغسل علی من اکره علی الجنابة، أو عدم وجوب التطهیر علی من اکره علی النجاسة؛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الجنابة المکره علیها و إن لم تقبل الرفع التشریعی إلّا أنّها باعتبار ما لها من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الغسل و التطهیر أمران وجودیان قد أمر بهما الشارع عقیب الجنابة و النجاسة مطلقاً؛ من غیر فرق بین الجنابة الاختیاریة و غیرها</w:t>
      </w:r>
      <w:r>
        <w:rPr>
          <w:rStyle w:val="FootnoteAnchor"/>
          <w:rtl w:val="true"/>
        </w:rPr>
        <w:footnoteReference w:id="71"/>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تفصّی به عن الإشکال غیر صحیح؛ فإنّ کونهما أمرین وجودیین لا یوجب عدم صحّة رفعهما، کما أنّ إطلاق الدلیل فی الجنابة الاختیاریة و غیرها لا یمنع عن الرفع؛ ضرورة أنّ الغرض حکومة الحدیث علی الإطلاقات الأوّلیة، بل الإطلاق مصحّح للحکومة،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 فی التفصّی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تحقّق فی محلّه أنّ الغسل مستحبّ نفسی قد جعل بهذه الحیثیة مقدّمة للصلاة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فالمرفوع بالحدیث فی الصورة المفروضة لو کان هو الاستحباب النفسی فغیر صحیح؛ لأنّ الحدیث حدیث امتنان، و لا منّة فی رفع المستحبّات</w:t>
      </w:r>
      <w:r>
        <w:rPr>
          <w:rFonts w:eastAsia="IRNazanin" w:cs="IRNazanin"/>
          <w:color w:val="111111"/>
          <w:sz w:val="28"/>
          <w:szCs w:val="28"/>
          <w:rtl w:val="true"/>
          <w:lang w:bidi="fa-IR"/>
        </w:rPr>
        <w:t>.</w:t>
      </w:r>
      <w:bookmarkStart w:id="74" w:name="pg12912_111641"/>
    </w:p>
    <w:p>
      <w:pPr>
        <w:pStyle w:val="BookText"/>
        <w:rPr/>
      </w:pPr>
      <w:bookmarkEnd w:id="74"/>
      <w:r>
        <w:rPr>
          <w:rFonts w:ascii="IRNazanin" w:hAnsi="IRNazanin" w:eastAsia="IRNazanin"/>
          <w:color w:val="111111"/>
          <w:sz w:val="28"/>
          <w:sz w:val="28"/>
          <w:szCs w:val="28"/>
          <w:rtl w:val="true"/>
          <w:lang w:bidi="fa-IR"/>
        </w:rPr>
        <w:t>و إن کان المرفوع شرطیته للصلاة فلا ریب أنّ الإکراه إنّما یتحقّق إذا اکره علی ترک الغسل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فلو ضاق الوقت و تمکّن المکلّف من التیمّم فلا إشکال فی أنّه یتبدّل تکلیفه إلی التیمّم، و إن لم یتمکّن منه؛ بأن اکره علی ترکه أیضاً صار کفاقد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سقوط التکلیف عن فاقده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الطهارة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الخبثیة من الطهارة فلو أکرهه المکرِه علی ترک غسل البدن و الساتر، إلی أن ضاق الوقت فلا ریب أنّه یجب علیه الصلاة کذلک، فیرفع شرطیة الطهارة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أن یخفّف ثوبه و نزعه فیجب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فعلیه الصلاة به، و یصیر المقام من صغریات الإکراه بإیجاد المانع، و قد مرّ حکمه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3425377_3224264995"/>
      <w:bookmarkStart w:id="76" w:name="_Toc29"/>
      <w:bookmarkEnd w:id="75"/>
      <w:r>
        <w:rPr>
          <w:rtl w:val="true"/>
        </w:rPr>
        <w:t>بحث و تحقیق فی عدم اختصاص رافعیة الإکراه بباب المعاملات بالمعنی الأخصّ</w:t>
      </w:r>
      <w:bookmarkEnd w:id="76"/>
    </w:p>
    <w:p>
      <w:pPr>
        <w:pStyle w:val="BookText"/>
        <w:rPr/>
      </w:pPr>
      <w:r>
        <w:rPr>
          <w:rFonts w:ascii="IRNazanin" w:hAnsi="IRNazanin" w:eastAsia="IRNazanin"/>
          <w:color w:val="111111"/>
          <w:sz w:val="28"/>
          <w:sz w:val="28"/>
          <w:szCs w:val="28"/>
          <w:rtl w:val="true"/>
          <w:lang w:bidi="fa-IR"/>
        </w:rPr>
        <w:t>إنّ بعض محقّقی العصر قدس سره قد قال باختصاص مجری الرفع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بباب المعاملات بالمعنی الأخصّ، بعکس الرفع فی الاضطرار، فلا یجری فی التکلیفیات من الواجبات و المحرّمات؛ لأنّ الإکراه علی الشی‌ء یصدق بمجرّد عدم الرضا بإیجاده، و مع التوعید الیسیر أو أخذ مال کذلک، مع أنّه غیر مسوغ لترک الواجب أو الإتیان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بلغ ذلک إلی حدّ الحرج جاز ذلک، و لکنّه لأجل الحرج لا الإکراه</w:t>
      </w:r>
      <w:r>
        <w:rPr>
          <w:rStyle w:val="FootnoteAnchor"/>
          <w:rtl w:val="true"/>
        </w:rPr>
        <w:footnoteReference w:id="7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اختصاصه بالضرورة للمعاملات بالمعنی الأخصّ؛ لجریانه فی الطلاق و النکاح و الوصیة و غیرها من المعاملات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یوجب الاختصاص، بل یوجب اختصاص رافعیة الإکراه لبعض مراتبه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ورد فی بعض الروایات</w:t>
      </w:r>
      <w:r>
        <w:rPr>
          <w:rStyle w:val="FootnoteAnchor"/>
          <w:rtl w:val="true"/>
        </w:rPr>
        <w:footnoteReference w:id="75"/>
      </w:r>
      <w:r>
        <w:rPr>
          <w:rFonts w:ascii="IRNazanin" w:hAnsi="IRNazanin" w:eastAsia="IRNazanin"/>
          <w:color w:val="111111"/>
          <w:sz w:val="28"/>
          <w:sz w:val="28"/>
          <w:szCs w:val="28"/>
          <w:rtl w:val="true"/>
          <w:lang w:bidi="fa-IR"/>
        </w:rPr>
        <w:t>فی تفسیر</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الذی ورد فی شأن عمّار</w:t>
      </w:r>
      <w:r>
        <w:rPr>
          <w:rStyle w:val="FootnoteAnchor"/>
          <w:rtl w:val="true"/>
        </w:rPr>
        <w:footnoteReference w:id="77"/>
      </w:r>
      <w:r>
        <w:rPr>
          <w:rFonts w:ascii="IRNazanin" w:hAnsi="IRNazanin" w:eastAsia="IRNazanin"/>
          <w:color w:val="111111"/>
          <w:sz w:val="28"/>
          <w:sz w:val="28"/>
          <w:szCs w:val="28"/>
          <w:rtl w:val="true"/>
          <w:lang w:bidi="fa-IR"/>
        </w:rPr>
        <w:t>، و من المعلوم أنّ ما صدر من عمّار من التبرّی عن اللَّه و رسوله کان حراماً تکلیفیاً قد ارتفع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حقّ الزوجة المکرهة علی الجماع فی یوم رمضان</w:t>
      </w:r>
      <w:r>
        <w:rPr>
          <w:rStyle w:val="FootnoteAnchor"/>
          <w:rtl w:val="true"/>
        </w:rPr>
        <w:footnoteReference w:id="78"/>
      </w:r>
      <w:r>
        <w:rPr>
          <w:rFonts w:ascii="IRNazanin" w:hAnsi="IRNazanin" w:eastAsia="IRNazanin"/>
          <w:color w:val="111111"/>
          <w:sz w:val="28"/>
          <w:sz w:val="28"/>
          <w:szCs w:val="28"/>
          <w:rtl w:val="true"/>
          <w:lang w:bidi="fa-IR"/>
        </w:rPr>
        <w:t>، و فی حقّ المکرهة علی الزنا</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علیهما عند الإکراه، و هذا یدلّ علی عمومیة رافعیة الإکراه للوضعی و التکلیفی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من أنّ الإکراه إن وصل إلی الحرج جاز ذلک، إلّا أنّه من جهة الحرج لا الإکراه، مدفوع بأنّ التدبّر فی الروایات و الآیة یعطی أنّ علّة ارتفاع الحکم لأجل کون المکلّف مکرهاً</w:t>
      </w:r>
      <w:r>
        <w:rPr>
          <w:rFonts w:eastAsia="IRNazanin" w:cs="IRNazanin"/>
          <w:color w:val="111111"/>
          <w:sz w:val="28"/>
          <w:szCs w:val="28"/>
          <w:rtl w:val="true"/>
          <w:lang w:bidi="fa-IR"/>
        </w:rPr>
        <w:t>.</w:t>
      </w:r>
      <w:bookmarkStart w:id="77" w:name="pg12912_111643"/>
    </w:p>
    <w:p>
      <w:pPr>
        <w:pStyle w:val="BookText"/>
        <w:rPr/>
      </w:pPr>
      <w:bookmarkEnd w:id="77"/>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الشدید لأجل توعیده بأمر لا یتحمّل عادة لا یوجب کون المکرَه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متعلّق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حرجیاً، إلّا مع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أکرهه المکره علی شرب الخمر و أوعده بالضرب و الجرح فما هو متعلّق الإکراه لیس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ترکه حرجیاً لأجل ما یترتّب علیه عند الترک لا یوجب اتّصاف متعلّق الإکراه بالحرج إلّا بالتکلّف، و هذا بخلاف الإکراه؛ فإنّ الشرب متعلّق للإکراه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الضرورة قاضیة علی عدم کفایة الإکراه لارتکاب بعض المحرّمات، و هو لیس بأمر غریب، و لها نظائر و شواهد فی الفقه؛ فإنّ بعض العظائم من المحرّمات لا یمکن رفع حکمه بالحدیث بعامّة عناوینها، و لا بعنوان آخر کالتقیّة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تفصیل ذلک فی الرسالة</w:t>
      </w:r>
      <w:r>
        <w:rPr>
          <w:rStyle w:val="FootnoteAnchor"/>
          <w:rtl w:val="true"/>
        </w:rPr>
        <w:footnoteReference w:id="80"/>
      </w:r>
      <w:r>
        <w:rPr>
          <w:rFonts w:ascii="IRNazanin" w:hAnsi="IRNazanin" w:eastAsia="IRNazanin"/>
          <w:color w:val="111111"/>
          <w:sz w:val="28"/>
          <w:sz w:val="28"/>
          <w:szCs w:val="28"/>
          <w:rtl w:val="true"/>
          <w:lang w:bidi="fa-IR"/>
        </w:rPr>
        <w:t>التی عملناها لبیان حال التقیّة، فراجع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3425379_3224264995"/>
      <w:bookmarkStart w:id="79" w:name="_Toc30"/>
      <w:bookmarkEnd w:id="78"/>
      <w:r>
        <w:rPr>
          <w:rtl w:val="true"/>
        </w:rPr>
        <w:t>الأمر السابع</w:t>
      </w:r>
      <w:r>
        <w:rPr>
          <w:rtl w:val="true"/>
        </w:rPr>
        <w:t xml:space="preserve">: </w:t>
      </w:r>
      <w:r>
        <w:rPr>
          <w:rtl w:val="true"/>
        </w:rPr>
        <w:t>تصحیح العبادة بالحدیث عند الشکّ فی المانعیة</w:t>
      </w:r>
      <w:bookmarkEnd w:id="79"/>
    </w:p>
    <w:p>
      <w:pPr>
        <w:pStyle w:val="BookText"/>
        <w:rPr/>
      </w:pPr>
      <w:r>
        <w:rPr>
          <w:rFonts w:ascii="IRNazanin" w:hAnsi="IRNazanin" w:eastAsia="IRNazanin"/>
          <w:color w:val="111111"/>
          <w:sz w:val="28"/>
          <w:sz w:val="28"/>
          <w:szCs w:val="28"/>
          <w:rtl w:val="true"/>
          <w:lang w:bidi="fa-IR"/>
        </w:rPr>
        <w:t>قد فصّل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مانعیة شی‌ء للصلاة بین الشبهة الموضوعیة و الحکمیة، فاستشکل جریان البراءة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فیها إنّما یکون ما دام شاکّاً، فإذا قطع بالمانعیة یجب علیه الإعادة، و لا یمکن القول بتخصیص المانع بما علم مانعیته؛ فإنّه مستحیل، بخلاف الشبهة الموضوعیة؛ لإمکان ذلک فیها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المستحیل إنّما هو جعل المانعیة ابتداءً فی حقّ العالم بالمانعیة،</w:t>
      </w:r>
      <w:bookmarkStart w:id="80" w:name="pg12912_111644"/>
    </w:p>
    <w:p>
      <w:pPr>
        <w:pStyle w:val="BookText"/>
        <w:rPr/>
      </w:pPr>
      <w:bookmarkEnd w:id="80"/>
      <w:r>
        <w:rPr>
          <w:rFonts w:ascii="IRNazanin" w:hAnsi="IRNazanin" w:eastAsia="IRNazanin"/>
          <w:color w:val="111111"/>
          <w:sz w:val="28"/>
          <w:sz w:val="28"/>
          <w:szCs w:val="28"/>
          <w:rtl w:val="true"/>
          <w:lang w:bidi="fa-IR"/>
        </w:rPr>
        <w:t>لاستلزامه الدور، و أمّا جعلها ابتداءً بنحو الإطلاق، ثمّ إخراج ما هو مشکوک مانعیته ببرکة حدیث الرفع؛ بأن یرفع فعلیة مانعیته فی ظرف مخصوص فلیس بمستحیل، بل واقع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نبذ من الکلام فی الإجزاء</w:t>
      </w:r>
      <w:r>
        <w:rPr>
          <w:rStyle w:val="FootnoteAnchor"/>
          <w:rtl w:val="true"/>
        </w:rPr>
        <w:footnoteReference w:id="83"/>
      </w:r>
      <w:r>
        <w:rPr>
          <w:rFonts w:ascii="IRNazanin" w:hAnsi="IRNazanin" w:eastAsia="IRNazanin"/>
          <w:color w:val="111111"/>
          <w:sz w:val="28"/>
          <w:sz w:val="28"/>
          <w:szCs w:val="28"/>
          <w:rtl w:val="true"/>
          <w:lang w:bidi="fa-IR"/>
        </w:rPr>
        <w:t>و فی البحث عن الجمع بین الأحکام الواقعیة و الظاهریة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الاکتفاء بما أتی به المکلّف و سقوط الإعادة و القضاء فقد مرّ بحثه تفصیلًا</w:t>
      </w:r>
      <w:r>
        <w:rPr>
          <w:rStyle w:val="FootnoteAnchor"/>
          <w:rtl w:val="true"/>
        </w:rPr>
        <w:footnoteReference w:id="85"/>
      </w:r>
      <w:r>
        <w:rPr>
          <w:rFonts w:ascii="IRNazanin" w:hAnsi="IRNazanin" w:eastAsia="IRNazanin"/>
          <w:color w:val="111111"/>
          <w:sz w:val="28"/>
          <w:sz w:val="28"/>
          <w:szCs w:val="28"/>
          <w:rtl w:val="true"/>
          <w:lang w:bidi="fa-IR"/>
        </w:rPr>
        <w:t>،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الحدیث علی الأدلّة الأوّلیة یقتضی قصر المانعیة علی غیر هذه الصور التی یوجد فیها إحدی العناوین المذکورة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فالآتی بالمأمور به مع المانع آتٍ لما هو تمام المأمور به، و لازمه سقوط الأمر و انتفاء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غیض من فیض، و قلیل من کثیر ممّا ذکره الأساطین حول الحدیث</w:t>
      </w:r>
      <w:r>
        <w:rPr>
          <w:rFonts w:eastAsia="IRNazanin" w:cs="IRNazanin"/>
          <w:color w:val="111111"/>
          <w:sz w:val="28"/>
          <w:szCs w:val="28"/>
          <w:rtl w:val="true"/>
          <w:lang w:bidi="fa-IR"/>
        </w:rPr>
        <w:t>.</w:t>
      </w:r>
    </w:p>
    <w:p>
      <w:pPr>
        <w:pStyle w:val="Heading6"/>
        <w:numPr>
          <w:ilvl w:val="5"/>
          <w:numId w:val="1"/>
        </w:numPr>
        <w:rPr/>
      </w:pPr>
      <w:bookmarkStart w:id="81" w:name="__RefHeading___Toc3425381_3224264995"/>
      <w:bookmarkStart w:id="82" w:name="_Toc31"/>
      <w:bookmarkEnd w:id="81"/>
      <w:r>
        <w:rPr>
          <w:rtl w:val="true"/>
        </w:rPr>
        <w:t>الروایة الثانیة</w:t>
      </w:r>
      <w:r>
        <w:rPr>
          <w:rtl w:val="true"/>
        </w:rPr>
        <w:t xml:space="preserve">: </w:t>
      </w:r>
      <w:r>
        <w:rPr>
          <w:rtl w:val="true"/>
        </w:rPr>
        <w:t>حدیث الحَجْب</w:t>
      </w:r>
      <w:bookmarkEnd w:id="82"/>
    </w:p>
    <w:p>
      <w:pPr>
        <w:pStyle w:val="BookText"/>
        <w:rPr/>
      </w:pPr>
      <w:r>
        <w:rPr>
          <w:rFonts w:ascii="IRNazanin" w:hAnsi="IRNazanin" w:eastAsia="IRNazanin"/>
          <w:color w:val="111111"/>
          <w:sz w:val="28"/>
          <w:sz w:val="28"/>
          <w:szCs w:val="28"/>
          <w:rtl w:val="true"/>
          <w:lang w:bidi="fa-IR"/>
        </w:rPr>
        <w:t>ممّا استدلّ به علی البراءة</w:t>
      </w:r>
    </w:p>
    <w:p>
      <w:pPr>
        <w:pStyle w:val="BookText"/>
        <w:rPr/>
      </w:pPr>
      <w:r>
        <w:rPr>
          <w:rFonts w:ascii="IRNazanin" w:hAnsi="IRNazanin" w:eastAsia="IRNazanin"/>
          <w:color w:val="111111"/>
          <w:sz w:val="28"/>
          <w:sz w:val="28"/>
          <w:szCs w:val="28"/>
          <w:rtl w:val="true"/>
          <w:lang w:bidi="fa-IR"/>
        </w:rPr>
        <w:t>ما رواه الصدوق عن أحمد بن محمّد بن یحیی عن أبیه عن أحمد بن محمّد بن عیسی عن ابن فضّال عن داود بن فرقد عن أبی الحسن زکریّا بن یحیی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الکلینی عن محمّد بن یحیی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أمّا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بادئ الأمر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ما حجب اللَّه علمه عن مجموع المکلّفین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ما حجب اللَّه علمه عن کلّ فردٍ فردٍ من أفراد المکلّفین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کلّ من حجب اللَّه علم شی‌ء عنه فهو مرفوع عنه؛ سواء کان معلوماً لغیره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المطابق للذوق السلیم هو الثالث، کما هو المراد من قوله صلی الله علیه و آله و سلم فی حدیث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مناسبة الحکم و الموضوع یقتضی ذلک؛ فإنّ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للرفع هو الحجب عن المکلّف، و حجبه عن الغیر و عدمه لا دخل له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رفع ما هو المجعول بحسب الواقع، کما هو المراد فی حدیث الرفع، لا ما لم یجعل و سکت عنه تعالی من أوّل الأمر؛ فإنّه ما لم یجعل من بدو الأمر فکیف 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الظاهر من الحجب هو الحجب الخارج من اختیار المکلّف، لا الحجب المستند إلی تقصیره و عدم فحصه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یعمّ کلّ حجب لم یکن مستنداً لتقصیره؛ لأجل ضیاع الکتب أو طول الزمان أو قصور البیان أو حدوث حوادث و نزول نوازل و ملمّات عائقة بحسب الطبع عن بلوغ الأحکام إلی العباد علی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یکون إسناد الحجب إلیه علی سبیل المجاز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کثیر فی الکتاب و السنّة؛ فإنّ مطلق تلک الأفعال یسند إلیه تعالی بکثیر، من دون أن یکون خلاف ظاهر فی نظر العرف</w:t>
      </w:r>
      <w:r>
        <w:rPr>
          <w:rFonts w:eastAsia="IRNazanin" w:cs="IRNazanin"/>
          <w:color w:val="111111"/>
          <w:sz w:val="28"/>
          <w:szCs w:val="28"/>
          <w:rtl w:val="true"/>
          <w:lang w:bidi="fa-IR"/>
        </w:rPr>
        <w:t>.</w:t>
      </w:r>
      <w:bookmarkStart w:id="83" w:name="pg12912_111646"/>
    </w:p>
    <w:p>
      <w:pPr>
        <w:pStyle w:val="BookText"/>
        <w:rPr/>
      </w:pPr>
      <w:bookmarkEnd w:id="83"/>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أفاده الشیخ الأعظم</w:t>
      </w:r>
      <w:r>
        <w:rPr>
          <w:rStyle w:val="FootnoteAnchor"/>
          <w:rtl w:val="true"/>
        </w:rPr>
        <w:footnoteReference w:id="89"/>
      </w:r>
      <w:r>
        <w:rPr>
          <w:rFonts w:ascii="IRNazanin" w:hAnsi="IRNazanin" w:eastAsia="IRNazanin"/>
          <w:color w:val="111111"/>
          <w:sz w:val="28"/>
          <w:sz w:val="28"/>
          <w:szCs w:val="28"/>
          <w:rtl w:val="true"/>
          <w:lang w:bidi="fa-IR"/>
        </w:rPr>
        <w:t>من أنّ الظاهر من الحدیث ما لم یبیّنه للعباد و تعلّقت عنایته تعالی بمنع اطّلاع العباد علیه؛ لعدم أمر رسله بتبلیغه حتّی یصحّ إسناد الحجب إلیه تعالی، فالروایة مساوقة</w:t>
      </w:r>
    </w:p>
    <w:p>
      <w:pPr>
        <w:pStyle w:val="BookText"/>
        <w:rPr/>
      </w:pPr>
      <w:r>
        <w:rPr>
          <w:rFonts w:ascii="IRNazanin" w:hAnsi="IRNazanin" w:eastAsia="IRNazanin"/>
          <w:color w:val="111111"/>
          <w:sz w:val="28"/>
          <w:sz w:val="28"/>
          <w:szCs w:val="28"/>
          <w:rtl w:val="true"/>
          <w:lang w:bidi="fa-IR"/>
        </w:rPr>
        <w:t>لما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سکت عن أشیاء لم یسکت عنها نسیانا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المتبادر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رفع ما هو المجعول، لا رفع ما لم یبیّن من رأس و لم یبلّغ، بل لم یأمر الرسل بإظهاره؛ فإنّ ما کان کذلک غیر موضوع بالضرورة و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مخالف لظاهر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للمناسبة المغروسة فی ذهن أهل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لهم لاختیار هذا المعنی تصوّر أنّ إسناد الحجب إلی اللَّه تعالی لا یصحّ إلّا فی تلک الصورة، و أمّا إذا کان علّة الحجب إخفاء الظالمین و ضیاع الکتب فالحاجب نفس العباد، لا هو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جوابه، فلا نکرّره</w:t>
      </w:r>
      <w:r>
        <w:rPr>
          <w:rFonts w:eastAsia="IRNazanin" w:cs="IRNazanin"/>
          <w:color w:val="111111"/>
          <w:sz w:val="28"/>
          <w:szCs w:val="28"/>
          <w:rtl w:val="true"/>
          <w:lang w:bidi="fa-IR"/>
        </w:rPr>
        <w:t>.</w:t>
      </w:r>
    </w:p>
    <w:p>
      <w:pPr>
        <w:pStyle w:val="Heading6"/>
        <w:numPr>
          <w:ilvl w:val="5"/>
          <w:numId w:val="1"/>
        </w:numPr>
        <w:rPr/>
      </w:pPr>
      <w:bookmarkStart w:id="84" w:name="__RefHeading___Toc3425383_3224264995"/>
      <w:bookmarkStart w:id="85" w:name="_Toc32"/>
      <w:bookmarkEnd w:id="84"/>
      <w:r>
        <w:rPr>
          <w:rtl w:val="true"/>
        </w:rPr>
        <w:t>الروایة الثالثة</w:t>
      </w:r>
      <w:r>
        <w:rPr>
          <w:rtl w:val="true"/>
        </w:rPr>
        <w:t xml:space="preserve">: </w:t>
      </w:r>
      <w:r>
        <w:rPr>
          <w:rtl w:val="true"/>
        </w:rPr>
        <w:t>حدیث السعة</w:t>
      </w:r>
      <w:bookmarkEnd w:id="85"/>
    </w:p>
    <w:p>
      <w:pPr>
        <w:pStyle w:val="BookText"/>
        <w:rPr/>
      </w:pPr>
      <w:r>
        <w:rPr>
          <w:rFonts w:ascii="IRNazanin" w:hAnsi="IRNazanin" w:eastAsia="IRNazanin"/>
          <w:color w:val="111111"/>
          <w:sz w:val="28"/>
          <w:sz w:val="28"/>
          <w:szCs w:val="28"/>
          <w:rtl w:val="true"/>
          <w:lang w:bidi="fa-IR"/>
        </w:rPr>
        <w:t>من الأخبار التی استدلّوا بها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 علی البراءة و عدم لزوم الاحتیاط واضح جدّاً؛ فإنّه لو کان الاحتیاط</w:t>
      </w:r>
    </w:p>
    <w:p>
      <w:pPr>
        <w:pStyle w:val="BookText"/>
        <w:rPr/>
      </w:pPr>
      <w:r>
        <w:rPr>
          <w:rFonts w:ascii="IRNazanin" w:hAnsi="IRNazanin" w:eastAsia="IRNazanin"/>
          <w:color w:val="111111"/>
          <w:sz w:val="28"/>
          <w:sz w:val="28"/>
          <w:szCs w:val="28"/>
          <w:rtl w:val="true"/>
          <w:lang w:bidi="fa-IR"/>
        </w:rPr>
        <w:t>لازماً عند الجهل بالواقع لما کان الناس فی سعة ما لا یعلمون، بل کان علیهم الاحتیاط، و هو موجب للضیق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بوجوب الاحتیاط یرتفع عدم العلم، و ینقلب إلی العلم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المتبادر هو العلم بالواقع و الجهل به، و لیس العلم بوجوب الاحتیاط علماً بالواقع؛ إذ لیس طریقاً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المستعمل فی الروایات و إن کان المراد منه 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الحجّة لا الاعتقاد الجازم المطابق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الحجّة عبارة عن الطرق العقلائیة و الشرعیة إلی الواقع التی تکشف کشفاً غیر تامّ، و الاحتیاط لیس منها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أفتی أحد علی الواقع لقیام الأمارة علیه لما یقال إنّه أفتی بغیر علم، و أمّا إذا أفتی بوجوب شی‌ء لأجل الاحتیاط فإنّه أفتی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الاحتیاط إن کان نفسیاً یدفع المعارضة بین الحدیث و بین أدلّة الاحتیاط؛ لحصول الغایة بعد العلم بوجوب الاحتیاط</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الحدیث هو الترخیص للناس فیما لیس لهم طریق و لا علم إلی الواقع، فلو دلّ دلیل علی لزوم الاحتیاط فی الموارد التی لم یقف المکلّف علی حکم تلک الموارد لعدّ ذلک الدلیل معارضاً للحدیث الشریف، لا رافعاً لموضوعه</w:t>
      </w:r>
      <w:r>
        <w:rPr>
          <w:rFonts w:eastAsia="IRNazanin" w:cs="IRNazanin"/>
          <w:color w:val="111111"/>
          <w:sz w:val="28"/>
          <w:szCs w:val="28"/>
          <w:rtl w:val="true"/>
          <w:lang w:bidi="fa-IR"/>
        </w:rPr>
        <w:t>.</w:t>
      </w:r>
      <w:bookmarkStart w:id="86" w:name="pg12912_111648"/>
    </w:p>
    <w:p>
      <w:pPr>
        <w:pStyle w:val="BookText"/>
        <w:rPr/>
      </w:pPr>
      <w:bookmarkEnd w:id="86"/>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التتن بملاحظة کونه مجهول الحکم مرخّص فیه حسب الحدیث، فلو تمّ أخبار الاحتیاط و لزم وجوب الاحتیاط لعدّ ذلک منافیاً للترخیص، من غیر فرق بین أن یکون لزوم الاحتیاط نفسیاً 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القول بالسعة من حیث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الضیق من حیث الاحتیاط النفسی لأجل مصلحة فی ذلک الحکم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لما ادّعی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کما تری؛ فإنّ جعل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لغواً بعد عدم انفکاک موضوعه عن موضوع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الروایة علی الشبهة الموضوعیة أو الوجوبیة فلا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اعتراف علی تمامیة الدلالة</w:t>
      </w:r>
      <w:r>
        <w:rPr>
          <w:rFonts w:eastAsia="IRNazanin" w:cs="IRNazanin"/>
          <w:color w:val="111111"/>
          <w:sz w:val="28"/>
          <w:szCs w:val="28"/>
          <w:rtl w:val="true"/>
          <w:lang w:bidi="fa-IR"/>
        </w:rPr>
        <w:t>.</w:t>
      </w:r>
    </w:p>
    <w:p>
      <w:pPr>
        <w:pStyle w:val="Heading6"/>
        <w:numPr>
          <w:ilvl w:val="5"/>
          <w:numId w:val="1"/>
        </w:numPr>
        <w:rPr/>
      </w:pPr>
      <w:bookmarkStart w:id="87" w:name="__RefHeading___Toc3425385_3224264995"/>
      <w:bookmarkStart w:id="88" w:name="_Toc33"/>
      <w:bookmarkEnd w:id="87"/>
      <w:r>
        <w:rPr>
          <w:rtl w:val="true"/>
        </w:rPr>
        <w:t>الروایة الرابعة</w:t>
      </w:r>
      <w:r>
        <w:rPr>
          <w:rtl w:val="true"/>
        </w:rPr>
        <w:t xml:space="preserve">: </w:t>
      </w:r>
      <w:r>
        <w:rPr>
          <w:rtl w:val="true"/>
        </w:rPr>
        <w:t>حدیث الحلّ</w:t>
      </w:r>
      <w:bookmarkEnd w:id="88"/>
    </w:p>
    <w:p>
      <w:pPr>
        <w:pStyle w:val="BookText"/>
        <w:rPr/>
      </w:pPr>
      <w:r>
        <w:rPr>
          <w:rFonts w:ascii="IRNazanin" w:hAnsi="IRNazanin" w:eastAsia="IRNazanin"/>
          <w:color w:val="111111"/>
          <w:sz w:val="28"/>
          <w:sz w:val="28"/>
          <w:szCs w:val="28"/>
          <w:rtl w:val="true"/>
          <w:lang w:bidi="fa-IR"/>
        </w:rPr>
        <w:t>من الروایات التی استدلّ بها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الشیخ فی المقام</w:t>
      </w:r>
      <w:r>
        <w:rPr>
          <w:rStyle w:val="FootnoteAnchor"/>
          <w:rtl w:val="true"/>
        </w:rPr>
        <w:footnoteReference w:id="93"/>
      </w:r>
      <w:r>
        <w:rPr>
          <w:rFonts w:ascii="IRNazanin" w:hAnsi="IRNazanin" w:eastAsia="IRNazanin"/>
          <w:color w:val="111111"/>
          <w:sz w:val="28"/>
          <w:sz w:val="28"/>
          <w:szCs w:val="28"/>
          <w:rtl w:val="true"/>
          <w:lang w:bidi="fa-IR"/>
        </w:rPr>
        <w:t>بل صریحه فی الشبهة الموضوعیة</w:t>
      </w:r>
      <w:r>
        <w:rPr>
          <w:rStyle w:val="FootnoteAnchor"/>
          <w:rtl w:val="true"/>
        </w:rPr>
        <w:footnoteReference w:id="94"/>
      </w:r>
      <w:r>
        <w:rPr>
          <w:rFonts w:ascii="IRNazanin" w:hAnsi="IRNazanin" w:eastAsia="IRNazanin"/>
          <w:color w:val="111111"/>
          <w:sz w:val="28"/>
          <w:sz w:val="28"/>
          <w:szCs w:val="28"/>
          <w:rtl w:val="true"/>
          <w:lang w:bidi="fa-IR"/>
        </w:rPr>
        <w:t xml:space="preserve">، أنّه روایة مستقلّة بهذا اللفظ، بلا انضمام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نجده فی مصادر الروایات،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صدر روایة مسعدة بن صدقة</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یستشکل فی دلالته علی الشبهة الحکمیة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اختصاص الروایة بالشبهات الموضوعیة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یمکن منع قرینیة تلک الکلمة؛ فإنّه تأکید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مفاده کنایة عن وقوف المکلّف علی الأحکام؛ وقوفاً علمیاً لا یأتیه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بصدد الترخیص لارتکاب أطراف المعلوم بالإجمال، فیکون وزانه وزان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 فإنّ المتبادر منهما هو جواز التصرّف فی الحلال المختلط بالحرام، الذی جمع روایاته السیّد الفقیه الطباطبائی قدس سره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بحثه عن جوائز السلطان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فوزان الروایتین وزان</w:t>
      </w:r>
    </w:p>
    <w:p>
      <w:pPr>
        <w:pStyle w:val="BookText"/>
        <w:rPr/>
      </w:pPr>
      <w:r>
        <w:rPr>
          <w:rFonts w:ascii="IRNazanin" w:hAnsi="IRNazanin" w:eastAsia="IRNazanin"/>
          <w:color w:val="111111"/>
          <w:sz w:val="28"/>
          <w:sz w:val="28"/>
          <w:szCs w:val="28"/>
          <w:rtl w:val="true"/>
          <w:lang w:bidi="fa-IR"/>
        </w:rPr>
        <w:t>قوله علیه السلام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خلط الحلال بالحرام فاختلطا جمیعاً فلا یعرف الحلال من الحرام فلا بأس</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حتّی یعرف الحرام بعینه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فالروایتان راجعتان إلی الحرام المختلط بالحلال، و لا ترتبطان بالشبهة البدویة</w:t>
      </w:r>
      <w:r>
        <w:rPr>
          <w:rFonts w:eastAsia="IRNazanin" w:cs="IRNazanin"/>
          <w:color w:val="111111"/>
          <w:sz w:val="28"/>
          <w:szCs w:val="28"/>
          <w:rtl w:val="true"/>
          <w:lang w:bidi="fa-IR"/>
        </w:rPr>
        <w:t>.</w:t>
      </w:r>
      <w:bookmarkStart w:id="89" w:name="pg12912_111650"/>
    </w:p>
    <w:p>
      <w:pPr>
        <w:pStyle w:val="Heading6"/>
        <w:numPr>
          <w:ilvl w:val="5"/>
          <w:numId w:val="1"/>
        </w:numPr>
        <w:rPr/>
      </w:pPr>
      <w:bookmarkStart w:id="90" w:name="__RefHeading___Toc3425387_3224264995"/>
      <w:bookmarkStart w:id="91" w:name="_Toc34"/>
      <w:bookmarkEnd w:id="89"/>
      <w:bookmarkEnd w:id="90"/>
      <w:r>
        <w:rPr>
          <w:rtl w:val="true"/>
        </w:rPr>
        <w:t>الروایة الخامسة</w:t>
      </w:r>
      <w:r>
        <w:rPr>
          <w:rtl w:val="true"/>
        </w:rPr>
        <w:t xml:space="preserve">: </w:t>
      </w:r>
      <w:r>
        <w:rPr>
          <w:rtl w:val="true"/>
        </w:rPr>
        <w:t>صحیحة عبد الصمد بن بشیر</w:t>
      </w:r>
      <w:bookmarkEnd w:id="91"/>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 الصمد بن بشیر التی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الخامس و الأربعین من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عجمیاً دخل المسجد یلبّی، و علیه قمیصه، فقال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أعمل بیدی و اجتمعت لی نفقة، فجئت أحجّ لم أسأل أحداً عن شی‌ء، و افتونی هؤلاء أن أشقّ قمیصی و أنزعه من قبل رجلی، و أنّ حجّی فاسد، و أنّ علیّ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لبست قمیصک، أبعد ما لبّیت أم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فاخرجه من رأسک؛ فإنّه لیس علیک بدنة، و لیس علیک الحجّ من قابل، أیّ رجل رکب أمراً بجهالة فلا شی‌ء علیه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فدلّت علی أنّ الآتی بشی‌ء عن جهل بحکمه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الروایة و ظهورها فی الجاهل الغافل، و تعمیمه إلی الجاهل الملتفت یحوج إلی إخراج الجاهل المردّد المقصّر، و لسانه یأبی عن التخصیص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أیّده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الباء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للسببیة، و الجهل بالحکم سبب للفعل فی الجاهل الغافل دون الملتفت</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الشیخ فی آخر کلامه بالتأمّل، و هو دلیل علی عدم ارتضائه لما ذکر؛ فإنّ أمثال هذه التراکیب کثیر فی الکتاب و السنّة؛ فانظر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فهل تری اختصاصهما بالجاهل الغافل؟</w:t>
      </w:r>
    </w:p>
    <w:p>
      <w:pPr>
        <w:pStyle w:val="BookText"/>
        <w:rPr/>
      </w:pPr>
      <w:r>
        <w:rPr>
          <w:rFonts w:ascii="IRNazanin" w:hAnsi="IRNazanin" w:eastAsia="IRNazanin"/>
          <w:color w:val="111111"/>
          <w:sz w:val="28"/>
          <w:sz w:val="28"/>
          <w:szCs w:val="28"/>
          <w:rtl w:val="true"/>
          <w:lang w:bidi="fa-IR"/>
        </w:rPr>
        <w:t>و مجرّد کون مورد الروایة من هذا القبیل لا یوجب التخصیص؛ لا سیّما فی أمثال المقام الذی یتراءی أنّ الإمام بصدد إلقاء القواعد الکلّیة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أبواب الصوم</w:t>
      </w:r>
      <w:r>
        <w:rPr>
          <w:rStyle w:val="FootnoteAnchor"/>
          <w:rtl w:val="true"/>
        </w:rPr>
        <w:footnoteReference w:id="106"/>
      </w:r>
      <w:r>
        <w:rPr>
          <w:rFonts w:ascii="Amiri" w:hAnsi="Amiri" w:eastAsia="Amiri" w:cs="Amiri"/>
          <w:color w:val="111111"/>
          <w:sz w:val="28"/>
          <w:sz w:val="28"/>
          <w:szCs w:val="28"/>
          <w:rtl w:val="true"/>
          <w:lang w:bidi="ar-SA"/>
        </w:rPr>
        <w:t>و الحجّ</w:t>
      </w:r>
      <w:r>
        <w:rPr>
          <w:rStyle w:val="FootnoteAnchor"/>
          <w:rtl w:val="true"/>
        </w:rPr>
        <w:footnoteReference w:id="107"/>
      </w:r>
      <w:r>
        <w:rPr>
          <w:rFonts w:ascii="IRNazanin" w:hAnsi="IRNazanin" w:eastAsia="IRNazanin"/>
          <w:color w:val="111111"/>
          <w:sz w:val="28"/>
          <w:sz w:val="28"/>
          <w:szCs w:val="28"/>
          <w:rtl w:val="true"/>
          <w:lang w:bidi="fa-IR"/>
        </w:rPr>
        <w:t>من روایات تدلّ علی معذوریة الجاهل، من غیر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 من أنّ التعمیم یحتاج إلی التخصیص و لسانه آبٍ عنه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التخصیص لازم علی أیّ وجهٍ؛ فإنّ الجاهل الغافل المقصّر خارج عن مصبّ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دعوی مجرّدة؛ فإنّ لسانه لیس علی وجه یستهجن فی نظر العرف ورود التخصیص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أیّد به بعضهم مقالة الشیخ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لیس علّة للإتیان بالشی‌ء؛ فإنّ وجود الشی‌ء فی الخارج معلول لمبادئه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العلم بالحکم مانعاً و رادعاً عن حصول تلک المبادئ فی النفس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کونها للسببیة</w:t>
      </w:r>
      <w:bookmarkStart w:id="92" w:name="pg12912_111652"/>
    </w:p>
    <w:p>
      <w:pPr>
        <w:pStyle w:val="BookText"/>
        <w:rPr/>
      </w:pPr>
      <w:bookmarkEnd w:id="92"/>
      <w:r>
        <w:rPr>
          <w:rFonts w:ascii="IRNazanin" w:hAnsi="IRNazanin" w:eastAsia="IRNazanin"/>
          <w:color w:val="111111"/>
          <w:sz w:val="28"/>
          <w:sz w:val="28"/>
          <w:szCs w:val="28"/>
          <w:rtl w:val="true"/>
          <w:lang w:bidi="fa-IR"/>
        </w:rPr>
        <w:t>فلیس المراد من السببیة المعنی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الفعل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دخالتها فی العمل فی الجملة،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الارتکاب یکون لجهالة، مع الفحص عن الحکم و عدم العثور علیه</w:t>
      </w:r>
      <w:r>
        <w:rPr>
          <w:rFonts w:eastAsia="IRNazanin" w:cs="IRNazanin"/>
          <w:color w:val="111111"/>
          <w:sz w:val="28"/>
          <w:szCs w:val="28"/>
          <w:rtl w:val="true"/>
          <w:lang w:bidi="fa-IR"/>
        </w:rPr>
        <w:t>.</w:t>
      </w:r>
    </w:p>
    <w:p>
      <w:pPr>
        <w:pStyle w:val="Heading6"/>
        <w:numPr>
          <w:ilvl w:val="5"/>
          <w:numId w:val="1"/>
        </w:numPr>
        <w:rPr/>
      </w:pPr>
      <w:bookmarkStart w:id="93" w:name="__RefHeading___Toc3425389_3224264995"/>
      <w:bookmarkStart w:id="94" w:name="_Toc35"/>
      <w:bookmarkEnd w:id="93"/>
      <w:r>
        <w:rPr>
          <w:rtl w:val="true"/>
        </w:rPr>
        <w:t>الروایة السادسة</w:t>
      </w:r>
      <w:r>
        <w:rPr>
          <w:rtl w:val="true"/>
        </w:rPr>
        <w:t xml:space="preserve">: </w:t>
      </w:r>
      <w:r>
        <w:rPr>
          <w:rtl w:val="true"/>
        </w:rPr>
        <w:t>حسنة ابن الطیّار</w:t>
      </w:r>
      <w:bookmarkEnd w:id="94"/>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ثقة الإسلام فی باب البیان و التعریف عن أحمد بن محمّد بن عیسی عن الحسین بن سعید عن ابن أبی عمیر عن جمیل بن درّاج عن ابن الطیّار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علی الناس بما آتاهم و عرّفهم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فدلّت علی أنّ التکلیف فرع التعریف، و إیتاء القدرة الذی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و قد استدلّ بهما الإمام فی روایة عبد الأعلی کما تقدّم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المتبادر منها حسب مناسبة الحکم و الموضوع شرطیة التعریف و الإیتاء فی کلّ التکالیف علی کلّ فردٍ فردٍ من المکلّفین حتّی یتمّ الحجّة بالنسبة إلی کلّ واحد منهم، و أنّ التعریف للبعض لا یکفی فی التکلیف علی الجمیع؛ لأنّ المقصود إنّما هو إتمام الحجّة، و هو لا یتمّ إلّا إذا حصل الأمران عند کلّ واحدٍ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فحص المکلّف عن تکلیفه فحصاً تامّاً و لم یظفر به؛ و إن صدر من الشارع حکمه، غیر أنّ الحوادث عاقت بینه و بین تکلیفه، لم یصدق أنّه عرّفه و آتاه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ثقة الإسلام أیضاً فی باب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 هو مذیّل بجملة ربّما توهم خلاف ما ذکرنا، و إلیک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علی بن الحکم عن أبان الأحمر عن حمزة بن الطیّار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یحتجّ علی العباد بما آتاهم و عرّفهم، ثمّ أرسل إلیهم رسولًا و أنزل علیهم الکتاب فأمر فیه و نهی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و الإیتاء کانا قبل إرسال الرسل و إنزال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المراد من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التوحید الفطری باللَّه و صفاته، لا المعرفة بأحکامه، فیکون أجنبیاً عن المقام، و حینئذٍ فالتقطیع من ناحیة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الذیل لا یضرّ بما نحن بصدده؛ فإنّ ما بعده شاهد علی أنّ المقصود هو التکلیف بالأحکام الفرعیة، فإلیک الذیل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فیه بالصلاة و الصوم، فنام رسول اللَّه صلی الله علیه و آله و سلم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انیمک و أنا اوقظک، فإذا قمت فصلّ لیعلموا إذا أصابهم ذلک کیف یصنعون، لیس کما یقولون إذا نام عنها هلک و کذلک الصیام أنا امرضک و أنا اصحک فإذا شفیتک فاقضه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فلا یمکن الأخذ بظاهر الروایة؛ لأنّ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إرسال الرسل و إنزال الکتب بعد الاحتجاج بما آتاهم و عرّفهم،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منه أنّ</w:t>
      </w:r>
      <w:bookmarkStart w:id="95" w:name="pg12912_111654"/>
    </w:p>
    <w:p>
      <w:pPr>
        <w:pStyle w:val="BookText"/>
        <w:rPr/>
      </w:pPr>
      <w:bookmarkEnd w:id="95"/>
      <w:r>
        <w:rPr>
          <w:rFonts w:ascii="IRNazanin" w:hAnsi="IRNazanin" w:eastAsia="IRNazanin"/>
          <w:color w:val="111111"/>
          <w:sz w:val="28"/>
          <w:sz w:val="28"/>
          <w:szCs w:val="28"/>
          <w:rtl w:val="true"/>
          <w:lang w:bidi="fa-IR"/>
        </w:rPr>
        <w:t>سنّة اللَّه تعالی هو الاحتجاج علی العباد بما آتاهم و عرّفهم، و هی منشأ لإرسال الرسل و التعریف، و لأجل ذلک تخلّل لفظة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لزوم الاحتیاط وارد علی هذه الروایة؛ فإنّ التعریف کما یحصل ببیان نفس الأحکام، کذلک یحصل بإلزام الاحتیاط فی موارد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بحکومتها علی أخبار الاحتیاط فلا أقلّ بینهما التعارض؛ فإنّ مفاد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لا یتمّ إلّا ببیان نفس الأحکام و تعریفها، فلو تمّ الاحتجاج بإیجاب الاحتیاط مع أنّه لیس بواجب نفسی، و لا طریق إلی الواقع لزم إتمام الحجّة بلا تعریف، و هو یناقض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بالأحکام موجبة للاحتجاج، و بما أنّه فی مقام الامتنان و التحدید تدلّ علی أنّه مع عدم المعرفة لا یقع الاحتجاج، و لا یکون الضیق و الکلفة، کما دلّ علیه ذیل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الاحتیاط لا یوجب المعرفة بالأحکام؛ ضرورة عدم طریقیته للواقع؛ لا حکماً و لا موضوعاً، فلو احتجّ بالاحتیاط لزم الاحتجاج بلا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حکومتها علی أدلّة الاحتیاط؛ لتعرّضها لما لم یتعرّض به أدلّة الاحتیاط؛ لتعرّضها لنفی الاحتجاج ما لم یعرّف و لم یبیّن، کما لا یخفی</w:t>
      </w:r>
      <w:r>
        <w:rPr>
          <w:rFonts w:eastAsia="IRNazanin" w:cs="IRNazanin"/>
          <w:color w:val="111111"/>
          <w:sz w:val="28"/>
          <w:szCs w:val="28"/>
          <w:rtl w:val="true"/>
          <w:lang w:bidi="fa-IR"/>
        </w:rPr>
        <w:t>.</w:t>
      </w:r>
    </w:p>
    <w:p>
      <w:pPr>
        <w:pStyle w:val="Heading6"/>
        <w:numPr>
          <w:ilvl w:val="5"/>
          <w:numId w:val="1"/>
        </w:numPr>
        <w:rPr/>
      </w:pPr>
      <w:bookmarkStart w:id="96" w:name="__RefHeading___Toc3425391_3224264995"/>
      <w:bookmarkStart w:id="97" w:name="_Toc36"/>
      <w:bookmarkEnd w:id="96"/>
      <w:r>
        <w:rPr>
          <w:rtl w:val="true"/>
        </w:rPr>
        <w:t>الروایة السابعة</w:t>
      </w:r>
      <w:r>
        <w:rPr>
          <w:rtl w:val="true"/>
        </w:rPr>
        <w:t xml:space="preserve">: </w:t>
      </w:r>
      <w:r>
        <w:rPr>
          <w:rtl w:val="true"/>
        </w:rPr>
        <w:t>روایة إبراهیم بن عمر الیمانی</w:t>
      </w:r>
      <w:bookmarkEnd w:id="97"/>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المحدّث الکاشانی عن ثقة الإسلام فی باب البیان و التعریف بإسناده عن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اللَّه</w:t>
      </w:r>
      <w:bookmarkStart w:id="98" w:name="pg12912_111655"/>
    </w:p>
    <w:p>
      <w:pPr>
        <w:pStyle w:val="BookText"/>
        <w:rPr/>
      </w:pPr>
      <w:bookmarkEnd w:id="98"/>
      <w:r>
        <w:rPr>
          <w:rFonts w:ascii="Amiri" w:hAnsi="Amiri" w:eastAsia="Amiri" w:cs="Amiri"/>
          <w:color w:val="111111"/>
          <w:sz w:val="28"/>
          <w:sz w:val="28"/>
          <w:szCs w:val="28"/>
          <w:rtl w:val="true"/>
          <w:lang w:bidi="ar-SA"/>
        </w:rPr>
        <w:t>عجیب، إلّا أنّه قد احتجّ علیکم بما عرّفکم من نفسه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قریبة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عرّفکم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تعریف ذاته و صفاته، بل الظاهر هو تعریف أحکامه و أوامره و نواهیه، فیرجع معنی الحدیث إلی أنّ بیان الأحکام علیه تعالی دون غیره</w:t>
      </w:r>
      <w:r>
        <w:rPr>
          <w:rFonts w:eastAsia="IRNazanin" w:cs="IRNazanin"/>
          <w:color w:val="111111"/>
          <w:sz w:val="28"/>
          <w:szCs w:val="28"/>
          <w:rtl w:val="true"/>
          <w:lang w:bidi="fa-IR"/>
        </w:rPr>
        <w:t>.</w:t>
      </w:r>
    </w:p>
    <w:p>
      <w:pPr>
        <w:pStyle w:val="Heading6"/>
        <w:numPr>
          <w:ilvl w:val="5"/>
          <w:numId w:val="1"/>
        </w:numPr>
        <w:rPr/>
      </w:pPr>
      <w:bookmarkStart w:id="99" w:name="__RefHeading___Toc3425393_3224264995"/>
      <w:bookmarkStart w:id="100" w:name="_Toc37"/>
      <w:bookmarkEnd w:id="99"/>
      <w:r>
        <w:rPr>
          <w:rtl w:val="true"/>
        </w:rPr>
        <w:t>الروایة الثامنة</w:t>
      </w:r>
      <w:r>
        <w:rPr>
          <w:rtl w:val="true"/>
        </w:rPr>
        <w:t xml:space="preserve">: </w:t>
      </w:r>
      <w:r>
        <w:rPr>
          <w:rtl w:val="true"/>
        </w:rPr>
        <w:t>حدیث الإطلاق</w:t>
      </w:r>
      <w:bookmarkEnd w:id="100"/>
    </w:p>
    <w:p>
      <w:pPr>
        <w:pStyle w:val="Heading6"/>
        <w:numPr>
          <w:ilvl w:val="5"/>
          <w:numId w:val="1"/>
        </w:numPr>
        <w:rPr/>
      </w:pPr>
      <w:bookmarkStart w:id="101" w:name="__RefHeading___Toc3425395_3224264995"/>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الصدوق و رواه الشیخ الحرّ فی کتاب القضاء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إسناد الصدوق متن الحدیث إلیه علیه السلام بصورة الجزم و القطع شهادة منه علی صحّة الروایة و صدورها عنه علیه السلام فی نظره قدس سره، و هذا الإرسال بهذه الصورة، من دون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عن وجود قرائن کاشفة عن صحّة الحدیث و معلومیة صدوره عنده،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احتمالات؛ فإنّ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یراد منه اللاحرج من قبل المولی، فی قبال الحظر العقلی؛ لکونه عبداً مملوکاً ینبغی أن یکون صدوره و وروده عن رأی مالکه، أو یراد الإباحة الشرعیة الواقعیة، أو الإباحة الظاهریة المجعولة للشاکّ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النهی المتعلّق بالعناوین الأوّلیة أو الأعمّ منه و من الظاهری، کالمستفاد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الورود المساوق للصدور واقعاً؛ سواء وصل إلی المکلّف أم لا، أو الورود علی المکلّف المساوق للوصول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تمامیة دلالة الحدیث إنّما یتمّ لو دلّ علی الإباحة الظاهریة المجعولة للشاکّ فیما لم یصل إلی المکلّف نهی؛ سواء صدر النهی عن المولی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الأعیان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اعتقد بامتناع إرادة بعض الاحتمالات؛ أعنی کون المطلق بمعنی الإباحة الشرعیة؛ واقعیة کانت أو ظاهریة فیما إذا ارید من الورود هو الصدور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المطلق بمعنی الإباحة الواقعیة و المراد من الورود هو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فی وجه امتناعه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الواقعیة ناشئة من لا اقتضائیة الموضوع؛ لخلوّه عن المصلحة و المفسدة، فلا یعقل ورود حرمة فی موضوعها؛ للزوم الخلف من فرض اقتضائیة الموضوع المفروض أنّه 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عروض عنوان آخر مقتضٍ للحرمة مخالف لظاهر الروایة الدالّة علی أنّ الحرمة وردت علی نفس ما وردت علیه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ورود النهی تحدید الموضوع و تقییده بأنّ ما لم یرد فیه نهی مباح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لأنّه إن کان بنحو المعرّفیة فهو کالإخبار بأمر بدیهی لا یناسب شأن الإمام علیه السلام، و إن کان بنحو التقیید و الشرطیة فهو غیر معقول؛ لأنّ تقیید موضوع أحد الضدّین بعدم الضدّ حدوثاً أو بقاءً غیر معقول؛ لأنّ عدم الضدّ لیس شرطاً لوجود ضدّه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المطلق بمعنی الإباحة الظاهریة، و الورود بمعنی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یمتنع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تخلّف الحکم عن موضوعه التامّ؛ فإنّه مع فرض 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یرتفع حکمه بصدور النهی المجامع مع الشکّ واقعاً، فلا یعقل أن یتقیّد إلّا بورود النهی علی المکلّف؛ لیکون مساوقاً للعلم المرتفع به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إذا کانت مغیّاة بصدور النهی واقعاً أو محدّدة بعدمه، و الغایة أو القید مشکوک الحصول فلا محالة یحتاج إلی أصالة عدم صدوره لفعلیة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لمجرّد نفی الحرمة فلا مانع منه إلّا أنّه لیس من الاستدلال بالخبر، و إن کان للتعبّد بالإباحة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أو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امتناع ذلک مطلقاً، و إن کان للتعبّد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من مقولة الحکم، و لا هی موضوع ذو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الخبر جعل ورود النهی غایة رافعة للإباحة الظاهریة المفروضة، و مقتضی فرض عدم الحرمة إلّا بقاءً هو فرض عدم الحرمة حدوثاً، و مقتضاه عدم الشکّ فی الحلّیة و الحرمة من أوّل الأمر، فلا معنی لجعل الإباحة الظاهریة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الغایة غایة للإباحة الإنشائیة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فی فرض فعلیة الشکّ صدور النهی واقعاً، بل غایة لحقیقة الإباحة الفعلیة بفعلیة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المفروض صدور النهی بقاءً فی مورد هذه الإباحة الفعلیة فلذا یرد المحذور المزبور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امتناع الأوّل من أنّ الإباحة الواقعیة ناشئة من لا اقتضاء الموضوع، فلا یعقل ورود النهی علی نفس الموضوع،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اللااقتضاء و الاقتضاء لو کانا راجعین إلی نفس الموضوع لکان لما ذکره وجه، إلّا أنّ الأحکام الشرعیة و إن کانت مجعولة عن مصالح و مفاسد لکن لا یلزم أن یکون تلک المصالح أو المفاسد فی نفس الموضوعات حتّی یکون الاقتضاء و اللااقتضاء راجعاً إلیه، بل الجهات الخارجیة مؤثّرة فی جعل الأحکام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شاهد علی ذلک هو نجاسة الکفّار و المشرکین؛ فإنّ جعل النجاسة علیهم لیس لأجل وجود قذارة أو کثافة فی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الملاک لهذا الجعل الجهات السیاسیة؛ فإنّ نظر المشرّع تحفّظ المسلمین عن مخالطة الکفّار و المعاشرة معهم؛ حتّی تصون بذلک أخلاقهم و آدابهم و نوامیسهم، فلأجل هذه الأمنیة حکم علی 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یکون الموضوع مقتضیاً للحرمة لکن الموانع منعت عن جعلها، أو المصالح السیاسیة اقتضت جعل الإباحة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الشارع حاکماً بحلّیة الخمر فی دور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تراها ذات مفسدة مقتضیة للتحریم و جعل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أشبه شی‌ء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جعل ورود النهی تحدیداً للموضوع بکلا الوجهین؛ من المعرّفیة و الشرطیة بلا محذور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هو کالبدیهی إنّما هو الإباحة بمعنی اللاحرجی قبال الحظر، و أمّا الإباحة الواقعیة المجعولة الشرعیة فلیس کذلک؛ لأنّها لا تحصل إلّا بجعل الجاعل، بخلاف اللاحرجیة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اللغویة حینئذٍ؛ إذ بعد ما حکم العقل باللاحرجیة فلا مجال لجعل الإباحة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منقوض أوّلًا بالبراءة الشرعیة، مع استقلال العقل بقبح العقاب بلا بیان، و ثانیاً نمنع لغویة الجعل بعد کونها ذات آثار لا تترتّب إلّا بجعل تلک الإباحة الواقعیة، و لا یغنی عنها ما یحکم به العقل؛ ضرورة أنّه مع الشکّ فی ورود النهی من الشارع یمکن استصحاب الحلّیة المجعولة، بعد الإشکال فی جریان أصالة عدم ورود النهی لأجل کونها أصلًا مثبتاً، و بدونها لا یجوز استصحاب اللاحرجیة؛ لعدم کونها حکماً شرعیاً، و لا موضوعاً ذا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منع اللغویة بأنّ جعلها لرفع الشبهة المغروسة فی الأذهان من أنّ الأشیاء قبل ورود الشرع علی الحظر حتّی یرد منه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أخذ عدم الضدّ شرطاً لوجود الضدّ الآخر، فالمنع عنه یختصّ بالأُمور التکوینیة کما حقّق فی محلّه، و أمّا الامور الاعتباریة التی لا یتحمّل أحکام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کالتضادّ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قد أوضحنا فی بعض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تضادّ بین الأحکام</w:t>
      </w:r>
      <w:r>
        <w:rPr>
          <w:rStyle w:val="FootnoteAnchor"/>
          <w:rtl w:val="true"/>
        </w:rPr>
        <w:footnoteReference w:id="116"/>
      </w:r>
      <w:r>
        <w:rPr>
          <w:rFonts w:ascii="IRNazanin" w:hAnsi="IRNazanin" w:eastAsia="IRNazanin"/>
          <w:color w:val="111111"/>
          <w:sz w:val="28"/>
          <w:sz w:val="28"/>
          <w:szCs w:val="28"/>
          <w:rtl w:val="true"/>
          <w:lang w:bidi="fa-IR"/>
        </w:rPr>
        <w:t>، فلأجل ذلک یمکن أن یجعل عدم أحد الضدّین شرطاً لوجود الضدّ الآخر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امتناع إرادة الإباحة الظاهریة من المطلق مع کون الورود الواقعی غایةً أو تحدیداً للموضوع لأجل تخلّف الحکم من موضوعه التامّ،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علی التحدید هو المشکوک الذی لم یرد فیه نهی واقعاً، و هو غیر المشکوک الذی ورد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الموضوع للإباحة الظاهریة هو المشکوک بما هو هو، المجامع مع ورود النهی واقعاً، یلزم تخلّف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موضوعه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لیس معه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ورود النهی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الموضوع هو المشکوک الذی لم یرد فیه نهی واقعاً، فلو ورد هنا نهی لانتفی ما هو موضوع الإباحة بانتفاء أحد جزأیه، فلیس هنا موضوع حتّی یلزم انفکاک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غایة فالموضوع و إن کان هو المشکوک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محفوظ مع ورود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مانع من تخلّف الحکم عن موضوعه إذا اقتضت المصالح الخارجیة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الامتناع ناشٍ من قیاس التشریع علی التکوین، بتخیّل أنّ الموضوعات علل تامّة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الخارجیة و مفاسدها لها دخالة فی تعلّق الأحکام، کما مرّ</w:t>
      </w:r>
      <w:r>
        <w:rPr>
          <w:rStyle w:val="FootnoteAnchor"/>
          <w:rtl w:val="true"/>
        </w:rPr>
        <w:footnoteReference w:id="117"/>
      </w:r>
      <w:r>
        <w:rPr>
          <w:rFonts w:ascii="IRNazanin" w:hAnsi="IRNazanin" w:eastAsia="IRNazanin"/>
          <w:color w:val="111111"/>
          <w:sz w:val="28"/>
          <w:sz w:val="28"/>
          <w:szCs w:val="28"/>
          <w:rtl w:val="true"/>
          <w:lang w:bidi="fa-IR"/>
        </w:rPr>
        <w:t>فی نجاسة الکفّار، و طهارة العامّة فی حال الغیبة لأجل حصول الاتّفاق و الاتّحاد؛ حتّی دلّت الأخبار علی رجحان معاشرتهم و الحضور فی جماعاتهم إلی غیر ذلک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فالمشکوک یمکن أن یکون حلالًا إلی أمد؛ لاقتضاء العصر و حراماً إلی زمان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أخذت الحوادث المقارنة قیداً محدوداً، و بتغیّرها یتغیّر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فنختار أنّه للتعبّد بالإباحة الشرعیة واقعیة أو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 من أنّه قد علم امتناع ذلک مطلقاً قد علمت صحّته و معقولیته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 تحت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کونه دلیلًا مستقلًّا، مع أنّه فی الإباحة الظاهریة مصادرة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یتشبّث بما أفاده قبله، فلا یکون ذلک دلیلًا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الأصل الجاری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أصالة 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فسیوافیک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أصالة عدم ورود النهی حتّی یثبت الحلّیة الواقعیة أو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فسیوافیک أنّه من الاصول المثبتة؛ لأنّ تحقّق ذی الغایة مع عدم حصول غایته من الأحکام العقلیة، و الشکّ فی تحقّق ذیها و إن کان مسبّباً عن تحقّق نفس الغایة و عدمها، إلّا أنّه لیس مطلق السببیة مناطاً لحکومة السببی علی المسبّبی ما لم یکن الترتّب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الأصل أصالة بقاء الإباحة الواقعیة أو الظاهریة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الاستصحاب لا یجری فی الأحکام الظاهریة صحیح، لکن المقام لیس من أفراده؛ لأنّ ذلک فیما إذا کان نفس الشکّ کافیاً فی ترتّب الأحکام؛ لأنّ الحکم فی المقام لیس مرتّباً علی نفس الشکّ، بل علیه مغیّاً بعدم ورود النهی الواقعی، و هذا لا یکفی فیه الشکّ أصلًا حتّی لا تحتاج إلی الاستصحاب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فی ثالث إشکالاته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نمنع استلزام عدم الحرمة إلّا بعد ورود النهی عدمَ تحقّق الشکّ؛ فإنّ تحقّقه ضروری مع الشکّ فی الورود و عدمه؛ فإنّ المکلّف إذا التفت إلی حرمة شرب التتن و عدمها؛ محتملًا ورود النهی واقعاً فلا محالة یتحقّق فی نفسه الشکّ، و هو کافٍ فی جعل الحکم الظاهری؛ سواء کان</w:t>
      </w:r>
      <w:bookmarkStart w:id="103" w:name="pg12912_111662"/>
    </w:p>
    <w:p>
      <w:pPr>
        <w:pStyle w:val="BookText"/>
        <w:rPr/>
      </w:pPr>
      <w:bookmarkEnd w:id="103"/>
      <w:r>
        <w:rPr>
          <w:rFonts w:ascii="IRNazanin" w:hAnsi="IRNazanin" w:eastAsia="IRNazanin"/>
          <w:color w:val="111111"/>
          <w:sz w:val="28"/>
          <w:sz w:val="28"/>
          <w:szCs w:val="28"/>
          <w:rtl w:val="true"/>
          <w:lang w:bidi="fa-IR"/>
        </w:rPr>
        <w:t>الحکم الظاهری هو إیجاب الاحتیاط حتّی یرد الترخیص، أو الترخیص حتّی یرد النهی، و قد أوضحنا عدم لغویة هذا الجعل،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کلّه علی القول بأنّ موضوع الحلّیة الظاهریة هو الشکّ فی الحکم الشرعی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موضوعها هو الشکّ فی کون الأشیاء علی الحظر و عدمه، أو الشکّ فی الملازمة بین حکم العقل و الشرع إذا قلنا بالحظر عقلًا، فیکون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 لکلا الشکّین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أنّ الأصل فی الأشیاء هو الحظر أو عدمه تفید الروایة کونها علی الإباحة، و کذا لو قلنا بأنّ الأصل الأوّلی هو الحظر و لکن شککنا 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قوله علیه السلام ناظراً إلی ما إذا شکّ فی الحکم الشرعی لأجل الشکّ فی أنّ الأصل فی الأشیاء هو الحظر أو عدمه، أو لأجل الشکّ 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الشکّ محقّق مطلقاً؛ حتّی مع العلم بعدم ورود النهی فی الشرع؛ لأنّ متعلّق الشکّ کون الأصل فی الأشیاء قبل الشرع هل هو الحظر أو لا؟</w:t>
      </w:r>
    </w:p>
    <w:p>
      <w:pPr>
        <w:pStyle w:val="BookText"/>
        <w:rPr/>
      </w:pPr>
      <w:r>
        <w:rPr>
          <w:rFonts w:ascii="IRNazanin" w:hAnsi="IRNazanin" w:eastAsia="IRNazanin"/>
          <w:color w:val="111111"/>
          <w:sz w:val="28"/>
          <w:sz w:val="28"/>
          <w:szCs w:val="28"/>
          <w:rtl w:val="true"/>
          <w:lang w:bidi="fa-IR"/>
        </w:rPr>
        <w:t>و هذا لا ینافی العلم بعدم ورود النهی من الشارع، و هذا نحو آخر من الحکم الظاهری المجعول فی حقّ الشاکّ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یکون عامّة إشکالاته واضحة الدفع؛ خصوصاً الثالث منها؛ فإنّه علی فرض تسلیمه لا یرد فی هذا الفرض، کما لا یخفی</w:t>
      </w:r>
      <w:r>
        <w:rPr>
          <w:rFonts w:eastAsia="IRNazanin" w:cs="IRNazanin"/>
          <w:color w:val="111111"/>
          <w:sz w:val="28"/>
          <w:szCs w:val="28"/>
          <w:rtl w:val="true"/>
          <w:lang w:bidi="fa-IR"/>
        </w:rPr>
        <w:t>.</w:t>
      </w:r>
    </w:p>
    <w:p>
      <w:pPr>
        <w:pStyle w:val="Heading6"/>
        <w:numPr>
          <w:ilvl w:val="5"/>
          <w:numId w:val="1"/>
        </w:numPr>
        <w:rPr/>
      </w:pPr>
      <w:bookmarkStart w:id="104" w:name="__RefHeading___Toc3425397_3224264995"/>
      <w:bookmarkStart w:id="105" w:name="_Toc39"/>
      <w:bookmarkEnd w:id="104"/>
      <w:r>
        <w:rPr>
          <w:rtl w:val="true"/>
        </w:rPr>
        <w:t>المختار فی معنی الروایة</w:t>
      </w:r>
      <w:bookmarkEnd w:id="105"/>
    </w:p>
    <w:p>
      <w:pPr>
        <w:pStyle w:val="BookText"/>
        <w:rPr/>
      </w:pPr>
      <w:r>
        <w:rPr>
          <w:rFonts w:ascii="IRNazanin" w:hAnsi="IRNazanin" w:eastAsia="IRNazanin"/>
          <w:color w:val="111111"/>
          <w:sz w:val="28"/>
          <w:sz w:val="28"/>
          <w:szCs w:val="28"/>
          <w:rtl w:val="true"/>
          <w:lang w:bidi="fa-IR"/>
        </w:rPr>
        <w:t>هذا کلّه محتملات الروایة حسب الثبوت، و أمّا مفادها حسب الإثبات فلا شکّ أنّ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الإطلاق و الإرسال باقٍ إلی</w:t>
      </w:r>
    </w:p>
    <w:p>
      <w:pPr>
        <w:pStyle w:val="BookText"/>
        <w:rPr/>
      </w:pPr>
      <w:r>
        <w:rPr>
          <w:rFonts w:ascii="IRNazanin" w:hAnsi="IRNazanin" w:eastAsia="IRNazanin"/>
          <w:color w:val="111111"/>
          <w:sz w:val="28"/>
          <w:sz w:val="28"/>
          <w:szCs w:val="28"/>
          <w:rtl w:val="true"/>
          <w:lang w:bidi="fa-IR"/>
        </w:rPr>
        <w:t>ورود النهی، و لیس المراد من الورود هو الورود من جانب الشارع؛ لانقطاع الوحی فی زمان صدور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علی النواهی المخزونة عند ولی العصر علیه السلام بعید جدّاً؛ فإنّه علی فرض وجود تلک النواهی عنده فتعیّن أن یکون المراد من الورود هو الوصول علی المکلّف، و هذا عرفاً عین الحکم الظاهری المجعول فی حقّ الشاکّ إلی أن یظفر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استقبالیة، و النهی المتوقّع وروده فی زمان الصادق لیست من النواهی الأوّلیة الواردة علی الموضوعات؛ لأنّ ذلک بید الشارع، و قد فعل ذلک و ختم طوماره بموت النبی صلی الله علیه و آله و سلم و انقطاع الوحی، غیر أنّ کلّ ما یرد من العترة الطاهرة کلّها حاکیات عن التشریع و الورود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المراد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الورود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یرتفع بذلک الحکم المجعول للشاکّ، و هذا عین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الإطلاق بمعنی اللاحظر؛ حتّی یکون بصدد بیان حکم عقلی و مسألة اصولیة أو کلامیة، أو بمعنی الحلّیة الواقعیة قبل الشرع المستکشف بحکم العقل الحاکم بکون الأشیاء علی الإباحة، و بملازمة حکم العقل و الشرع، ففی غایة البعد؛ فإنّ ظواهر هذه الکلمات کون الإمام بصدد بیان الفتوی و رفع حاجة المکلّفین، لا بیان مسألة اصولیة أو کلامیة أو عقلیة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کونها بصدد بیان الحکم العقلی أو بیان التلازم یشکل إثباته بالروایة؛ لعدم صحّة التعبّد فی الأحکام العقلیة أو ملازماتها، کما لا یخفی</w:t>
      </w:r>
      <w:r>
        <w:rPr>
          <w:rFonts w:eastAsia="IRNazanin" w:cs="IRNazanin"/>
          <w:color w:val="111111"/>
          <w:sz w:val="28"/>
          <w:szCs w:val="28"/>
          <w:rtl w:val="true"/>
          <w:lang w:bidi="fa-IR"/>
        </w:rPr>
        <w:t>.</w:t>
      </w:r>
      <w:bookmarkStart w:id="106" w:name="pg12912_111664"/>
    </w:p>
    <w:p>
      <w:pPr>
        <w:pStyle w:val="Heading6"/>
        <w:numPr>
          <w:ilvl w:val="5"/>
          <w:numId w:val="1"/>
        </w:numPr>
        <w:rPr/>
      </w:pPr>
      <w:bookmarkStart w:id="107" w:name="__RefHeading___Toc3425399_3224264995"/>
      <w:bookmarkStart w:id="108" w:name="_Toc40"/>
      <w:bookmarkEnd w:id="106"/>
      <w:bookmarkEnd w:id="107"/>
      <w:r>
        <w:rPr>
          <w:rtl w:val="true"/>
        </w:rPr>
        <w:t>الروایة التاسعة</w:t>
      </w:r>
      <w:r>
        <w:rPr>
          <w:rtl w:val="true"/>
        </w:rPr>
        <w:t xml:space="preserve">: </w:t>
      </w:r>
      <w:r>
        <w:rPr>
          <w:rtl w:val="true"/>
        </w:rPr>
        <w:t>صحیحة عبد الرحمن بن الحجّاج</w:t>
      </w:r>
      <w:bookmarkEnd w:id="108"/>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 الرحمن بن الحجّاج المنقولة فی أبواب ما یحرم بالمصاهرة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إذا کان بجهالة فلیتزوّجها بعد ما تنقضی عدّتها، فقد یعذر الناس فی الجهالة بما هو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أعذر؛ بجهالة أنّ ذلک محرّم علیه أم بجهالة أنّها فی العدّة؟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الجهالتین أهون من الاخری؛ الجهالة بأنّ اللَّه تعالی حرّم علیه ذلک؛ و ذلک لأنّه لا یقدر معها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الاخری معذور؟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انقضت عدّتها فهو معذور فی أن یتزوّجها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بالأهونیة فی جواب الإمام و بالأعذریة لا یناسب الأحکام الوضعیة؛ فإنّ کون الجهل عذراً و موجباً لعدم التحریم الأبدی لا مراتب له، فلا بدّ من الحمل علی الحکم التکلیفی؛ إذ هو الذی یتفاوت فیه بعض الأعذار، و یکون بعضها أهون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فالغافل المرتکب للمحرّم أعذر من الجاهل الملتفت المرتکب له؛ و إن کان ارتکابه بحکم أصل البراءة</w:t>
      </w:r>
      <w:r>
        <w:rPr>
          <w:rFonts w:eastAsia="IRNazanin" w:cs="IRNazanin"/>
          <w:color w:val="111111"/>
          <w:sz w:val="28"/>
          <w:szCs w:val="28"/>
          <w:rtl w:val="true"/>
          <w:lang w:bidi="fa-IR"/>
        </w:rPr>
        <w:t>.</w:t>
      </w:r>
      <w:bookmarkStart w:id="109" w:name="pg12912_111665"/>
    </w:p>
    <w:p>
      <w:pPr>
        <w:pStyle w:val="BookText"/>
        <w:rPr/>
      </w:pPr>
      <w:bookmarkEnd w:id="109"/>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دالّة علی کون الجهل مطلقاً عذراً فی ارتکاب المحرّمات؛ و إن کان الأعذار ذات مراتب، و الجهالات ذات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محقّقی العصر قدس سره من تقریب دلالتها بأنّ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یعذر الناس بما هو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علی معذوریة الجاهل من حیث العقوبة عند الجهل، الشامل بإطلاقه للمعذوریة عن العقوبة و النکال الاخروی</w:t>
      </w:r>
      <w:r>
        <w:rPr>
          <w:rStyle w:val="FootnoteAnchor"/>
          <w:rtl w:val="true"/>
        </w:rPr>
        <w:footnoteReference w:id="120"/>
      </w:r>
      <w:r>
        <w:rPr>
          <w:rFonts w:ascii="Amiri" w:hAnsi="Amiri" w:eastAsia="Amiri" w:cs="Amiri"/>
          <w:color w:val="111111"/>
          <w:sz w:val="28"/>
          <w:sz w:val="28"/>
          <w:szCs w:val="28"/>
          <w:rtl w:val="true"/>
          <w:lang w:bidi="ar-SA"/>
        </w:rPr>
        <w:t>، فضعیف جدّاً؛ لأنّ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یستفاد منه الإطلاق؛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للتقلیل لا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بها للمقام محلّ إشکال؛ لأنّ التعلیل بأنّه کان غیر قادر علی الاحتیاط یجعلها مختصّة بالغافل، و هو غیر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إلغاء الخصوصیة مع التفاوت الفاحش لا یمکن فی المقام</w:t>
      </w:r>
      <w:r>
        <w:rPr>
          <w:rFonts w:eastAsia="IRNazanin" w:cs="IRNazanin"/>
          <w:color w:val="111111"/>
          <w:sz w:val="28"/>
          <w:szCs w:val="28"/>
          <w:rtl w:val="true"/>
          <w:lang w:bidi="fa-IR"/>
        </w:rPr>
        <w:t>.</w:t>
      </w:r>
    </w:p>
    <w:p>
      <w:pPr>
        <w:pStyle w:val="Heading6"/>
        <w:numPr>
          <w:ilvl w:val="5"/>
          <w:numId w:val="1"/>
        </w:numPr>
        <w:rPr/>
      </w:pPr>
      <w:bookmarkStart w:id="110" w:name="__RefHeading___Toc3425401_3224264995"/>
      <w:bookmarkStart w:id="111" w:name="_Toc41"/>
      <w:bookmarkEnd w:id="110"/>
      <w:r>
        <w:rPr>
          <w:rtl w:val="true"/>
        </w:rPr>
        <w:t>الروایة العاشرة</w:t>
      </w:r>
      <w:r>
        <w:rPr>
          <w:rtl w:val="true"/>
        </w:rPr>
        <w:t xml:space="preserve">: </w:t>
      </w:r>
      <w:r>
        <w:rPr>
          <w:rtl w:val="true"/>
        </w:rPr>
        <w:t xml:space="preserve">روایة </w:t>
      </w:r>
      <w:r>
        <w:rPr>
          <w:rtl w:val="true"/>
        </w:rPr>
        <w:t>«</w:t>
      </w:r>
      <w:r>
        <w:rPr>
          <w:rtl w:val="true"/>
        </w:rPr>
        <w:t xml:space="preserve">کلّ شی‌ء فیه حلال و حرام </w:t>
      </w:r>
      <w:r>
        <w:rPr>
          <w:rtl w:val="true"/>
        </w:rPr>
        <w:t>...»</w:t>
      </w:r>
      <w:bookmarkEnd w:id="111"/>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 هذه الکبری عنهم علیهم السلام فی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صحیحة عبد اللَّه بن سنان المنقولة فی أبواب ما یکتسب به،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حرام و حلال فهو لک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سلیمان عن أبی جعفر علیه السلام المنقولة فی الأطعمة المباحة، بعد السؤال عن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فیه حلال و 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البرقی بسنده عن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فسأله رجل عن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لطعام یعجبنی، و 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الحلال و الحرام فهو لک حلال حتّی تعرف أنّه حرام، فتدعه بعینه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سلیمان عن أبی عبد اللَّه علیه السلام فی الجبن،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حرام بعینه، فتدعه من قبل نفسک، و ذلک مثل الثوب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الروایات المذکورة فیها هذه الکبری مع اختلاف یسیر،</w:t>
      </w:r>
    </w:p>
    <w:p>
      <w:pPr>
        <w:pStyle w:val="BookText"/>
        <w:rPr/>
      </w:pPr>
      <w:r>
        <w:rPr>
          <w:rFonts w:ascii="IRNazanin" w:hAnsi="IRNazanin" w:eastAsia="IRNazanin"/>
          <w:color w:val="111111"/>
          <w:sz w:val="28"/>
          <w:sz w:val="28"/>
          <w:szCs w:val="28"/>
          <w:rtl w:val="true"/>
          <w:lang w:bidi="fa-IR"/>
        </w:rPr>
        <w:t>و ما یظهر من الشیخ الأعظم من کون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مستقلّة غیر هذه الروایات</w:t>
      </w:r>
      <w:r>
        <w:rPr>
          <w:rStyle w:val="FootnoteAnchor"/>
          <w:rtl w:val="true"/>
        </w:rPr>
        <w:footnoteReference w:id="126"/>
      </w:r>
      <w:r>
        <w:rPr>
          <w:rFonts w:ascii="IRNazanin" w:hAnsi="IRNazanin" w:eastAsia="IRNazanin"/>
          <w:color w:val="111111"/>
          <w:sz w:val="28"/>
          <w:sz w:val="28"/>
          <w:szCs w:val="28"/>
          <w:rtl w:val="true"/>
          <w:lang w:bidi="fa-IR"/>
        </w:rPr>
        <w:t>فلم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المذکورة فی روایة عبد اللَّه بن سلیمان عین ما ذکر فی صحیحة ابن سنان؛ لوحدة العبارة؛ و إن کانت الاولی مصدّرة بحکم الجبن، فیکون الاولی مختصّة بالشبهات الموضوعیة، و لأجل ذلک یشکل تعمیم صحیحة ابن سنان علی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مادّة العرفان المستعملة فی الامور الجزئیة؛ فإنّ کلّ واحد من هذه الامور و إن کان فی حدّ نفسه قابلًا للمناقشة، إلّا أنّ ملاحظة المجموع ربّما تصیر قرینة علی الاختصاص أو سلب الاعتماد بمثل هذا الإطلاق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تلک الصحیحة موثّقة مسعدة بن صدقة؛ فإنّ الأمثلة المذکورة فیها کلّها من الشبهات الموضوعیة، و فیها إشکالات ذکرها الشیخ الأعظم</w:t>
      </w:r>
      <w:r>
        <w:rPr>
          <w:rStyle w:val="FootnoteAnchor"/>
          <w:rtl w:val="true"/>
        </w:rPr>
        <w:footnoteReference w:id="127"/>
      </w:r>
      <w:r>
        <w:rPr>
          <w:rFonts w:ascii="IRNazanin" w:hAnsi="IRNazanin" w:eastAsia="IRNazanin"/>
          <w:color w:val="111111"/>
          <w:sz w:val="28"/>
          <w:sz w:val="28"/>
          <w:szCs w:val="28"/>
          <w:rtl w:val="true"/>
          <w:lang w:bidi="fa-IR"/>
        </w:rPr>
        <w:t>و إن کان فی بعض ما أجاب به تأمّل</w:t>
      </w:r>
      <w:r>
        <w:rPr>
          <w:rFonts w:eastAsia="IRNazanin" w:cs="IRNazanin"/>
          <w:color w:val="111111"/>
          <w:sz w:val="28"/>
          <w:szCs w:val="28"/>
          <w:rtl w:val="true"/>
          <w:lang w:bidi="fa-IR"/>
        </w:rPr>
        <w:t>.</w:t>
      </w:r>
      <w:bookmarkStart w:id="112" w:name="pg12912_111668"/>
    </w:p>
    <w:p>
      <w:pPr>
        <w:pStyle w:val="Heading5"/>
        <w:numPr>
          <w:ilvl w:val="4"/>
          <w:numId w:val="1"/>
        </w:numPr>
        <w:rPr/>
      </w:pPr>
      <w:bookmarkStart w:id="113" w:name="__RefHeading___Toc3425403_3224264995"/>
      <w:bookmarkStart w:id="114" w:name="_Toc42"/>
      <w:bookmarkEnd w:id="112"/>
      <w:bookmarkEnd w:id="113"/>
      <w:r>
        <w:rPr>
          <w:rtl w:val="true"/>
        </w:rPr>
        <w:t>الاستدلال بالإجماع و العقل علی البراءة</w:t>
      </w:r>
      <w:bookmarkEnd w:id="114"/>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فی المقام أصلًا؛ لکون المسألة ممّا تظافرت به الأدلّة النقلیة و حکم به العقل، فمن القریب جدّاً أن یکون المدرک لإجماعهم هو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أنّ العقل یحکم بقبح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قطعی للعقل، یرتفع موضوع ذاک الحکم بوصول البیان إلی المکلّف بالعنوان الأوّلی، أو بإیجاب الاحتیاط و التوقّف فی الشبهات،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یحتاج الاصولی إلی هذه الکبری؛ لأنّ الملاک فی استحقاق عقوبة العبد فی مخالفة مولاه هو عنوان الظلم؛ فإنّ مخالفة ما قامت علیه الحجّة خروج عن رسم العبودیة، و هو ظلم من العبد إلی مولاه، یستوجب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قیام الحجّة فلا یکون ظالماً، فلا یستحقّ العقوبة، و هو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العقاب بلا بیان قبیحاً فغیر محتاج إلیه فیما یرتئیه الاصولی؛ و إن کان فی نفسه صحیحاً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مستقلّ بوجوب إطاعة المنعم و قبح مخالفته و استحقاق المتخلّف للعقوبة، و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استحقاقه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بمناط انطباق عنوان الظلم علیه، بل العقل یستقلّ بهذا مع الغفلة عن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کون مطلق المخالفة</w:t>
      </w:r>
    </w:p>
    <w:p>
      <w:pPr>
        <w:pStyle w:val="BookText"/>
        <w:rPr/>
      </w:pPr>
      <w:r>
        <w:rPr>
          <w:rFonts w:ascii="Amiri" w:hAnsi="Amiri" w:eastAsia="Amiri" w:cs="Amiri"/>
          <w:color w:val="111111"/>
          <w:sz w:val="28"/>
          <w:sz w:val="28"/>
          <w:szCs w:val="28"/>
          <w:rtl w:val="true"/>
          <w:lang w:bidi="ar-SA"/>
        </w:rPr>
        <w:t>ظلماً للمولی محلّ بحث و إشکال،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المرمی فی المقام هو تحصیل المؤمّن عن العقاب؛ حتّی یتسنّی له الارتکاب، و هو لا یحصل إلّا بالتمسّک بهذه الکبری التی مآلها إلی قبح صدور العقاب من المولی الحکیم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دفع الاستحقاق بمناط أنّ الارتکاب لیس بظلم فلا یکفی فی ذلک؛ لأنّ دفع الاستحقاق عن ناحیة الظلم و حصول الطمأنینة من تلک الناحیة لا یصیر مؤمّناً عن عامّة الجهات ما لم ینضمّ إلیه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حکم العقل بقبح العقاب بلا بیان واقعی غیر مناط حکمه بقبح العقاب حتّی من غیر بیان واصل إلی المکلّف؛ فإنّه لم یحصل فی الأوّل تفویت لمراد المولی، و لم تتمّ مبادئ الإرادة الآمریة، فلا مقتضی لاستحقاق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فإنّ ملاک عدم الاستحقاق فیه عدم استناد فوت المطلوب إلی العبد</w:t>
      </w:r>
      <w:r>
        <w:rPr>
          <w:rStyle w:val="FootnoteAnchor"/>
          <w:rtl w:val="true"/>
        </w:rPr>
        <w:footnoteReference w:id="1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الفرق غیر فارق، و لا یتجاوز عن بیان خصوصیة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اختلافهما فی المناط فلا یستفاد منه، بل المناط فیهما واحد؛ و هو قبح العقاب بلا حجّة؛ سواء لم یکن بیان من رأس أو کان و لم یصل إلیه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فالعقاب فی کلا القسمین عقاب بلا جهة و لا حجّة، و کلاهما من مصادیق الظلم، و المناط فی کلا القسمین واحد، کما لا یخفی</w:t>
      </w:r>
      <w:r>
        <w:rPr>
          <w:rFonts w:eastAsia="IRNazanin" w:cs="IRNazanin"/>
          <w:color w:val="111111"/>
          <w:sz w:val="28"/>
          <w:szCs w:val="28"/>
          <w:rtl w:val="true"/>
          <w:lang w:bidi="fa-IR"/>
        </w:rPr>
        <w:t>.</w:t>
      </w:r>
      <w:bookmarkStart w:id="115" w:name="pg12912_111670"/>
    </w:p>
    <w:p>
      <w:pPr>
        <w:pStyle w:val="Heading5"/>
        <w:numPr>
          <w:ilvl w:val="4"/>
          <w:numId w:val="1"/>
        </w:numPr>
        <w:rPr/>
      </w:pPr>
      <w:bookmarkStart w:id="116" w:name="__RefHeading___Toc3425405_3224264995"/>
      <w:bookmarkStart w:id="117" w:name="_Toc43"/>
      <w:bookmarkEnd w:id="115"/>
      <w:bookmarkEnd w:id="116"/>
      <w:r>
        <w:rPr>
          <w:rtl w:val="true"/>
        </w:rPr>
        <w:t>جولة حول وجوب دفع الضرر المحتمل</w:t>
      </w:r>
      <w:bookmarkEnd w:id="117"/>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حکم العقل بوجوب دفع الضرر المحتمل علی الحکم العقلی المذکور من قبح العقاب بلا بیان،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بیان بلسانه، فیصیر العقاب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فاسد؛ سواء ارید من الضرر العقاب الاخروی أو ارید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 الواضح أنّ الکبری بما هی هی لا ینتج شیئاً فی عامّة الموارد ما لم ینضمّ إلیه الصغری، فالعلم بوجوب دفع الضرر کالعلم بقبح العقاب بلا بیان لا ینتجان إلّا إذا انضمّ إلی کلّ واحد صغراه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فی ارتکاب محتمل الحرمة أو ترک محتمل الوجوب محتمل، و یجب دفع الضرر المحتمل؛ فینتج وجوب الاحتراز عن محتمل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علی محتمل التکلیف بعد الفحص التامّ و عدم العثور علیه عقاب بلا بیان، و 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یمتنع صدوره عن المولی الحکیم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علی محتمل التکلیف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الثانی مرکّب من صغری وجدانیة و کبری برهانیة، فالنتیجة المتحصّلة منهما قطعیة بتّیة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فالصغری فیه لیست أمراً وجدانیاً فعلیة، بل صحّة صغراه یتوقّف علی امور؛ إمّا تقصیر العبد فی الفحص عن تکالیفه، أو کون المولی غیر حکیم أو غیر عادل، أو کون العقاب بلا بیان أمراً غیر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واحد من هذه الامور یصیر العقاب محتملًا، و المفروض عدم تحقّق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الصغری فی الثانی وجدانیة قطعیة فعلیة، أمّا الصغری فی الأوّل معلّقة علی تحقّق واحد من هذه الامور، و المفروض عدم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القیاس تامّ فعلی غیر معلّق علی شی‌ء، و تمامیة ذاک مبنیة و معلّقة علی بطلان القواعد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عندئذٍ فی حکومة القیاس المنظّم من المقدّمات الفعلیة علی المتوقّف علی امور لم یحصل واحد منها؛ بمعنی أنّ القیاس الثانی دافع لصغری القیاس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ذلک ینظر کلمات القوم، و إلّا فظاهر کلماتهم من ورود إحدی الکبریین علی الاخری غیر صحیح؛ فإنّ النزاع لیس بین الکبریین، بل صحّتهما ممّا لا إشکال فیه، و صدقهما لا یتوقّف علی وجود مصداق لصغراهما؛ إذ 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بیان فی العالم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دفع الضرر المحتمل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الضرر محتملًا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الضرر فی بعض الموضوعات و تحقّق البیان کذلک غیر مربوط بحکم الکبریین و موضوعهما، فلا یکون إحدی الکبریین واردة أو حاکمة علی الاخری قطّ، بل أحد القیاسین بعد تمامیة مقدّماته وجداناً أو برهاناً یدفع صغری القیاس الآخر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ما إذا ارید من الضرر غیر العقاب الاخروی الموعود جزاءً للأعمال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منه اللوازم القهریة للأعمال التی یعبّر عنه بتجسّم الأعمال و تجسّد الأفعال، بتقریب أنّها لیست من العقوبات السیاسیة المجعولة؛ حتّی یرتفع بحکم العقل، بل صور غیبیة لأفعال الإنسان، و قد استدلّ أصحاب هذا الرأی بعدّة آیات و أخبار ظاهرة فیما قالوه</w:t>
      </w:r>
      <w:r>
        <w:rPr>
          <w:rStyle w:val="FootnoteAnchor"/>
          <w:rtl w:val="true"/>
        </w:rPr>
        <w:footnoteReference w:id="130"/>
      </w:r>
      <w:r>
        <w:rPr>
          <w:rFonts w:ascii="IRNazanin" w:hAnsi="IRNazanin" w:eastAsia="IRNazanin"/>
          <w:color w:val="111111"/>
          <w:sz w:val="28"/>
          <w:sz w:val="28"/>
          <w:szCs w:val="28"/>
          <w:rtl w:val="true"/>
          <w:lang w:bidi="fa-IR"/>
        </w:rPr>
        <w:t>، و علیه فلا بدّ من دفع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المقرّر عند أصحاب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الأعمال التی تبقی آثارها فی النفس هی الآثار الحسنة النورانیة أو السیئة الظلمانیة، و أمّا مطلق الأعمال ممّا هی متصرّمة فی عالم الطبع فلا یمکن تحقّقها فی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تلک الأفعال موجبة لخلّاقیة النفس صوراً غیبیة تناسب تلک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الأعمال هی الصور المتجسّدة بتبع فعّالیة النفس إذا خرجت عن الجسد فی البرازخ أو بعد الرجوع إلیه فی القیامة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فالأفعال الطبیعیة التی لم تورث فی النفس صورة، لا یمکن حشرها و تصوّرها فی سائر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هذه التصوّرات هو الإطاعة و العصیان، لا إتیان مطلق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الضرر الدنیوی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مطلق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دنیویاً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واجبة الدفع ما لم یوجب 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احتمال الضرر یحکم العقل بقبح الارتکاب، و بالملازمة تثبت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ارتکاب الضرر لیس قبیحاً، بل هو بلا داعٍ عقلائی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البیان هو العلم بالتکلیف فی صورة احتماله،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الضرر مستوجب لاحتمال القبح، و هو مستلزم لاحتمال العقاب، و قد علم وجوب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أوردنا علی الأوّل من أنّ ارتکاب الضرر بلا داعٍ عقلائی سفه لا قبیح، و معه لا سفه و لا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بوجوده الواقعی لا یؤثّر فی القبح، بل علی فرضه لا بدّ من العلم به، فالعلم به موضوع للقبح، فمع احتمال الضرر لا یکون قبیحاً جزماً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الموضوعیة و الوجوبیة مشترکتان مع الشبهة</w:t>
      </w:r>
    </w:p>
    <w:p>
      <w:pPr>
        <w:pStyle w:val="BookText"/>
        <w:rPr/>
      </w:pPr>
      <w:r>
        <w:rPr>
          <w:rFonts w:ascii="IRNazanin" w:hAnsi="IRNazanin" w:eastAsia="IRNazanin"/>
          <w:color w:val="111111"/>
          <w:sz w:val="28"/>
          <w:sz w:val="28"/>
          <w:szCs w:val="28"/>
          <w:rtl w:val="true"/>
          <w:lang w:bidi="fa-IR"/>
        </w:rPr>
        <w:t>التحریمیة فی هذه التوالی المدّعاة، فلو کانت للأفعال لوازم قهریة مؤذیة لصاحبها لکان علی الشارع الرؤوف الرحیم إیجاب الاحتیاط؛ حتّی یصون صاحبها عن هذه اللوازم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فالترخیص فیهما إجماعاً بل ضرورة، دلیل علی بطلان تلک المزعمة، و أنّه لیس هاهنا ضرر اخروی أو دنیوی واجب الدفع، کما لا یخفی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الأدلّة کافٍ فی إثبات البراءة الشرعیة، و لنعطف عنان الکلام إلی مقالة الأخباریین</w:t>
      </w:r>
      <w:r>
        <w:rPr>
          <w:rFonts w:eastAsia="IRNazanin" w:cs="IRNazanin"/>
          <w:color w:val="111111"/>
          <w:sz w:val="28"/>
          <w:szCs w:val="28"/>
          <w:rtl w:val="true"/>
          <w:lang w:bidi="fa-IR"/>
        </w:rPr>
        <w:t>.</w:t>
      </w:r>
      <w:bookmarkStart w:id="118" w:name="pg12912_111675"/>
    </w:p>
    <w:p>
      <w:pPr>
        <w:pStyle w:val="Heading5"/>
        <w:numPr>
          <w:ilvl w:val="4"/>
          <w:numId w:val="1"/>
        </w:numPr>
        <w:rPr/>
      </w:pPr>
      <w:bookmarkStart w:id="119" w:name="__RefHeading___Toc3425407_3224264995"/>
      <w:bookmarkStart w:id="120" w:name="_Toc44"/>
      <w:bookmarkEnd w:id="118"/>
      <w:bookmarkEnd w:id="119"/>
      <w:r>
        <w:rPr>
          <w:rtl w:val="true"/>
        </w:rPr>
        <w:t>حول استدلال الأخباریّین علی وجوب الاحتیاط</w:t>
      </w:r>
      <w:bookmarkEnd w:id="120"/>
    </w:p>
    <w:p>
      <w:pPr>
        <w:pStyle w:val="Heading6"/>
        <w:numPr>
          <w:ilvl w:val="5"/>
          <w:numId w:val="1"/>
        </w:numPr>
        <w:rPr/>
      </w:pPr>
      <w:bookmarkStart w:id="121" w:name="__RefHeading___Toc3425409_3224264995"/>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قد استدلّوا بوجوه</w:t>
      </w:r>
      <w:r>
        <w:rPr>
          <w:rFonts w:eastAsia="IRNazanin" w:cs="IRNazanin"/>
          <w:color w:val="111111"/>
          <w:sz w:val="28"/>
          <w:szCs w:val="28"/>
          <w:rtl w:val="true"/>
          <w:lang w:bidi="fa-IR"/>
        </w:rPr>
        <w:t>:</w:t>
      </w:r>
    </w:p>
    <w:p>
      <w:pPr>
        <w:pStyle w:val="Heading6"/>
        <w:numPr>
          <w:ilvl w:val="5"/>
          <w:numId w:val="1"/>
        </w:numPr>
        <w:rPr/>
      </w:pPr>
      <w:bookmarkStart w:id="123" w:name="__RefHeading___Toc3425411_3224264995"/>
      <w:bookmarkStart w:id="124" w:name="_Toc46"/>
      <w:bookmarkEnd w:id="123"/>
      <w:r>
        <w:rPr>
          <w:rtl w:val="true"/>
        </w:rPr>
        <w:t>الاستدلال بالآیات</w:t>
      </w:r>
      <w:bookmarkEnd w:id="124"/>
    </w:p>
    <w:p>
      <w:pPr>
        <w:pStyle w:val="BookText"/>
        <w:rPr/>
      </w:pPr>
      <w:r>
        <w:rPr>
          <w:rFonts w:ascii="IRNazanin" w:hAnsi="IRNazanin" w:eastAsia="IRNazanin"/>
          <w:color w:val="111111"/>
          <w:sz w:val="28"/>
          <w:sz w:val="28"/>
          <w:szCs w:val="28"/>
          <w:rtl w:val="true"/>
          <w:lang w:bidi="fa-IR"/>
        </w:rPr>
        <w:t>منها الآیات؛ و هی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حرمة الإلقاء فی التهلکة،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سیاق الآیات یرشدنا إلی المرمی منه؛ فإنّها نازلة فی مورد الإنفاق للفقراء و سدّ عیلتهم و أداء حوائجهم بإعطاء الزکاة و الصدقات؛ حتّی یتحفّظ بذلک نظم الاجتماع، و یتوازن أعدال المجتمع، و لا ینفصم عروة المعیشة لأرباب الأموال بالثورة علی ذوی الثروة؛ فإنّ فی منعهم عن حقّهم إلقاء لنفوسهم إلی التهلکة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مورد الإنفاق فی سبیل الجهاد؛ لأنّ فی ترک الإنفاق مظنّة غلبة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مورد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هاهنا أیّة هلکة؛ لا اخرویة بمعنی العقاب لقیام الأدلّة علی جواز الارتکاب، و لا دنیویة؛ إذ لا یکون فی غالب مواردها هلکة 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حرمة القول بغیر علم،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تَقُولُونَ بِأَفْواهِکُمْ ما لَیْسَ لَکُمْ بِهِ عِلْمٌ وَ تَحْسَبُونَهُ هَیِّناً وَ هُوَ عِنْدَ اللَّهِ عَظِیمٌ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بجواز الارتکاب تقوّل بلا علم و افتراء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ذلک علی أهل الاحتیاط؛ لأنّهم لا یحکمون بالحرمة، بل یترکون لاحتمالها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الارتکاب؛ فإنّه لا یکون إلّا بعد الحکم بالرخصة و العمل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ارتضاؤه بهذا الفرق؛ و لهذا أجاب عن الإشکال بأنّ فعل الشی‌ء المشتبه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اتّکالًا علی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ذلک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بین الأخباری و الاصولی فی وجوب الاحتیاط و عدمه لا فی الترک و عدمه؛ فالأخباری یدّعی وجوب الاحتیاط و یحکم به، و الاصولی ینکر وجوبه و یقول بالبراءة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یدّعی أمراً و یقیم علیه أدلّة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أصل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سیوافیک فی مباحث الاستصحاب أنّ المراد من العلم و الیقین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لا العلم</w:t>
      </w:r>
    </w:p>
    <w:p>
      <w:pPr>
        <w:pStyle w:val="BookText"/>
        <w:rPr/>
      </w:pPr>
      <w:r>
        <w:rPr>
          <w:rFonts w:ascii="IRNazanin" w:hAnsi="IRNazanin" w:eastAsia="IRNazanin"/>
          <w:color w:val="111111"/>
          <w:sz w:val="28"/>
          <w:sz w:val="28"/>
          <w:szCs w:val="28"/>
          <w:rtl w:val="true"/>
          <w:lang w:bidi="fa-IR"/>
        </w:rPr>
        <w:t>الوجدانی</w:t>
      </w:r>
      <w:r>
        <w:rPr>
          <w:rStyle w:val="FootnoteAnchor"/>
          <w:rtl w:val="true"/>
        </w:rPr>
        <w:footnoteReference w:id="135"/>
      </w:r>
      <w:r>
        <w:rPr>
          <w:rFonts w:ascii="IRNazanin" w:hAnsi="IRNazanin" w:eastAsia="IRNazanin"/>
          <w:color w:val="111111"/>
          <w:sz w:val="28"/>
          <w:sz w:val="28"/>
          <w:szCs w:val="28"/>
          <w:rtl w:val="true"/>
          <w:lang w:bidi="fa-IR"/>
        </w:rPr>
        <w:t>، و المنظور من الآیات هو حرمة الفتوی بلا حجّة و التقوّل بلا دلیل من الکتاب و السنّة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الاصولی فی قوله بالبراءة متقوّلًا بغیر الدلیل؛ لما سمعت من الأدلّة المحکمة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وجوب الاتّقاء حسب الاستطاعة و التورّع بمقدار القدرة،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الآیة، و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الاتّقاء یشمل المندوبات و ترک المکروهات، و لا إشکال فی عدم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تقیید المادّة بغیرهما و بین التصرّف فی الهیئة بحملها علی إرادة مطلق الرجحان؛ حتّی لا ینافی فعل المندوب و ترک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عدم أولویة الأوّل، إن لم نقل بأولویة الثانی؛ من جهة کثرة استعمالها فی غیر الوجوب؛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من المجازاة الراجحة المساوی احتمالها مع الحقیقة</w:t>
      </w:r>
      <w:r>
        <w:rPr>
          <w:rStyle w:val="FootnoteAnchor"/>
          <w:rtl w:val="true"/>
        </w:rPr>
        <w:footnoteReference w:id="1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شمول الاتّقاء لفعل المندوب و ترک المکروه مورد منع؛ فإنّ التقوی عبارة عن الاحتراز عمّا یوجب الضرر، أو یحتمل فی فعله أو ترکه</w:t>
      </w:r>
    </w:p>
    <w:p>
      <w:pPr>
        <w:pStyle w:val="BookText"/>
        <w:rPr/>
      </w:pPr>
      <w:r>
        <w:rPr>
          <w:rFonts w:ascii="IRNazanin" w:hAnsi="IRNazanin" w:eastAsia="IRNazanin"/>
          <w:color w:val="111111"/>
          <w:sz w:val="28"/>
          <w:sz w:val="28"/>
          <w:szCs w:val="28"/>
          <w:rtl w:val="true"/>
          <w:lang w:bidi="fa-IR"/>
        </w:rPr>
        <w:t>الضرر، و لیس المندوب و المکروه بهذه 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شموله لمشتبه الحرمة أو الوجوب فلاحتمال الضرر فی فعله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المعنی المختار الاستعمالات الرائجة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کون استعمال الهیئة فی غیر الوجوب کثیراً، إلّا أنّ تقیید المادّة أکثر، بل قلّما تجد إطلاقاً باقیاً علی إطلاقه، و هذا بخلاف هیئة الأمر؛ فهی مستعملة فی الوجوب و اللزوم فی الکتاب و السنّة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ترجیح التصرّف فی الهیئة علی التصرّف فی المادّة یوجب تأسیس فقه جدید، و لا أظنّ أنّه قدس سره کان عاملًا بهذه الطریقة فی الفروع الفقهیة؛ و إن تکرّر منه القول بترجیح التصرّف فی الهیئة علی المادّة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یتعیّن فی المقام التصرّف فی الهیئة دون المادّة، لا لکون ذلک قاعدة کلّیة، بل لخصوصیة فی المقام؛ لأنّ الآیة شاملة للشبهات الموضوعیة و الوجوبیة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حملنا الآیة علی الوجوب بلا تصرّف فی مفاد الهیئة یستلزم تقیید الآیة و إخراج بعض الأقسام، مع أنّ لسانها آبیة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التقیید یعدّ أمراً بشیعاً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یقبل الطبع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إلّا فی مورد کذا و کذا؟ فلا مناص عن التصرّف فی مفاد الهیئة بحمل الطلب علی مطلق الرجحان حتّی یتمّ إطلاقها، و لا یرد علیها تقیید أو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الاصولی منکراً لرجحان الاحتیاط أبداً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شاملة للمحرّمات و الواجبات المعلومة، و لا إشکال فی امتناع تعلّق الأمر التعبّدی بوجوب إطاعتهما، فیجب حمل الأوامر فیها علی الإرشاد، فتصیر تابعة للمرشد إلیه</w:t>
      </w:r>
      <w:r>
        <w:rPr>
          <w:rFonts w:eastAsia="IRNazanin" w:cs="IRNazanin"/>
          <w:color w:val="111111"/>
          <w:sz w:val="28"/>
          <w:szCs w:val="28"/>
          <w:rtl w:val="true"/>
          <w:lang w:bidi="fa-IR"/>
        </w:rPr>
        <w:t>.</w:t>
      </w:r>
      <w:bookmarkStart w:id="125" w:name="pg12912_111679"/>
    </w:p>
    <w:p>
      <w:pPr>
        <w:pStyle w:val="BookText"/>
        <w:rPr/>
      </w:pPr>
      <w:bookmarkEnd w:id="125"/>
      <w:r>
        <w:rPr>
          <w:rFonts w:ascii="IRNazanin" w:hAnsi="IRNazanin" w:eastAsia="IRNazanin"/>
          <w:color w:val="111111"/>
          <w:sz w:val="28"/>
          <w:sz w:val="28"/>
          <w:szCs w:val="28"/>
          <w:rtl w:val="true"/>
          <w:lang w:bidi="fa-IR"/>
        </w:rPr>
        <w:t>فلو حکم العقل أو ثبت وجوبه أو حرمته یتعیّن العمل علی طبق المرشد إلیه، و إن لم یثبت وجوبه أو حرمته أو ثبت خلافه لا بدّ من العمل أیضاً علی طبقه</w:t>
      </w:r>
      <w:r>
        <w:rPr>
          <w:rFonts w:eastAsia="IRNazanin" w:cs="IRNazanin"/>
          <w:color w:val="111111"/>
          <w:sz w:val="28"/>
          <w:szCs w:val="28"/>
          <w:rtl w:val="true"/>
          <w:lang w:bidi="fa-IR"/>
        </w:rPr>
        <w:t>.</w:t>
      </w:r>
    </w:p>
    <w:p>
      <w:pPr>
        <w:pStyle w:val="Heading6"/>
        <w:numPr>
          <w:ilvl w:val="5"/>
          <w:numId w:val="1"/>
        </w:numPr>
        <w:rPr/>
      </w:pPr>
      <w:bookmarkStart w:id="126" w:name="__RefHeading___Toc3425413_3224264995"/>
      <w:bookmarkStart w:id="127" w:name="_Toc47"/>
      <w:bookmarkEnd w:id="126"/>
      <w:r>
        <w:rPr>
          <w:rtl w:val="true"/>
        </w:rPr>
        <w:t>الاستدلال علی وجوب الاحتیاط بالسنّة</w:t>
      </w:r>
      <w:bookmarkEnd w:id="127"/>
    </w:p>
    <w:p>
      <w:pPr>
        <w:pStyle w:val="BookText"/>
        <w:rPr/>
      </w:pP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القول أو الإفتاء بغیر علم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أوضحنا المراد من تلک الطائفة عند البحث عن الآیات الدالّة علی حرمة القول بغیر علم،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الردّ علی اللَّه و رسوله و الأئمّة من بعده، و إلیک نماذج من تلک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حمزة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علی أبی عبد اللَّه علیه السلام بعض خطب أبیه؛ حتّی إذا بلغ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 و اسکت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یسعکم فیما ینزل بکم ممّا لا تعلمون إلّا الکفّ عنه و التثبّت و الردّ إلی أئمّة الهدی حتّی یحملوکم فیه علی القصد، و یجلو عنکم فیه العمی، و یعرّفوکم فیه الحقّ،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الأمر بالکفّ اشتمال الخطبة علی المطالب الاعتقادیة،</w:t>
      </w:r>
    </w:p>
    <w:p>
      <w:pPr>
        <w:pStyle w:val="BookText"/>
        <w:rPr/>
      </w:pPr>
      <w:r>
        <w:rPr>
          <w:rFonts w:ascii="IRNazanin" w:hAnsi="IRNazanin" w:eastAsia="IRNazanin"/>
          <w:color w:val="111111"/>
          <w:sz w:val="28"/>
          <w:sz w:val="28"/>
          <w:szCs w:val="28"/>
          <w:rtl w:val="true"/>
          <w:lang w:bidi="fa-IR"/>
        </w:rPr>
        <w:t>فإذن النهی راجع إلی التقوّل فیها بلا رجوع إلی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کونها أعمّ من الاعتقادیة فالنهی حقیقة راجع إلی الإفتاء فیها بلا رجوع إلی أهل الذکر، فلا ترتبط بالمقام؛ فإنّ الاصولی إنّما أفتی بالبراءة بعد الرجوع إلی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جمیل بن صالح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اختلف فیه، فردّه إلی اللَّه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المیثمی عن الرضا علیه السلام فی اختلاف الأحادیث،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سلیم بن قیس الهلالی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 السلام قال لأبان بن أبی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عبد قیس، إن وضح لک أمر فاقبله، و إلّا فاسکت تسلم، و ردّ علمه إلی اللَّه فإنّک أوسع ممّا بین السماء و الأرض</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جابر عن أبی جعفر علیه السلام فی وصیة له لأصحابه،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اشتبه الأمر علیکم فقفوا عنده و ردّوه إلینا حتّی نشرح لکم من ذلک ما شرح لنا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جندب عن الرضا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القوم سنح لهم شیطان اغترّهم بالشبهة، و لبّس علیهم أمر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الواجب لهم من ذلک الوقوف عند التحیّر، و ردّ ما جهلوه من ذلک إلی عالمه و مستنبطه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شیئاً منها غیر مربوط بالمقام، بل إمّا مربوط بالتقوّل بلا رجوع إلی أئمّة الدین، أو مربوط بالفتوی بالآراء و الأهواء، من غیر الرجوع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الاصولی لا یفتی فی أیّة واقعة من دون الرجوع إلی أئمّة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الحلّ مستندة للُاصولی فی الفتوی بالحکم الظاهری، و أدلّة البراءة المؤیّدة بحکم العقل بقبح العقاب بلا بیان مستند له فی الفتوی بعدم وجوب الاحتیاط، فتلک الأدلّة واردة علی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 بلا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موسی بن بکر، قال أبو جعفر لزید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أحلّ حلالًا و حرّم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علی بیّنة من ربّک و یقین من أمرک و تبیان من شأنک فشأنک، و إلّا فلا ترومنّ أمراً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زرارة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ناظرة إلی الإنکار بلا دلیل و ستر الحقّ بلا جهة، و أین هی من الدلالة علی ردّ البراءة المستفادة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مربوطة بالأُصول و شبهات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أمیر المؤمنین علیه السلام إلی عثمان 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ما تقضمه من هذا المقضم، فما اشتبه علیک علمه فالفظه، و ما أیقنت بطیب وجوهه فنل منه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راجعة إلی الشبهة الموضوعیة، کما هو غیر خفی علی من لاحظ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للحکم بین الناس أفضل رعیتک فی نفسک ممّن لا تضیق به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أوقفهم فی الشبهات و آخذهم بالحجج و أقلّهم تبرّماً بمراجعة الخصم و أصبرهم علی تکشّف الامور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راجع إلی أدب القاضی فی المرافعات التی لا تخرج عن حدود الشبهة الموضوعیة، فکیف یستدلّ علی المقام؟ مع أنّه سوف یوافیک عن الجمیع جواباً آخر،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منه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و ما لی لا أعجب من خطأ هذه الفرق علی اختلاف حججها فی دینها، لا یقتفون أثر نبی، و لا یقتدون بعمل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فی الشبهات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راجعة إلی المارقین أو القاسطین من الطغاة الخارجین عن بیعته، المحاربین لإمام عصرهم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وصیته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دع القول فیما لا تعرف</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اخری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عن حدود الاولی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الجواب عن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المناقشة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ممّا تلوح منها الاستحباب؛ فإنّ کلمات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بالترغیب إلی الاجتناب عن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الطائفة تفسّر الروایات التی یستشمّ منها الوجوب،</w:t>
      </w:r>
    </w:p>
    <w:p>
      <w:pPr>
        <w:pStyle w:val="BookText"/>
        <w:rPr/>
      </w:pPr>
      <w:r>
        <w:rPr>
          <w:rFonts w:ascii="IRNazanin" w:hAnsi="IRNazanin" w:eastAsia="IRNazanin"/>
          <w:color w:val="111111"/>
          <w:sz w:val="28"/>
          <w:sz w:val="28"/>
          <w:szCs w:val="28"/>
          <w:rtl w:val="true"/>
          <w:lang w:bidi="fa-IR"/>
        </w:rPr>
        <w:t xml:space="preserve">مثل ما رواه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أن یکون المراد منه ردّ 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حتّی یتّضح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وزان ما تقدّم من تلک الطائفة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r>
        <w:rPr>
          <w:rStyle w:val="FootnoteAnchor"/>
          <w:rtl w:val="true"/>
        </w:rPr>
        <w:footnoteReference w:id="1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الروایتین و ما</w:t>
      </w:r>
    </w:p>
    <w:p>
      <w:pPr>
        <w:pStyle w:val="BookText"/>
        <w:rPr/>
      </w:pPr>
      <w:r>
        <w:rPr>
          <w:rFonts w:ascii="IRNazanin" w:hAnsi="IRNazanin" w:eastAsia="IRNazanin"/>
          <w:color w:val="111111"/>
          <w:sz w:val="28"/>
          <w:sz w:val="28"/>
          <w:szCs w:val="28"/>
          <w:rtl w:val="true"/>
          <w:lang w:bidi="fa-IR"/>
        </w:rPr>
        <w:t>قارنهما من الروایات فی المعنی أقوی شاهد علی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ملک حمی، و إنّ حمی اللَّه حلاله و حرامه، و المشتبهات بین ذلک، کما لو أنّ راعیاً رعی إلی جانب الحمی لم یثبت غنمه أن تقع فی وسطه، فدعوا المشتبهات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سلام بن المستنیر 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حلالی حلال إلی یوم القیامة، و حرامی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شبهات من الشیطان و بدع بعدی، من ترکها صلح له أمر دینه، و صلحت له مروّته و عرضه، و من تلبّس بها وقع فیها و اتبعها کان کمن رعی غنمه قرب الحمی، و من رعی ماشیته قرب الحمی نازعته نفسه إلی أن یرعاها فی الحمی</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صریحة فی الاستحباب؛ ضرورة أنّ الرعی حول الحمی لم یکن ممنوعاً، غیر أنّ الرعی حوله ربّما تستوجب الرعی فی نفس الحمی، فهکذا الشبهات؛ فإنّها لیست محرّمة، غیر أنّ التعوّد بها کالتعوّد بالمکروهات ربّما یوجب تجرّی النفس و جسارته لارتکاب المحرّمات، بل فی هذه الروایات شهادة علی التصرّف فی غیرها، لو سلّمت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 معلّلًا بأنّ الوقوف عند الشبهات خیرٌ من الاقتحام فی الهلکات،</w:t>
      </w:r>
    </w:p>
    <w:p>
      <w:pPr>
        <w:pStyle w:val="BookText"/>
        <w:rPr/>
      </w:pPr>
      <w:r>
        <w:rPr>
          <w:rFonts w:ascii="IRNazanin" w:hAnsi="IRNazanin" w:eastAsia="IRNazanin"/>
          <w:color w:val="111111"/>
          <w:sz w:val="28"/>
          <w:sz w:val="28"/>
          <w:szCs w:val="28"/>
          <w:rtl w:val="true"/>
          <w:lang w:bidi="fa-IR"/>
        </w:rPr>
        <w:t>کما عن السکونی عن جعفر عن أبیه عن علی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الشبهة خیرٌ من الاقتحام فی الهلکة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جمیل بن درّاج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یقصر عنها مقبولة عمر بن حنظلة التی سیوافیک بطولها فی التعادل و الترجیح</w:t>
      </w:r>
      <w:r>
        <w:rPr>
          <w:rStyle w:val="FootnoteAnchor"/>
          <w:rtl w:val="true"/>
        </w:rPr>
        <w:footnoteReference w:id="162"/>
      </w:r>
      <w:r>
        <w:rPr>
          <w:rFonts w:ascii="IRNazanin" w:hAnsi="IRNazanin" w:eastAsia="IRNazanin"/>
          <w:color w:val="111111"/>
          <w:sz w:val="28"/>
          <w:sz w:val="28"/>
          <w:szCs w:val="28"/>
          <w:rtl w:val="true"/>
          <w:lang w:bidi="fa-IR"/>
        </w:rPr>
        <w:t>، و فیها بعد ذکر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فارجه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تلک الروایات آثار الإرشاد؛ و لو کان فیها ما یتوهّم فیه الدلالة علی الوجوب یجب التصرّف فیه بالشواهد التی فی غیرها، بل الظاهر عدم استعمال هذا التعلیل فی شی‌ء من الموارد فی الوجوب؛ و إن ذهب الشیخ</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غیره</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استعماله فی روایة جمیل و المقبولة فی الوجوب، لکنّه غیر</w:t>
      </w:r>
    </w:p>
    <w:p>
      <w:pPr>
        <w:pStyle w:val="BookText"/>
        <w:rPr/>
      </w:pPr>
      <w:r>
        <w:rPr>
          <w:rFonts w:ascii="IRNazanin" w:hAnsi="IRNazanin" w:eastAsia="IRNazanin"/>
          <w:color w:val="111111"/>
          <w:sz w:val="28"/>
          <w:sz w:val="28"/>
          <w:szCs w:val="28"/>
          <w:rtl w:val="true"/>
          <w:lang w:bidi="fa-IR"/>
        </w:rPr>
        <w:t>تامّ؛ فإنّ الکبری المذکورة فی 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تنطبق علی ما ذکره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خالف کتاب اللَّه فدعوه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مخالف الکتاب لیس ممّا یجب فیه الوقف أو یستحبّ فیه التوقّف، بل یجب طرحه و سلب إسناده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تحمل الکبری المذکورة علی غیر هذا المورد، بل تحمل علی الأخبار التی لیس مضامینها فی القرآن؛ لا علی نحو العموم و لا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تحمل علی هذا فلا بدّ أن تحمل إمّا علی الموافق للقرآن أو مخالفه صریحاً، و کلاهما خارجان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الموافق فیجب الأخذ به، و أمّا المخالف فیجب طرحه لا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حمله علی الروایات التی لا تخالف القرآن و لا توافقه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حملنا الأمر بالوقوف علی الاستحباب فی مورد الشبهة ثبت المطلوب، و إن حملناه علی الوجوب فلا تجد له قائلًا؛ فإنّ الأخباری و الاصولی سیّان فی العمل بالأخبار التی لا تخالف القرآن و لا توافقه، و لم یقل أحد بوجوب الوقوف أصلًا؛ و إن کان التوقّف و العمل علی طبق الاحتیاط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المقبولة فسیوافیک الکلام فی مفادها عند نقل الروایات الواردة فی مرجّحات الأخبار عند التعارض</w:t>
      </w:r>
      <w:r>
        <w:rPr>
          <w:rStyle w:val="FootnoteAnchor"/>
          <w:rtl w:val="true"/>
        </w:rPr>
        <w:footnoteReference w:id="166"/>
      </w:r>
      <w:r>
        <w:rPr>
          <w:rFonts w:ascii="IRNazanin" w:hAnsi="IRNazanin" w:eastAsia="IRNazanin"/>
          <w:color w:val="111111"/>
          <w:sz w:val="28"/>
          <w:sz w:val="28"/>
          <w:szCs w:val="28"/>
          <w:rtl w:val="true"/>
          <w:lang w:bidi="fa-IR"/>
        </w:rPr>
        <w:t>، و ما نذکره هنا قلیل من کثیر،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فرض الراوی تساوی الحکمین فی العدالة، و کونهما مرضیین عند أصحابنا لا یفضل واحد منهما علی الآخر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 من حکمهما</w:t>
      </w:r>
      <w:r>
        <w:rPr>
          <w:rStyle w:val="FootnoteAnchor"/>
          <w:rtl w:val="true"/>
        </w:rPr>
        <w:footnoteReference w:id="167"/>
      </w:r>
      <w:r>
        <w:rPr>
          <w:rFonts w:ascii="IRNazanin" w:hAnsi="IRNazanin" w:eastAsia="IRNazanin"/>
          <w:color w:val="111111"/>
          <w:sz w:val="28"/>
          <w:sz w:val="28"/>
          <w:szCs w:val="28"/>
          <w:rtl w:val="true"/>
          <w:lang w:bidi="fa-IR"/>
        </w:rPr>
        <w:t>، و یترک الشاذّ الذی</w:t>
      </w:r>
    </w:p>
    <w:p>
      <w:pPr>
        <w:pStyle w:val="BookText"/>
        <w:rPr/>
      </w:pPr>
      <w:r>
        <w:rPr>
          <w:rFonts w:ascii="IRNazanin" w:hAnsi="IRNazanin" w:eastAsia="IRNazanin"/>
          <w:color w:val="111111"/>
          <w:sz w:val="28"/>
          <w:sz w:val="28"/>
          <w:szCs w:val="28"/>
          <w:rtl w:val="true"/>
          <w:lang w:bidi="fa-IR"/>
        </w:rPr>
        <w:t>لیس بمشهور عند أصحابک؛ فإنّ المجمع علیه لا ریب فیه، و إنّما الامور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بیّن رشده فیتّبع، و أمر بیّن غیّه فیجتنب، و أمر مشکل یردّ حکمه إلی اللَّه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إرجاع الراوی عند تساوی الحکمین إلی النظر فی مدرک الحکمین، فما کان مجمعاً علیه بین الأصحاب یؤخذ به؛ لکونه لا ریب فیه، و ما کان شاذّاً متروکاً لا یعمل به و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من الشهرة فی المقام هو الشهرة الروائیة المجرّدة بین أصحاب الجوامع و الحدیث و إن لم یکن مورداً للفتوی بینهم؛ إذ أیّ ریب و وهن أولی و أقوی من نقل الحدیث و عدم الإفتاء بمضمونه؛ فإنّ هذا یوجب وهناً فی الروایة بما لا یسدّ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الشهرة الفتوائیة؛ بأن یکون الروایة مورداً للفتوی، و قد اعتمد علیه أکابر القوم من المحدّثین و الفقهاء؛ مذعنین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یجعل الروایة ممّا لا ریب فیه؛ لأنّ أهل البیت أدری بما فی البیت، کما تجعل تلک الشهرة ما یقابلها من الروایة الشاذّة ممّا لا ریب فی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تقف علی أنّ الروایة المشهورة بالمعنی المختار داخلة فی الامور التی هی بیّن الرشد، کما أنّ الشاذّة ممّا هی بیّن الغیّ؛ لکون المشهور ممّا لا ریب فیه، کما أنّ الشاذّ ممّا لا ریب فی بطلانه، فیدخل کلّ فیما یناسبه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الشاذّ ممّا فیه ریب لا ممّا لا ریب فی بطلانه، فلا یدخل تحت</w:t>
      </w:r>
    </w:p>
    <w:p>
      <w:pPr>
        <w:pStyle w:val="BookText"/>
        <w:rPr/>
      </w:pPr>
      <w:r>
        <w:rPr>
          <w:rFonts w:ascii="IRNazanin" w:hAnsi="IRNazanin" w:eastAsia="IRNazanin"/>
          <w:color w:val="111111"/>
          <w:sz w:val="28"/>
          <w:sz w:val="28"/>
          <w:szCs w:val="28"/>
          <w:rtl w:val="true"/>
          <w:lang w:bidi="fa-IR"/>
        </w:rPr>
        <w:t>بیّن الغیّ، بل یکون مثالًا للأمر المشکل الذی یردّ حکمه إلی اللَّه، مدفوع بأنّ لازم کون إحدی الروایتین المتضادّتین ممّا لا ریب فی صحّتها کون الاخری ممّا لا ریب فی بطلانها؛ ضرورة عدم إمکان کون خبرین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ریب فیه، و الآخر ممّا فیه ریب و یعدّ مشتبهاً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صلاة الجمعة إذا کان ممّا لا ریب فیه فلا یمکن أن یکون عدم وجوبها ممّا فیه ریب، بل لا ریب فی بطلانه و فساده؛ لأنّ الحقّ واحد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الإمام علیه السلام مثالًا للأمر المشکل الذی ذکره عند تثلیث الامور، لکن یعلم من التدبّر فیما سبق من المثالین؛ فإنّ غیر المجمع علیه و غیر الشاذّ من الامور هو المشکل الذی یردّ حکمه إلی اللَّه و رسوله، و هذا هو الذی عبّر عنه الإمام علیه السلام فی روایة جمیل بن صالح بأمر اختلف فیه؛ حیث</w:t>
      </w:r>
    </w:p>
    <w:p>
      <w:pPr>
        <w:pStyle w:val="BookText"/>
        <w:rPr/>
      </w:pPr>
      <w:r>
        <w:rPr>
          <w:rFonts w:ascii="IRNazanin" w:hAnsi="IRNazanin" w:eastAsia="IRNazanin"/>
          <w:color w:val="111111"/>
          <w:sz w:val="28"/>
          <w:sz w:val="28"/>
          <w:szCs w:val="28"/>
          <w:rtl w:val="true"/>
          <w:lang w:bidi="fa-IR"/>
        </w:rPr>
        <w:t>نقل الراوی عن الصادق علیه السلام عن آبائه علیهم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لک رشده فاتّبعه، و أمر تبیّن لک غیّه فاجتنبه، و أمر اختلف فیه فردّه إلی اللَّه عزّ و جلّ</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الشهرة هی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الفتوی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الراوی بعد الفقرات الماضیة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ما وافق حکمه حکم الکتاب و السنّة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إذ لا معنی لکون کلّ واحد من الخبرین مشهوراً مجمعاً علیه بحسب الفتوی؛ فإنّ کون أحدهما مجمعاً علیه یستلزم اتّصاف الآخر بالشذوذ و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حملناها علی الشهرة الروائیة، فیمکن أن یکون کلّ واحد مشهوراً حسب النقل، بل نقلهما الثقات و أصحاب الجوامع؛ و إن لم یکن الفتوی إلّا علی طبق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المجمع علیه هو مقابل الشاذّ النادر ممّا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الخبران عنکم 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لإمکان اشتهار فتواءین بین الأصحاب، لکن لا بمعنی کون أحدهما شاذّاً نادراً، بل بعد عرفان حکم المشهور و الشاذّ، أنّ إحدی الروایتین لیست نادرة بحسب الفتوی، بل مساویة مع صاحبها فی أنّ کلیهما مورد فتوی لجمع کثیر منهم، و أنّ الحکمین معروفان بینهم، هذا 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دلالته علی مدّعی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أنّ المراد من الأمر المشکل الذی أمر فیه بالردّ إلی اللَّه و رسوله هو القسم الثالث الذی لیس بمجمع علیه و لا شاذّ، بل ممّا اختلف فیه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أنّ الأخباری ممّن یلتزم فیه بوجوب التوقّف و الردّ إلی اللَّه تعالی؛ فإنّ الأخباری لا یجتنب عن الرأی و الإفتاء فی المسائل التی اختلفت فیها کلمة الأصحاب، بل نراه ذات رأی و نظر فی هذه المسائل، من دون أن یتوقّف و یردّ حکمها إلی اللَّه و رسوله؛ و إن کان الأرجح عقلًا هو التوقّف و الاحتیاط فیما لیس بیّن الرشد المجمع علیه، و لا بیّن الغیّ الشاذّ النادر، و إرجاع الأمر فیه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التثلیث الواقع فی کلام رسول اللَّه صلی الله علیه و آله و سلم؛ حیث استشهد الإمام به؛ حیث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 فمن</w:t>
      </w:r>
    </w:p>
    <w:p>
      <w:pPr>
        <w:pStyle w:val="BookText"/>
        <w:rPr/>
      </w:pPr>
      <w:r>
        <w:rPr>
          <w:rFonts w:ascii="IRNazanin" w:hAnsi="IRNazanin" w:eastAsia="IRNazanin"/>
          <w:color w:val="111111"/>
          <w:sz w:val="28"/>
          <w:sz w:val="28"/>
          <w:szCs w:val="28"/>
          <w:rtl w:val="true"/>
          <w:lang w:bidi="fa-IR"/>
        </w:rPr>
        <w:t xml:space="preserve">اجتنب الشبهات نجی عن المحرّمات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إلی آخره؛ فإنّ الحلال البیّن و الحرام البیّن ما اجتمعت الامّة علی حلّیته و حرمته، و المشتبه لیس کذلک، فهی ممّا یترجّح فیه الاحتیاط بالاجتناب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أنّ الاحتیاط ممّا هو راجح فی المقام تعلیله علیه السلام بأنّ الأخذ بالشبهات أخذ بالمحرّمات؛ بمعنی أنّ النفس مهما تعوّدت علی ارتکاب المشتبه فلا محالة تحصل فیه جرأة الارتکاب بالمحرّمات، فارتکاب الشبهات مظنّة الوقوع فی المحرّمات و الهلاک من حیث لا یعلم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و أبلغ قوله علیه السلام فی بعض الروایات؛ حیث شبّه مرتکب الشبهات بالراعی حول الحمی لا یطمئنّ عن هجوم القطیعة علی نفس الحمی</w:t>
      </w:r>
      <w:r>
        <w:rPr>
          <w:rStyle w:val="FootnoteAnchor"/>
          <w:rtl w:val="true"/>
        </w:rPr>
        <w:footnoteReference w:id="171"/>
      </w:r>
      <w:r>
        <w:rPr>
          <w:rFonts w:ascii="IRNazanin" w:hAnsi="IRNazanin" w:eastAsia="IRNazanin"/>
          <w:color w:val="111111"/>
          <w:sz w:val="28"/>
          <w:sz w:val="28"/>
          <w:szCs w:val="28"/>
          <w:rtl w:val="true"/>
          <w:lang w:bidi="fa-IR"/>
        </w:rPr>
        <w:t>، و إلّا فالرعایة حول الحمی من دون تجاوز إلیه لیس أمراً محرّماً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قوله علیه السلام فی آخر المقبولة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الرجحان و الاستحباب؛ لصیرورة الصدر قرینة علی الذیل، کما هو واضح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ظهوره فی الوجوب یقع التعارض بینه و بین ما دلّ علی التخییر فی الخبرین المتعارضین، کروایة ابن جهم</w:t>
      </w:r>
      <w:r>
        <w:rPr>
          <w:rStyle w:val="FootnoteAnchor"/>
          <w:rtl w:val="true"/>
        </w:rPr>
        <w:footnoteReference w:id="172"/>
      </w:r>
      <w:r>
        <w:rPr>
          <w:rFonts w:ascii="IRNazanin" w:hAnsi="IRNazanin" w:eastAsia="IRNazanin"/>
          <w:color w:val="111111"/>
          <w:sz w:val="28"/>
          <w:sz w:val="28"/>
          <w:szCs w:val="28"/>
          <w:rtl w:val="true"/>
          <w:lang w:bidi="fa-IR"/>
        </w:rPr>
        <w:t>و الحارث بن مغیرة</w:t>
      </w:r>
      <w:r>
        <w:rPr>
          <w:rStyle w:val="FootnoteAnchor"/>
          <w:rtl w:val="true"/>
        </w:rPr>
        <w:footnoteReference w:id="173"/>
      </w:r>
      <w:r>
        <w:rPr>
          <w:rFonts w:ascii="IRNazanin" w:hAnsi="IRNazanin" w:eastAsia="IRNazanin"/>
          <w:color w:val="111111"/>
          <w:sz w:val="28"/>
          <w:sz w:val="28"/>
          <w:szCs w:val="28"/>
          <w:rtl w:val="true"/>
          <w:lang w:bidi="fa-IR"/>
        </w:rPr>
        <w:t>، و الجمع العرفی</w:t>
      </w:r>
    </w:p>
    <w:p>
      <w:pPr>
        <w:pStyle w:val="BookText"/>
        <w:rPr/>
      </w:pPr>
      <w:r>
        <w:rPr>
          <w:rFonts w:ascii="IRNazanin" w:hAnsi="IRNazanin" w:eastAsia="IRNazanin"/>
          <w:color w:val="111111"/>
          <w:sz w:val="28"/>
          <w:sz w:val="28"/>
          <w:szCs w:val="28"/>
          <w:rtl w:val="true"/>
          <w:lang w:bidi="fa-IR"/>
        </w:rPr>
        <w:t>یقتضی حمل الأمر علی الاستحباب؛ تحکیماً للنصّ علی الظاهر، مع ما مرّ من القرائن المتقدّمة و غیرها ممّا سیوافیک بیانه فی التعادل و الترجیح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أغمضنا النظر عن کلّ ما ذکر فالأمر دائر بین حمل الأمر علی الاستحباب أو تخصیص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أنّ الأوّل هو المتعیّن؛ لإباء الکبری المذکورة عن التخصیص، کما تقدّم بیانه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شیخنا العلّامة من ترجیح حمل الأمر علی الاستحباب؛ معلّلًا بأنّ التصرّف فی الهیئة أهون من التصرّف فی المادّة فقد مرّ عدم وجاهته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هذه الطائفة من الأخبار علی مقالة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الاحتیاط، و إلیک نبذ من تلک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 هما محرمان، الجزاء بینهما أو علی کلّ واحد منهما جزاء؟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علیهما أن یجزی کلّ واحد منهما 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من ذلک، 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بمثل هذا فلم تدروا فعلیکم الاحتیاط حتّی تسألوا عنه فتعلموا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فی الروایة کثیرة؛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w:t>
      </w:r>
    </w:p>
    <w:p>
      <w:pPr>
        <w:pStyle w:val="BookText"/>
        <w:rPr/>
      </w:pPr>
      <w:r>
        <w:rPr>
          <w:rFonts w:ascii="IRNazanin" w:hAnsi="IRNazanin" w:eastAsia="IRNazanin"/>
          <w:color w:val="111111"/>
          <w:sz w:val="28"/>
          <w:sz w:val="28"/>
          <w:szCs w:val="28"/>
          <w:rtl w:val="true"/>
          <w:lang w:bidi="fa-IR"/>
        </w:rPr>
        <w:t>إشارة إلی حکم الواقعة، أو إلی نفس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یراد من المثل مطلق المماثلة، أو المماثل فی کون الشبهة وجوبیة مطلقاً أو کونها وجوبیة دائرة بین الأقلّ و الأکثر الاستقلالیین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بلزوم القیمة فی 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الارتباطیین، بناءً علی وجوب البدنة، فمع هذه الاحتمالات یستدلّ بها علی لزوم الاحتیاط فی خصوص الشبهة التحریمیة مع کونها بمراحل عن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بکون المشار إلیه هو حکم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فی الفتوی، أو الفتوی بالاحتیاط، أو الفتوی بالطرف الذی هو موافق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فبما أنّه علیه السلام ذیّل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عنه فتعلموا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فالمتبادر من الأمر بالاحتیاط هو الاحتیاط فی الفتوی و عدم التقوّل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یترجّح حمل الروایة علی الفتوی قبل الفحص مع إمکان التفحّص عن مورده، کما هو مفروضها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 علی مقالة الأخباری یتوقّف علی حملها علی مطلق الشبهات؛ تحریمیة أو وجوبیة، ثمّ إخراج الوجوبیة منها لقیام الإجماع علی عدم وجوب الاحتیاط فیها، مع أنّه من قبیل إخراج المورد المستهجن،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عنّا القرص و یقبل اللیل و یزید اللیل ارتفاعاً و یستتر عنّا الشمس و یرتفع فوق الجبل حمرة و یؤذّن عندنا المؤذّنون فاصلّی حینئذٍ و أفطر إن کنت صائماً، أو أنتظر حتّی تذهب الحمرة التی فوق الجبل؟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28" w:name="pg12912_111693"/>
    </w:p>
    <w:p>
      <w:pPr>
        <w:pStyle w:val="BookText"/>
        <w:rPr/>
      </w:pPr>
      <w:bookmarkEnd w:id="128"/>
      <w:r>
        <w:rPr>
          <w:rFonts w:ascii="IRNazanin" w:hAnsi="IRNazanin" w:eastAsia="IRNazanin"/>
          <w:color w:val="111111"/>
          <w:sz w:val="28"/>
          <w:sz w:val="28"/>
          <w:szCs w:val="28"/>
          <w:rtl w:val="true"/>
          <w:lang w:bidi="fa-IR"/>
        </w:rPr>
        <w:t>و وصفها الشیخ الأعظم بالموثّقة</w:t>
      </w:r>
      <w:r>
        <w:rPr>
          <w:rStyle w:val="FootnoteAnchor"/>
          <w:rtl w:val="true"/>
        </w:rPr>
        <w:footnoteReference w:id="179"/>
      </w:r>
      <w:r>
        <w:rPr>
          <w:rFonts w:ascii="IRNazanin" w:hAnsi="IRNazanin" w:eastAsia="IRNazanin"/>
          <w:color w:val="111111"/>
          <w:sz w:val="28"/>
          <w:sz w:val="28"/>
          <w:szCs w:val="28"/>
          <w:rtl w:val="true"/>
          <w:lang w:bidi="fa-IR"/>
        </w:rPr>
        <w:t>، مع اشتمال سنده علی سلیمان بن داود، المردّد بین الخفاف و المروزی المجهولین، و المنقری الذی وثّقه النجاشی</w:t>
      </w:r>
      <w:r>
        <w:rPr>
          <w:rStyle w:val="FootnoteAnchor"/>
          <w:rtl w:val="true"/>
        </w:rPr>
        <w:footnoteReference w:id="180"/>
      </w:r>
      <w:r>
        <w:rPr>
          <w:rFonts w:ascii="IRNazanin" w:hAnsi="IRNazanin" w:eastAsia="IRNazanin"/>
          <w:color w:val="111111"/>
          <w:sz w:val="28"/>
          <w:sz w:val="28"/>
          <w:szCs w:val="28"/>
          <w:rtl w:val="true"/>
          <w:lang w:bidi="fa-IR"/>
        </w:rPr>
        <w:t>، و المظنون أنّه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السؤال عن الحمرة المشرقیة؛ إذ هی التی ترتفع فوق الجبل، و أمّا المغربیة فلا ترتفع، بل تنخفض إلی أن ینتهی إلی فوق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واردة مورد التقیّة؛ فإنّ المشهور هو لزوم زوال الحمرة المشرقیة فتوی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بالانتظار و الأخذ بالحائط للدین لأجل إفادة الحکم الواقعی بهذه العبارة، 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لزوم الاحتیاط مطلقاً و فی عامّة الشبهات،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المقام روایات کثیرة تلوح منها الاستحباب،</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کلّ ما مررت علیه؛ فإنّ مفادها الاستحباب بلا إشکال</w:t>
      </w:r>
      <w:r>
        <w:rPr>
          <w:rFonts w:eastAsia="IRNazanin" w:cs="IRNazanin"/>
          <w:color w:val="111111"/>
          <w:sz w:val="28"/>
          <w:szCs w:val="28"/>
          <w:rtl w:val="true"/>
          <w:lang w:bidi="fa-IR"/>
        </w:rPr>
        <w:t>.</w:t>
      </w:r>
    </w:p>
    <w:p>
      <w:pPr>
        <w:pStyle w:val="Heading6"/>
        <w:numPr>
          <w:ilvl w:val="5"/>
          <w:numId w:val="1"/>
        </w:numPr>
        <w:rPr/>
      </w:pPr>
      <w:bookmarkStart w:id="129" w:name="__RefHeading___Toc3425415_3224264995"/>
      <w:bookmarkStart w:id="130" w:name="_Toc48"/>
      <w:bookmarkEnd w:id="129"/>
      <w:r>
        <w:rPr>
          <w:rtl w:val="true"/>
        </w:rPr>
        <w:t xml:space="preserve">الاستدلال علی وجوب الاحتیاط بالدلیل العقلی </w:t>
      </w:r>
      <w:r>
        <w:rPr>
          <w:rtl w:val="true"/>
        </w:rPr>
        <w:t>(</w:t>
      </w:r>
      <w:r>
        <w:rPr>
          <w:rtl w:val="true"/>
        </w:rPr>
        <w:t>العلم الإجمالی</w:t>
      </w:r>
      <w:r>
        <w:rPr>
          <w:rtl w:val="true"/>
        </w:rPr>
        <w:t>)</w:t>
      </w:r>
      <w:bookmarkEnd w:id="1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الأخباری علی لزوم الاحتیاط بالعلم الإجمالی</w:t>
      </w:r>
      <w:r>
        <w:rPr>
          <w:rStyle w:val="FootnoteAnchor"/>
          <w:rtl w:val="true"/>
        </w:rPr>
        <w:footnoteReference w:id="182"/>
      </w:r>
      <w:r>
        <w:rPr>
          <w:rFonts w:ascii="IRNazanin" w:hAnsi="IRNazanin" w:eastAsia="IRNazanin"/>
          <w:color w:val="111111"/>
          <w:sz w:val="28"/>
          <w:sz w:val="28"/>
          <w:szCs w:val="28"/>
          <w:rtl w:val="true"/>
          <w:lang w:bidi="fa-IR"/>
        </w:rPr>
        <w:t>قائلًا بأنّا نعلم بوجود محرّمات کثیرة فی الشریعة الغرّاء، فیجب علینا الخروج عن تبعاتها،</w:t>
      </w:r>
    </w:p>
    <w:p>
      <w:pPr>
        <w:pStyle w:val="BookText"/>
        <w:rPr/>
      </w:pPr>
      <w:r>
        <w:rPr>
          <w:rFonts w:ascii="IRNazanin" w:hAnsi="IRNazanin" w:eastAsia="IRNazanin"/>
          <w:color w:val="111111"/>
          <w:sz w:val="28"/>
          <w:sz w:val="28"/>
          <w:szCs w:val="28"/>
          <w:rtl w:val="true"/>
          <w:lang w:bidi="fa-IR"/>
        </w:rPr>
        <w:t>و لا یحصل إلّا بترک کلّ ما علم حرمته أو شکّ فیها؛ حتّی یحصل العلم القطعی بالامتثال، أو یرد من الشارع الترخیص، و معه یحصل الأمن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هذا البرهان ادّعاء 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القطع بوجود محرّمات کثیرة فی الشریعة، الثانی القطع بعدم رضاء الشارع بارتکابها؛ کائنة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الاجتناب إلی أن یحصل الیقین بالبراءة، و هذا الیقین لا یحصل إلّا بترک معلوم الحرمة و مشکوکها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الأجوبة المذکورة فی المقام یدور حول القول بانحلال العلم الإجمالی بالمراجعة إلی الأدلّة فلا بأس من التعرّض لمیزان الانحلال و أقسامه؛ حتّی یکون کالضابط لعامّة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به ینحلّ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قطعاً و اخری یکون غیره من الأمارات و الاصول الشرعیة کالاستصحاب، أو العقلیة کالاشتغال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العلم الإجمالی مقدّماً لقیام الطریق و اخری مؤخّراً و ثالثة مقارناً،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المؤدّی بالعلم الإجمالی مقدّماً علی المؤدّی بالطریق التفصیلی و اخری مؤخّراً و ثالثة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أنّ ما به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أمراً تفصیلیاً؛ سواء کان علماً أو حجّة، و إمّا یکون أمراً إجمالیاً، کما لو علم إجمالًا بتکالیف بین جمیع الشبهات، و علم بوجود تکالیف أیضاً بین الطرق و الأمارات، مع إمکان انطباقهما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علم أنّ ما هو المعلوم تفصیلًا عین ما هو المعلوم بالإجمال، و وقف علی انطباق المعلومین انطباقاً قطعیاً فلا إشکال فی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إذا قطع بأنّ ما فی دائرة العلم الإجمالی الکبیر عین ما هو فی دائرة الصغیر؛ إذ مع هذا ینحلّ العلم فی الکبیر و یبقی فی الصغیر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احتمل الانطباق فهل ینحلّ العلم الإجمالی حینئذٍ حقیقة أو حکماً، أو لا ینحلّ مطلقاً؟</w:t>
      </w:r>
    </w:p>
    <w:p>
      <w:pPr>
        <w:pStyle w:val="BookText"/>
        <w:rPr/>
      </w:pPr>
      <w:r>
        <w:rPr>
          <w:rFonts w:ascii="IRNazanin" w:hAnsi="IRNazanin" w:eastAsia="IRNazanin"/>
          <w:color w:val="111111"/>
          <w:sz w:val="28"/>
          <w:sz w:val="28"/>
          <w:szCs w:val="28"/>
          <w:rtl w:val="true"/>
          <w:lang w:bidi="fa-IR"/>
        </w:rPr>
        <w:t>فیظهر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ینحلّ حقیقة، و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قد تعلّق بأمر غیر معنون و لا متعیّن، و التفصیلی تعلّق بالمعیّن، و انطباق اللامعیّن علی المعیّن قهری؛ لأنّ عدم الانطباق إمّا لأجل زیادة الواقعیات المعلومة بالإجمال عن المعلوم بالتفصیل، أو من جهة تعیّن الواقعیات المعلومة بالإجمال بنحو تأبی عن الانطباق، أو تنجّز غیر الواقعیات بالأمارات، و الکلّ خلف</w:t>
      </w:r>
      <w:r>
        <w:rPr>
          <w:rStyle w:val="FootnoteAnchor"/>
          <w:rtl w:val="true"/>
        </w:rPr>
        <w:footnoteReference w:id="1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عدم الانحلال لأجل احتمال انطباق المعلوم بالإجمال علی غیر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ادّعی قدس سره من أنّ انطباق المعلوم بالإجمال علی المعلوم بالتفصیل قهری غیر مسموع؛ فإنّ المعلوم بالإجمال لمّا کان أمراً غیر متعیّن فیحتمل أن یکون عین ما تعیّن بالعلم التفصیلی، و یمکن أن یکون غیره، و مع هذا فکیف یمکن أن یقال بالانطباق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الانطباق القهری العلم بأنّ المعلوم بالإجمال هو عین ما علم بالتفصیل، و لکنّه مفقود؛ لقیام الاحتمال بالمغایرة بعد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میزان الانحلال لو کان قائماً باتّحاد المعلومین مقداراً، مع العلم بأنّ المعلوم بالتفصیل هو عین ما علم بالإجمال لکان لعدم الانحلال وجه، إلّا أنّ المیزان هو عدم بقاء العلم الإجمالی فی لوح النفس، و انقلاب القضیة المنفصلة الحقیقیة أو المانعة الخلوّ إلی قضیة بتّیة و مشکوکة فیها، أو إلی قضایا بتّیة و قضایا مشکوکة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بوجود واجب بین أمرین؛ بحیث لا یحتمل الزیادة حتّی یکون القضیة منفصلة حقیقیة، أو مع احتمال الزیادة حتّی یکون مانعة الخلوّ فمع العلم التفصیلی بوجوب بعض الأطراف أو واحد من الطرفین ینقلب القضیة إلی قضیة بتّیة؛ أی إلی وجوب واحد معیّناً، و إلی مشکوکة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واجب أو ذاک، بل 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 بلا کلام، و الآخر مشکوک الوجوب، و هذا ما ذکرنا من ارتفاع الإجمال الموجود فی لوح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عقد قضیة منفصلة علی نحو الحقیقیة، و لا علی نحو المانعة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المنفصلة لا تنافی مع کون أحد الطرفین جزمی الحکم فلا مشاحة فی الاصطلاح، و لکن لا یحکی عن تردّد فی النفس و إجمال فی الذهن، بل ینحلّ المعلوم بالإجمال إلی علم تفصیلی و شکّ بدوی لا یعدّ طرفاً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المعلوم بالإجمال عین المشکوک فیه الذی خرج عن الطرفیة غیر مضرّ؛ لأنّ المعلوم بنعت المعلومیة الفعلیة غیر محتمل الانطباق، و إنّما المحتمل انطباق ما کان معلوماً سابقاً مع زوال وصف العلم بالفعل علی الطرف الآخر؛ لأنّ المعلومیة الإجمالیة الفعلیة ملازم للعلم الإجمالی، و مع زوال العلم لا معنی لوجود المعلوم بالفعل، فتدبّر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محقّقی العصر قدس سره قد حکم ببقاء العلم الإجمالی و عدم انحلاله حقیقةً، و 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انطباق المعلوم بالإجمال علی المعلوم بالتفصیل و علی الطرف الآخر کاشف قطعی عن بقاء العلم الإجمالی؛ لکونه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محذور تعلّق العلمین بشی‌ء واحد بتوسیط العنوانین الإجمالی و التفصیلی؛ و هو من قبیل اجتماع المثلین، مدفوعة بأنّه لا یزید عن التضادّ الموجود بین الشکّ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یتعلّق العلم و الشکّ بشی‌ء واحد بعنوانین، کما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للإشکال فی تعلّق العلمین بشی‌ء بتوسیط عنوانین الإجمالی و التفصیلی</w:t>
      </w:r>
      <w:r>
        <w:rPr>
          <w:rStyle w:val="FootnoteAnchor"/>
          <w:rtl w:val="true"/>
        </w:rPr>
        <w:footnoteReference w:id="1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خلط بین احتمال انطباق المعلوم بالإجمال فعلًا و احتمال انطباق المعلوم بالإجمال سابقاً، و قد زال عنه العلم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لما ادّعاه هو الأوّل، مع أنّه غیر واقع؛ ضرورة ارتفاع العلم الإجمالی عن مرکزه؛ فإنّ العلم بکون هذا واجباً أو خمراً لا یجتمع مع التردّد فی کونه واجباً أو عدله، أو کونه خمراً أو الآخر؛ فإنّ الإجمال متقوّم بالتردّد، و هو ینافی العلم التفصیلی و لا یجتمع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ذبّ به عن الدعوی فی قیاس اجتماع العلم الإجمالی و التفصیلی باجتماع الشکّ و العلم الإجمالی ففی غایة الضعف؛ إذ لا مانع من اجتماع العلم الإجمالی و الشکّ، بل هو متقوّم به أبداً؛ إذ لا منافاة بین تعلّق العلم بکون أحدهما خمراً، و بین الشکّ فی کون الآخر معیّناً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 فإنّ تعلّق العلم الإجمالی و التفصیلی بشی‌ء واحد بتوسیط عنوانین معناه کون هذا معیّناً خمراً، و الشکّ فی کونه خمراً، و هما لا یجتمعان أصلًا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تعلّق العلم الإجمالی بکون أحدهما خمراً فرض</w:t>
      </w:r>
    </w:p>
    <w:p>
      <w:pPr>
        <w:pStyle w:val="BookText"/>
        <w:rPr/>
      </w:pPr>
      <w:r>
        <w:rPr>
          <w:rFonts w:ascii="IRNazanin" w:hAnsi="IRNazanin" w:eastAsia="IRNazanin"/>
          <w:color w:val="111111"/>
          <w:sz w:val="28"/>
          <w:sz w:val="28"/>
          <w:szCs w:val="28"/>
          <w:rtl w:val="true"/>
          <w:lang w:bidi="fa-IR"/>
        </w:rPr>
        <w:t>التردید فی کلّ واحد بعینه، و فرض العلم التفصیلی بکون واحد منهما بعینه خمراً فرض اللاتردید، و هذا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إلی علم تفصیلی و شکّ بدوی فی الموارد المزبورة هو الحقّ القراح، غیر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الانحلال فی هذه الموارد لا یخلو عن مسامحة؛ لأنّ الانحلال فرع مقارنة العلم التفصیلی و الإجمالی، و هما غیر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بالانحلال الحکمی؛ بمعنی بقاء العلم الإجمالی مع وجود العلم التفصیلی، أو قیام الأمارة أو الأصل علی بعض الأطراف بمقدار المعلوم بالإجمال ممّا یحتمل انطباق مؤدّاه علی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افید فی تقریره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بعض محقّقی العصر؛ حیث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قیام المنجّز فی أحد طرفی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کان أو أمارةً أو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العلم الإجمالی عن تمام المؤثّریة فی هذا الطرف لما هو المعلوم من عدم تحمّل تکلیف واحد للتنجیزین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منجّزیة العلم الإجمالی کونه مؤثّراً مستقلًّا فی المعلوم علی الإطلاق، و هذا المعنی غیر معقول بعد خروج أحد الأطراف عن قابلیة التأثّر، فلا یبقی فی البین إلّا تأثیره علی تقدیر خاصّ، و هو أیضاً مشکوک من الأوّل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المطلق القابل للانطباق علی کلّ واحد غیر قابل التأثّر من قبل العلم الإجمالی، و الجامع المقیّد بانطباقه علی الطرف الآخر لا یکون معلوماً من الأوّل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النظر فیه ممّا یأتی فی الجواب عن المحقّق الخراسانی من الخلط بین العلم الوجدانی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 من انحلال العلم الإجمالی بثبوت طرق و اصول معتبرة مثبتة لتکالیف بمقدار المعلوم بالإجمال أو أزید، و أنّ حجّیة الأمارات شرعاً و إن کانت بتنجیز ما أصابه و العذر عمّا أخطأ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الطرق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نهوض الحجّة علی ما ینطبق علیه المعلوم بالإجمال فی بعض الأطراف یکون عقلًا بحکم الانحلال، و صرف تنجّزه إلی ما إذا کان فی ذاک الطرف و العذر عمّا إذا کان فی سائر الأطراف</w:t>
      </w:r>
      <w:r>
        <w:rPr>
          <w:rStyle w:val="FootnoteAnchor"/>
          <w:rtl w:val="true"/>
        </w:rPr>
        <w:footnoteReference w:id="1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بین العلم الوجدانی الإجمالی بوجود تکالیف فی البین؛ بحیث لا یرضی المولی بترکه أصلًا، و العلم بالخطاب، أو العلم بقیام الأمارة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العلم بالتکلیف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عدم تنجّزه فی أیّ طرف کان، و لا یعقل صرف تنجّزه إلی ما إذا کان فی ذاک الطرف و العذر عمّا إذا کان فی سائر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یعقل الترخیص؛ فإنّ ترخیص بعض الأطراف المحتمل کونه هو المعلوم بالإجمال أو غیره لا یجتمع مع بقاء العلم بفعلیته، بل لو قامت الأمارة علی کون المؤدّی هو المعلوم بالإجمال یجب عقلًا رفع الید عن الأمارة و العمل بما هو مقتضی العلم الوجدانی الفعلی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بل احتماله مع العلم الوجدانی الفعلی</w:t>
      </w:r>
    </w:p>
    <w:p>
      <w:pPr>
        <w:pStyle w:val="BookText"/>
        <w:rPr/>
      </w:pPr>
      <w:r>
        <w:rPr>
          <w:rFonts w:ascii="IRNazanin" w:hAnsi="IRNazanin" w:eastAsia="IRNazanin"/>
          <w:color w:val="111111"/>
          <w:sz w:val="28"/>
          <w:sz w:val="28"/>
          <w:szCs w:val="28"/>
          <w:rtl w:val="true"/>
          <w:lang w:bidi="fa-IR"/>
        </w:rPr>
        <w:t>بالتکلیف من الامور المتنافیة، لا یجتمعان أصلًا؛ لأنّ احتمال الترخیص مع احتمال کون التکلیف فی طرفه مع القطع بالتکلیف الفعلی مطلقاً متناقضان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ما ذکره و کلّ ما ذکره الشیخ الأعظم قدس سره، فی العلم بالخطاب أو العلم بقیام الأمارة إجمالًا، کما تقدّم إجمالًا و سیجی‌ء توضیحه فی مباحث الاشتغال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الأعیان المحقّقین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یتعلّق بوجوب ما لا یخرج عن الطرفین لا بأحدهما المردّد، فلا ینجّز إلّا بمقداره، و تنجّز الخصوصیة المردّدة به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طرف یحتمل الحکم المنجّز، لا أنّه منجّز، و ذاک الاحتمال هو الحامل علی فعل کلّ من المحتملین؛ لاحتمال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الحجّة القائمة علی وجوب الظهر بخصوصها فهی منجّزة للخاصّ بما هو خاصّ، و لیس لها فی تنجیز الخاصّ مزاحم، فلا محالة تستقلّ الحجّة فی تنجیز الخاصّ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تنجیز الخاصّ الذی لا مزاحم له یمنع عن تنجّز الوجوب الواحد المتعلّق بما لا یخرج عن الطرفین؛ إذ لیس للواحد إلّا تنجّز واحد، و إذا دار الأمر بین منجّزین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یزاحم الآخر بتنجیزه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لا یزاحمه فی 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تعلّقه بالخاصّ حتّی ینجّزه فلا محالة یکون التأثیر للأوّل</w:t>
      </w:r>
      <w:r>
        <w:rPr>
          <w:rStyle w:val="FootnoteAnchor"/>
          <w:rtl w:val="true"/>
        </w:rPr>
        <w:footnoteReference w:id="188"/>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ما ذکره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القول بأنّ العلم قد تعلّق بوجوب ما لا یخرج عن الطرفین لا بأحدهما المردّد خلاف الوجدان، فإنّ الوجدان أقوی شاهد علی أنّ العلم متعلّق بوجوب أحدهما؛ بمعنی أنّ الشخص واقف علی أنّ الواجب هو الجمعة بما لها من الخصوصیة، أو الظهر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ذلک العلم إلی أنّه متعلّق بما لا یخرج عن الطرفین تأویل بعد تعلّق العلم، و لا یلتفت علی ذلک التأویل إلّا عند التوجّه الثانوی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علی هذا فلا بأس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بأمر معیّن؛ 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تعلّقه بالظهر أو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کون متعلّق الوجوب أمراً مردّداً؛ لکونه أمراً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بما أنّه متشخّص فی النفس لا یعقل تعلّقه و تشخّصه بالمردّد الواقعی و بالحمل الشائع؛ ضرورة أنّه لا تشخّص و لا تحقّق له؛ لا خارجاً و لا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العلم الإجمالی تعلّق علی عنوان أحد الخاصّین القابل للانطباق علی کلّ منهما بخصوصیة، لا علی عنوان ما لا یخرج عنهما، کما هو الموافق للوجدان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منجّزیة الأمارة لیس إلّا أنّ المؤدّی علی فرض کونه تکلیفاً واقعیاً و موافقته للواقع یکون تخلّفها موجباً لاستحقاق العقوبة، فلا تکون الأمارة منجّزة للتکلیف إلّا علی سبیل الاحتمال، کما أنّ العلم الإجمالی کذلک،</w:t>
      </w:r>
    </w:p>
    <w:p>
      <w:pPr>
        <w:pStyle w:val="BookText"/>
        <w:rPr/>
      </w:pPr>
      <w:r>
        <w:rPr>
          <w:rFonts w:ascii="IRNazanin" w:hAnsi="IRNazanin" w:eastAsia="IRNazanin"/>
          <w:color w:val="111111"/>
          <w:sz w:val="28"/>
          <w:sz w:val="28"/>
          <w:szCs w:val="28"/>
          <w:rtl w:val="true"/>
          <w:lang w:bidi="fa-IR"/>
        </w:rPr>
        <w:t>فأیّ فرق بینه و بین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 من أنّ طرف العلم الإجمالی یحتمل وجود الحکم المنجّز فیه لا أنّه منجّز، بخلاف الأمارة فإنّها منجّزة للخاصّ، فی غیر محلّه؛ لأنّ التنجیز فی کلیهما بمعنیً واحد، و حکم العقل فی کلیهما علی نسق واحد؛ و هو لزوم الاتّباع لاحتمال التکلیف المنجّز الموجب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أدلّة حجّیة الأمارات أو لسان نفسها هو أنّ المؤدّی نفس الواقع و أنّه منجّز علیک، لا أنّ المؤدّی علی فرض مطابقته للواقع منجّز و موجب للعقوبة، 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یحصل الفرق بین تنجیز الأمارة 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الأمارة و إن قامت علی الخصوصیة لکن لم تکن منجّزة علی أیّ حال، بل علی فرض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الإجمالی أیضاً منجّز للتکلیف بخصوصیته فی أیّ طرف کان؛ بمعنی أنّه مع العلم الإجمالی بوجوب الظهر أو الجمعة إذا ترکهما المکلّف، و کان الظهر واجباً بحسب الواقع یستحقّ العقوبة علی الظهر بخصوصیته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متعلّق العلم إنّما هو وجوب ما لا یخرج عن الطرفین، و لکنّه یستلزم تنجیز ما هو المنطبق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العنوان؛ أعنی نفس التکلیف الواقعی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صحّة الأمارة و تطابقها للواقع یکون مؤدّاها نفس التکلیف الواقعی، فلا محالة یقع التنجیز علی شی‌ء واحد معیّن واقعی، و یکون التنجیز مستنداً إلی العلم الإجمالی و الأمارة، لا إلی الأمارة فقط، لو لم نقل باستناده</w:t>
      </w:r>
    </w:p>
    <w:p>
      <w:pPr>
        <w:pStyle w:val="BookText"/>
        <w:rPr/>
      </w:pPr>
      <w:r>
        <w:rPr>
          <w:rFonts w:ascii="IRNazanin" w:hAnsi="IRNazanin" w:eastAsia="IRNazanin"/>
          <w:color w:val="111111"/>
          <w:sz w:val="28"/>
          <w:sz w:val="28"/>
          <w:szCs w:val="28"/>
          <w:rtl w:val="true"/>
          <w:lang w:bidi="fa-IR"/>
        </w:rPr>
        <w:t>إلی العلم الإجمالی فقط؛ لسبقه و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 من أنّ الأمارة فی تنجیزها بلا مزاحم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صحّة للقول بالانحلال الحکمی مع حفظ العلم الإجمالی،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منّا علی الوجه الکلّی</w:t>
      </w:r>
      <w:r>
        <w:rPr>
          <w:rStyle w:val="FootnoteAnchor"/>
          <w:rtl w:val="true"/>
        </w:rPr>
        <w:footnoteReference w:id="190"/>
      </w:r>
      <w:r>
        <w:rPr>
          <w:rFonts w:ascii="IRNazanin" w:hAnsi="IRNazanin" w:eastAsia="IRNazanin"/>
          <w:color w:val="111111"/>
          <w:sz w:val="28"/>
          <w:sz w:val="28"/>
          <w:szCs w:val="28"/>
          <w:rtl w:val="true"/>
          <w:lang w:bidi="fa-IR"/>
        </w:rPr>
        <w:t>من أنّ المیزان لانحلال العلم هو ارتفاع التردید، و انقلاب القضیة المنفصلة الحقیقیة أو المانعة الخلوّ إلی قضیة بتّیة و مشکوکة، و لا یلزم العلم بکون المعلوم تفصیلًا هو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أشار إلیه المحقّق الخراسانی فی بعض کلماته</w:t>
      </w:r>
      <w:r>
        <w:rPr>
          <w:rStyle w:val="FootnoteAnchor"/>
          <w:rtl w:val="true"/>
        </w:rPr>
        <w:footnoteReference w:id="191"/>
      </w:r>
      <w:r>
        <w:rPr>
          <w:rFonts w:ascii="IRNazanin" w:hAnsi="IRNazanin" w:eastAsia="IRNazanin"/>
          <w:color w:val="111111"/>
          <w:sz w:val="28"/>
          <w:sz w:val="28"/>
          <w:szCs w:val="28"/>
          <w:rtl w:val="true"/>
          <w:lang w:bidi="fa-IR"/>
        </w:rPr>
        <w:t>یمکن أن یکون وجهاً للانحلال الحقیقی،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العلم الوجدانی بوجود تکالیف واقعیة فی مؤدّی الطرق و الأمارات و الاصول المعتبرة بمقدار المعلوم بالإجمال، و معه ینحلّ العلم الإجمالی الکبیر فی دائرة 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بوجود تکالیف بسبب الأمارات و الاصول یرفع التردید الموجود فی دائرة العلم الإجمالی الکبیر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فأوضح المقام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بکون واحد من الإناءات الثلاثة خمراً، و احتمل الزیادة، ثمّ علم جزماً بأنّ واحداً من هذین الإنائین خمرٌ فلا یعقل بقاء العلم الأوّل؛ لعدم إمکان التردید بین أحد الإنائین و بین الآخر؛ فإنّه ینافی العلم الإجمالی، فلا یمکن تعلّق علمین بواحد من الإنائین و واحد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تعلّق العلمین بسببین للتکلیف أو الوضع، کما لو علم إجمالًا بوقوع قطرة من الدم فی واحد من الإنائین، و علم بوقوع قطرة اخری مقارناً لوقوع الأوّل فی أحدهما أو إناء آخر؛ فإنّ العلمین تعلّقا بالقطرتین و السببین لا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العلم بوقوع قطرة بول أو دم فی إناء معیّن؛ فإنّ العلم تعلّق بوقوع القطرتین، فکلّ منهما معلوم، و أمّا النجاسة المسبّبة فلم تکن معلومة مرّتین؛ لعدم تعقّل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آخر فی ردّ مقالة الأخباری،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تعلّق العلم الإجمالی علی وجود تکالیف فعلیة لا یرضی الشارع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جعل الحجّیة للأمارات و الاصول أو إمضاء حجّیتها مع إمکان مخالفتها للواقع أدلّ دلیل علی عدم فعلیتها مطلقاً و رضاء الشارع بترکها فی موارد قیام الأمارة علی الخلاف؛ إذ فعلیتها مطلقاً تستلزم وجوب العمل بالاحتیاط حتّی فی موارد قیام الأمارات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لتنجیز ما عدا مؤدّیات الأمارات و الاصول؛ لعدم تعلّق العلم بالتکلیف الفعلی، بل إنّما تعلّق بخطابات قابلة للانطباق علی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یلتزم الأخباری بلزوم الاحتیاط عند قیام الأمارة علی نفی التکلیف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ما یدّعیه من العلم الفعلی بالتکالیف الفعلیة التی لا یرضی الشارع بترکها علی أیّ حال لزم علیه الاحتیاط فی ذلک المورد، مع أنّه لا یلتزم 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التعبّد بالأمارات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دلیل علی عدم کون الأحکام بمثابة لا یرضی بترکها، و أنّ الشارع قد رفع الید عنها فی غیر موارد الأمارات و الاصول من الشبهات</w:t>
      </w:r>
      <w:r>
        <w:rPr>
          <w:rFonts w:eastAsia="IRNazanin" w:cs="IRNazanin"/>
          <w:color w:val="111111"/>
          <w:sz w:val="28"/>
          <w:szCs w:val="28"/>
          <w:rtl w:val="true"/>
          <w:lang w:bidi="fa-IR"/>
        </w:rPr>
        <w:t>.</w:t>
      </w:r>
      <w:bookmarkStart w:id="131" w:name="pg12912_111705"/>
    </w:p>
    <w:p>
      <w:pPr>
        <w:pStyle w:val="Heading6"/>
        <w:numPr>
          <w:ilvl w:val="5"/>
          <w:numId w:val="1"/>
        </w:numPr>
        <w:rPr/>
      </w:pPr>
      <w:bookmarkStart w:id="132" w:name="__RefHeading___Toc3425417_3224264995"/>
      <w:bookmarkStart w:id="133" w:name="_Toc49"/>
      <w:bookmarkEnd w:id="131"/>
      <w:bookmarkEnd w:id="132"/>
      <w:r>
        <w:rPr>
          <w:rtl w:val="true"/>
        </w:rPr>
        <w:t xml:space="preserve">استدلال عقلی آخر للأخباری </w:t>
      </w:r>
      <w:r>
        <w:rPr>
          <w:rtl w:val="true"/>
        </w:rPr>
        <w:t>(</w:t>
      </w:r>
      <w:r>
        <w:rPr>
          <w:rtl w:val="true"/>
        </w:rPr>
        <w:t>أصالة الحظر</w:t>
      </w:r>
      <w:r>
        <w:rPr>
          <w:rtl w:val="true"/>
        </w:rPr>
        <w:t>)</w:t>
      </w:r>
      <w:bookmarkEnd w:id="133"/>
    </w:p>
    <w:p>
      <w:pPr>
        <w:pStyle w:val="BookText"/>
        <w:rPr/>
      </w:pPr>
      <w:r>
        <w:rPr>
          <w:rFonts w:ascii="IRNazanin" w:hAnsi="IRNazanin" w:eastAsia="IRNazanin"/>
          <w:color w:val="111111"/>
          <w:sz w:val="28"/>
          <w:sz w:val="28"/>
          <w:szCs w:val="28"/>
          <w:rtl w:val="true"/>
          <w:lang w:bidi="fa-IR"/>
        </w:rPr>
        <w:t>و هو مسألة کون الأصل فی الأشیاء الحظر، و أنّ العالَم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سمائه و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للَّه، کما أنّ المکلّف عبد له تعالی، فلا بدّ أن یکون عامّة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حرکة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برضیً منه و دستور صادر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یتصرّف فی العالم بغیر إذنه؛ لکون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المتصرَّف مملوکین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کون المکلّف و العالم مملوکین للَّه بالملکیة الاعتباریة الدائرة فی سوق العقلاء فلا نسلّمه، بل لا وجه لاعتبار ملکیة اعتباریة للَّه عزّ و جلّ؛ فإنّ اعتبارها لا بدّ و أن یکون لأغراض حتّی یقوم به المعیشة الاجتماعیة، و هو سبحانه أعزّ و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المالکیة التکوینیة؛ بمعنی أنّ الموجودات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صغیرها و کبیرها، أثیریها و فلکیها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قائمة بإرادته، مخلوقة بمشیّته، واقعة تحت قبضته تکویناً، فلا یمکن للعبد أن یتصرّف فی شی‌ء إلّا بإذنه التکوینی و إرادته، و أنّ العالم تحت قدرته؛ قبضاً و بسطاً تصرّفاً و وجوداً فهو غیر مربوط بالمقام، و لا یفید الأخباری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الآیات و السنّة کافٍ فی ردّ تلک المزعمة؛ حیث یدلّ علی وجود الإذن من اللَّه بالنسبة إلی تصرّفات عبیده،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أردنا إیراده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bookmarkStart w:id="134" w:name="pg12912_111707"/>
    </w:p>
    <w:p>
      <w:pPr>
        <w:pStyle w:val="Heading4"/>
        <w:numPr>
          <w:ilvl w:val="3"/>
          <w:numId w:val="1"/>
        </w:numPr>
        <w:rPr/>
      </w:pPr>
      <w:bookmarkStart w:id="135" w:name="__RefHeading___Toc3425419_3224264995"/>
      <w:bookmarkStart w:id="136" w:name="_Toc50"/>
      <w:bookmarkEnd w:id="134"/>
      <w:bookmarkEnd w:id="135"/>
      <w:r>
        <w:rPr>
          <w:rtl w:val="true"/>
        </w:rPr>
        <w:t>تنبیهات البراءة</w:t>
      </w:r>
      <w:r>
        <w:rPr>
          <w:rtl w:val="true"/>
        </w:rPr>
        <w:t>:</w:t>
      </w:r>
      <w:bookmarkEnd w:id="136"/>
    </w:p>
    <w:p>
      <w:pPr>
        <w:pStyle w:val="Heading5"/>
        <w:numPr>
          <w:ilvl w:val="4"/>
          <w:numId w:val="1"/>
        </w:numPr>
        <w:rPr/>
      </w:pPr>
      <w:bookmarkStart w:id="137" w:name="__RefHeading___Toc3425421_3224264995"/>
      <w:bookmarkStart w:id="138" w:name="_Toc51"/>
      <w:bookmarkEnd w:id="137"/>
      <w:r>
        <w:rPr>
          <w:rtl w:val="true"/>
        </w:rPr>
        <w:t>التنبیه الأوّل تقدیم الأصل الموضوعی علی البراءة</w:t>
      </w:r>
      <w:bookmarkEnd w:id="138"/>
    </w:p>
    <w:p>
      <w:pPr>
        <w:pStyle w:val="Heading6"/>
        <w:numPr>
          <w:ilvl w:val="5"/>
          <w:numId w:val="1"/>
        </w:numPr>
        <w:rPr/>
      </w:pPr>
      <w:bookmarkStart w:id="139" w:name="__RefHeading___Toc3425423_3224264995"/>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من شروط التمسّک بالأُصول الحکمیة مطلقاً عدم وجود أصل موضوعی ینقّح حال الموضوع و یرفع الشکّ عنه، و إلّا فلو کان فی المقام أصل جارٍ فی ناحیة الموضوع لکان حاکماً علی الأصل فی ناحیة الحکم؛ حکومةَ الأصل السببی علی المسبّبی؛ سواء کان الأصل الحکمی موافقاً أو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حلّیة حیوان أو حرمته أو طهارته و نجاسته لأجل الشکّ فی قبوله التذکیة حکم علیه بالحرمة و النجاسة، و لا تصل النوبة إلی أصالتی الحلّ و الطهارة؛ لحکومة 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أصالة عدم ورود التذکیة بناءً علی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فإنّ الشکّ فی الحلّیة و الطهارة ناشٍ عن ورود التذکیة علیه، فإذا حکم بالعدم لما بقی الشکّ تشریعاً فی هاتین الناحیتین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برفع النقاب عن حال ذاک الأصل الدائر بین ألسنة الفقهاء المعروف جریانه فی اللحوم و الجلود، غیر أنّ استیفاء البحث موکول إلی مبحث الاستصحاب</w:t>
      </w:r>
      <w:r>
        <w:rPr>
          <w:rStyle w:val="FootnoteAnchor"/>
          <w:rtl w:val="true"/>
        </w:rPr>
        <w:footnoteReference w:id="194"/>
      </w:r>
      <w:r>
        <w:rPr>
          <w:rFonts w:ascii="IRNazanin" w:hAnsi="IRNazanin" w:eastAsia="IRNazanin"/>
          <w:color w:val="111111"/>
          <w:sz w:val="28"/>
          <w:sz w:val="28"/>
          <w:szCs w:val="28"/>
          <w:rtl w:val="true"/>
          <w:lang w:bidi="fa-IR"/>
        </w:rPr>
        <w:t>، کما أنّ التصدیق الفقهی موکول إلی محلّه</w:t>
      </w:r>
      <w:r>
        <w:rPr>
          <w:rStyle w:val="FootnoteAnchor"/>
          <w:rtl w:val="true"/>
        </w:rPr>
        <w:footnoteReference w:id="195"/>
      </w:r>
      <w:bookmarkStart w:id="141" w:name="pg12912_111708"/>
    </w:p>
    <w:p>
      <w:pPr>
        <w:pStyle w:val="Heading6"/>
        <w:numPr>
          <w:ilvl w:val="5"/>
          <w:numId w:val="1"/>
        </w:numPr>
        <w:rPr/>
      </w:pPr>
      <w:bookmarkStart w:id="142" w:name="__RefHeading___Toc3425425_3224264995"/>
      <w:bookmarkStart w:id="143" w:name="_Toc53"/>
      <w:bookmarkEnd w:id="141"/>
      <w:bookmarkEnd w:id="142"/>
      <w:r>
        <w:rPr>
          <w:rtl w:val="true"/>
        </w:rPr>
        <w:t>حول أصالة عدم التذکیة</w:t>
      </w:r>
      <w:bookmarkEnd w:id="14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المقام یتمّ برسم امور</w:t>
      </w:r>
      <w:r>
        <w:rPr>
          <w:rFonts w:eastAsia="IRNazanin" w:cs="IRNazanin"/>
          <w:color w:val="111111"/>
          <w:sz w:val="28"/>
          <w:szCs w:val="28"/>
          <w:rtl w:val="true"/>
          <w:lang w:bidi="fa-IR"/>
        </w:rPr>
        <w:t>:</w:t>
      </w:r>
    </w:p>
    <w:p>
      <w:pPr>
        <w:pStyle w:val="Heading6"/>
        <w:numPr>
          <w:ilvl w:val="5"/>
          <w:numId w:val="1"/>
        </w:numPr>
        <w:rPr/>
      </w:pPr>
      <w:bookmarkStart w:id="144" w:name="__RefHeading___Toc3425427_3224264995"/>
      <w:bookmarkStart w:id="145" w:name="_Toc54"/>
      <w:bookmarkEnd w:id="144"/>
      <w:r>
        <w:rPr>
          <w:rtl w:val="true"/>
        </w:rPr>
        <w:t>صور الشکّ فی حلّیة الحیوان</w:t>
      </w:r>
      <w:bookmarkEnd w:id="1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تارة تکون حکمیة و اخری موضوعیة، 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تارة لأجل الشکّ فی قابلیة الحیوان للتذکیة و اخری لأجل الشکّ فی شرطیة شی‌ء أو جزئیته لها، و ثالثة لأجل الشکّ فی مانعیة شی‌ء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الشکّ فی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الشبهة المفهومیة لإجمال المفهوم الواقع موضوعاً للحکم، کالشکّ فی الکلب البحری هل هو کلب فی نظر العرف، و أنّه هل یعمّه موضوع الدلیل أو لا؟ و إمّا من جهة اخری، کما ربّما یشکّ فی الحیوان المتولّد من حیوانین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دخوله فی عنوان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یقبل التذکیة أو لا؟</w:t>
      </w:r>
    </w:p>
    <w:p>
      <w:pPr>
        <w:pStyle w:val="BookText"/>
        <w:rPr/>
      </w:pPr>
      <w:r>
        <w:rPr>
          <w:rFonts w:ascii="IRNazanin" w:hAnsi="IRNazanin" w:eastAsia="IRNazanin"/>
          <w:color w:val="111111"/>
          <w:sz w:val="28"/>
          <w:sz w:val="28"/>
          <w:szCs w:val="28"/>
          <w:rtl w:val="true"/>
          <w:lang w:bidi="fa-IR"/>
        </w:rPr>
        <w:t>ثمّ الشکّ فی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وصف لازم و إمّا لأجل حدوث وصف غیر لازم، کالجلل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 الشکّ کون الحیوان مردّداً بین ما یقبل التذکیة و ما لا یقبلها، کتردّده بین الغنم و الکلب لأجل الشبهة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سببه تردّد الجزء بین کونه من الغنم أو من الکلب، أو تردّده بین کونه من معلوم التذکیة أو من مشکوکها، أو تردّده بین کونه جزءًا لما علم تذکیته أو ممّا علم عدم تذکیته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لأجل الشکّ فی تحقّق التذکیة خارجاً مع عدم کونه</w:t>
      </w:r>
      <w:bookmarkStart w:id="146" w:name="pg12912_111709"/>
    </w:p>
    <w:p>
      <w:pPr>
        <w:pStyle w:val="BookText"/>
        <w:rPr/>
      </w:pPr>
      <w:bookmarkEnd w:id="146"/>
      <w:r>
        <w:rPr>
          <w:rFonts w:ascii="IRNazanin" w:hAnsi="IRNazanin" w:eastAsia="IRNazanin"/>
          <w:color w:val="111111"/>
          <w:sz w:val="28"/>
          <w:sz w:val="28"/>
          <w:szCs w:val="28"/>
          <w:rtl w:val="true"/>
          <w:lang w:bidi="fa-IR"/>
        </w:rPr>
        <w:t>مسبوقاً بید مسلم أو سوقه أو لم یکن فی یده و سوقه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لأجل طروّ المانع بعد إحراز المانعیة، کما إذا قلنا بأنّ الجلل مانع و شککنا فی حصوله</w:t>
      </w:r>
      <w:r>
        <w:rPr>
          <w:rFonts w:eastAsia="IRNazanin" w:cs="IRNazanin"/>
          <w:color w:val="111111"/>
          <w:sz w:val="28"/>
          <w:szCs w:val="28"/>
          <w:rtl w:val="true"/>
          <w:lang w:bidi="fa-IR"/>
        </w:rPr>
        <w:t>.</w:t>
      </w:r>
    </w:p>
    <w:p>
      <w:pPr>
        <w:pStyle w:val="Heading6"/>
        <w:numPr>
          <w:ilvl w:val="5"/>
          <w:numId w:val="1"/>
        </w:numPr>
        <w:rPr/>
      </w:pPr>
      <w:bookmarkStart w:id="147" w:name="__RefHeading___Toc3425429_3224264995"/>
      <w:bookmarkStart w:id="148" w:name="_Toc55"/>
      <w:bookmarkEnd w:id="147"/>
      <w:r>
        <w:rPr>
          <w:rtl w:val="true"/>
        </w:rPr>
        <w:t>الاحتمالات فی حقیقة التذکیة</w:t>
      </w:r>
      <w:bookmarkEnd w:id="14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التی تعدّ موجبة للحلّیة و الطهارة فیها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أمراً بسیطاً، أو مرکّباً خارجیاً، أو أمراً تقییدیاً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بسیطاً متحصّلًا و مسبّباً من امور ستّة؛ أی فری الأوداج بالحدید إلی القبلة مع التسمیة و کون الذابح مسلماً و الحیوان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أن یکون أمراً منتزعاً منها موجوداً بعین وجود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مرکّباً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إلّا احتمال واحد؛ و هو أن یکون التذکیة عبارة عن الامور الستّة الماضیة،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التذکیة أمراً متقیّداً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أحد امور ثلاثة؛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یجعل التذکیة نفس الأمر المتحصّل من الامور الخمسة متقیّداً بقابلیة المحلّ، أو یجعل أمراً منتزعاً منها متقیّداً بالقابلیة، أو بجعل نفس الامور الخارجیة الخمسة متقیّداً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 الثلاث یکون التذکیة أمراً تقییدیاً؛ سواء کانت أمراً متحصّلًا أو منتزعاً أو مرکّباً خارجیاً</w:t>
      </w:r>
      <w:r>
        <w:rPr>
          <w:rFonts w:eastAsia="IRNazanin" w:cs="IRNazanin"/>
          <w:color w:val="111111"/>
          <w:sz w:val="28"/>
          <w:szCs w:val="28"/>
          <w:rtl w:val="true"/>
          <w:lang w:bidi="fa-IR"/>
        </w:rPr>
        <w:t>.</w:t>
      </w:r>
    </w:p>
    <w:p>
      <w:pPr>
        <w:pStyle w:val="Heading6"/>
        <w:numPr>
          <w:ilvl w:val="5"/>
          <w:numId w:val="1"/>
        </w:numPr>
        <w:rPr/>
      </w:pPr>
      <w:bookmarkStart w:id="149" w:name="__RefHeading___Toc3425431_3224264995"/>
      <w:bookmarkStart w:id="150" w:name="_Toc56"/>
      <w:bookmarkEnd w:id="149"/>
      <w:r>
        <w:rPr>
          <w:rtl w:val="true"/>
        </w:rPr>
        <w:t>مقتضی الأصل فی الاحتمالات</w:t>
      </w:r>
      <w:bookmarkEnd w:id="1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ذکرنا من الوجوه محتملات بادی النظر، و أمّا التصدیق الفقهی فهو یحتاج إلی إمعان النظر فی أدلّة الباب؛ فلو دلّ دلیل علی تعیین أحد المحتملات</w:t>
      </w:r>
      <w:bookmarkStart w:id="151" w:name="pg12912_111710"/>
    </w:p>
    <w:p>
      <w:pPr>
        <w:pStyle w:val="BookText"/>
        <w:rPr/>
      </w:pPr>
      <w:bookmarkEnd w:id="151"/>
      <w:r>
        <w:rPr>
          <w:rFonts w:ascii="IRNazanin" w:hAnsi="IRNazanin" w:eastAsia="IRNazanin"/>
          <w:color w:val="111111"/>
          <w:sz w:val="28"/>
          <w:sz w:val="28"/>
          <w:szCs w:val="28"/>
          <w:rtl w:val="true"/>
          <w:lang w:bidi="fa-IR"/>
        </w:rPr>
        <w:t>و رفع الشبهة من جهة أو جهات فهو، و إلّا فالمرجع هو الاصول الموضوعیة أو الحکمیة، علی اختلاف الموارد 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عنان الکلام إلی بیان الأصل فی کلّ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52" w:name="__RefHeading___Toc3425433_3224264995"/>
      <w:bookmarkStart w:id="153" w:name="_Toc57"/>
      <w:bookmarkEnd w:id="152"/>
      <w:r>
        <w:rPr>
          <w:rtl w:val="true"/>
        </w:rPr>
        <w:t>أصالة عدم التذکیة فی الشبهة الحکمیة</w:t>
      </w:r>
      <w:bookmarkEnd w:id="153"/>
    </w:p>
    <w:p>
      <w:pPr>
        <w:pStyle w:val="BookText"/>
        <w:rPr/>
      </w:pPr>
      <w:r>
        <w:rPr>
          <w:rFonts w:ascii="IRNazanin" w:hAnsi="IRNazanin" w:eastAsia="IRNazanin"/>
          <w:color w:val="111111"/>
          <w:sz w:val="28"/>
          <w:sz w:val="28"/>
          <w:szCs w:val="28"/>
          <w:rtl w:val="true"/>
          <w:lang w:bidi="fa-IR"/>
        </w:rPr>
        <w:t>لو کان الشکّ فی کون الحیوان مذکّی أو لا لأجل الشکّ فی کونه قابلًا للتذکیة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الشبهة لأجل الشبهة المفهومیة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یدلّ دلیل علی کون کلّ حیوان قابلًا للتذکیة، فعلی ذلک فهل یجری أصالة عدم القابلیة أو لا یجری</w:t>
      </w:r>
      <w:r>
        <w:rPr>
          <w:rFonts w:eastAsia="IRNazanin" w:cs="IRNazanin"/>
          <w:color w:val="111111"/>
          <w:sz w:val="28"/>
          <w:szCs w:val="28"/>
          <w:rtl w:val="true"/>
          <w:lang w:bidi="fa-IR"/>
        </w:rPr>
        <w:t>.</w:t>
      </w:r>
    </w:p>
    <w:p>
      <w:pPr>
        <w:pStyle w:val="Heading6"/>
        <w:numPr>
          <w:ilvl w:val="5"/>
          <w:numId w:val="1"/>
        </w:numPr>
        <w:rPr/>
      </w:pPr>
      <w:bookmarkStart w:id="154" w:name="__RefHeading___Toc3425435_3224264995"/>
      <w:bookmarkStart w:id="155" w:name="_Toc58"/>
      <w:bookmarkEnd w:id="154"/>
      <w:r>
        <w:rPr>
          <w:rtl w:val="true"/>
        </w:rPr>
        <w:t>کلام المحقّق الحائری فی المقام و نقده</w:t>
      </w:r>
      <w:bookmarkEnd w:id="155"/>
    </w:p>
    <w:p>
      <w:pPr>
        <w:pStyle w:val="BookText"/>
        <w:rPr/>
      </w:pPr>
      <w:r>
        <w:rPr>
          <w:rFonts w:ascii="IRNazanin" w:hAnsi="IRNazanin" w:eastAsia="IRNazanin"/>
          <w:color w:val="111111"/>
          <w:sz w:val="28"/>
          <w:sz w:val="28"/>
          <w:szCs w:val="28"/>
          <w:rtl w:val="true"/>
          <w:lang w:bidi="fa-IR"/>
        </w:rPr>
        <w:t>و لقد بنی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جریانها</w:t>
      </w:r>
      <w:r>
        <w:rPr>
          <w:rStyle w:val="FootnoteAnchor"/>
          <w:rtl w:val="true"/>
        </w:rPr>
        <w:footnoteReference w:id="196"/>
      </w:r>
      <w:r>
        <w:rPr>
          <w:rFonts w:ascii="IRNazanin" w:hAnsi="IRNazanin" w:eastAsia="IRNazanin"/>
          <w:color w:val="111111"/>
          <w:sz w:val="28"/>
          <w:sz w:val="28"/>
          <w:szCs w:val="28"/>
          <w:rtl w:val="true"/>
          <w:lang w:bidi="fa-IR"/>
        </w:rPr>
        <w:t>، و کان رحمه الله مصرّاً علیه، و خلاصة مرامه مع 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المحقّقین قد قسّموا العرض إلی عارض الوجود و عارض الماهیة، و کلّ منهما إلی اللازم و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الأقسام أربعة، و إلیک توضیحها بالمثال،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عارضة لماهیة الأربعة علی وجه اللزوم، کما أنّ عروض الوجود للماهیة یعدّ من الأعراض المفارقة لها، علی إشکال فیه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القسمان الآخران؛ أعنی عارض الوجود اللازم، کموجودیة الوجود بالمعنی المصدری و نورانیته و منشئیته للآثار، و عارضه المفارق کالسواد و البیاض بالنسبة إلی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أنّها من العوارض اللازمة للوجود أو الموجود، و لیست من العوارض اللازمة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العوارض المفارقة بالنسبة إلی الماهیة لکن بتبع الوجود؛ کما هو الشأن فی عامّة العوارض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یقرّر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القابلیة کالقرشیة من عوارض الوجود؛ فإنّ القرشیة عبارة عن الانتساب فی الوجود الخارجی إلی قریش، کما أنّ القابلیة عبارة عن خصوصیة فی الحیوان، بها یصلح لورود التذکیة علیه، و بها یترتّب الحلّیة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أن نشیر إلی ماهیة المرأة المشکوک فیها،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ماهیة تلک المرأة قبل وجودها لم تکن متّصفة بالقرشیة، و لکن علمنا انتقاض الیقین بعدم وجودها إلی العلم بوجودها، و لکن نشکّ فی انتقاض العدم فی ناحیة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أن یقال فی ناحیة القابلیة،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الحیوان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قابلًا للتذکیة قبل وجوده، و نشکّ فی أنّه حین تلبّس بالوجود هل عرض له القابلیة أو لا، فالأصل عدم عروضها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الموضوع هو الوجود، أو کانت القابلیة من لوازم الماهیة لم یکن وجه لهذا الاستصحاب؛ لعدم الحالة السابقة، لکن الموضوع هو الماهیة و القابلیة عارضة لها بعد وجودها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الماهیة قبل تحقّقها لم یکن متّصفة بالقابلیة بنحو السالبة المحصّلة، و الأصل بقاؤها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جریانه لأغنانا عن استصحاب عدم التذکیة؛ لحکومته علیه حکومة الأصل السببی علی المسبّبی، و یکون حاکماً علی الاصول الحکمیة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توضیح مقاله</w:t>
      </w:r>
      <w:r>
        <w:rPr>
          <w:rFonts w:eastAsia="IRNazanin" w:cs="IRNazanin"/>
          <w:color w:val="111111"/>
          <w:sz w:val="28"/>
          <w:szCs w:val="28"/>
          <w:rtl w:val="true"/>
          <w:lang w:bidi="fa-IR"/>
        </w:rPr>
        <w:t>.</w:t>
      </w:r>
      <w:bookmarkStart w:id="156" w:name="pg12912_111712"/>
    </w:p>
    <w:p>
      <w:pPr>
        <w:pStyle w:val="BookText"/>
        <w:rPr/>
      </w:pPr>
      <w:bookmarkEnd w:id="156"/>
      <w:r>
        <w:rPr>
          <w:rFonts w:ascii="IRNazanin" w:hAnsi="IRNazanin" w:eastAsia="IRNazanin"/>
          <w:color w:val="111111"/>
          <w:sz w:val="28"/>
          <w:sz w:val="28"/>
          <w:szCs w:val="28"/>
          <w:rtl w:val="true"/>
          <w:lang w:bidi="fa-IR"/>
        </w:rPr>
        <w:t>و یمکن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جریان الاستصحاب فی الأعدام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بأصالة عدم القابلیة فی المقام؛ لأنّ ما هو الموضوع للأثر الشرعی هو المذکّی و غیر المذکّی، و أمّا القابلیة و عدمها فلیس کلّ واحد مصبّاً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کونه غیر قابل لا یثبت کونه غیر مذکّی؛ و إن کان الشکّ فی أحدهما مسبّباً عن الآخر، و لا یکفی مجرّد کون الشکّ فی أحدهما مسبّباً عن الآخر، بل یحتاج إلی کون الترتّب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فلیس الترتّب شرعیاً بل عقلی محض؛ فإنّ التعبّد بانتفاء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یلازمه عقلًا انتفاء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القابلیة لها دخالة فی التذکیة علی 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فی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حکومة الأصل السببی علی المسبّبی کون الأصل فی ناحیة السبب منقّحاً للموضوع بالنسبة إلی الکبری الشرعیة، و لا یتمّ ذلک إلّا إذا کان الترتّب بینهما شرعیاً لا عقلیاً، و سیأتی توضیح المقال فی الاستصحاب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العدم الأزلی لو کان صحیحاً فی حدّ نفسه لا یجری فی المقام؛ لکونه من الاصول المثبتة</w:t>
      </w:r>
      <w:r>
        <w:rPr>
          <w:rFonts w:eastAsia="IRNazanin" w:cs="IRNazanin"/>
          <w:color w:val="111111"/>
          <w:sz w:val="28"/>
          <w:szCs w:val="28"/>
          <w:rtl w:val="true"/>
          <w:lang w:bidi="fa-IR"/>
        </w:rPr>
        <w:t>.</w:t>
      </w:r>
    </w:p>
    <w:p>
      <w:pPr>
        <w:pStyle w:val="Heading6"/>
        <w:numPr>
          <w:ilvl w:val="5"/>
          <w:numId w:val="1"/>
        </w:numPr>
        <w:rPr/>
      </w:pPr>
      <w:bookmarkStart w:id="157" w:name="__RefHeading___Toc3425437_3224264995"/>
      <w:bookmarkStart w:id="158" w:name="_Toc59"/>
      <w:bookmarkEnd w:id="157"/>
      <w:r>
        <w:rPr>
          <w:rtl w:val="true"/>
        </w:rPr>
        <w:t>حول استصحاب العدم الأزلی عند الشکّ فی القابلیة للتذکیة</w:t>
      </w:r>
      <w:bookmarkEnd w:id="1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هذا الأصل الذی لا أصل له یحتاج إلی بیان اعتبارات القضایا السالبة، و قد استوفینا الکلام فی الدورة السابقة فی بیان مطلق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موجبتها</w:t>
      </w:r>
      <w:bookmarkStart w:id="159" w:name="pg12912_111713"/>
    </w:p>
    <w:p>
      <w:pPr>
        <w:pStyle w:val="BookText"/>
        <w:rPr/>
      </w:pPr>
      <w:bookmarkEnd w:id="159"/>
      <w:r>
        <w:rPr>
          <w:rFonts w:ascii="IRNazanin" w:hAnsi="IRNazanin" w:eastAsia="IRNazanin"/>
          <w:color w:val="111111"/>
          <w:sz w:val="28"/>
          <w:sz w:val="28"/>
          <w:szCs w:val="28"/>
          <w:rtl w:val="true"/>
          <w:lang w:bidi="fa-IR"/>
        </w:rPr>
        <w:t>و سالبتها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لتوضیح المقصود</w:t>
      </w:r>
      <w:r>
        <w:rPr>
          <w:rStyle w:val="FootnoteAnchor"/>
          <w:rtl w:val="true"/>
        </w:rPr>
        <w:footnoteReference w:id="198"/>
      </w:r>
      <w:r>
        <w:rPr>
          <w:rFonts w:ascii="IRNazanin" w:hAnsi="IRNazanin" w:eastAsia="IRNazanin"/>
          <w:color w:val="111111"/>
          <w:sz w:val="28"/>
          <w:sz w:val="28"/>
          <w:szCs w:val="28"/>
          <w:rtl w:val="true"/>
          <w:lang w:bidi="fa-IR"/>
        </w:rPr>
        <w:t>، غیر أنّا لا نتعرّض فی هذه الدورة إلّا لبعض أقسامها المتصوّرة فی المقام؛ روماً للاختصار</w:t>
      </w:r>
      <w:r>
        <w:rPr>
          <w:rFonts w:eastAsia="IRNazanin" w:cs="IRNazanin"/>
          <w:color w:val="111111"/>
          <w:sz w:val="28"/>
          <w:szCs w:val="28"/>
          <w:rtl w:val="true"/>
          <w:lang w:bidi="fa-IR"/>
        </w:rPr>
        <w:t>.</w:t>
      </w:r>
    </w:p>
    <w:p>
      <w:pPr>
        <w:pStyle w:val="Heading6"/>
        <w:numPr>
          <w:ilvl w:val="5"/>
          <w:numId w:val="1"/>
        </w:numPr>
        <w:rPr/>
      </w:pPr>
      <w:bookmarkStart w:id="160" w:name="__RefHeading___Toc3425439_3224264995"/>
      <w:bookmarkStart w:id="161" w:name="_Toc60"/>
      <w:bookmarkEnd w:id="160"/>
      <w:r>
        <w:rPr>
          <w:rtl w:val="true"/>
        </w:rPr>
        <w:t>فی بیان اعتبارات القضایا السالبة</w:t>
      </w:r>
      <w:bookmarkEnd w:id="16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الوجوه المتصوّرة فی مجاری الاصول الأزلیة لا تتجاوز عن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السالبة المحصّلة علی نحو الهلیّة البسیطة،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فمفادها سلب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القضیة لیست حکایة حقیقیة و لا کشف واقعی عن أمر أصلًا، و لیس لها محکی بوجه، لکن العقل یدرک بنحو من الإدراک بطلان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 لا یمکن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عن أمر واقعی، بل ینبّه علی بطلان المعدوم و عدم شیئیته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السالبة المحصّلة بنحو الهلیّة المرکّبة،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مثلها قد یکون الموضوع محقّقاً یسلب عنه المحمول، و قد یکون السلب بسلب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لموضوعه وجوداً فله نحو حکایة لا لمحمولها، فیحکم العقل أنّ موضوعها غیر متّصف بالمحمول، فیحکم به من دون أن یکون لعدم الاتّصاف حقیقة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صدقه عدم اتّصاف الموضوع بالمعنی المقابل للمعنی العدمی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لموضوعها تحقّق فلیس للقضیة حقیقة واقعیة أصلًا؛ لا موضوعاً و لا محمولًا و لا هیئةً؛ و إن کان إدراک هذا الأمر بتبع أمر وجودی ذهنی</w:t>
      </w:r>
    </w:p>
    <w:p>
      <w:pPr>
        <w:pStyle w:val="BookText"/>
        <w:rPr/>
      </w:pPr>
      <w:r>
        <w:rPr>
          <w:rFonts w:ascii="IRNazanin" w:hAnsi="IRNazanin" w:eastAsia="IRNazanin"/>
          <w:color w:val="111111"/>
          <w:sz w:val="28"/>
          <w:sz w:val="28"/>
          <w:szCs w:val="28"/>
          <w:rtl w:val="true"/>
          <w:lang w:bidi="fa-IR"/>
        </w:rPr>
        <w:t>یخترعه العقل، و لکنّه یعدّ وسیلة لهذا الإدراک؛ أی إدراک أنّ الموضوع لم یکن متّصفاً بالمحمول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الموجبة المعدولة، و المیزان فی اعتبارها أن یکون للمعنی العدمی المنتسب إلی الموضوع نحو حصول فی الموضوع، کأعدام الملکات،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فمناط صدقه هو نحو تحقّق للمعنی السلبی فی الموضوع و ثبوته له بنحو من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الاعتبار لیس فی القضیة السالبة المحصّلة؛ للفرق الواضح بین سلب شی‌ء عن موضوع و إثبات السلب له؛ فإنّ معنی الإثبات هو حصول الأمر العدمی له، و معنی السلب سلب هذا الثبوت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یکون المعتبر من المعدولة ما إذا کان للسلب نحو ثبوت بنحو العدم و الملکة، کما مرّ؛ فیخرج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غیر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السالبة المحمول، و المیزان فی اعتبارها توصیف الموضوع بما یدلّ علی سلب الربط،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القضایا المعتبرة،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المتصوّرة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وجه آخر سیوافیک بیانه أیضاً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الموضوع لحرمة أکله، أو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تراه المرأة بعد خمسین فهو غیر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هذه الأقسام الماضیة، و لا بأس لبیان حال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لا یکون المورد من قبیل الهلیّات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تنحصر الاحتمالات فی الثلاثة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سلب القرشیة عن المرأة و القابلیة عن الحیوان من قبیل السالبة المحصّلة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الموضوع للحرمة هو الحیوان؛ سالباً عنه القابلیة علی نحو السلب التحصیلی الذی یجتمع مع عدم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صحیح جدّاً، و مقطوع علی بطلانه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المبرهن فی محلّه توقّف صدق الموجبات علی وجود موضوعاتها خارجاً أو ذهناً حسب أحکامها و محمولاتها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بالحرمة أو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تراه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حکم إیجابی، یمتنع أن یکون موضوعها شیئاً سلب عنه شی‌ء بنحو قضیة سالبة محصّلة مع صدقها أحیاناً، مع عدم 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مسلوباً عنه القابلیة أو المرأة مسلوباً عنها القرشیة بنحو السلب التحصیلی المطلق یمتنع أن یکون موضوعاً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الموضوع مع عدم حیوان أو مرأة، و عدم صدق المحمول إلّا مع وجود الحیوان و المرأة، فکیف یصلح للموضوعیة؛ إذ کیف یحکم علی الحیوان المعدوم بالحرمة أو علی المرأة المعدومة بالرؤیة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الحیوان الموجود إذا لم یکن قابلًا کما یصدق علیه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الحیوان قابلًا کذلک یصدق هذه القضیة علی المعدوم من رأس؛ فإنّ عدم</w:t>
      </w:r>
    </w:p>
    <w:p>
      <w:pPr>
        <w:pStyle w:val="BookText"/>
        <w:rPr/>
      </w:pPr>
      <w:r>
        <w:rPr>
          <w:rFonts w:ascii="IRNazanin" w:hAnsi="IRNazanin" w:eastAsia="IRNazanin"/>
          <w:color w:val="111111"/>
          <w:sz w:val="28"/>
          <w:sz w:val="28"/>
          <w:szCs w:val="28"/>
          <w:rtl w:val="true"/>
          <w:lang w:bidi="fa-IR"/>
        </w:rPr>
        <w:t>القابلیة تارة یکون بانتفاء الموضوع و اخری بانتفاء المحمول، فالأعمّ صدقاً من حیث وجود الموضوع و عدمه کیف یقع موضوعاً لحکم 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یصدق إلّا مع بعض حالات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سلب شی‌ء عن شی‌ء قبل تحقّق الموضوع لیس له واقع، و إنّما هو من اختراع العقل لا کاشفیة و لا مکشوفیة فی البین،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قبل تحقّقها لم تکن قرشیة أو أنّ هذا الحیوان قبل تحقّقه لم یکن قابلًا للتذکیة و الآن کما کان ممّا لا معنی له؛ لأنّ هذه المرأة قبل تحقّقها لم تکن هذه، و هذا الحیوان لم یکن هذا؛ لا وجوداً و لا ماهیة، و لا یمکن أن یشار إلیهما حسّاً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یتوهّم الواهمة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المشار إلیه هذیّة قبل تحقّقها؛ فهذه المرأة قبل وجودها لم تکن مشاراً إلیها و لا مسلوباً عنها شی‌ء علی نعت سلب شی‌ء عن شی‌ء، فالقضیة المشکوک فیها لیست لها حالة سابقة، و إنّما سابقتها فی عالم الاختراع بتبع امور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الکذائیة قبل تحقّقها إمّا قرشیة أو لیست بقرشیة، و هکذا الحیوان؛ لامتناع ارتفاع النقیضین، فإذا کذب کونها قرشیة أو کونه قابلًا صدق أنّها لیست بقرشیة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نقیض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لیست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نعت سلب شی‌ء عن شی‌ء له واقعیة، بل نقیضه أعمّ من ذلک و من بطلان الموضوع؛ و هو یلازم بطلان المحمول و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القرشیة و القابلیة من لوازم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یتّصف به الموضوع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قبل وجوده لا قرشیة و لا لیست قرشیة، و الحیوان لا قابل و لا لیس بقابل علی معنی سلب شی‌ء عن شی‌ء؛ و إن صدق السلب المحصّل بسلب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 القرشیة عن المرأة لیس سلباً</w:t>
      </w:r>
    </w:p>
    <w:p>
      <w:pPr>
        <w:pStyle w:val="BookText"/>
        <w:rPr/>
      </w:pPr>
      <w:r>
        <w:rPr>
          <w:rFonts w:ascii="IRNazanin" w:hAnsi="IRNazanin" w:eastAsia="IRNazanin"/>
          <w:color w:val="111111"/>
          <w:sz w:val="28"/>
          <w:sz w:val="28"/>
          <w:szCs w:val="28"/>
          <w:rtl w:val="true"/>
          <w:lang w:bidi="fa-IR"/>
        </w:rPr>
        <w:t>حقیقیاً؛ بمعنی کونه حاکیاً أو کاشفاً عن واقعیته کما تقدّم حتّی یجی‌ء حدیث امتناع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السالبة المحصّلة جزءًا للموضوع یستلزم التناقض فی نفس جعل الموضوع موضوعاً؛ فإنّ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مسلوبة عنها القرشیة مؤلّف من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قضیة سالبة محصّلة التی یصدق مع عدم الموضوع، و مع ذلک کیف یمکن أن یقیّد الموضوع بقید یصدق حتّی مع عدم وجوده؟ فإنّ عدم القابلیة یصدق مع عدم الحیوان کما تقدّم، و ما هذا إلّا تناقض فی ناحیة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المنشأ للأثر إنّما هو السالبة المحصّلة، لکن فی حال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عدم القابلیة علی نحو الأعمّ و إن لم یترتّب علیه الأثر حدوثاً إلّا أنّه یترتّب علیه الأثر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ذلک العدم و إن کان لا یترتّب علیه الأثر حال عدم الحیوان إلّا أنّه بعد العلم بوجود الحیوان و انتقاض العدم من ناحیةٍ، ترتّب الأثر علیه منضمّاً إلی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عدم قضیة حاکیة عن نفس الأمر قبل وجود الموضوع، و إنّما یخترع الواهمة قضیة کذائیة، و علیه لا یعقل وحدة القضیة المتیقّنة مع القضیة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المستصحب إذا کان عنواناً عامّاً، و کان أحد الفردین قطعی الارتفاع فاستصحابه و انطباقه علی الفرد المحتمل الآخر لا یصحّ إلّا علی القول بالأُصول المثبتة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عدم القابلیة کما یتحقّق فی ضمن انتفاء الموضوع کذلک یتحقّق مع ارتفاع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علمنا انتقاض العدم فی ناحیة الموضوع فبقاء ذلک العدم بعد ذلک یستلزم عقلًا صدقه مع 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السالبة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إلّا إثبات الفرد الخاصّ باستصحاب العامّ، و هو من الاصول المثبتة، نظیر</w:t>
      </w:r>
    </w:p>
    <w:p>
      <w:pPr>
        <w:pStyle w:val="BookText"/>
        <w:rPr/>
      </w:pPr>
      <w:r>
        <w:rPr>
          <w:rFonts w:ascii="IRNazanin" w:hAnsi="IRNazanin" w:eastAsia="IRNazanin"/>
          <w:color w:val="111111"/>
          <w:sz w:val="28"/>
          <w:sz w:val="28"/>
          <w:szCs w:val="28"/>
          <w:rtl w:val="true"/>
          <w:lang w:bidi="fa-IR"/>
        </w:rPr>
        <w:t>استصحاب بقاء الحیوان الجامع بین الفیل و البقّ و إثبات آثار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موضوع الحکم المرأة الموجودة أو فی حال وجودها، و کانت القضیة المتیقّنة المرأة الغیر الموجودة أو فی حال عدم الوجود مع الغضّ عن بطلان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إجراء الأصل لإثبات الحکم لها فی حال الوجود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الموضوع المرأة الموجودة مسلوبة عنها القرشیة؛ سلباً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الموضوع أحد قسمی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استصحابه فلا حالة سابقة له؛ لأنّ القرشیة اللاقرشیة من لوازم الوجود و لم یکن فی زمان وجود المرأة معلوماً مسلوباً عنه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أعنی أخذ القضیة جزءًا علی نحو الموجبة المعدولة، کقولنا الحیوان الغیر القابل للتذکیة، أو المرأة الغیر القرشیة علی نحو التوصیف، أو الوجه الرابع؛ أعنی کون القضیة جزءًا للموضوع علی نحو الموجبة السالبة المحمول؛ أعنی المرأة التی لم تکن قرشیة أو الحیوان الذی لیس قابلًا للتذکیة، و قد تقدّم ملاک اعتبار ذاک القسم،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قضیة سالبة محصّلة نعتاً لموضوع؛ حتّی یصیر ما یدلّ علی سلب الربط نعتاً له، و یصیر المفاد أخیراً ربط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جریان الاستصحاب علی هذین الوجهین أوضح؛ لعدم الحالة السابقة؛ فلأنّ اتّصاف شی‌ء بشی‌ء فرع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 الحیوان بغیر القابلیة أو بأنّه الذی لم یکن قابلًا فرع وجود الموصوف، و الحیوان الذی نشکّ فی قابلیته لم یکن بقید الوجود مورداً للیقین السابق، بل هو من أوّل حدوثه مشکوک القابلیة و عدمها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معلوم هو عدم قابلیته علی نحو السالبة المحصّلة، و هو لیس موضوعاً للحکم، و ما هو موضوع لم یتعلّق به العلم؛ إذ الحیوان الواقع بأیدینا لم یکن فی زمان من أزمنة وجوده مورداً للعلم بأنّه غیر قابل حتّی نستصحبه</w:t>
      </w:r>
      <w:r>
        <w:rPr>
          <w:rFonts w:eastAsia="IRNazanin" w:cs="IRNazanin"/>
          <w:color w:val="111111"/>
          <w:sz w:val="28"/>
          <w:szCs w:val="28"/>
          <w:rtl w:val="true"/>
          <w:lang w:bidi="fa-IR"/>
        </w:rPr>
        <w:t>.</w:t>
      </w:r>
      <w:bookmarkStart w:id="162" w:name="pg12912_111719"/>
    </w:p>
    <w:p>
      <w:pPr>
        <w:pStyle w:val="BookText"/>
        <w:rPr/>
      </w:pPr>
      <w:bookmarkEnd w:id="162"/>
      <w:r>
        <w:rPr>
          <w:rFonts w:ascii="IRNazanin" w:hAnsi="IRNazanin" w:eastAsia="IRNazanin"/>
          <w:color w:val="111111"/>
          <w:sz w:val="28"/>
          <w:sz w:val="28"/>
          <w:szCs w:val="28"/>
          <w:rtl w:val="true"/>
          <w:lang w:bidi="fa-IR"/>
        </w:rPr>
        <w:t>أضف إلی ذلک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العنوان العامّ الذی یلائم مع عدم وجود الموضوع لا یثبت کون هذا الحیوان غیر قابل إلّا علی القول بالأصل المثبت؛ فإنّ استصحاب العامّ بعد العلم بانتفاء أحد فردیه لا یثبت به بقاؤه فی ضمن الفرد الآخر، فلا یمکن إثبات الأثر المترتّب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لنفس العامّ أثر یترتّب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القابلیة فی الحیوان کأصالة عدم القرشیة فی المرأة لیس لها أساس، من غیر فرق بین کون الشکّ فی القابلیة لأجل الشبهة المفهومیة أو غیرها،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جریانها یکون المرجع هو أصالة عدم التذکیة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3425441_3224264995"/>
      <w:bookmarkStart w:id="164" w:name="_Toc61"/>
      <w:bookmarkEnd w:id="163"/>
      <w:r>
        <w:rPr>
          <w:rtl w:val="true"/>
        </w:rPr>
        <w:t>التحقیق فی جریان أصالة عدم التذکیة فی المحتملات</w:t>
      </w:r>
      <w:bookmarkEnd w:id="164"/>
    </w:p>
    <w:p>
      <w:pPr>
        <w:pStyle w:val="BookText"/>
        <w:rPr/>
      </w:pPr>
      <w:r>
        <w:rPr>
          <w:rFonts w:ascii="IRNazanin" w:hAnsi="IRNazanin" w:eastAsia="IRNazanin"/>
          <w:color w:val="111111"/>
          <w:sz w:val="28"/>
          <w:sz w:val="28"/>
          <w:szCs w:val="28"/>
          <w:rtl w:val="true"/>
          <w:lang w:bidi="fa-IR"/>
        </w:rPr>
        <w:t>إنّ التذکیة إن کانت أمراً مرکّباً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ککونها نفس الامور الستّة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عدمها غیر جاریة، بعد وقوع الامور الخمسة علی حیوان شکّ فی قابلیته؛ لسقوط أصالة عدم القابلیة و عدم کون التذکیة أمراً مسبوقاً بالعدم؛ لکونها عبارة عن الامور الخارجیة، و المفروض حصول خمسة و عدم جریان الأصل فی السادس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المرجع أصالة الحلّ و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إذا کانت أمراً مرکّباً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کانت أمراً بسیطاً محضاً متحصّلًا من ذلک الامور أو اعتباراً قائماً بها</w:t>
      </w:r>
    </w:p>
    <w:p>
      <w:pPr>
        <w:pStyle w:val="BookText"/>
        <w:rPr/>
      </w:pPr>
      <w:r>
        <w:rPr>
          <w:rFonts w:ascii="IRNazanin" w:hAnsi="IRNazanin" w:eastAsia="IRNazanin"/>
          <w:color w:val="111111"/>
          <w:sz w:val="28"/>
          <w:sz w:val="28"/>
          <w:szCs w:val="28"/>
          <w:rtl w:val="true"/>
          <w:lang w:bidi="fa-IR"/>
        </w:rPr>
        <w:t>أو بسیطاً مقیّداً أو مرکّباً تقییدیاً فأصالة عدم التذکیة جاریة، مع الغضّ عن الإشکال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أمراً بسیطاً متحصّلًا من الامور الخارجیة فواضح؛ لأنّه مسبوق بالعدم قبل تحقّق الامور الخارجیة،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منشأ الشکّ و الیقین لا یضرّ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کانت أمراً بسیطاً منتزعاً؛ لأنّ هذا الأمر الانتزاعی الموضوع للحکم و إن کان علی فرض وجوده یتحقّق بعین منشأ انتزاعه، لکنّه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أمراً مرکّباً تقییدیاً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بسیطة متحصّلة مقیّدة، أو منتزعة من الامور الخمسة متقیّدة بقابلیة المحلّ، أو مرکّبة منها و متقیّدة بالقابلیة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فجریان أصالة عدم التذکیة لا مانع لها؛ لأنّ المتقیّد بما أنّه متقیّد مسبوق بالعدم و مشکوک تحقّقه، و الفرض أنّ موضوع الحکم متقیّد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عن بعض أعاظم العصر قدس سره من أنّ التذکیة إذا کانت نفس الامور الخمسة، و کانت قابلیة المحلّ شرطاً للتأثیر و لها دخالة فی تأثیر الخمسة لا تجری أصالة عدم التذکیة، بل المرجع هی أصالة الحلّ و الطهارة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دخالة القابلیة فی التأثیر عبارة اخری عن تقیید موضوع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للحلّیة و الطهارة الواقعیتین هو الامور الخمسة المشترط بالقابلیة، و هذا المعنی المتقیّد المشترط مسبوق بالعدم، و اختلاف منشأ الشکّ و الیقین ممّا لا یمنع عن جریان الاستصحاب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لا إشکال فیه، إنّما الإشکال فی جریان أصالة عدم التذکیة</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بسیطة کانت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حقیقة التذکیة التی هی فعل المذکّی عبارة عن إزهاق الروح بکیفیة خاصّة و شرائط مقرّرة؛ و هی فری الأوداج الأربعة مع کون الذابح مسلماً، و کون الذبح عن تسمیة و إلی القبلة مع آلة خاصّة، و کون المذبوح قابلًا للتذکیة</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هذه الحقیقة بعدم الإزهاق بالکیفیة الخاصّة و الشرائط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أنّ هذا الأمر العدمی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لیس موضوعاً للحکم الشرعی؛ فإنّ هذا المعنی العدمی متحقّق قبل تحقّق الحیوان و فی زمان حیاته، و لم یکن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هو الموضوع عبارة عن المیتة؛ و هی الحیوان الذی زهق روحه بغیر الکیفیة الخاصّة بنحو الإیجاب العدولی، أو زهوقاً لم یکن بکیفیة خاصّة،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أو الموجبة السالبة المحمول، و هما غیر مسبوقین بالعدم؛ فإنّ زهوق الروح لم یکن فی زمان محقّقاً بلا کیفیة خاصّة، أو مسلوباً عنه الکیفیة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موضوع غیر مسبوق بالعدم، و ما هو مسبوق به لیس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النفی التامّ لا یثبت زهوق الروح بالکیفیة الخاصّة إلّا علی الأصل المثبت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الإشکال فی مثل تلک القضایا السالبة</w:t>
      </w:r>
      <w:r>
        <w:rPr>
          <w:rFonts w:eastAsia="IRNazanin" w:cs="IRNazanin"/>
          <w:color w:val="111111"/>
          <w:sz w:val="28"/>
          <w:szCs w:val="28"/>
          <w:rtl w:val="true"/>
          <w:lang w:bidi="fa-IR"/>
        </w:rPr>
        <w:t>.</w:t>
      </w:r>
      <w:bookmarkStart w:id="165" w:name="pg12912_111722"/>
    </w:p>
    <w:p>
      <w:pPr>
        <w:pStyle w:val="Heading6"/>
        <w:numPr>
          <w:ilvl w:val="5"/>
          <w:numId w:val="1"/>
        </w:numPr>
        <w:rPr/>
      </w:pPr>
      <w:bookmarkStart w:id="166" w:name="__RefHeading___Toc3425443_3224264995"/>
      <w:bookmarkStart w:id="167" w:name="_Toc62"/>
      <w:bookmarkEnd w:id="165"/>
      <w:bookmarkEnd w:id="166"/>
      <w:r>
        <w:rPr>
          <w:rtl w:val="true"/>
        </w:rPr>
        <w:t>تفصیل المحقّق الهمدانی فی المقام</w:t>
      </w:r>
      <w:bookmarkEnd w:id="167"/>
    </w:p>
    <w:p>
      <w:pPr>
        <w:pStyle w:val="BookText"/>
        <w:rPr/>
      </w:pPr>
      <w:r>
        <w:rPr>
          <w:rFonts w:ascii="IRNazanin" w:hAnsi="IRNazanin" w:eastAsia="IRNazanin"/>
          <w:color w:val="111111"/>
          <w:sz w:val="28"/>
          <w:sz w:val="28"/>
          <w:szCs w:val="28"/>
          <w:rtl w:val="true"/>
          <w:lang w:bidi="fa-IR"/>
        </w:rPr>
        <w:t xml:space="preserve">ثمّ إنّ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الأحکام فی المقام،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هو التفکیک بین الآثار؛ فما کان منها مترتّباً علی عدم کون اللحم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الحلّیة و عدم جواز الصلاة فیه، و عدم طهارته و غیر ذلک من الأحکام العدمیة التی تنتزع من الأحکام الوجودیة التی تکون التذکیة شرطاً فی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تعلّق التذکیة بهذا اللحم الذی زهق روحه، فلا یحلّ أکله و لا الصلاة فیه و لا استعماله فیما یشترط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المترتّبة علی کونه غیر مذکّی، کالأحکام الوجودیة الملازمة لهذه العدمیات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أکله أو نجاسته أو تنجیس ملاقیه أو حرمة الانتفاع ببیعه أو استعماله فی سائر الأشیاء الغیر المشروطة بالطهارة، کسقی البساتین و غیر ذلک من الأحکام المتعلّقة بعنوان المیتة أو کونه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2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لأنّ موضوع جواز الصلاة و الحلّیة و غیرهما هو المذکّی؛ أی الحیوان الذی زهق روحه بالأسباب المقرّرة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إن أراد بالأصل المذکور استصحاب نفی تعلّق التذکیة علی نحو السلب التحصیلی الأعمّ من وجود الموضوع فهو غیر مفید؛ لأنّه بهذا المعنی العامّ لیس موضوعاً لحکم من الأحکام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أصالة عدم تعلّقها علی الحیوان الموجود الذی زهق روحه بنحو</w:t>
      </w:r>
    </w:p>
    <w:p>
      <w:pPr>
        <w:pStyle w:val="BookText"/>
        <w:rPr/>
      </w:pPr>
      <w:r>
        <w:rPr>
          <w:rFonts w:ascii="IRNazanin" w:hAnsi="IRNazanin" w:eastAsia="IRNazanin"/>
          <w:color w:val="111111"/>
          <w:sz w:val="28"/>
          <w:sz w:val="28"/>
          <w:szCs w:val="28"/>
          <w:rtl w:val="true"/>
          <w:lang w:bidi="fa-IR"/>
        </w:rPr>
        <w:t>السلب التحصیلی عن الموضوع المحقّق،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الحیوان الذی زهق روحه أن یکون بلا تعلّق أسباب شرعیة فلا حالة 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استصحاب عدم تحقّق التذکیة بنحو السلب الأعمّ التحصیلی لنفی الأحکام المذکورة بعد زهوق روحه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العنوان العامّ الذی یتحقّق فی ضمن أفراد طولیة أو عرضیة لا یوجب إلّا ترتیب آثار ذلک العنوان، دون آثار الفرد الذی من مصادیق ذلک العنوان؛ فإنّه بالنسبة إلی آثار الفرد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استصحاب بقاء الحیوان المردّد بین البقّ و الفیل بعد سنة لا یثبت إلّا آثار ذلک العنوان، لا ما هو أثر للفرد الطویل العمر من الحیوان، و مثله المقام؛ فإنّ عدم تحقّق التذکیة یصدق تارة مع ما إذا لم یکن حیوان فی البین، و اخری ما إذا کان و لکنّه بعد حیّ یأکل و یمشی، و ثالثة إذا زهق روحه و لکن لا بالأسباب المعیّنة المقرّرة فی شریعة الإسلام، فهو صادق مع عدم الحیوان، و مع وجوده بوصف الحیاة، و مع زهوق روحه لا بالأسباب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لتلک الأحکام الوجودیة التی نرید رفعها برفع أسبابها لیس مطلق عدم التذکیة بقول مطلق؛ حتّی مع عدم وجوده أو کونه حیّاً؛ لعدم الموضوع فی الأوّل، و کونه طاهراً فی زمن الحیاة، و عدم الدلیل علی عدم الحلّیة فی حالها، بل الموضوع هو الفرد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الموجب لعدم الحلّیة و الطهارة إنّما هو زهوق الروح لا بالآلات و الشرائط المقرّرة، کما أنّ الموجب لهما هو وجود التذکیة بالنحو المذکور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فانطباق ذلک المستصحب علی الفرد الثالث عقلی محض؛ للعلم بوجوده و زهوقه، فیتعیّن الثالث، و هذا هو المراد بالمثبتیة</w:t>
      </w:r>
      <w:r>
        <w:rPr>
          <w:rFonts w:eastAsia="IRNazanin" w:cs="IRNazanin"/>
          <w:color w:val="111111"/>
          <w:sz w:val="28"/>
          <w:szCs w:val="28"/>
          <w:rtl w:val="true"/>
          <w:lang w:bidi="fa-IR"/>
        </w:rPr>
        <w:t>.</w:t>
      </w:r>
      <w:bookmarkStart w:id="168" w:name="pg12912_111724"/>
    </w:p>
    <w:p>
      <w:pPr>
        <w:pStyle w:val="BookText"/>
        <w:rPr/>
      </w:pPr>
      <w:bookmarkEnd w:id="168"/>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العدم المحمولی الذی یجتمع مع عدم الموضوع إلی زمان حیاته لا یثبت العدم الرابط؛ أعنی کون هذا الحیوان لم یتعلّق به التذکیة مع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المحمولی و إن لم یکن ذا أثر حدوثاً؛ أی فیما إذا تحقّق فی ضمن الفردین الأوّلین، إلّا أنّه ذو أثر بقاءً؛ أی فیما إذا تحقّق فی ضمن الفرد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خلط بین أثر نفس العامّ و أثر الفرد؛ فإنّ الحلّیة و الطهارة من آثار الحیوان الذی وردت علیه التذکیة بشرائطها، و الغرض من الاستصحاب هو رفع تلک الآثار برفع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العدم المحمولی إن ارید منه رفع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عدم موضوعه أو لعدم زهوق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بمفید؛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رفعها باعتبار الفرد الثالث فانطباقه علیه بعد العلم بانتفاء الأوّلین عقلی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منشأ الشکّ الشکّ فی قابلیة الحیوان للتذکیة؛ سواء کانت الشبهة من جهة الاشتباه المفهومی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البحث ببیان الشبهة الموضوعیة</w:t>
      </w:r>
      <w:r>
        <w:rPr>
          <w:rFonts w:eastAsia="IRNazanin" w:cs="IRNazanin"/>
          <w:color w:val="111111"/>
          <w:sz w:val="28"/>
          <w:szCs w:val="28"/>
          <w:rtl w:val="true"/>
          <w:lang w:bidi="fa-IR"/>
        </w:rPr>
        <w:t>.</w:t>
      </w:r>
    </w:p>
    <w:p>
      <w:pPr>
        <w:pStyle w:val="Heading6"/>
        <w:numPr>
          <w:ilvl w:val="5"/>
          <w:numId w:val="1"/>
        </w:numPr>
        <w:rPr/>
      </w:pPr>
      <w:bookmarkStart w:id="169" w:name="__RefHeading___Toc3425445_3224264995"/>
      <w:bookmarkStart w:id="170" w:name="_Toc63"/>
      <w:bookmarkEnd w:id="169"/>
      <w:r>
        <w:rPr>
          <w:rtl w:val="true"/>
        </w:rPr>
        <w:t>أصالة عدم التذکیة فی الشبهة الموضوعیة</w:t>
      </w:r>
      <w:bookmarkEnd w:id="17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الشبهة الموضوعیة؛ سواء کان مصبّ الشکّ نفس الحیوان؛ بأن یشکّ فی أنّ هذا الحیوان هل ذکی أو لا، أو کان أجزاؤه کما لو شکّ فی أنّ الجزء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مأخوذ من المذکّی أو غیره، أو من مشکوکه ممّا هو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بشرطیة الابتلاء فی تأثیر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أصالة عدم</w:t>
      </w:r>
    </w:p>
    <w:p>
      <w:pPr>
        <w:pStyle w:val="BookText"/>
        <w:rPr/>
      </w:pPr>
      <w:r>
        <w:rPr>
          <w:rFonts w:ascii="IRNazanin" w:hAnsi="IRNazanin" w:eastAsia="IRNazanin"/>
          <w:color w:val="111111"/>
          <w:sz w:val="28"/>
          <w:sz w:val="28"/>
          <w:szCs w:val="28"/>
          <w:rtl w:val="true"/>
          <w:lang w:bidi="fa-IR"/>
        </w:rPr>
        <w:t>التذکیة مطلقاً، أو التفصیل بین الصور إشکال، و ما نذکره من النقض و الإبرام مع قطع النظر عن الإشکال السیّال الذی یعمّ عامّة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حکمیة کانت أو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نشیر إلی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الحیوان و شککنا فی وقوع التذکیة علیه، أو اللحم المطروح فی الطریق المأخوذ من حیوان شکّ فی تذکیته، و هذا ما تسالم فیه القوم علی جریان الأصل، و الحقّ معهم إذا أغمضنا النظر عن الإشکال السیّال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المأخوذ من أحد حیوانین نعلم أنّ أحدهما المعیّن مذکّی و الآخر غیر مذکّی، و لکن نشکّ فی أنّ هذا الجزء هل هو مأخوذ من هذا أو ذاک؟</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التذکیة من أوصاف الحیوان و عوارضه، و إنّ الموصوف بها و بعدمها إنّما هو نفس الحیوان، و إنّما تنسب إلی الأجزاء بتبع الحیوان فالجزء بما هو هو لا مذکّی و لا غیر مذکّی، فلا شکّ فی خروج الجزء من مصبّ الأصل، فیسقط أصالة عدم التذکیة فی الجلود و اللحوم المتّخذة من أحد حیوانین نعلم حالهما تعیّناً، و یرجع إلی أصالتی الحلّیة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باتّصاف الجزء بالتذکیة حقیقة، و أنّ التذکیة یرد علی الجزء و الکلّ عرضاً لا تبعاً فأصالة عدم التذکیة محکّمة فی الجزء، مع الغضّ عن الإشکال السیّال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اشتبه المذکّی بغیره، و لم یکن فی المقام طریق إلی تشخیصهما، و یتصوّر ذلک علی وجوه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الحیوانین إمّا أن یکونا فی مورد الابتلاء، أو کان کلّ واحد خارجاً عن محلّ الابتلاء، أو کان المتّخذ منه داخلًا و الآخر خارجاً، أو بالعکس؛ فهنا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الحیوانان فی محلّ الابتلاء؛ فإن قلنا بأنّ المانع من جریان الأصل فی أطراف العلم الإجمالی هو المخالفة العملیة، و أنّه لو لا المخالفة لما کان مانع من جریانه فیجری الأصل فی الحیوانین، و یحکم للجزء أیضاً بعدم التذکیة؛ لعدم لزوم مخالفة عملیة فی المقام من اجتناب کلا الحیوانین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جریان الأصل فی أطراف العلم الإجمالی؛ لانصراف الأدلّة، أو لأجل تناقض الصدر مع الذیل، أو قلنا بأنّه یجری و لکنّه یسقط بالتعارض فحینئذٍ لو اخترنا أنّ الشکّ فی تذکیة الجزء ناشٍ و مسبّب عن تذکیة الکلّ؛ بحیث یکون الأصل الجاری فی ناحیة الجزء فی طول الأصل الجاری فی جانب الکلّ، کالملاقی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الملاقی، فلا شکّ أنّ حکم الجزء هنا کحکم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السبب عن مصبّ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الأصل عدم التذکیة، أو الطهارة 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جریانه أو لسقوطه بالتعارض، فیصل النوبة إلی الأصل الجاری فی ناحیة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التذکیة و عدمها وصفان للحیوان لا لأجزائه فما هو 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روحه بلا 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الحیوان، کما أنّ المذکّی عبارة عن الحیوان المذبوح بالشرائط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بنجاسة الأجزاء و حرمتها أو طهارتها و حلّیتها إنّما هو من جهة أنّها أجزاء للمذکّی أو لغیر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یسقط أصالة عدم التذکیة فی ناحیة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النوبة إلی اصول حکمیة؛ من أصالتی الطهارة و الحلّیة؛ لو لا منجّزیة العلم الإجمالی، و معها لا بدّ من الاجتناب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الحیوانان خارجین من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 الخروج عن محلّ الابتلاء یوجب عدم فعلیة الحکم و عدم صحّة جریان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المشهور بین المتأخّرین، و سیوافیک فی محلّه کونه خلاف التحقیق</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و إن کان غیر جارٍ فی الحیوان الذی لم یتّخذ منه؛ لعدم ترتّب أثر علیه إلّا أنّ الحیوان المتّخذ منه هذا الجزء و إن کان خارجاً عن محلّ الابتلاء إلّا أنّه یجری الأصل فیه؛ لأنّه غیر خالٍ عن الأثر، باعتبار جزئه الداخل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المأخوذ منه خارجاً و غیر المأخوذ منه داخلًا فی محلّ الابتلاء؛ فیجری الأصل فی غیر المأخوذ منه بلا إشکال؛ لوقوعه فی محلّ الابتلاء، و کذا فی المأخوذ منه الخارج عن الابتلاء؛ لوقوع جزئه مورداً للتکلیف و الابتلاء، فالأصل الجاری فی ناحیة الکلّ غیر خالٍ عن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الجاری فی الشقّ المتقدّم حسب اختلاف المبانی فی جریان الأصل فی أطراف العلم الإجمالی جارٍ فی المقام؛ لأنّ خروج المأخوذ منه عن محلّ الابتلاء غیر مؤثّر، بل خروجه کلا خروجه؛ لکون جزئه واقعاً مورداً للابتلاء، فیتصوّر فیه التفصیل المتقدّم بین المبانی،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الشقّ المتقدّم؛ بأن کان المأخوذ منه داخلًا فی محلّ الابتلاء و غیر المأخوذ منه خارجاً، فحکمه واضح؛ لما مرّ، بل لا علم إجمالی بالتکلیف الفعلی أصلًا؛ لخروج أحد الطرفین عن محلّ الابتلاء، فصار الداخل کالشبهة البدویة، فیجری فیه الأصل، و یحکم فی الجزء بالحرمة و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مع الغضّ عن الإشکال السیّال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الأقسام الأربعة التی کلّها من شقوق الصورة الثالثة، فبقی فی المقام صورة رابعة؛ لا بأس بالإشارة إلیها؛ تکمیلًا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جزء من الحیوان بأنّه مأخوذ من الحیوان المشکوک تذکیته أو من المعلوم تذکیته أو المعلوم عدم تذکیته، کالجلود التی صنعت فی بلاد الکفر ممّا هی مشتبهة بین الجلود التی نقلت من بلاد المسلمین إلیهم، فصنعوا ما صنعوا، ثمّ ردّت إلیهم بضاعتهم، و بین غیرها ممّا هو من جلود ذبائحهم أو ممّا هو مشکوک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 تجری أصالة عدم التذکیة، علی القول بأنّ التذکیة و اللاتذکیة إنّما تعرضان الحیوان لا أجزائه، فلا یجری الأصل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الحیوان المأخوذ منه بعنوانه المبهم؛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تذکیة ما اخذ الجزء منه فلا یجری أیضاً؛ لکونه من قبیل الشبهة المصداقیة؛ لدلیل الأصل، فإنّ المأخوذ منه أمره دائر بین المعلوم و المشکوک؛ فإن اخذ من المعلوم تذکیته فیکون من قبیل نقض الیقین بالیقین، و إلّا فیکون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جریان الأصل فیه لا یثبت کون الجزء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توضیح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المقام رفع غائلة الإشکال السیّال، و هو بعد باقٍ بحاله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قد ذیّلنا البحث فی الدورة السابقة بالبحث عن التفصیل الظاهر من بعض الأساطین بین الطهارة و الحلّیة، و أردفناه بنقل بعض التوجیهات المنقولة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الأعاظم قدس سره و ما فیه</w:t>
      </w:r>
      <w:r>
        <w:rPr>
          <w:rStyle w:val="FootnoteAnchor"/>
          <w:rtl w:val="true"/>
        </w:rPr>
        <w:footnoteReference w:id="206"/>
      </w:r>
      <w:r>
        <w:rPr>
          <w:rFonts w:ascii="IRNazanin" w:hAnsi="IRNazanin" w:eastAsia="IRNazanin"/>
          <w:color w:val="111111"/>
          <w:sz w:val="28"/>
          <w:sz w:val="28"/>
          <w:szCs w:val="28"/>
          <w:rtl w:val="true"/>
          <w:lang w:bidi="fa-IR"/>
        </w:rPr>
        <w:t>، و لکن الأولی عطف عنان البحث إلی بقیة التنبیهات</w:t>
      </w:r>
      <w:r>
        <w:rPr>
          <w:rFonts w:eastAsia="IRNazanin" w:cs="IRNazanin"/>
          <w:color w:val="111111"/>
          <w:sz w:val="28"/>
          <w:szCs w:val="28"/>
          <w:rtl w:val="true"/>
          <w:lang w:bidi="fa-IR"/>
        </w:rPr>
        <w:t>:</w:t>
      </w:r>
      <w:bookmarkStart w:id="171" w:name="pg12912_111729"/>
    </w:p>
    <w:p>
      <w:pPr>
        <w:pStyle w:val="Heading5"/>
        <w:numPr>
          <w:ilvl w:val="4"/>
          <w:numId w:val="1"/>
        </w:numPr>
        <w:rPr/>
      </w:pPr>
      <w:bookmarkStart w:id="172" w:name="__RefHeading___Toc3425447_3224264995"/>
      <w:bookmarkStart w:id="173" w:name="_Toc64"/>
      <w:bookmarkEnd w:id="171"/>
      <w:bookmarkEnd w:id="172"/>
      <w:r>
        <w:rPr>
          <w:rtl w:val="true"/>
        </w:rPr>
        <w:t>التنبیه الثانی فی حسن الاحتیاط</w:t>
      </w:r>
      <w:bookmarkEnd w:id="173"/>
    </w:p>
    <w:p>
      <w:pPr>
        <w:pStyle w:val="Heading6"/>
        <w:numPr>
          <w:ilvl w:val="5"/>
          <w:numId w:val="1"/>
        </w:numPr>
        <w:rPr/>
      </w:pPr>
      <w:bookmarkStart w:id="174" w:name="__RefHeading___Toc3425449_3224264995"/>
      <w:bookmarkStart w:id="175" w:name="_Toc65"/>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لا إشکال فی حسن الاحتیاط و محبوبیته عند العقل المُدرِک لحسن الأشیاء و قبحها، من غیر فرق بین العبادات و غیرها؛ ضرورة اتّحاد الملاک فیهما</w:t>
      </w:r>
      <w:r>
        <w:rPr>
          <w:rFonts w:eastAsia="IRNazanin" w:cs="IRNazanin"/>
          <w:color w:val="111111"/>
          <w:sz w:val="28"/>
          <w:szCs w:val="28"/>
          <w:rtl w:val="true"/>
          <w:lang w:bidi="fa-IR"/>
        </w:rPr>
        <w:t>.</w:t>
      </w:r>
    </w:p>
    <w:p>
      <w:pPr>
        <w:pStyle w:val="Heading6"/>
        <w:numPr>
          <w:ilvl w:val="5"/>
          <w:numId w:val="1"/>
        </w:numPr>
        <w:rPr/>
      </w:pPr>
      <w:bookmarkStart w:id="176" w:name="__RefHeading___Toc3425451_3224264995"/>
      <w:bookmarkStart w:id="177" w:name="_Toc66"/>
      <w:bookmarkEnd w:id="176"/>
      <w:r>
        <w:rPr>
          <w:rtl w:val="true"/>
        </w:rPr>
        <w:t>تقریر إشکال الاحتیاط فی العبادات</w:t>
      </w:r>
      <w:bookmarkEnd w:id="177"/>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الاحتیاط فی العبادات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رحمه الله من أنّ العبادة لا بدّ فیها من نیّة القربة المتوقّفة علی العلم بأمر الشارع؛ تفصیلًا أو إجمالًا، مع أنّه لا علم فی الشبهات البدویة، فلا یمکن الاحتیاط</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 صدور الشی‌ء عن الشخص علی وجه العبادة إتیانها متقرّباً إلی اللَّه علی وجه القطع و الیقین؛ فإنّ قصد الأمر و الانبعاث عن بعث المولی و إن لم نقل بشرطیته إلّا أنّه لا مناص عن القول بأنّ عبادیة الشی‌ء یتقوّم</w:t>
      </w:r>
    </w:p>
    <w:p>
      <w:pPr>
        <w:pStyle w:val="BookText"/>
        <w:rPr/>
      </w:pPr>
      <w:r>
        <w:rPr>
          <w:rFonts w:ascii="IRNazanin" w:hAnsi="IRNazanin" w:eastAsia="IRNazanin"/>
          <w:color w:val="111111"/>
          <w:sz w:val="28"/>
          <w:sz w:val="28"/>
          <w:szCs w:val="28"/>
          <w:rtl w:val="true"/>
          <w:lang w:bidi="fa-IR"/>
        </w:rPr>
        <w:t>بإتیانه متقرّباً إلیه تعالی، و هو لا یحصل إلّا بالجزم بأنّه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متقوّمة بقصد التقرّب، و فی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یقصد ذات الشی‌ء بلا قصد التقرّب، أو ذات الشی‌ء مع قصد التقرّب، أو ذات الشی‌ء مع احتمال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خلف، و الثانی ممتنع؛ لأنّ القصد الحقیقی لا یتعلّق بالأمر المجهول المشکوک فیه، و الثالث غیر مفید؛ لأنّ الإتیان باحتمال التقرّب غیر الإتیان بقصده، و الذی یعتبر فیها قصده لا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یرجع إلی اعتبار الجزم فی النیّة، و لا دلیل علی اعتباره؛ لا من العقل و لا 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یعقل أن یتجاوز الأمر عمّا تعلّق به و یبعث إلی غیر ما تعلّق به، و المفروض أنّ ما وقع تحت دائرة الطلب لیس إلّا ذات العمل و نفس الفعل، فشرطیة أمر آخر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الوحید هو الإجماع علی أنّه یشترط فی العبادات الإتیان بالعمل للَّه تعالی، و أمّا العلم بأنّه عبادة و الجزم فی النیّة فلیسا مصبّاً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علیه ضرورة الفقه و المسلمین أنّه یشترط أن یأتی المکلّف بأعماله لوجه اللَّه، و هو حاصل عند إتیانه بعنوان الاحتیاط؛ ضرورة أنّ داعی المحتاط فی أعماله کلّها هو طلب رضاء اللَّه و مرضاته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فی باب العبادات هو تحصیل عنوان الإطاعة و الامتثال و الانبعاث عن بعث المولی؛ إذ لو أتاه بدواعٍ اخر لما أطاع و امتثل؛ و إن أتی بمتعلّق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هذا العنوان یتوقّف علی العلم بالأمر حتّی ینبعث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احتمل وجود الأمر فهو غیر منبعث عن بعث المولی، بل</w:t>
      </w:r>
    </w:p>
    <w:p>
      <w:pPr>
        <w:pStyle w:val="BookText"/>
        <w:rPr/>
      </w:pPr>
      <w:r>
        <w:rPr>
          <w:rFonts w:ascii="IRNazanin" w:hAnsi="IRNazanin" w:eastAsia="IRNazanin"/>
          <w:color w:val="111111"/>
          <w:sz w:val="28"/>
          <w:sz w:val="28"/>
          <w:szCs w:val="28"/>
          <w:rtl w:val="true"/>
          <w:lang w:bidi="fa-IR"/>
        </w:rPr>
        <w:t>عن احتمال البعث، و هو غیر کافٍ فی صدق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إلی أنّ الباعث حینئذٍ هو الاحتمال الموجود فی الذهن لا الأمر الواقعی، أنّ الاحتمال قد یطابق الواقع و قد یخالفه و الرجل المحتاط یأتی بالمحتمل فی کلتا الصورتین، فلیس الباعث سوی الاحتمال؛ لعدم الأمر فیما إذا لم یطابق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الباعث دائماً إنّما هو الصورة المتصوّرة فی الذهن لا نفس الأمر الواقعی؛ ضرورة أنّ انبعاث القاطع لیس عن نفس البعث، بل عن القطع بالأمر، بدلیل أنّه ربّما یخالف قطعه الواقع، مع أنّه یأتی بالمقطوع، فلو کان علّة الانبعاث هو الوجود الواقعی للأمر لکان لازمه عدم الانبعاث عند کون القطع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خلط واضح؛ ضرورة أنّ القطع مرآة للواقع و طریق إلیه، فلو طابق الواقع یصیر الواقع معلوماً بالعرض، و یناله المکلّف نیلًا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یصحّ انتزاع الإطاعة و الامتثال للأمر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خالف، فبما أنّه تخیّل یکون الانبعاث عن نفس القطع، و لا یعدّ عمله عند العقلاء عملًا إطاعیاً، و الإطاعة و العصیان أمران عقلائیان، و نحن نری أنّهم یفرّقون بین تطابق القطع و تخالفه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انکشاف و لا دلالة و لا هدایة، فلا یمکن انتزاع الإطاعة عن الانبعاث الناشئ من الاحتمال،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أطاع أمر المولی و امتثله و انبعث عنه مع جهله بأصل وجوده و ثبوته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تقریر منّا لهذا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فغیر وجیه؛ إذ لم یدلّ دلیل علی</w:t>
      </w:r>
      <w:bookmarkStart w:id="178" w:name="pg12912_111732"/>
    </w:p>
    <w:p>
      <w:pPr>
        <w:pStyle w:val="BookText"/>
        <w:rPr/>
      </w:pPr>
      <w:bookmarkEnd w:id="178"/>
      <w:r>
        <w:rPr>
          <w:rFonts w:ascii="IRNazanin" w:hAnsi="IRNazanin" w:eastAsia="IRNazanin"/>
          <w:color w:val="111111"/>
          <w:sz w:val="28"/>
          <w:sz w:val="28"/>
          <w:szCs w:val="28"/>
          <w:rtl w:val="true"/>
          <w:lang w:bidi="fa-IR"/>
        </w:rPr>
        <w:t>لزوم الانبعاث عن البعث و لا لزوم قصد الأمر المتعلّق به؛ سوی الإجماع المحکی عن بعض المتکلّمین</w:t>
      </w:r>
      <w:r>
        <w:rPr>
          <w:rStyle w:val="FootnoteAnchor"/>
          <w:rtl w:val="true"/>
        </w:rPr>
        <w:footnoteReference w:id="209"/>
      </w:r>
      <w:r>
        <w:rPr>
          <w:rFonts w:ascii="IRNazanin" w:hAnsi="IRNazanin" w:eastAsia="IRNazanin"/>
          <w:color w:val="111111"/>
          <w:sz w:val="28"/>
          <w:sz w:val="28"/>
          <w:szCs w:val="28"/>
          <w:rtl w:val="true"/>
          <w:lang w:bidi="fa-IR"/>
        </w:rPr>
        <w:t>، مع عدم حجّیة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و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الإطاعة أمر عقلائی، و لا إشکال عند العقلاء فی أنّ العبد إذا أتی بالمحتمل یکون مطیعاً للمولی إذا طابق الواقع، و یعدّ ذلک نحو إطاعة و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مطلقاً لیس من البعث، بل البعث التشریعی له دعوة تشریعیة و بعث إیقاعی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الانبعاث بها و التحرّک حسب تحریکه فلا یحصل إلّا بعد تحقّق امور فی النفس، کحبّ المولی أو معرفته أو الخوف من عقابه أو الطمع فی ثوابه، إلی غیر ذلک من المبادئ حسب اختلاف العباد</w:t>
      </w:r>
      <w:r>
        <w:rPr>
          <w:rFonts w:eastAsia="IRNazanin" w:cs="IRNazanin"/>
          <w:color w:val="111111"/>
          <w:sz w:val="28"/>
          <w:szCs w:val="28"/>
          <w:rtl w:val="true"/>
          <w:lang w:bidi="fa-IR"/>
        </w:rPr>
        <w:t>.</w:t>
      </w:r>
    </w:p>
    <w:p>
      <w:pPr>
        <w:pStyle w:val="Heading6"/>
        <w:numPr>
          <w:ilvl w:val="5"/>
          <w:numId w:val="1"/>
        </w:numPr>
        <w:rPr/>
      </w:pPr>
      <w:bookmarkStart w:id="179" w:name="__RefHeading___Toc3425453_3224264995"/>
      <w:bookmarkStart w:id="180" w:name="_Toc67"/>
      <w:bookmarkEnd w:id="179"/>
      <w:r>
        <w:rPr>
          <w:rtl w:val="true"/>
        </w:rPr>
        <w:t>تصحیح عبادیة الشی‌ء بأوامر الاحتیاط</w:t>
      </w:r>
      <w:bookmarkEnd w:id="180"/>
    </w:p>
    <w:p>
      <w:pPr>
        <w:pStyle w:val="BookText"/>
        <w:rPr/>
      </w:pPr>
      <w:r>
        <w:rPr>
          <w:rFonts w:ascii="IRNazanin" w:hAnsi="IRNazanin" w:eastAsia="IRNazanin"/>
          <w:color w:val="111111"/>
          <w:sz w:val="28"/>
          <w:sz w:val="28"/>
          <w:szCs w:val="28"/>
          <w:rtl w:val="true"/>
          <w:lang w:bidi="fa-IR"/>
        </w:rPr>
        <w:t>لو قلنا بعدم إمکان الاحتیاط مع احتمال الأمر فهل یمکن تصحیح عبادیة الشی‌ء لأجل أوامر الاحتیاط، فیقصد المکلّف الأمر الاحتیاطی المتعلّق بالعبادة أو لا؟</w:t>
      </w:r>
    </w:p>
    <w:p>
      <w:pPr>
        <w:pStyle w:val="BookText"/>
        <w:rPr/>
      </w:pPr>
      <w:r>
        <w:rPr>
          <w:rFonts w:ascii="IRNazanin" w:hAnsi="IRNazanin" w:eastAsia="IRNazanin"/>
          <w:color w:val="111111"/>
          <w:sz w:val="28"/>
          <w:sz w:val="28"/>
          <w:szCs w:val="28"/>
          <w:rtl w:val="true"/>
          <w:lang w:bidi="fa-IR"/>
        </w:rPr>
        <w:t>التحقیق هو الثانی؛ لأنّ احتمال شمول أدلّة الاحتیاط للشبهات الوجوبیة فرع إمکان الاحتیاط فیها، و قد فرضنا امتناع الاحتیاط فیها، و مع ذلک فکیف یحتمل إطلاق أدلّة الاحتیاط لها و لغیرها؟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الاحتیاطی جزماً عند الإتیان بالشبهات الوجوبیة</w:t>
      </w:r>
    </w:p>
    <w:p>
      <w:pPr>
        <w:pStyle w:val="BookText"/>
        <w:rPr/>
      </w:pPr>
      <w:r>
        <w:rPr>
          <w:rFonts w:ascii="IRNazanin" w:hAnsi="IRNazanin" w:eastAsia="IRNazanin"/>
          <w:color w:val="111111"/>
          <w:sz w:val="28"/>
          <w:sz w:val="28"/>
          <w:szCs w:val="28"/>
          <w:rtl w:val="true"/>
          <w:lang w:bidi="fa-IR"/>
        </w:rPr>
        <w:t>فرع صدق الاحتیاط فیها قبل الأمر، مع أنّ إمکان الاحتیاط فیها موقوف علی قصد أمره؛ بحیث لو لا هذا القصد لما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احتیاط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أوامر الاحتیاط بالعبادات المحتملة یتوقّف علی إمکانه فیها، و لو توقّف إمکانه علیه یلزم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أوامر الاحتیاط بذات العمل مع قطع النظر عن قصد التقرّب أو مع قطع النظر عن الإتیان بداعی احتمال الأمر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انطباق عنوان الاحتیاط علی ذات العمل لا یوجب کون ذات العمل متعلّقاً للأمر؛ لما مرّ مراراً من أنّ انطباق عنوان علی شی‌ء لا یوجب تعدّی الأمر عن متعلّقه إلی عنوان آخر یعدّ منطبقاً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211"/>
      </w:r>
      <w:r>
        <w:rPr>
          <w:rFonts w:ascii="IRNazanin" w:hAnsi="IRNazanin" w:eastAsia="IRNazanin"/>
          <w:color w:val="111111"/>
          <w:sz w:val="28"/>
          <w:sz w:val="28"/>
          <w:szCs w:val="28"/>
          <w:rtl w:val="true"/>
          <w:lang w:bidi="fa-IR"/>
        </w:rPr>
        <w:t>، و تجد تفصیل هذا الموضوع فی مبحث اجتماع الأمر و النهی</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تعلّق الأمر الاحتیاطی المفروض تعلّقه فی لسان الدلیل بعنوان الاحتیاط بنفس الفعل المشکوک وجوبه، و إلّا لزم تجافی الأمر عن متعلّقه بلا ملاک، و تخلّف الإرادة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کیفیة الاحتیاط فی الواجبات و المحرّمات، فالاحتیاط فی الأوّل بالإتیان و فی الثانی بالترک، فلو تعلّق الأمر المتعلّق بعنوان الاحتیاط بذات العمل لزم أن 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w:t>
      </w:r>
      <w:r>
        <w:rPr>
          <w:rFonts w:eastAsia="IRNazanin" w:cs="IRNazanin"/>
          <w:color w:val="111111"/>
          <w:sz w:val="28"/>
          <w:szCs w:val="28"/>
          <w:rtl w:val="true"/>
          <w:lang w:bidi="fa-IR"/>
        </w:rPr>
        <w:t>»</w:t>
      </w:r>
      <w:r>
        <w:rPr>
          <w:rStyle w:val="FootnoteAnchor"/>
          <w:rtl w:val="true"/>
        </w:rPr>
        <w:footnoteReference w:id="21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بعثاً إلی الفعل</w:t>
      </w:r>
      <w:bookmarkStart w:id="181" w:name="pg12912_111734"/>
    </w:p>
    <w:p>
      <w:pPr>
        <w:pStyle w:val="BookText"/>
        <w:rPr/>
      </w:pPr>
      <w:bookmarkEnd w:id="181"/>
      <w:r>
        <w:rPr>
          <w:rFonts w:ascii="IRNazanin" w:hAnsi="IRNazanin" w:eastAsia="IRNazanin"/>
          <w:color w:val="111111"/>
          <w:sz w:val="28"/>
          <w:sz w:val="28"/>
          <w:szCs w:val="28"/>
          <w:rtl w:val="true"/>
          <w:lang w:bidi="fa-IR"/>
        </w:rPr>
        <w:t>و اخری زجراً عنه؛ لأنّ المفروض وقوع نفس هذه الأفعال محطّاً للخطاب دون 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القول بأنّ الأمر متعلّق بنفس عنوان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الأمر الاحتیاطی یختلف عند العقل فی الواجبات 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تعلّق الأمر بالاحتیاط بذات العمل خروج عن الاحتیاط؛ فإنّ الاحتیاط فی التعبّدیات إتیانها بعنوان احتمال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تصدّی بعض أعاظم العصر قدس سره للجواب عمّن تصدّی لتصحیح العبادات بأوامر الاحتیاط</w:t>
      </w:r>
      <w:r>
        <w:rPr>
          <w:rStyle w:val="FootnoteAnchor"/>
          <w:rtl w:val="true"/>
        </w:rPr>
        <w:footnoteReference w:id="214"/>
      </w:r>
      <w:r>
        <w:rPr>
          <w:rFonts w:ascii="IRNazanin" w:hAnsi="IRNazanin" w:eastAsia="IRNazanin"/>
          <w:color w:val="111111"/>
          <w:sz w:val="28"/>
          <w:sz w:val="28"/>
          <w:szCs w:val="28"/>
          <w:rtl w:val="true"/>
          <w:lang w:bidi="fa-IR"/>
        </w:rPr>
        <w:t>، و نحن قد أوردنا مثل هذا البیان عنه قدس سره عند البحث عن اجتماع الأمر و النهی، و علیه فلا ملزم لذکره مع ما فیه، فراجع</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3425455_3224264995"/>
      <w:bookmarkStart w:id="183" w:name="_Toc68"/>
      <w:bookmarkEnd w:id="182"/>
      <w:r>
        <w:rPr>
          <w:rtl w:val="true"/>
        </w:rPr>
        <w:t>الاستدلال لإمکان الاحتیاط بأخبار من بلغ</w:t>
      </w:r>
      <w:bookmarkEnd w:id="183"/>
    </w:p>
    <w:p>
      <w:pPr>
        <w:pStyle w:val="BookText"/>
        <w:rPr/>
      </w:pPr>
      <w:r>
        <w:rPr>
          <w:rFonts w:ascii="IRNazanin" w:hAnsi="IRNazanin" w:eastAsia="IRNazanin"/>
          <w:color w:val="111111"/>
          <w:sz w:val="28"/>
          <w:sz w:val="28"/>
          <w:szCs w:val="28"/>
          <w:rtl w:val="true"/>
          <w:lang w:bidi="fa-IR"/>
        </w:rPr>
        <w:t>الاستدلال لإمکان الاحتیاط بأخبار من بلغ</w:t>
      </w:r>
      <w:r>
        <w:rPr>
          <w:rStyle w:val="FootnoteAnchor"/>
          <w:rtl w:val="true"/>
        </w:rPr>
        <w:footnoteReference w:id="21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إمکان الاحتیاط فی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هذا الباب؛ فإنّ تلک الأخبار تدلّ علی أنّ تمام الموضوع للثواب هو البلوغ، کما فی صحیحة هشام</w:t>
      </w:r>
      <w:r>
        <w:rPr>
          <w:rStyle w:val="FootnoteAnchor"/>
          <w:rtl w:val="true"/>
        </w:rPr>
        <w:footnoteReference w:id="217"/>
      </w:r>
      <w:r>
        <w:rPr>
          <w:rFonts w:ascii="IRNazanin" w:hAnsi="IRNazanin" w:eastAsia="IRNazanin"/>
          <w:color w:val="111111"/>
          <w:sz w:val="28"/>
          <w:sz w:val="28"/>
          <w:szCs w:val="28"/>
          <w:rtl w:val="true"/>
          <w:lang w:bidi="fa-IR"/>
        </w:rPr>
        <w:t>أو السماع، کما فی بعض آخر منها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فمهما بلغه أو سمعه و عمل</w:t>
      </w:r>
      <w:bookmarkStart w:id="184" w:name="pg12912_111735"/>
    </w:p>
    <w:p>
      <w:pPr>
        <w:pStyle w:val="BookText"/>
        <w:rPr/>
      </w:pPr>
      <w:bookmarkEnd w:id="184"/>
      <w:r>
        <w:rPr>
          <w:rFonts w:ascii="IRNazanin" w:hAnsi="IRNazanin" w:eastAsia="IRNazanin"/>
          <w:color w:val="111111"/>
          <w:sz w:val="28"/>
          <w:sz w:val="28"/>
          <w:szCs w:val="28"/>
          <w:rtl w:val="true"/>
          <w:lang w:bidi="fa-IR"/>
        </w:rPr>
        <w:t>علی وزانه؛ رجاء أنّ رسول اللَّه قد قاله، فیثاب؛ و إن کان رسول اللَّه لم 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أقوی شاهد علی أنّه لا یشترط فی تحقّق الإطاعة الجزم بالنیّة و لا قصد الأمر فی تحقّق الإطاعة؛ إذ الثواب الذی یصل إلیه عند المطابقة لیس إلّا نفس الثواب المقرّر علی العمل، کما هو ظاهر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أنّ العمل المأتی به رجاء إدراک الواقع و التوصّل إلی الثواب إذا صادف الواقع یکون عین ما هو الواقع، و یستوفی المکلّف نفس الثواب الواقعی، و إن لم یصادف الواقع یعطی له مثل ثواب الواقع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الإتیان باحتمال الأمر لغواً أو تشریعاً لما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البلوغ و السماع إمکان الاحتیاط و عدم لزوم الجزم و الیقین بالصدور أو الحجّیة، و إلّا فلو کان شرطاً لما کان جهة لإعطاء ثواب نفسی؛ لعدم الإتیان بالعمل الصحیح</w:t>
      </w:r>
      <w:r>
        <w:rPr>
          <w:rFonts w:eastAsia="IRNazanin" w:cs="IRNazanin"/>
          <w:color w:val="111111"/>
          <w:sz w:val="28"/>
          <w:szCs w:val="28"/>
          <w:rtl w:val="true"/>
          <w:lang w:bidi="fa-IR"/>
        </w:rPr>
        <w:t>.</w:t>
      </w:r>
    </w:p>
    <w:p>
      <w:pPr>
        <w:pStyle w:val="Heading6"/>
        <w:numPr>
          <w:ilvl w:val="5"/>
          <w:numId w:val="1"/>
        </w:numPr>
        <w:rPr/>
      </w:pPr>
      <w:bookmarkStart w:id="185" w:name="__RefHeading___Toc3425457_3224264995"/>
      <w:bookmarkStart w:id="186" w:name="_Toc69"/>
      <w:bookmarkEnd w:id="185"/>
      <w:r>
        <w:rPr>
          <w:rtl w:val="true"/>
        </w:rPr>
        <w:t>القول فی مفاد أخبار من بلغ</w:t>
      </w:r>
      <w:bookmarkEnd w:id="186"/>
    </w:p>
    <w:p>
      <w:pPr>
        <w:pStyle w:val="BookText"/>
        <w:rPr/>
      </w:pPr>
      <w:r>
        <w:rPr>
          <w:rFonts w:ascii="IRNazanin" w:hAnsi="IRNazanin" w:eastAsia="IRNazanin"/>
          <w:color w:val="111111"/>
          <w:sz w:val="28"/>
          <w:sz w:val="28"/>
          <w:szCs w:val="28"/>
          <w:rtl w:val="true"/>
          <w:lang w:bidi="fa-IR"/>
        </w:rPr>
        <w:t>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أخباره أنّ وزانها وزان الجعالة؛ بمعنی وضع الحکم علی العنوان العامّ لیتعقّبه کلّ من أراد، فکما أنّ تلک جعل معلّق علی ردّ الضالّة فهذا أیضاً جعل متعلّق علی الإتیان بالعمل بعد البلوغ برجاء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الشارع لمّا تعلّق علی التحفّظ بعامّة السنن و المستحبّات، و یری أنّ الاکتفاء فی طریق تحصیلها علی الطرق المألوفة ربّما یوجب تفویت بعضها، فلأجل ذلک توصّل إلی مراده بالحثّ و الترغیب إلی إتیان کلّ ما سمع عن الغیر، الذی یحتمل کونه ممّا أمر به رسول اللَّه صلی الله علیه و آله و سلم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أردف حثّه باستحقاق الثواب و ترتّب المثوبة علی نفس العمل حتّی یحدث</w:t>
      </w:r>
      <w:bookmarkStart w:id="187" w:name="pg12912_111736"/>
    </w:p>
    <w:p>
      <w:pPr>
        <w:pStyle w:val="BookText"/>
        <w:rPr/>
      </w:pPr>
      <w:bookmarkEnd w:id="187"/>
      <w:r>
        <w:rPr>
          <w:rFonts w:ascii="IRNazanin" w:hAnsi="IRNazanin" w:eastAsia="IRNazanin"/>
          <w:color w:val="111111"/>
          <w:sz w:val="28"/>
          <w:sz w:val="28"/>
          <w:szCs w:val="28"/>
          <w:rtl w:val="true"/>
          <w:lang w:bidi="fa-IR"/>
        </w:rPr>
        <w:t>فی نفس المکلّف شوقاً إلی الإتیان؛ لعلمه بأنّه یثاب بعمله؛ طابق الواقع أو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الخطاب و الترغیب و جعل الثواب علی مطلق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أو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لأجل التحفّظ علی المستحبّات الواقعیة، کما أنّ الغرض فی باب الجعالة متعلّق بردّ الضالّة، لکن یری المولی أنّ الخطاب الشخصی و الخطاب الخصوصی بین فرد و فردین ربّما لا یحصّل الهدف، فلأجله یخاطب العموم؛ تحفّظاً علی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ضالّتی فله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معلّق علی ردّ الضالّة فهذا جعل معلّق علی إتیان العمل بعد البلوغ أو السماع برجاء الثواب، و إنّما جعل الثواب علی ذلک حثّاً علی إتیان کلّیة مؤدّیات الأخبار الدالّة علی السنن؛ لعلم الشارع بأنّ فیها کثیراً من السنن الواقعیة، فلأجل التحفّظ علیها جعل الثواب علی مطلق ما بلغ عنه صلی الله علیه و آله و سلم،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حیث جعل تضاعف الأجر للحثّ علی الإتیان بالحسنات، فلأدلّة الباب إطلاق بالنسبة إلی کلّ ما بلغ بسند معتبر أو غیره</w:t>
      </w:r>
      <w:r>
        <w:rPr>
          <w:rFonts w:eastAsia="IRNazanin" w:cs="IRNazanin"/>
          <w:color w:val="111111"/>
          <w:sz w:val="28"/>
          <w:szCs w:val="28"/>
          <w:rtl w:val="true"/>
          <w:lang w:bidi="fa-IR"/>
        </w:rPr>
        <w:t>.</w:t>
      </w:r>
    </w:p>
    <w:p>
      <w:pPr>
        <w:pStyle w:val="Heading6"/>
        <w:numPr>
          <w:ilvl w:val="5"/>
          <w:numId w:val="1"/>
        </w:numPr>
        <w:rPr/>
      </w:pPr>
      <w:bookmarkStart w:id="188" w:name="__RefHeading___Toc3425459_3224264995"/>
      <w:bookmarkStart w:id="189" w:name="_Toc70"/>
      <w:bookmarkEnd w:id="188"/>
      <w:r>
        <w:rPr>
          <w:rtl w:val="true"/>
        </w:rPr>
        <w:t>استفادة الاستحباب الشرعی من أخبار من بلغ</w:t>
      </w:r>
      <w:bookmarkEnd w:id="1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الاستحباب الشرعی منها مشکل غایته؛ للفرق الواضح بین ترتّب الثواب علی عمل له خصوصیة و فیه رجحان ذاتی کما فی المستحبّات، و بین ترتّب الثواب علی الشی‌ء لأجل إدراک المکلّف ما هو الواقع المجهول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جعل الثواب علی المقدّمات العلمیة لأجل إدراک الواقع لا یلازم کونها اموراً استحبابیة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جعل الثواب علی المشی فی طریق الوفود إلی اللَّه أو إلی زیارة الإمام الطاهر، الحسین بن علی علیهما السلام لأجل الحثّ إلی زیارة بیته أو إمامه لا یلازم کون المشی مستحبّاً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کلّ ما یقع فی ذهنک من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المناقشة فی المثالین بأنّ فی المشی خصوصیة زیادة التخشّع و التواضع للَّه تعالی؛ زائدة علی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أظنّک إذا لاحظت روایات الباب من أوّلها إلی آخرها تقف علی أنّ الهدف منها هو التحفّظ علی الواقع بجعل الثواب علی کلّ ما بلغ أو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یصیر مستحبّاً نفسیاً إذا لم یکن فی الواقع کذلک حتّی لو قلنا بأنّ مفادها التفضّل علی العامل؛ لئلّا یضیّع عمله و تعبّده، لَما دلّت علی الاستحباب،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یبعد دلالة بعض تلک الأخبار علی استحباب ما بلغ علیه الثواب؛ لظهوره فی أنّ الأجر کان مترتّباً علی نفس العمل الذی بلغ عن النبی صلی الله علیه و آله و سلم أنّه ذو ثواب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تامّ؛ لأنّ ترتّب الثواب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لأجل کونه محبوباً نفسیاً، و اخری لأجل التحفّظ علی ما هو محبوب واقعاً، و فی مثله لا یصیر العمل مستحبّاً بذاته، و لا یسمّی مستحبّاً اصطلاحاً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یلیه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أعاظم العصر رحمه الله؛ فإنّه بعد ما ذکر الاحتمالات الموجودة فی مفاد الأخبار اختار ثانیها،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الخبریة بمعنی الإنشاء و فی مقام بیان استحباب العمل، و یمکن أن یکون ذلک علی</w:t>
      </w:r>
    </w:p>
    <w:p>
      <w:pPr>
        <w:pStyle w:val="BookText"/>
        <w:rPr/>
      </w:pPr>
      <w:r>
        <w:rPr>
          <w:rFonts w:ascii="IRNazanin" w:hAnsi="IRNazanin" w:eastAsia="IRNazanin"/>
          <w:color w:val="111111"/>
          <w:sz w:val="28"/>
          <w:sz w:val="28"/>
          <w:szCs w:val="28"/>
          <w:rtl w:val="true"/>
          <w:lang w:bidi="fa-IR"/>
        </w:rPr>
        <w:t>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تکون القضیة مسوقة لبیان اعتبار قول المبلّغ و حجّیته؛ سواء کان واجداً لشرائط الحجّیة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الأخبار مسألة اصولیة؛ هی حجّیة الخبر الضعیف، و مخصّصة لما دلّ علی اعتبار الوثاقة و العدالة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بینهما عموم من وجه؛ حیث إنّ ما دلّ علی اعتبار الشرائط یعمّ القائم علی الوجوب و الاستحباب، و أخبار من بلغ تعمّ الواجد للشرائط و غیره و تختصّ بالمستحبّات، فیقع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من بلغ ناظرة إلی إلغاء الشرائط؛ فتکون حاکمة علی ما دلّ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لها بعمل المشهور بها، مع أنّه لو قدّم ما دلّ علی اعتبار الشرائط علیها لم یبق لها مورد، بخلاف تقدیمها علیها؛ فإنّ الواجبات و المحرّمات تبقی مشمولة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من الشیخ اختصاص ما دلّ علی اعتبار الشرائط بالواجبات و المحرّمات</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الإنصاف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هذا أقرب، کما علیه المشهور</w:t>
      </w:r>
      <w:r>
        <w:rPr>
          <w:rStyle w:val="FootnoteAnchor"/>
          <w:rtl w:val="true"/>
        </w:rPr>
        <w:footnoteReference w:id="222"/>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مساق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غیر خفی علی من 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إعطاء الحجّیة؛ فإنّ لسان الحجّیة إنّما هو إلغاء احتمال الخلاف و أنّ المؤدّی هو</w:t>
      </w:r>
    </w:p>
    <w:p>
      <w:pPr>
        <w:pStyle w:val="BookText"/>
        <w:rPr/>
      </w:pPr>
      <w:r>
        <w:rPr>
          <w:rFonts w:ascii="IRNazanin" w:hAnsi="IRNazanin" w:eastAsia="IRNazanin"/>
          <w:color w:val="111111"/>
          <w:sz w:val="28"/>
          <w:sz w:val="28"/>
          <w:szCs w:val="28"/>
          <w:rtl w:val="true"/>
          <w:lang w:bidi="fa-IR"/>
        </w:rPr>
        <w:t>الواقع، و هو ینافی مع فرض عدم صدور الحدیث، کما هو صریح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رسول اللَّه لم یقله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أن تعرف التنافی فعلیک بالجمع بین لسان الأخبار و لسان الحجّیة؛ فتراه أمراً بارداً غیر متناسب، فلو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أدّی عنّی فعنّی یؤدّی، و إن لم یکن المؤدّی عنّی و لم یصدر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کلاماً مستهجناً متناقضاً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شاهد علی عدم کون الحدیث فی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أخبار الباب معارضة أو مخصّصة لما دلّ علی حجّیة قول الثقة فی غیر محلّه جدّاً؛ لعدم التنافی بینهما حتّی ینجرّ الأمر إلی التعارض أو التخصیص؛ إذ لا منافاة بین أن یکون خبر الثقة حجّة و مطلق الخبر حجّة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حجّیة 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آیة النبأ</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دالّ علی عدم حجّیة قول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فلاحظ آیة النفر</w:t>
      </w:r>
      <w:r>
        <w:rPr>
          <w:rStyle w:val="FootnoteAnchor"/>
          <w:rtl w:val="true"/>
        </w:rPr>
        <w:footnoteReference w:id="225"/>
      </w:r>
      <w:r>
        <w:rPr>
          <w:rFonts w:ascii="IRNazanin" w:hAnsi="IRNazanin" w:eastAsia="IRNazanin"/>
          <w:color w:val="111111"/>
          <w:sz w:val="28"/>
          <w:sz w:val="28"/>
          <w:szCs w:val="28"/>
          <w:rtl w:val="true"/>
          <w:lang w:bidi="fa-IR"/>
        </w:rPr>
        <w:t>و السؤال</w:t>
      </w:r>
      <w:r>
        <w:rPr>
          <w:rStyle w:val="FootnoteAnchor"/>
          <w:rtl w:val="true"/>
        </w:rPr>
        <w:footnoteReference w:id="226"/>
      </w:r>
      <w:r>
        <w:rPr>
          <w:rFonts w:ascii="IRNazanin" w:hAnsi="IRNazanin" w:eastAsia="IRNazanin"/>
          <w:color w:val="111111"/>
          <w:sz w:val="28"/>
          <w:sz w:val="28"/>
          <w:szCs w:val="28"/>
          <w:rtl w:val="true"/>
          <w:lang w:bidi="fa-IR"/>
        </w:rPr>
        <w:t>و الأخبار الواردة فی المقام</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عدم اعتبار خبر الفاسق أو غیر الثقة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و إن کانت عموماً و خصوصاً من وجه إلّا أنّ هما متوافقان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ادّعی من حکومة أخبار الباب علی غیرها فیه ما لا یخفی؛</w:t>
      </w:r>
    </w:p>
    <w:p>
      <w:pPr>
        <w:pStyle w:val="BookText"/>
        <w:rPr/>
      </w:pPr>
      <w:r>
        <w:rPr>
          <w:rFonts w:ascii="IRNazanin" w:hAnsi="IRNazanin" w:eastAsia="IRNazanin"/>
          <w:color w:val="111111"/>
          <w:sz w:val="28"/>
          <w:sz w:val="28"/>
          <w:szCs w:val="28"/>
          <w:rtl w:val="true"/>
          <w:lang w:bidi="fa-IR"/>
        </w:rPr>
        <w:t>لفقدان مناط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صحّ ما أفاد من کون أخبار الباب ناظرة إلی إلغاء الشرائط لکان له وجه صحیح، و لکنّه بعد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أخبار المقام حجّیة قول المخبر مطلقاً فی المستحبّات، و مفاد أدلّة اعتبار قول الثقة حجّیة قول الثقة مطلقاً، و لیس لإحدی الطائفتین تعرّض لحال الدلیل الآخر؛ من تفسیر أو توضیح أو تصرّف فی جهة من جهاتها ممّا به قوام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عمل المشهور مرجّحاً لتقدیم أخبار الباب علی غیرها غیر تامّ؛ لأنّ وجه عملهم بها غیر معلوم؛ إذ من المحتمل أنّهم فهموا منها معنی لا ینافی مع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فهموا أنّ نفس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للاستحباب و موجب لحدوث المصلحة فیه، إلی غیر ذلک من الوجوه التی یجتمع مع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بینهم من التسامح فی أدلّة السنن لا یدلّ علی أنّ مفاد الأخبار عندهم هو إلغاء شرائط الحجّیة فی المستحبّات؛ فإنّ التسامح کما یمکن أن یکون لأجل إلغائها کذلک یمکن أن یکون لأجل 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بعملهم فرع انقداح التعارض بینهما عندهم،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 من أنّه لو قدّم ما دلّ علی اعتبار الشرائط لم یبق لتلک الأخبار مورد بخلاف العکس ممنوع صغری و کبریً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أخبار الباب لا تختصّ بخبر غیر الثقة، بل لها إطلاق یعمّ الثقة و غیرها، فلو خرج مورد التعارض بقی الفرد الآخر تحته، و لا یلزم أن یکون المورد الباقی مختصّاً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مضمونها إلغاء اعتبار الشرائط أو حجّیة الخبر الضعیف بالخصوص لکان لما ذکره وجه، و أمّا لو کان مفاده حجّیة قول المخبر فی المستحبّات و کان لها إطلاق یعمّ الثقة و غیرها فلو خرج مورد التعارض عن الإطلاق لکان مفادها حجّیة قول الثقة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بقاء المورد لیس من المرجّحات بعد فرض التعارض،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علی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أنّه لم یحضرنی رسالة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أوردها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فی تعلیقته</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ذلک نکتفی بما ذکرنا من الملاحظات</w:t>
      </w:r>
      <w:r>
        <w:rPr>
          <w:rStyle w:val="FootnoteAnchor"/>
          <w:rtl w:val="true"/>
        </w:rPr>
        <w:footnoteReference w:id="2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 هذه الدورة کلّها؛ روماً للاختصار، و لما حقّقه فی الجزء الأوّل حول هذه المسائل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190" w:name="pg12912_111743"/>
    </w:p>
    <w:p>
      <w:pPr>
        <w:pStyle w:val="Heading5"/>
        <w:numPr>
          <w:ilvl w:val="4"/>
          <w:numId w:val="1"/>
        </w:numPr>
        <w:rPr/>
      </w:pPr>
      <w:bookmarkStart w:id="191" w:name="__RefHeading___Toc3425461_3224264995"/>
      <w:bookmarkStart w:id="192" w:name="_Toc71"/>
      <w:bookmarkEnd w:id="190"/>
      <w:bookmarkEnd w:id="191"/>
      <w:r>
        <w:rPr>
          <w:rtl w:val="true"/>
        </w:rPr>
        <w:t>التنبیه الثالث فی دوران الأمر بین المحذورین</w:t>
      </w:r>
      <w:bookmarkEnd w:id="192"/>
    </w:p>
    <w:p>
      <w:pPr>
        <w:pStyle w:val="Heading6"/>
        <w:numPr>
          <w:ilvl w:val="5"/>
          <w:numId w:val="1"/>
        </w:numPr>
        <w:rPr/>
      </w:pPr>
      <w:bookmarkStart w:id="193" w:name="__RefHeading___Toc3425463_3224264995"/>
      <w:bookmarkStart w:id="194" w:name="_Toc72"/>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إذا دار الأمر بین وجوب شی‌ء و حرمته ففی جریان البراءة عقلًا و شرعاً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نذکر الصور المتصوّرة،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الدوران قد یتحقّق فی واقعة واحدة و اخری فی 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یمکن المخالفة القطعیة و قد لا یمکن، و علی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یکونان متساویین من جهة الأهمّیة و قد یحتمل أهمّیة واحد منهما و ثالثة یعلم أهمّیة واحد منهما، کما إذا تردّد الشخص بین کونه نبیاً أو سابّ النبی، و من المعلوم أنّ حفظ وجود النبی أهمّ من قتل 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امتناع الموافقة القطعیة إلّا فی الجملة، و أمّا المخالفة القطعیة فلا یتحقّق إذا کانت الواقعة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إذا کان أحد الحکمین أمراً تعبّدیاً، کما إذا علمت الحائض بحرمة الصلاة أو وجوبها وجوباً تعبّدیاً؛ فصلّت بلا قصد التقرّب، فإنّه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تعدّدت الوقائع و کان الشخص فاعلًا فی واقعة و تارکاً فی اخری فکما أنّ عمله یعدّ مخالفة قطعیة کذلک یعدّ موافقة قطعیة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الوجوه المتصوّرة، و إلیک تفصیلها فی ضمن امور</w:t>
      </w:r>
      <w:r>
        <w:rPr>
          <w:rFonts w:eastAsia="IRNazanin" w:cs="IRNazanin"/>
          <w:color w:val="111111"/>
          <w:sz w:val="28"/>
          <w:szCs w:val="28"/>
          <w:rtl w:val="true"/>
          <w:lang w:bidi="fa-IR"/>
        </w:rPr>
        <w:t>:</w:t>
      </w:r>
      <w:bookmarkStart w:id="195" w:name="pg12912_111744"/>
    </w:p>
    <w:p>
      <w:pPr>
        <w:pStyle w:val="Heading6"/>
        <w:numPr>
          <w:ilvl w:val="5"/>
          <w:numId w:val="1"/>
        </w:numPr>
        <w:rPr/>
      </w:pPr>
      <w:bookmarkStart w:id="196" w:name="__RefHeading___Toc3425465_3224264995"/>
      <w:bookmarkStart w:id="197" w:name="_Toc73"/>
      <w:bookmarkEnd w:id="195"/>
      <w:bookmarkEnd w:id="196"/>
      <w:r>
        <w:rPr>
          <w:rtl w:val="true"/>
        </w:rPr>
        <w:t>مقتضی الأصل فی تساوی المحذورین من حیث الأهمیة مع وحدة الواقعة</w:t>
      </w:r>
      <w:bookmarkEnd w:id="197"/>
    </w:p>
    <w:p>
      <w:pPr>
        <w:pStyle w:val="Heading6"/>
        <w:numPr>
          <w:ilvl w:val="5"/>
          <w:numId w:val="1"/>
        </w:numPr>
        <w:rPr/>
      </w:pPr>
      <w:bookmarkStart w:id="198" w:name="__RefHeading___Toc3425467_3224264995"/>
      <w:bookmarkStart w:id="199" w:name="_Toc74"/>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الحکمین متساویین، و لم یقم دلیل علی ترجیح واحد منهما فهل یجری أصالة التخییر أو البراءة العقلیة أو الشرعیة، أو لا؟</w:t>
      </w:r>
    </w:p>
    <w:p>
      <w:pPr>
        <w:pStyle w:val="Heading6"/>
        <w:numPr>
          <w:ilvl w:val="5"/>
          <w:numId w:val="1"/>
        </w:numPr>
        <w:rPr/>
      </w:pPr>
      <w:bookmarkStart w:id="200" w:name="__RefHeading___Toc3425469_3224264995"/>
      <w:bookmarkStart w:id="201" w:name="_Toc75"/>
      <w:bookmarkEnd w:id="200"/>
      <w:r>
        <w:rPr>
          <w:rtl w:val="true"/>
        </w:rPr>
        <w:t>فی جریان الأصل العقلی</w:t>
      </w:r>
      <w:bookmarkEnd w:id="201"/>
    </w:p>
    <w:p>
      <w:pPr>
        <w:pStyle w:val="BookText"/>
        <w:rPr/>
      </w:pPr>
      <w:r>
        <w:rPr>
          <w:rFonts w:ascii="IRNazanin" w:hAnsi="IRNazanin" w:eastAsia="IRNazanin"/>
          <w:color w:val="111111"/>
          <w:sz w:val="28"/>
          <w:sz w:val="28"/>
          <w:szCs w:val="28"/>
          <w:rtl w:val="true"/>
          <w:lang w:bidi="fa-IR"/>
        </w:rPr>
        <w:t>أمّا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العقل یحکم بالتخییر؛ لأنّه بعد ما أدرک أنّ العلم الإجمالی غیر مؤثّر فی المقام، و أنّ الموافقة القطعیة غیر ممکنة حتّی یحکم بالاحتیاط، کما أنّ المخالفة القطعیة غیر ممکنة حتّی یمنع عنها العلم الإجمالی، و أدرک أیضاً عدم مرجّح لواحد منهما حتّی یحکم بالأخذ به، بل یری الأخذ بأحدهما معیّناً ترجیحاً بلا مرجّح، و عندئذٍ یحکم بلا تأمّل علی التخییر، و أنّ زمام الواقعة فی الارتکاب و عدمه بید المکلّف، و لیس حکمه بالتخییر سوی إدراکه هذه المعانی، لا أنّه شی‌ء آخر حتّی یستبعد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العقل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طرفا الفعل و الترک مساویاً فی نظر العقل یحکم بالتخییر بقبح الترجیح بلا مرجّح، فلا یبقی متردّداً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قبح الترجیح بلا مرجّح ملازم لإدراک التخییر، و هذا هو حکمه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خلوّ الإنسان من إحدی النقیضین لا یوجب عدم حکم العقل بعدم التعیین الذی هو إدراک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منع جریان الأصل العقلی؛ قائلًا بأنّه إنّما یجری فیما إذا کان فی طرفی التخییر ملاک یلزم استیفاؤه، و لم یتمکّن المکلّف من الجمع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العقلی فیه إنّما هو من التخییر التکوینی؛ حیث إنّ الشخص لا یخلو بحسب الخلقة من الأکوان الأربعة، لا التخییر الناشئ عن الملاک، فأصالة التخییر عند الدوران بین المحذورین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العقلیة فغیر جاریة؛ لعدم الموضوع لها؛ فإنّ مدرکها قبح العقاب بلا بیان، و فی دوران الأمر بین المحذورین یقطع بعدم العقاب؛ لأنّ وجود العلم الإجمالی کعدمه لا یقتضی التنجیز و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 بالمؤمّن حاصل بنفسه، بلا حاجة إلی حکم العقل بقبح العقاب بلا بیان</w:t>
      </w:r>
      <w:r>
        <w:rPr>
          <w:rStyle w:val="FootnoteAnchor"/>
          <w:rtl w:val="true"/>
        </w:rPr>
        <w:footnoteReference w:id="2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ما من واقعة من الوقائع إلّا و للعقل فیه حکم و إدراک إذا أحاط المورد بعامّة خصوصیاته، و کان المورد قابلًا لحکم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الموضع إمّا أن یری لأحد الطرفین ترجیحاً أو لا، فعلی الأوّل یحکم بتعیّن الأخذ به، و علی الثانی یحکم بالتساوی و التخییر،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الإنسان غیر خالٍ عن الأکوان الأربعة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 أصالة التخییر بالمتزاحمین اللذین یشتمل کلّ واحد علی ملاک لا وجه له؛ فإنّ العقل یدرک التخییر و یحکم به فی أطراف العلم الإجمالی عند الاضطرار لترک واحد منهما أو فعله، مع أنّ الملاک قائم لواحد منهما فقط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نوقش فیه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الضالّ إلی طریقین یعلم أنّ أحدهما طریق</w:t>
      </w:r>
    </w:p>
    <w:p>
      <w:pPr>
        <w:pStyle w:val="BookText"/>
        <w:rPr/>
      </w:pPr>
      <w:r>
        <w:rPr>
          <w:rFonts w:ascii="IRNazanin" w:hAnsi="IRNazanin" w:eastAsia="IRNazanin"/>
          <w:color w:val="111111"/>
          <w:sz w:val="28"/>
          <w:sz w:val="28"/>
          <w:szCs w:val="28"/>
          <w:rtl w:val="true"/>
          <w:lang w:bidi="fa-IR"/>
        </w:rPr>
        <w:t>البلد، و لا یکون ترجیح بینهما یدرک العقل التخییر و یحکم به، من غیر أن یکون فی کلیهما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کون العلم الإجمالی کعدمه غیر مفید؛ فإنّ المؤمّن مطلقاً إنّما هو قاعدة قبح العقاب بلا بیان، لا کون العلم الإجمالی کعدمه؛ إذ لو لا هذه القاعدة و أنّه یقبح للحکیم العقاب بلا بیان لَما نری مانعاً للمولی أن یعاقب عبیده علی تکالیفه الواقعیة؛ وجوباً کان أو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القاعدة فی المقام إنّما هو نوع التکلیف؛ لأنّه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الجنس المردّد بین النوعین فهو و إن کان معلوماً و لا یجری فیه أصالة البراءة و لکن لا یجوز العقاب علیه؛ لعدم قدرة المکلّف علی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عن العقاب بالنسبة إلی النوع إنّما هو القاعدة، و المؤمّن عن العقاب علی عدم تحصیل الموافقة القطعیة إنّما هو العجز و عدم 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محقّقی العصر قدس سره فی وجه عدم جریان الاصول عقلیة و شرعیة؛ من أنّ الترخیص الظاهری بمناط عدم البیان إنّما هو فی ظرف سقوط العلم الإجمالی عن التأثیر، و المسقط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العقل بمناط الاضطرار، فلا یبقی مجال لجریان البراءة العقلیة و الشرعیة؛ نظراً إلی حصول الترخیص حینئذٍ فی الرتبة السابقة عن جریانها بحکم العقل بالتخییر بین الفعل و الترک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تامّ؛ لأنّ حکم العقل بالتخییر بعد إجراء قاعدة قبح العقاب بلا بیان فی</w:t>
      </w:r>
      <w:bookmarkStart w:id="202" w:name="pg12912_111747"/>
    </w:p>
    <w:p>
      <w:pPr>
        <w:pStyle w:val="BookText"/>
        <w:rPr/>
      </w:pPr>
      <w:bookmarkEnd w:id="202"/>
      <w:r>
        <w:rPr>
          <w:rFonts w:ascii="IRNazanin" w:hAnsi="IRNazanin" w:eastAsia="IRNazanin"/>
          <w:color w:val="111111"/>
          <w:sz w:val="28"/>
          <w:sz w:val="28"/>
          <w:szCs w:val="28"/>
          <w:rtl w:val="true"/>
          <w:lang w:bidi="fa-IR"/>
        </w:rPr>
        <w:t>طرفی الفعل و الترک، و إلّا فلو احتمل عدم قبحه بالنسبة إلی خصوص أحد الطرفین لم یحکم بالتخییر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الاضطرار غیر مجری القاعدة؛ فإنّ ما هو المضطرّ إلیه هو أحدهما، و أمّا خصوص الفعل أو الترک فلیس مورداً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کون الفعل واجباً، و مع ذلک فقد ترکه المکلّف فلیس عدم العقاب لأجل الاضطرار إلیه؛ لکون الفعل مقدوراً بلا إشکال، بل لقبح العقاب بلا بیان، و مثله الترک حرفاً بحرف</w:t>
      </w:r>
      <w:r>
        <w:rPr>
          <w:rFonts w:eastAsia="IRNazanin" w:cs="IRNazanin"/>
          <w:color w:val="111111"/>
          <w:sz w:val="28"/>
          <w:szCs w:val="28"/>
          <w:rtl w:val="true"/>
          <w:lang w:bidi="fa-IR"/>
        </w:rPr>
        <w:t>.</w:t>
      </w:r>
    </w:p>
    <w:p>
      <w:pPr>
        <w:pStyle w:val="Heading6"/>
        <w:numPr>
          <w:ilvl w:val="5"/>
          <w:numId w:val="1"/>
        </w:numPr>
        <w:rPr/>
      </w:pPr>
      <w:bookmarkStart w:id="203" w:name="__RefHeading___Toc3425471_3224264995"/>
      <w:bookmarkStart w:id="204" w:name="_Toc76"/>
      <w:bookmarkEnd w:id="203"/>
      <w:r>
        <w:rPr>
          <w:rtl w:val="true"/>
        </w:rPr>
        <w:t>فی جریان الأصل الشرعی</w:t>
      </w:r>
      <w:bookmarkEnd w:id="204"/>
    </w:p>
    <w:p>
      <w:pPr>
        <w:pStyle w:val="BookText"/>
        <w:rPr/>
      </w:pPr>
      <w:r>
        <w:rPr>
          <w:rFonts w:ascii="IRNazanin" w:hAnsi="IRNazanin" w:eastAsia="IRNazanin"/>
          <w:color w:val="111111"/>
          <w:sz w:val="28"/>
          <w:sz w:val="28"/>
          <w:szCs w:val="28"/>
          <w:rtl w:val="true"/>
          <w:lang w:bidi="fa-IR"/>
        </w:rPr>
        <w:t>و فی جریان أصالة الإباحة عند دوران الأمر بین المحذورین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أفاد بعض أعاظم العصر فی عدم جریانها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دلیلها للمقام؛ فإنّه یختصّ بما إذا کان طرف الحرمة الحلّ أو الإباحة لا الوجوب، کدوران الأمر بین المحذورین، کما هو ظاهر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دلیل أصالة الحلّ یختصّ بالشبهات الموضوعیة و لا یعمّ الشبهات الحکمیة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الإباحة الظاهریة لا یمکن مع العلم بجنس الإلزام؛ فإنّ أصالة الإباحة بمدلولها المطابقی تنافی المعلوم بالإجمال؛ لأنّ مفادها الرخصة فی الفعل و الترک، و ذلک یناقض العلم بالإلزام؛ و إن لم یکن لهذا العلم أثر عملی إلّا أنّ</w:t>
      </w:r>
    </w:p>
    <w:p>
      <w:pPr>
        <w:pStyle w:val="BookText"/>
        <w:rPr/>
      </w:pPr>
      <w:r>
        <w:rPr>
          <w:rFonts w:ascii="IRNazanin" w:hAnsi="IRNazanin" w:eastAsia="IRNazanin"/>
          <w:color w:val="111111"/>
          <w:sz w:val="28"/>
          <w:sz w:val="28"/>
          <w:szCs w:val="28"/>
          <w:rtl w:val="true"/>
          <w:lang w:bidi="fa-IR"/>
        </w:rPr>
        <w:t>العلم بثبوت الإلزام لا یجتمع مع جعل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الظاهری إنّما هو فی مورد الجهل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أصالة الإباحة و البراءة و الاستصحاب؛ لأنّ جریان أصالة الإباحة فی کلّ واحد من الفعل و الترک یغنی عن الجریان فی الآخر؛ لأنّ معنی إباحة الفعل هو الرخصة فی الفعل و الترک؛ و لذلک یناقض مفادها بمدلوله المطابقی لجنس الإلزام، دون الاستصحاب و البراءة؛ فإنّ جریانهما فی واحد من الطرفین لا یغنی عن الآخر؛ لأنّ استصحاب عدم الوجوب غیر استصحاب عدم الحرمة و کذلک البراءة</w:t>
      </w:r>
      <w:r>
        <w:rPr>
          <w:rStyle w:val="FootnoteAnchor"/>
          <w:rtl w:val="true"/>
        </w:rPr>
        <w:footnoteReference w:id="23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 منافٍ لما أفاده أوّلًا؛ من اختصاص دلیل أصالة الإباحة بما إذا کان طرف الحرمة الحلّیة لا الوجوب؛ لأنّ جعل الرخصة فی الفعل و الترک إنّما یکون فیما إذا کانت الشبهة فی الوجوب و الحرمة جمیعاً، و أمّا مع مفروضیة عدم الوجوب و کون الشکّ فی الحرمة و الحلّیة لا معنی لجعل الرخصة فی الترک، فإنّ جعل الرخصة الظاهریة تکون لغواً؛ للعلم بالرخصة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دلیله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طرف الحرمة لا بدّ أن یکون الحلّیة لا الوجوب، و لازم دلیله الثالث من جعل الرخصة فی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طرف الشبهة یکون الوجوب أیضاً، و هما متنافیان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الإباحة بالمعنی الذی ذکره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جعل الترخیص فی جانب الفعل و الترک معاً؛ بحیث یکون متعلّق الترخیص المجعول هو</w:t>
      </w:r>
    </w:p>
    <w:p>
      <w:pPr>
        <w:pStyle w:val="BookText"/>
        <w:rPr/>
      </w:pPr>
      <w:r>
        <w:rPr>
          <w:rFonts w:ascii="IRNazanin" w:hAnsi="IRNazanin" w:eastAsia="IRNazanin"/>
          <w:color w:val="111111"/>
          <w:sz w:val="28"/>
          <w:sz w:val="28"/>
          <w:szCs w:val="28"/>
          <w:rtl w:val="true"/>
          <w:lang w:bidi="fa-IR"/>
        </w:rPr>
        <w:t>کلّ من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نحصر مجراها بصورة دوران الأمر بین المحذورین؛ إذ لو دار الأمر بین الحلّ و الحرمة یکون جعل الترخیص بالنسبة إلی الفعل و الترک أمراً لغواً؛ لأنّه قاطع بالترخیص فی جانب الترک؛ لدوران أمره بین الحلّ و الحرمة؛ بحیث یکون جواز الترک مقطوعاً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دار الأمر بین الحلّ و الوجوب؛ فإنّ جعل الترخیص فی الجانبین أمر لغو؛ لأنّه قاطع بالترخیص فی جانب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لأصالة الإباحة حینئذٍ مورد؛ سوی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مفاد دلیل الحلّ و الإباحة منافٍ بمدلوله المطابقی مع العلم بالإلزام غیر تامّ؛ لأنّه مبنی علی ورود أصالة الإباحة بالمعنی الذی أفاد؛ حتّی یکون لازمه طرح الإلزام الموجود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الموجود فی لسان الأدلّة هو أصالة الحلّ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مقابل الحرمة، لا الحرمة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بالحلّیة لازمه رفع الحرمة التی هو أحد الطرفین، لا رفع الإلزام الموجود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مرتفع لم یعلم وجداناً، و ما هو معلوم لا ینافیه الحلّیة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الحلّ لا یکون مفاده الرخصة فی الفعل و الترک؛ ضرورة أنّ الحلّیة إنّما هی فی مقابل الحرمة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أصالة الإباحة یختصّ بالشبهات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الأدلّة ما یظهر منه الرخصة فی الفعل و الترک إلّا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أو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روایة الشیخ علی ما حکی</w:t>
      </w:r>
      <w:r>
        <w:rPr>
          <w:rStyle w:val="FootnoteAnchor"/>
          <w:rtl w:val="true"/>
        </w:rPr>
        <w:footnoteReference w:id="235"/>
      </w:r>
      <w:r>
        <w:rPr>
          <w:rFonts w:ascii="IRNazanin" w:hAnsi="IRNazanin" w:eastAsia="IRNazanin"/>
          <w:color w:val="111111"/>
          <w:sz w:val="28"/>
          <w:sz w:val="28"/>
          <w:szCs w:val="28"/>
          <w:rtl w:val="true"/>
          <w:lang w:bidi="fa-IR"/>
        </w:rPr>
        <w:t>، مع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مناقضة الترخیص الظاهری مع إلزام الواقعی لیس إلّا کمناقضة الأحکام الواقعیة و الظاهریة، و الجمع بینهما هو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الرخصة إنّما هی مع الجهل بالإلزام، و مع العلم به یکون غایتها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مراده قدس سره من عدم انحفاظ رتبة 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خلط الفاضل المقرّر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الشأن فی کون أصالة الإباحة کما ذکره؛ فإنّه لا دلیل علیها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اختصاص دلیل الحلّ بالشبهات الموضوعیة لا یخلو عن نظر، و قد قدّمنا ما هو الحقّ عندنا</w:t>
      </w:r>
      <w:r>
        <w:rPr>
          <w:rStyle w:val="FootnoteAnchor"/>
          <w:rtl w:val="true"/>
        </w:rPr>
        <w:footnoteReference w:id="236"/>
      </w:r>
      <w:r>
        <w:rPr>
          <w:rFonts w:ascii="IRNazanin" w:hAnsi="IRNazanin" w:eastAsia="IRNazanin"/>
          <w:color w:val="111111"/>
          <w:sz w:val="28"/>
          <w:sz w:val="28"/>
          <w:szCs w:val="28"/>
          <w:rtl w:val="true"/>
          <w:lang w:bidi="fa-IR"/>
        </w:rPr>
        <w:t>، بل من المحتمل أن یکون مفاده متّحداً مع البراءة الشرعیة المستفادة من حدیث الرفع و غیره، فتأمّل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منع بعض أعاظم العصر جریان البراءة الشرعیة؛ مستدلًّا بأنّ الرفع فرع إمکان الوضع، و فی مورد دوران الأمر بین المحذورین لا یمکن وضع الوجوب و الحرمة کلیهما؛ لا علی سبیل التعیین و لا علی سبیل التخییر، و مع عدم إمکان الوضع لا یعقل تعلّق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البراءة الشرعیة لا تعمّ المقام أیضاً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الممتنع رفعه و وضعه إنّما هو مجموع الحرمة و الوجوب، و لا یکون المجموع من حیث المجموع مفاد دلیل الرفع، و أمّا رفع کلّ واحد فلا إشکال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غیر معلوم، فیرتفع و الحرمة غیر معلومة أیضاً، فیرتفع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شمول حدیث الرفع للمقام؛ لعدم لزوم المخالفة العملیة و الالتزامیة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التنافی بین الرفع و الإلزام الجامع بین الوجوب و الحرمة ممّا لا إشکال فیه؛ لأنّه لیس بحکم شرعی بل أمر انتزاعی غیر مجعول، و ما هو المجعول نوع التکلیف، و هو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منع جریان الاستصحاب من أنّ الاستصحاب من الاصول التنزیلیة، و هی لا تجری فی أطراف العلم الإجمالی مطلقاً؛ فإنّ البناء علی مؤدّی الاستصحابین ینافی الموافقة الالتزامیة، فإنّ البناء علی عدم الوجوب و الحرمة واقعاً لا یجتمع مع التدیّن بأنّ للَّه فی هذه الواقعة حکماً إلزامیاً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الاستصحاب من الاصول التنزیلیة بالمعنی الذی ادّعاه؛ فإنّ مفاد قوله علیه السلام فی صحیحة زرارة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 و یتمّ علی الیقین فیبنی علیه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لیس إلّا البناء علی تحقّق الیقین الطریقی و بقاؤه عملًا، أو تحقّق المتیقّن کذلک، و أمّا البناء القلبی علی کون الواقع متحقّقاً فلا، فراجع کبریات الباب؛ فإنّک لا تجد فیها دلالة علی ما ذکره من البناء القلبی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فی الاستصحاب عملی، لا قلبی حتّی ینافی الإلزام المعلوم فی البین</w:t>
      </w:r>
      <w:r>
        <w:rPr>
          <w:rFonts w:eastAsia="IRNazanin" w:cs="IRNazanin"/>
          <w:color w:val="111111"/>
          <w:sz w:val="28"/>
          <w:szCs w:val="28"/>
          <w:rtl w:val="true"/>
          <w:lang w:bidi="fa-IR"/>
        </w:rPr>
        <w:t>.</w:t>
      </w:r>
      <w:bookmarkStart w:id="205" w:name="pg12912_111752"/>
    </w:p>
    <w:p>
      <w:pPr>
        <w:pStyle w:val="Heading6"/>
        <w:numPr>
          <w:ilvl w:val="5"/>
          <w:numId w:val="1"/>
        </w:numPr>
        <w:rPr/>
      </w:pPr>
      <w:bookmarkStart w:id="206" w:name="__RefHeading___Toc3425473_3224264995"/>
      <w:bookmarkStart w:id="207" w:name="_Toc77"/>
      <w:bookmarkEnd w:id="205"/>
      <w:bookmarkEnd w:id="206"/>
      <w:r>
        <w:rPr>
          <w:rtl w:val="true"/>
        </w:rPr>
        <w:t>مقتضی الأصل فی اختلاف المحذورین من حیث الأهمیة مع وحدة الواقعة</w:t>
      </w:r>
      <w:bookmarkEnd w:id="207"/>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 الحکمین فی دوران الأمر بین المحذورین مزیة علی الآخر احتمالًا، کما إذا کان الوجوب أقوی فی نظر العالِم من الحرمة، أو محتملًا کما إذا کان متعلّق الوجوب أقوی أهمّیة فی نظره، علی فرض مطابقته للواقع فهل یوجب تلک الأهمّیة تعیّن الأخذ به؛ لأنّ المقام من قبیل دوران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الخراسانی</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یقتضی ذلک؟</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عن التعیینیة؛ و لو قلنا بأصالة التعیین عند الشکّ فی التعیین و التخییر؛ لأنّ أصل التکلیف مشکوک فیه یجری فیه البراءة؛ فضلًا عن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ذات المزیة ممّا له أهمّیة عند العقل و الشرع علی فرض صدقه؛ بحیث یحکم بالاحتیاط؛ و إن کانت الشبهة 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تردّد الشخص بین کونه نبیّاً أو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العقل بالتعیین؛ و إن لم یکن فی المقام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إذا تردّدت المرأة بین کونها واجبة الوطی أو محرّمتها محرّمة ذاتیة، مثل المحارم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ما عن بعض الأعاظم من أنّ وجود المزیة کعدمها؛ حتّی لو کان المحتمل من أقوی الواجبات الشرعیة و أهمّها</w:t>
      </w:r>
      <w:r>
        <w:rPr>
          <w:rStyle w:val="FootnoteAnchor"/>
          <w:rtl w:val="true"/>
        </w:rPr>
        <w:footnoteReference w:id="241"/>
      </w:r>
      <w:bookmarkStart w:id="208" w:name="pg12912_111753"/>
    </w:p>
    <w:p>
      <w:pPr>
        <w:pStyle w:val="Heading6"/>
        <w:numPr>
          <w:ilvl w:val="5"/>
          <w:numId w:val="1"/>
        </w:numPr>
        <w:rPr/>
      </w:pPr>
      <w:bookmarkStart w:id="209" w:name="__RefHeading___Toc3425475_3224264995"/>
      <w:bookmarkStart w:id="210" w:name="_Toc78"/>
      <w:bookmarkEnd w:id="208"/>
      <w:bookmarkEnd w:id="209"/>
      <w:r>
        <w:rPr>
          <w:rtl w:val="true"/>
        </w:rPr>
        <w:t>هل التخییر فی صورة تعدّد الواقعة بدوی أو استمراری؟</w:t>
      </w:r>
      <w:bookmarkEnd w:id="210"/>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تعدّدت الوقائع فهل التخییر بدوی أو استمراری؟</w:t>
      </w:r>
    </w:p>
    <w:p>
      <w:pPr>
        <w:pStyle w:val="BookText"/>
        <w:rPr/>
      </w:pPr>
      <w:r>
        <w:rPr>
          <w:rFonts w:ascii="IRNazanin" w:hAnsi="IRNazanin" w:eastAsia="IRNazanin"/>
          <w:color w:val="111111"/>
          <w:sz w:val="28"/>
          <w:sz w:val="28"/>
          <w:szCs w:val="28"/>
          <w:rtl w:val="true"/>
          <w:lang w:bidi="fa-IR"/>
        </w:rPr>
        <w:t>الأقوی هو الثانی؛ لأنّ المکلّف إذا أتی فی الواقعة الثانیة بخلاف الاولی یعلم بمخالفة قطعیة و موافقة قطعیة، و لیس فی نظر العقل ترجیح بینهما، فصرف لزوم مخالفة قطعیة لا یمنع عن التخییر بعد حکم العقل بعدم الفرق بین تحصیل تکلیف قطعاً و ترک تکلیف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تلاحظ مستقلًّا بلا لحاظها منضمّة إلی واقعة اخری، فیدور أمر المکلّف فی کلّ جمعة أو کلّ واقعة بین المحذورین، أو تلاحظ منضمّة إلی واقعة اخری، فیحصل له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صلاة الجمعة إمّا محرّمة فی هذا الیوم أو واجبة فی الجمعة الآتیة، و العلم بأنّها إمّا واجبة فی هذا الیوم أو محرّمة فی الجمعة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فامتثال کلّ علم علی وجه القطع مخالفة قطعیة للعلم الآخر، مثلًا لو ترک الجمعة فی الحاضرة و صلّی فی القادمة فهو و إن امتثل العلم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بأنّها إمّا محرّمة فی الیوم أو واجبة فی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خالف العلم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بأنّها إمّا واجبة فی هذا الیوم أو محرّمة فی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عکس انعکس القضیة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 واقعة موضوعاً مستقلًّا فلا شکّ أنّه یجری البراءة؛ سواء کان ما یختاره عین ما اختاره أو ما یختاره فی القادمة أو 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لوحظ الوقائع مجتمعة و منضمّة فلو کان التخییر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فاعلًا فی کلّ الوقائع أو 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مخالفة قطعیة، کما لا یتحقّق موافقة قطعیة، بل یکون محتمل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التخییر استمراریاً و کان المکلّف فاعلًا فی واقعة و تارکاً فی اخری فیتحقّق موافقة قطعیة و مخالفة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لا دلیل علی ترجیح الموافقة و المخالفة الاحتمالیتین علی الموافقة و المخالفة القطعیتین فلا جرم لم یکن وجه للزوم کون التخییر بدویاً لا استمراریاً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الاولی بانتفاء المخالفة القطعیة فیها معارض بوجود الموافقة القطعیة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أعاظم العصر قدس سره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القطعیة لم تکن محرّمة شرعاً بل هی قبیحة عقلًا، و قبحها فرع تنجّز التکلیف؛ فإنّ مخالفة التکلیف الغیر المنجّز لا قبح فیها، کما لو اضطرّ إلی أحد الأطراف المعلوم بالإجمال فصادف الواقع؛ فإنّه مع حصول المخالفة یکون المکلّف معذوراً، و لیس ذلک إلّا لعدم 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لا یکون التکلیف منجّزاً فی کلّ واقعة؛ لأنّ فی کلّ منها یکون الأمر دائراً بین المحذورین، و کون الواقعة ممّا تتکرّر لا یوجب تبدّل المعلوم بالإجمال و لا خروج المورد عن الدوران بین المحذورین</w:t>
      </w:r>
      <w:r>
        <w:rPr>
          <w:rStyle w:val="FootnoteAnchor"/>
          <w:rtl w:val="true"/>
        </w:rPr>
        <w:footnoteReference w:id="242"/>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تنجّز التکلیف فی المقام لیس لقصور فیه؛ ضرورة کونه تامّاً من جمیع الجهات، و إنّما لم یتنجّز لعدم قدرة المکلّف علی الموافقة القطعیة</w:t>
      </w:r>
      <w:bookmarkStart w:id="211" w:name="pg12912_111755"/>
    </w:p>
    <w:p>
      <w:pPr>
        <w:pStyle w:val="BookText"/>
        <w:rPr/>
      </w:pPr>
      <w:bookmarkEnd w:id="211"/>
      <w:r>
        <w:rPr>
          <w:rFonts w:ascii="IRNazanin" w:hAnsi="IRNazanin" w:eastAsia="IRNazanin"/>
          <w:color w:val="111111"/>
          <w:sz w:val="28"/>
          <w:sz w:val="28"/>
          <w:szCs w:val="28"/>
          <w:rtl w:val="true"/>
          <w:lang w:bidi="fa-IR"/>
        </w:rPr>
        <w:t>و لا المخالفة القطعیة؛ بحیث 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الموافقة القطعیة یحکم العقل بلزومها، و لو فرض عدم إمکان الموافقة القطعیة لکن أمکن المخالفة القطعیة یحکم بحرمتها؛ لتمامیة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فیما نحن فیه فرع إمکان المخالفة، لا أنّ حرمة المخالفة فرع التنجیز، فإذا أمکن المخالفة یصیر التکلیف منجّزاً لرفع المانع؛ و هو امتناع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قدرة المکلّف علی رفع النقیضین فی الواقعة الواحدة یحکم العقل بحرمته، و لیس ذلک إلّا لعدم القصور فی ناحیة التکلیف، و إنّما القصور فی قدرة العبد، و فی الوقائع المتعدّدة یکون العبد قادراً علی المخالفة، فیتنجّز التکلیف</w:t>
      </w:r>
      <w:r>
        <w:rPr>
          <w:rFonts w:eastAsia="IRNazanin" w:cs="IRNazanin"/>
          <w:color w:val="111111"/>
          <w:sz w:val="28"/>
          <w:szCs w:val="28"/>
          <w:rtl w:val="true"/>
          <w:lang w:bidi="fa-IR"/>
        </w:rPr>
        <w:t>.</w:t>
      </w:r>
    </w:p>
    <w:p>
      <w:pPr>
        <w:pStyle w:val="Heading6"/>
        <w:numPr>
          <w:ilvl w:val="5"/>
          <w:numId w:val="1"/>
        </w:numPr>
        <w:rPr/>
      </w:pPr>
      <w:bookmarkStart w:id="212" w:name="__RefHeading___Toc3425477_3224264995"/>
      <w:bookmarkStart w:id="213" w:name="_Toc79"/>
      <w:bookmarkEnd w:id="212"/>
      <w:r>
        <w:rPr>
          <w:rtl w:val="true"/>
        </w:rPr>
        <w:t>تتمیم فی دوران الأمر بین المحذورین فی التعبّدیات</w:t>
      </w:r>
      <w:bookmarkEnd w:id="213"/>
    </w:p>
    <w:p>
      <w:pPr>
        <w:pStyle w:val="BookText"/>
        <w:rPr/>
      </w:pPr>
      <w:r>
        <w:rPr>
          <w:rFonts w:ascii="IRNazanin" w:hAnsi="IRNazanin" w:eastAsia="IRNazanin"/>
          <w:color w:val="111111"/>
          <w:sz w:val="28"/>
          <w:sz w:val="28"/>
          <w:szCs w:val="28"/>
          <w:rtl w:val="true"/>
          <w:lang w:bidi="fa-IR"/>
        </w:rPr>
        <w:t>لو کان الطرفان تعبّدیین أو أحدهما المعیّن تعبّدیاً فلا إشکال فی امتناع الموافقة القطعیة، و أمّا المخالفة القطعیة فتحصل بالإتیان بأحد الطرفین أو المعیّن کونه تعبّدیاً بلا 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 الطرفین تعبّدیاً لا بعینه فهل یحکم العقل بالأخذ بأحد الطرفین و العمل علی طبقه بنیّة الرجاء أو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الأوّل؛ لأنّ الأخذ بأحد الطرفین و العمل علی طبقه بلا رجاء یوجب احتمال المخالفة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احتمال أنّ حکم اللَّه هو الآخر، وجهة أنّ حکم</w:t>
      </w:r>
    </w:p>
    <w:p>
      <w:pPr>
        <w:pStyle w:val="BookText"/>
        <w:rPr/>
      </w:pPr>
      <w:r>
        <w:rPr>
          <w:rFonts w:ascii="IRNazanin" w:hAnsi="IRNazanin" w:eastAsia="IRNazanin"/>
          <w:color w:val="111111"/>
          <w:sz w:val="28"/>
          <w:sz w:val="28"/>
          <w:szCs w:val="28"/>
          <w:rtl w:val="true"/>
          <w:lang w:bidi="fa-IR"/>
        </w:rPr>
        <w:t>اللَّه لو کان ما عمل علی طبقه أتاه بلا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أتی به رجاءً؛ فإنّ احتمال المخالفة من الجهة الثانیة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الأقوی؛ لأنّ العبد فی المخالفة من الجهة الثانیة غیر معذور، و لیس فی یده حجّة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أصل التکلیف لم یقم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ظنّک بتعبّدیتها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الأمر الثانی ما یوضح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الشکّ فی التکلیف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214" w:name="pg12912_111757"/>
    </w:p>
    <w:p>
      <w:pPr>
        <w:pStyle w:val="Heading3"/>
        <w:numPr>
          <w:ilvl w:val="2"/>
          <w:numId w:val="1"/>
        </w:numPr>
        <w:rPr/>
      </w:pPr>
      <w:bookmarkStart w:id="215" w:name="__RefHeading___Toc3425479_3224264995"/>
      <w:bookmarkStart w:id="216" w:name="_Toc80"/>
      <w:bookmarkEnd w:id="214"/>
      <w:bookmarkEnd w:id="215"/>
      <w:r>
        <w:rPr>
          <w:rtl w:val="true"/>
        </w:rPr>
        <w:t>القول فی الشکّ فی المکلّف به</w:t>
      </w:r>
      <w:bookmarkEnd w:id="216"/>
    </w:p>
    <w:p>
      <w:pPr>
        <w:pStyle w:val="Heading4"/>
        <w:numPr>
          <w:ilvl w:val="3"/>
          <w:numId w:val="1"/>
        </w:numPr>
        <w:rPr/>
      </w:pPr>
      <w:bookmarkStart w:id="217" w:name="__RefHeading___Toc3425481_3224264995"/>
      <w:bookmarkStart w:id="218" w:name="_Toc81"/>
      <w:bookmarkEnd w:id="217"/>
      <w:r>
        <w:rPr>
          <w:rtl w:val="true"/>
        </w:rPr>
        <w:t>اشارة</w:t>
      </w:r>
      <w:bookmarkEnd w:id="2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bookmarkStart w:id="219" w:name="pg12912_111759"/>
    </w:p>
    <w:p>
      <w:pPr>
        <w:pStyle w:val="Heading4"/>
        <w:numPr>
          <w:ilvl w:val="3"/>
          <w:numId w:val="1"/>
        </w:numPr>
        <w:rPr/>
      </w:pPr>
      <w:bookmarkStart w:id="220" w:name="__RefHeading___Toc3425483_3224264995"/>
      <w:bookmarkStart w:id="221" w:name="_Toc82"/>
      <w:bookmarkEnd w:id="219"/>
      <w:bookmarkEnd w:id="220"/>
      <w:r>
        <w:rPr>
          <w:rtl w:val="true"/>
        </w:rPr>
        <w:t>المقام الأوّل فی دوران الأمر بین المتباینین</w:t>
      </w:r>
      <w:bookmarkEnd w:id="221"/>
    </w:p>
    <w:p>
      <w:pPr>
        <w:pStyle w:val="Heading5"/>
        <w:numPr>
          <w:ilvl w:val="4"/>
          <w:numId w:val="1"/>
        </w:numPr>
        <w:rPr/>
      </w:pPr>
      <w:bookmarkStart w:id="222" w:name="__RefHeading___Toc3425485_3224264995"/>
      <w:bookmarkStart w:id="223" w:name="_Toc83"/>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نجز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الشکّ فی التکلیف، و حان وقت البحث عن الشکّ فی المکلّف به</w:t>
      </w:r>
      <w:r>
        <w:rPr>
          <w:rFonts w:eastAsia="IRNazanin" w:cs="IRNazanin"/>
          <w:color w:val="111111"/>
          <w:sz w:val="28"/>
          <w:szCs w:val="28"/>
          <w:rtl w:val="true"/>
          <w:lang w:bidi="fa-IR"/>
        </w:rPr>
        <w:t>.</w:t>
      </w:r>
    </w:p>
    <w:p>
      <w:pPr>
        <w:pStyle w:val="Heading5"/>
        <w:numPr>
          <w:ilvl w:val="4"/>
          <w:numId w:val="1"/>
        </w:numPr>
        <w:rPr/>
      </w:pPr>
      <w:bookmarkStart w:id="224" w:name="__RefHeading___Toc3425487_3224264995"/>
      <w:bookmarkStart w:id="225" w:name="_Toc84"/>
      <w:bookmarkEnd w:id="224"/>
      <w:r>
        <w:rPr>
          <w:rtl w:val="true"/>
        </w:rPr>
        <w:t>ضابط الشکّ فی المکلّف به</w:t>
      </w:r>
      <w:bookmarkEnd w:id="225"/>
    </w:p>
    <w:p>
      <w:pPr>
        <w:pStyle w:val="BookText"/>
        <w:rPr/>
      </w:pPr>
      <w:r>
        <w:rPr>
          <w:rFonts w:ascii="IRNazanin" w:hAnsi="IRNazanin" w:eastAsia="IRNazanin"/>
          <w:color w:val="111111"/>
          <w:sz w:val="28"/>
          <w:sz w:val="28"/>
          <w:szCs w:val="28"/>
          <w:rtl w:val="true"/>
          <w:lang w:bidi="fa-IR"/>
        </w:rPr>
        <w:t>و أمّا المیزان فیه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المکلّف بجنس التکلیف أو نوعه، و تردّد متعلّقه بین شیئین أو أزید، و أمکن له الاحتیاط یصیر الشکّ حینئذٍ شکّاً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ما لا علم فیه رأساً کالشبهة البدویة، و ما علم جنسه و لکن لم یمکن الاحتیاط فیه، کما إذا علم بکون أحد الشیئین إمّا واجب أو حرام، فالعلم بالإلزام و التردّد فی المتعلّق و إن کان حاصلًا إلّا أنّ الاحتیاط علی وجه الموافقة القطعیة غیر ممکن؛ سواء أتی بهما أو ترکهما، أو أتی بواحد و ترک آخر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المحصّل فهو و إن کان یلزم فیه الاحتیاط إلّا أنّه لا ضیر فی خروجه؛ لعدم الملازمة بین لزوم الاحتیاط و کون الشکّ فیه شکّاً فی المکلّف به، بل</w:t>
      </w:r>
      <w:bookmarkStart w:id="226" w:name="pg12912_111760"/>
    </w:p>
    <w:p>
      <w:pPr>
        <w:pStyle w:val="BookText"/>
        <w:rPr/>
      </w:pPr>
      <w:bookmarkEnd w:id="226"/>
      <w:r>
        <w:rPr>
          <w:rFonts w:ascii="IRNazanin" w:hAnsi="IRNazanin" w:eastAsia="IRNazanin"/>
          <w:color w:val="111111"/>
          <w:sz w:val="28"/>
          <w:sz w:val="28"/>
          <w:szCs w:val="28"/>
          <w:rtl w:val="true"/>
          <w:lang w:bidi="fa-IR"/>
        </w:rPr>
        <w:t>هو باب برأسه یدخل فیه الشکّ فی المحصّل، و الشکّ فی الإتیان بالمأمور به مع بقاء الوقت،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المیزان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الشکّ فی الثبوت فهو الشکّ فی التکلیف و هو مرجع البراءة، و إن کان الشکّ فی السقوط فهو الشکّ فی المکلّف به و محلّ الاحتیاط، غیر صحیح؛ لأنّ کون الشکّ فی السقوط و إن کان محلًّا للاشتغال إلّا أنّه أعمّ من الشکّ فی المکلّف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Heading5"/>
        <w:numPr>
          <w:ilvl w:val="4"/>
          <w:numId w:val="1"/>
        </w:numPr>
        <w:rPr/>
      </w:pPr>
      <w:bookmarkStart w:id="227" w:name="__RefHeading___Toc3425489_3224264995"/>
      <w:bookmarkStart w:id="228" w:name="_Toc85"/>
      <w:bookmarkEnd w:id="227"/>
      <w:r>
        <w:rPr>
          <w:rtl w:val="true"/>
        </w:rPr>
        <w:t>تنقیح محلّ النزاع فی المقام</w:t>
      </w:r>
      <w:bookmarkEnd w:id="228"/>
    </w:p>
    <w:p>
      <w:pPr>
        <w:pStyle w:val="BookText"/>
        <w:rPr/>
      </w:pPr>
      <w:r>
        <w:rPr>
          <w:rFonts w:ascii="IRNazanin" w:hAnsi="IRNazanin" w:eastAsia="IRNazanin"/>
          <w:color w:val="111111"/>
          <w:sz w:val="28"/>
          <w:sz w:val="28"/>
          <w:szCs w:val="28"/>
          <w:rtl w:val="true"/>
          <w:lang w:bidi="fa-IR"/>
        </w:rPr>
        <w:t>اختلفت الآراء فی کون العلم بالحکم إجمالًا هل هو علّة تامّة لوجوب الموافقة و حرمة المخالفة، أو مقتضٍ بالنسبة إلیهما، أو علّة تامّة بالنسبة إلی أحدهما دون الآخر؟ یظهر الثمرة فی إمکان الترخیص بالنسبة إلی بعض الأطراف أو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محلّ النزاع غیر منقّح فی کلام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الشیخ الأعظم لا یخلو کلامه عن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تنقیح البحث یحتاج إلی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علماً وجدانیاً لا یحتمل الخلاف بالتکلیف الفعلی الذی لا یرضی المولی بترکه فلا شکّ أنّه یجب تحصیل الموافقة القطعیة و تحرم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قطعیها أو محتملها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للبحث عن جواز الترخیص فی بعضها أو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الشبهة محصورة أو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لأجل کون القطع منجّزاً أو کون تحصیل الموافقة واجباً أو تحصیل المخالفة حراماً، بل لأجل لزوم اجتماع النقیضین؛ قطعاً أو احتمالًا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القطع بالإرادة الإلزامیة لا یجتمع مع احتمال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w:t>
      </w:r>
    </w:p>
    <w:p>
      <w:pPr>
        <w:pStyle w:val="BookText"/>
        <w:rPr/>
      </w:pPr>
      <w:r>
        <w:rPr>
          <w:rFonts w:ascii="IRNazanin" w:hAnsi="IRNazanin" w:eastAsia="IRNazanin"/>
          <w:color w:val="111111"/>
          <w:sz w:val="28"/>
          <w:sz w:val="28"/>
          <w:szCs w:val="28"/>
          <w:rtl w:val="true"/>
          <w:lang w:bidi="fa-IR"/>
        </w:rPr>
        <w:t>عن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الترخیص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انطباق الواقع علی المورد المرخّص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الإرادة الإلزامیة الحتمیة، و لا أظنّ أنّ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الخوانساری و القمی</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الترخیص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الأعظم قدس سره فیظهر من بعض کلماته کون النزاع عامّاً یشمل المقام الأوّل؛ حیث جعل المانع عن جریان الاصول لزوم الإذن فی المعصیة و وجود المانع عن جریانه فی عالم الثبوت</w:t>
      </w:r>
      <w:r>
        <w:rPr>
          <w:rStyle w:val="FootnoteAnchor"/>
          <w:rtl w:val="true"/>
        </w:rPr>
        <w:footnoteReference w:id="244"/>
      </w:r>
      <w:r>
        <w:rPr>
          <w:rFonts w:ascii="IRNazanin" w:hAnsi="IRNazanin" w:eastAsia="IRNazanin"/>
          <w:color w:val="111111"/>
          <w:sz w:val="28"/>
          <w:sz w:val="28"/>
          <w:szCs w:val="28"/>
          <w:rtl w:val="true"/>
          <w:lang w:bidi="fa-IR"/>
        </w:rPr>
        <w:t>و إن کان یظهر من بعض کلماته کون النزاع فی غیر هذا المقام</w:t>
      </w:r>
      <w:r>
        <w:rPr>
          <w:rStyle w:val="FootnoteAnchor"/>
          <w:rtl w:val="true"/>
        </w:rPr>
        <w:footnoteReference w:id="245"/>
      </w:r>
      <w:r>
        <w:rPr>
          <w:rFonts w:ascii="IRNazanin" w:hAnsi="IRNazanin" w:eastAsia="IRNazanin"/>
          <w:color w:val="111111"/>
          <w:sz w:val="28"/>
          <w:sz w:val="28"/>
          <w:szCs w:val="28"/>
          <w:rtl w:val="true"/>
          <w:lang w:bidi="fa-IR"/>
        </w:rPr>
        <w:t>، و هذا هو الذی یصلح أن یبحث عنه فی باب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حرمة شی‌ء أو وجوبه، لا بعلم وجدانی بل بشمول إطلاق الدلیل أو عمومه علی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شمل بالإطلاق علی الخمر المردّد بین الإنائین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الترخیص بأدلّة الاصول بتقیید إطلاق الدلیل أو لا؟ و هذا هو الذی ینبغی أن یبحث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إذا علم إجمالًا بقیام حجّة علی هذا الموضوع أو ذاک، کما إذا علم بقیام أمارة معتبرة إمّا بوجوب صلاة الظهر أو الجمعة، إلی غیر ذلک ممّا یعدّ من أقسام المتباینین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 کلمات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محطّ البحث؛ حیث استدلّ علی حرمة المخالفة القطعیة بوجود المقتضی للحرمة و عدم المانع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w:t>
      </w:r>
    </w:p>
    <w:p>
      <w:pPr>
        <w:pStyle w:val="BookText"/>
        <w:rPr/>
      </w:pPr>
      <w:r>
        <w:rPr>
          <w:rFonts w:ascii="IRNazanin" w:hAnsi="IRNazanin" w:eastAsia="IRNazanin"/>
          <w:color w:val="111111"/>
          <w:sz w:val="28"/>
          <w:sz w:val="28"/>
          <w:szCs w:val="28"/>
          <w:rtl w:val="true"/>
          <w:lang w:bidi="fa-IR"/>
        </w:rPr>
        <w:t>المقتضی فلعموم دلیل تحریم ذلک العنوان المشتبه؛ فإنّ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الخمر الموجود المعلوم بین الإنائین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ذیل المطلب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مثل ما ذکرنا فی أوّل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الشبهة التحریمیة فی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یشتبه الواجب بغیر الحرام من جهة عدم النصّ المعتبر أو إجماله أو تعارض النصّین، أو من جهة اشتباه الموضوع؛ 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إمّا فی جواز المخالفة القطعیة فی غیر ما علم بإجماع أو ضرورة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الکلمات و أضرابه یعیّن محطّ البحث، و أنّ البحث فی غیر ما علم وجداناً وجود تکلیف قطعی لا یرضی المولی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للمقام الثانی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جازماً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الواقعی علی فرض تحقّقه فعلی لا یرضی المولی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أیضاً خارجة عن محطّ البحث؛ لأنّه مع العلم بفعلیة التکلیف علی فرض تصادف الأمارة للواقع و تصادف المحتمل للأمارة لا یمکن الترخیص الفعلی بجمیع الأطراف أو بعضها؛ لأنّ العلم بالترخیص مع العلم بفعلیة التکلیف علی فرض المصادفة غیر ممکن الاجتماع، فمع العلم الثانی لا یمکن الأخذ بالأدلّة المرخّصة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یحتمل ذلک و یحتمل مزاحمته لما هو أقوی ملاکاً، کما سنشیر إلیه، فیرفع الید عنه فی مقام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محطّ البحث</w:t>
      </w:r>
      <w:bookmarkStart w:id="229" w:name="pg12912_111763"/>
    </w:p>
    <w:p>
      <w:pPr>
        <w:pStyle w:val="BookText"/>
        <w:rPr/>
      </w:pPr>
      <w:bookmarkEnd w:id="229"/>
      <w:r>
        <w:rPr>
          <w:rFonts w:ascii="IRNazanin" w:hAnsi="IRNazanin" w:eastAsia="IRNazanin"/>
          <w:color w:val="111111"/>
          <w:sz w:val="28"/>
          <w:sz w:val="28"/>
          <w:szCs w:val="28"/>
          <w:rtl w:val="true"/>
          <w:lang w:bidi="fa-IR"/>
        </w:rPr>
        <w:t>بالصورة الثانیة من المقام الثانی؛ و هی صورة عدم العلم الوجدانی بالتکلیف الفعلی؛ لا فعلًا و لا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تصادف الأمارة یحتمل فعلیة الواقع و یحتمل عدمها، و یصیر مآل البحث إلی أنّه بعد ما قامت الحجّة الفعلیة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هاهنا حجّة اخری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ترفع الید عن الحجّة الاولی و یکون من قبیل دفع الحجّة بالحجّة، أو لا؟</w:t>
      </w:r>
    </w:p>
    <w:p>
      <w:pPr>
        <w:pStyle w:val="Heading5"/>
        <w:numPr>
          <w:ilvl w:val="4"/>
          <w:numId w:val="1"/>
        </w:numPr>
        <w:rPr/>
      </w:pPr>
      <w:bookmarkStart w:id="230" w:name="__RefHeading___Toc3425491_3224264995"/>
      <w:bookmarkStart w:id="231" w:name="_Toc86"/>
      <w:bookmarkEnd w:id="230"/>
      <w:r>
        <w:rPr>
          <w:rtl w:val="true"/>
        </w:rPr>
        <w:t>تنبیه فی عدم تقیید الأدلّة الواقعیة بجواز الترخیص فی أطراف العلم الإجمالی</w:t>
      </w:r>
      <w:bookmarkEnd w:id="231"/>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بجواز الترخیص فی أطراف العلم الإجمالی لا یوجب ذلک تقییداً فی الأدلّة الواقعیة بوجه، بل یکون حالها حال قیام الأمارات علی خلافها، و حال جریان الاصول فی الشبهات البدویة إذا کانت مخالفة للواقع، فکما أنّ الواقع لم یتقیّد بمؤدّیات الأمارات و لا بحال العلم،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ترخیص فی مخالفة الأمارة، و یحتمل انطباق الأمارة علی الواقع، و هناک ترخیص فی العمل بها مع إمکان تخلّفها عنه، و فی الشبهات البدویة ترخیص مع احتمال تحقّق الواقع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کالبحث فی الأمارات و الاصول فی الشبهات البدویة إذا خالفت الواقع، فکما أنّ فی الأمر بالعمل بالأمارات أو إمضاء الطرق العقلائیة احتمال تفویت الواقع، و المصالح و الأغراض بما أنّ تلک الطرق و الاصول ربّما تؤدّی المکلّف إلی خلاف المطلوب، فهکذا الأمر فی العمل</w:t>
      </w:r>
    </w:p>
    <w:p>
      <w:pPr>
        <w:pStyle w:val="BookText"/>
        <w:rPr/>
      </w:pPr>
      <w:r>
        <w:rPr>
          <w:rFonts w:ascii="IRNazanin" w:hAnsi="IRNazanin" w:eastAsia="IRNazanin"/>
          <w:color w:val="111111"/>
          <w:sz w:val="28"/>
          <w:sz w:val="28"/>
          <w:szCs w:val="28"/>
          <w:rtl w:val="true"/>
          <w:lang w:bidi="fa-IR"/>
        </w:rPr>
        <w:t>بالأُصول و فی جعل الترخیص فیما إذا قامت الحجّة علی وجوب الشی‌ء أو حرمته، و تردّد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المجوّز لهذا التفویت لیس إلّا التحفّظ علی الغرض الأهمّ؛ من حفظ نظام العباد و صیانتهم عن الإعراض عن الدین و رغبتهم عن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توضیحه فی بابه</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لو فرض فی جعل الترخیص مصلحة أولی و أهمّ من التحفّظ علی الواقع لا یکون ضیر فی المقام فی جعله و 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الحکیم لوقوفه علی الأغراض الهامّة و غیرها یقدّم بعضها علی بعض، و یعرض عن بعض و یرفع الید عنه؛ للتحفّظ بما هو أولی و أقدم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و التقیید فی الأدلّة الواقعیة لقصور الاقتضاء، و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إمضاء الطرق العقلائیة، و الترخیص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الاقتضاء قاصراً؛ و لهذا یجب العلم بالتکالیف فی الشبهات الحکمیة، و یجب تتبّع الأحکام و نشرها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الجهات الاخر لمّا کانت أهمّ من مراعاة الواقع صارت تلک الأهمّیة سبباً للترخیص فی الشبهات البدویة، و لتنفیذ الأمارات و إیجاب العمل علی طبقها، و فی المقام أیضاً علی فرض إمکانه، فلا تکون الواقعیات مخصّصة و لا مقیّدة بشی‌ء من تلک الموارد، بل متروکة مع کمال مطلوبیتها لأجل أغراض أهمّ</w:t>
      </w:r>
      <w:r>
        <w:rPr>
          <w:rFonts w:eastAsia="IRNazanin" w:cs="IRNazanin"/>
          <w:color w:val="111111"/>
          <w:sz w:val="28"/>
          <w:szCs w:val="28"/>
          <w:rtl w:val="true"/>
          <w:lang w:bidi="fa-IR"/>
        </w:rPr>
        <w:t>.</w:t>
      </w:r>
      <w:bookmarkStart w:id="232" w:name="pg12912_111765"/>
    </w:p>
    <w:p>
      <w:pPr>
        <w:pStyle w:val="Heading5"/>
        <w:numPr>
          <w:ilvl w:val="4"/>
          <w:numId w:val="1"/>
        </w:numPr>
        <w:rPr/>
      </w:pPr>
      <w:bookmarkStart w:id="233" w:name="__RefHeading___Toc3425493_3224264995"/>
      <w:bookmarkStart w:id="234" w:name="_Toc87"/>
      <w:bookmarkEnd w:id="232"/>
      <w:bookmarkEnd w:id="233"/>
      <w:r>
        <w:rPr>
          <w:rtl w:val="true"/>
        </w:rPr>
        <w:t>الکلام فی المخالفة القطعیة</w:t>
      </w:r>
      <w:bookmarkEnd w:id="234"/>
    </w:p>
    <w:p>
      <w:pPr>
        <w:pStyle w:val="Heading6"/>
        <w:numPr>
          <w:ilvl w:val="5"/>
          <w:numId w:val="1"/>
        </w:numPr>
        <w:rPr/>
      </w:pPr>
      <w:bookmarkStart w:id="235" w:name="__RefHeading___Toc3425495_3224264995"/>
      <w:bookmarkStart w:id="236" w:name="_Toc8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إذا عرفت ما ذکر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إمکان الترخیص ثبوتاً، و ثانیتهما فی وقوعه، فنقول</w:t>
      </w:r>
      <w:r>
        <w:rPr>
          <w:rFonts w:eastAsia="IRNazanin" w:cs="IRNazanin"/>
          <w:color w:val="111111"/>
          <w:sz w:val="28"/>
          <w:szCs w:val="28"/>
          <w:rtl w:val="true"/>
          <w:lang w:bidi="fa-IR"/>
        </w:rPr>
        <w:t>:</w:t>
      </w:r>
    </w:p>
    <w:p>
      <w:pPr>
        <w:pStyle w:val="Heading6"/>
        <w:numPr>
          <w:ilvl w:val="5"/>
          <w:numId w:val="1"/>
        </w:numPr>
        <w:rPr/>
      </w:pPr>
      <w:bookmarkStart w:id="237" w:name="__RefHeading___Toc3425497_3224264995"/>
      <w:bookmarkStart w:id="238" w:name="_Toc89"/>
      <w:bookmarkEnd w:id="237"/>
      <w:r>
        <w:rPr>
          <w:rtl w:val="true"/>
        </w:rPr>
        <w:t>الجهة الاولی</w:t>
      </w:r>
      <w:r>
        <w:rPr>
          <w:rtl w:val="true"/>
        </w:rPr>
        <w:t xml:space="preserve">: </w:t>
      </w:r>
      <w:r>
        <w:rPr>
          <w:rtl w:val="true"/>
        </w:rPr>
        <w:t>فی إمکان الترخیص فی أطراف العلم الإجمالی</w:t>
      </w:r>
      <w:bookmarkEnd w:id="238"/>
    </w:p>
    <w:p>
      <w:pPr>
        <w:pStyle w:val="BookText"/>
        <w:rPr/>
      </w:pPr>
      <w:r>
        <w:rPr>
          <w:rFonts w:ascii="IRNazanin" w:hAnsi="IRNazanin" w:eastAsia="IRNazanin"/>
          <w:color w:val="111111"/>
          <w:sz w:val="28"/>
          <w:sz w:val="28"/>
          <w:szCs w:val="28"/>
          <w:rtl w:val="true"/>
          <w:lang w:bidi="fa-IR"/>
        </w:rPr>
        <w:t>فلا إشکال أنّ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الأدلّة المرخّصة علی فرض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بوجوب موافقة الأمارات و عدم جواز مخالفتها؛ سواء علم قیامها علی أمر تفصیلًا أو إجمالًا، و یحکم مع العلم الإجمالی بقیام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وجوب الدعاء عند رؤیة الهلال أو علی وجوبه عند غروب الشمس، علی لزوم المطابقة القطعیة و حرمة مخالفتها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بملاک المعصیة و الإطاعة؛ لعدم إحراز موضوعهما؛ لعدم العلم بتصادف الأمارة للواقع، بل بملاک قطع العذر و استحقاق العقوبة علی فرض مطابقتها للواقع، أو بملاک المعصیة التقدیریة؛ أی علی فرض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ارتکب أحد أطراف المعلوم بالإجمال فیحتمل قیام الأمارة علیه و عدمه، و علی فرضه یحتمل تصادف الأمارة للواقع و عدمه، لکن علی فرض تصادف الاحتمالین للواقع لا عذر له فی ترک المأمور به الواقعی؛ فیستحقّ العقوبة علیه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بالحجّة الإجمالیة کالعلم بالحجّة التفصیلیة فی نظر</w:t>
      </w:r>
    </w:p>
    <w:p>
      <w:pPr>
        <w:pStyle w:val="BookText"/>
        <w:rPr/>
      </w:pPr>
      <w:r>
        <w:rPr>
          <w:rFonts w:ascii="IRNazanin" w:hAnsi="IRNazanin" w:eastAsia="IRNazanin"/>
          <w:color w:val="111111"/>
          <w:sz w:val="28"/>
          <w:sz w:val="28"/>
          <w:szCs w:val="28"/>
          <w:rtl w:val="true"/>
          <w:lang w:bidi="fa-IR"/>
        </w:rPr>
        <w:t>العقل؛ لأنّ العمل بها و اتّباعها مؤمّن عن العقاب؛ صادف أو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الإعراض عنها یحتمل معه العقاب، فیجب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بالحجّة و إن لم یکن ملازماً مع العلم بالحکم لکنّه یجب العمل به عقلًا؛ لحصول الأمن معه، فإنّ المکلّف یعدّ إذا صادفت الأمارة للواقع غیر معذور إذا لم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العقل إذا قصّر نظره إلی أدلّة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هنا للشارع عن جعل الترخیص، و لیس حکم العقل بلزوم اتّباع الحجّة الإجمالیة مانعاً عن جعل الترخیص، کما لیس هاهنا مانع من ناحیة الخطابات الأوّلیة و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القبیح علی المولی إنّما هو الإذن فی معصیته و مخالفته؛ فلو وقف المکلّف بعلم وجدانی علی کونه مطلوباً فالترخیص فی ترکه یعدّ لدی العقل قبیحاً بالنسبة إلی المولی الذی لا یتلاعب بأحکامه و 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بالمطلوب و الإلزام به، ثمّ الترخیص فیه مع بقائه علی المطلوبیة التامّة التی لا یرضی بترکه نقض فی الغرض لا یلیق بساحة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امتناعه لیس لأجل کونه أمراً قبیحاً، بل هو أمر ممتنع بالذات؛ لامتناع اجتماع إرادتین متعلّقتین علی فعله و ترکه، فالترخیص فی المعصیة مع کونه قبیحاً محال ذاتاً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کون الترخیص إذناً فی المعصیة فرع العلم بکونه محبوباً و مطلوباً تامّاً، و المفروض أنّ الموجود فی المقام لیس إلّا العلم بالحجّة، و لا نعلم کونها مطابقة للواقع أو لا؟</w:t>
      </w:r>
    </w:p>
    <w:p>
      <w:pPr>
        <w:pStyle w:val="BookText"/>
        <w:rPr/>
      </w:pPr>
      <w:r>
        <w:rPr>
          <w:rFonts w:ascii="IRNazanin" w:hAnsi="IRNazanin" w:eastAsia="IRNazanin"/>
          <w:color w:val="111111"/>
          <w:sz w:val="28"/>
          <w:sz w:val="28"/>
          <w:szCs w:val="28"/>
          <w:rtl w:val="true"/>
          <w:lang w:bidi="fa-IR"/>
        </w:rPr>
        <w:t>فالترخیص فی مخالفتها لحفظ غرض أهمّ علی فرض المطابقة للواقع لیس ترخیصاً فی المعصیة؛ لعدم العلم بالحکم، بل هو ترخیص فی مخالفة الأمارة و إجازة فی مخالفة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یدّعی من الامتناع و الاستقباح غیر آتٍ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المانع من ناحیة الخطابات الأوّلیة و استلزام ذلک الترخیص تقییداً أو تخصیصاً فی أدلّة الواقعیة فقد مرّ توضیحه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أظنّ بقاء المجال للتشکیک فی إمکان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بالنسبة إلی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تصوّر محطّ البحث؛ لعدم لزوم شی‌ء ممّا ذکر، کلزوم الإذن فی المعصیة؛ ضرورة أنّ الإذن فی مخالفة الأمارة لا یلازم الإذن فی المعصیة، بل قد یلزم منه الإذن فی مخالفة الواقع و لا إشکال فیه؛ لجواز رفع الید عن الواقع لأجل تزاحم جهات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فاعطف نظرک إلی أشباهه و نظائره؛ فإنّ الشکّ بعد تجاوز المحلّ أو خروج الوقت لا یترتّب علیه الأثر مع إمکان کون المضی موجباً لتفویت الواقع، و مثله الإذن بالعمل بالاستصحاب أو إیجاب العمل به؛ فإنّ الترخیص و الإذن و الأمر فی هاتیک الموارد یکشف عن عدم فعلیة الأحکام الواقعیة؛ بمعنی رفع الید عنها للمزاحم الأقوی، من غیر تقیید لها أو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فرغنا عن دلالة الأدلّة المرخّصة إثباتاً، و لم یکن محذور فی مقام الاستفادة عن الأخذ بمفادها فلا نتصوّر مانعاً فی المقام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ربّما یتراءی فی کلمات الأعاظم من تصوّر المحاذیر الثبوتیة؛ من أنّ الترخیص فی جمیع الأطراف مستلزم للإذن فی المعصیة و هو قبیح عقلًا</w:t>
      </w:r>
      <w:r>
        <w:rPr>
          <w:rStyle w:val="FootnoteAnchor"/>
          <w:rtl w:val="true"/>
        </w:rPr>
        <w:footnoteReference w:id="249"/>
      </w:r>
      <w:r>
        <w:rPr>
          <w:rFonts w:ascii="Amiri" w:hAnsi="Amiri" w:eastAsia="Amiri" w:cs="Amiri"/>
          <w:color w:val="111111"/>
          <w:sz w:val="28"/>
          <w:sz w:val="28"/>
          <w:szCs w:val="28"/>
          <w:rtl w:val="true"/>
          <w:lang w:bidi="ar-SA"/>
        </w:rPr>
        <w:t>، أو أنّ</w:t>
      </w:r>
      <w:bookmarkStart w:id="239" w:name="pg12912_111768"/>
    </w:p>
    <w:p>
      <w:pPr>
        <w:pStyle w:val="BookText"/>
        <w:rPr/>
      </w:pPr>
      <w:bookmarkEnd w:id="239"/>
      <w:r>
        <w:rPr>
          <w:rFonts w:ascii="IRNazanin" w:hAnsi="IRNazanin" w:eastAsia="IRNazanin"/>
          <w:color w:val="111111"/>
          <w:sz w:val="28"/>
          <w:sz w:val="28"/>
          <w:szCs w:val="28"/>
          <w:rtl w:val="true"/>
          <w:lang w:bidi="fa-IR"/>
        </w:rPr>
        <w:t>حکم العقل بالنسبة إلی المخالفة القطعیة علی نحو العلّیة التامّة، و بالنسبة إلی الموافقة القطعیة کذلک</w:t>
      </w:r>
      <w:r>
        <w:rPr>
          <w:rStyle w:val="FootnoteAnchor"/>
          <w:rtl w:val="true"/>
        </w:rPr>
        <w:footnoteReference w:id="250"/>
      </w:r>
      <w:r>
        <w:rPr>
          <w:rFonts w:ascii="IRNazanin" w:hAnsi="IRNazanin" w:eastAsia="IRNazanin"/>
          <w:color w:val="111111"/>
          <w:sz w:val="28"/>
          <w:sz w:val="28"/>
          <w:szCs w:val="28"/>
          <w:rtl w:val="true"/>
          <w:lang w:bidi="fa-IR"/>
        </w:rPr>
        <w:t>أو بنحو الاقتضاء</w:t>
      </w:r>
      <w:r>
        <w:rPr>
          <w:rStyle w:val="FootnoteAnchor"/>
          <w:rtl w:val="true"/>
        </w:rPr>
        <w:footnoteReference w:id="251"/>
      </w:r>
      <w:r>
        <w:rPr>
          <w:rFonts w:ascii="IRNazanin" w:hAnsi="IRNazanin" w:eastAsia="IRNazanin"/>
          <w:color w:val="111111"/>
          <w:sz w:val="28"/>
          <w:sz w:val="28"/>
          <w:szCs w:val="28"/>
          <w:rtl w:val="true"/>
          <w:lang w:bidi="fa-IR"/>
        </w:rPr>
        <w:t>، کلّ ذلک ناشٍ من خلط محلّ البحث بما هو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تبیّن إمکان الترخیص فلو دلّت الأدلّة علی الترخیص فلا مانع من القول بمقالة المحقّقین، الخوانساری و القمی </w:t>
      </w:r>
      <w:r>
        <w:rPr>
          <w:rFonts w:eastAsia="IRNazanin" w:cs="IRNazanin"/>
          <w:color w:val="111111"/>
          <w:sz w:val="28"/>
          <w:szCs w:val="28"/>
          <w:lang w:bidi="fa-IR"/>
        </w:rPr>
        <w:t>0</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3425499_3224264995"/>
      <w:bookmarkStart w:id="241" w:name="_Toc90"/>
      <w:bookmarkEnd w:id="240"/>
      <w:r>
        <w:rPr>
          <w:rtl w:val="true"/>
        </w:rPr>
        <w:t>الجهة الثانیة</w:t>
      </w:r>
      <w:r>
        <w:rPr>
          <w:rtl w:val="true"/>
        </w:rPr>
        <w:t xml:space="preserve">: </w:t>
      </w:r>
      <w:r>
        <w:rPr>
          <w:rtl w:val="true"/>
        </w:rPr>
        <w:t>فی وقوع الترخیص فی أطراف العلم الإجمالی</w:t>
      </w:r>
      <w:bookmarkEnd w:id="241"/>
    </w:p>
    <w:p>
      <w:pPr>
        <w:pStyle w:val="BookText"/>
        <w:rPr/>
      </w:pPr>
      <w:r>
        <w:rPr>
          <w:rFonts w:ascii="IRNazanin" w:hAnsi="IRNazanin" w:eastAsia="IRNazanin"/>
          <w:color w:val="111111"/>
          <w:sz w:val="28"/>
          <w:sz w:val="28"/>
          <w:szCs w:val="28"/>
          <w:rtl w:val="true"/>
          <w:lang w:bidi="fa-IR"/>
        </w:rPr>
        <w:t>و تنقیح البحث یتوقّف علی سرد الروایات،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الواردة فی المقام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منها التعرّض لخصوص أطراف العلم الإجمالی أو الأعمّ منه و من غیره، و إلیک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حرام و حلال فهو لک حلال أبداً حتّی تعرف الحرام بعینه، فتدعه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أبا جعفر علیه السلام عن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سألتنی عن طعام 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أعطی الغلام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ابتع لنا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دعی بالغذاء فتغذینا معه، فأتی بالجبن، فأکل، فأکلنا، فلمّا فرغنا من الغذاء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ترنی آکله؟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احبّ أن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حلال و 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الکبری الواقعة فیه قریب ممّا وقع فی الصحیحة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لطعام یعجبنی، و 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الحلال و الحرام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الشیخ الأعظم نقل هذه الروایة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له إلی الآن مدرکاً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اتّحاد الثانیة و الثالثة من الروایتین؛ لقرب ألفاظهما و عدم اختلافهما إلّا فی تنکیر الحلال و الحرام و تعریفهما، و یحتمل اتّحاد الاولی مع الثانیة أیضاً؛ لکون الراوی فی الثانیة إنّما هو عبد اللَّه بن سنان عن عبد اللَّه بن سلیمان، فمن</w:t>
      </w:r>
    </w:p>
    <w:p>
      <w:pPr>
        <w:pStyle w:val="BookText"/>
        <w:rPr/>
      </w:pP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نقله تارة مع الواسطة و اخری مع حذفها، و لیس ببعید مع ملاحظة الروایات، إلّا أنّا نتکلّم فیها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تلک الروایات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بالشبهة البدویة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طبیعة فیه الحرام و الحلال و ینقسم إلیهما تقسیماً فعلیاً، و اشتبه فرد منها من أنّه من أیّ القسمین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أردأ الاحتمالات؛ لأنّ التعبیر عن الشبهة البدویة بهذه العبارة بعید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بالعلم الإجمالی فقط؛ فإنّ الظاهر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فیه الحلال و الحرام حلال بحسب الشبهة الموضوعیة، کما هو مورد الثانیة و الثالثة، و لا یبعد أن یکون مورد الصحیحة هو الموضوعیة أیضاً، فیصدق قوله فیه الحلال و الحرام علی المال المختلط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عنده خمسون دیناراً؛ بعضها معلوم الحرمة و بعضها معلوم الحلّیة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فیه حلال و حرام، و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أنّ ما فیه الحلال و الحرام لک حلال، فحینئذٍ فالغایة هی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أقرب الاحتمالات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أعمّ من العلم الإجمالی و الشبهة البدویة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طبیعة فیه حلال معیّن و حرام معیّن و فرد مشتبه فالمشتبه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تفصیلًا حرمة بعض أفراد الطبیعة، و علم حلّیة بعض آخر، و شکّ فی ثالث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الکذائیة التی فیها حلال و حرام فهی</w:t>
      </w:r>
    </w:p>
    <w:p>
      <w:pPr>
        <w:pStyle w:val="BookText"/>
        <w:rPr/>
      </w:pPr>
      <w:r>
        <w:rPr>
          <w:rFonts w:ascii="IRNazanin" w:hAnsi="IRNazanin" w:eastAsia="IRNazanin"/>
          <w:color w:val="111111"/>
          <w:sz w:val="28"/>
          <w:sz w:val="28"/>
          <w:szCs w:val="28"/>
          <w:rtl w:val="true"/>
          <w:lang w:bidi="fa-IR"/>
        </w:rPr>
        <w:t>حلال مع الشبهة حتّی تعرف الحرام، و لکن إدخال هذا الفرد یحتاج إلی تکلّف خارج عن محور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فی الاحتمالین الأخیرین إلّا بجعل الغایة علماً تفصیلیاً، لا لکون مادّة المعرفة ظاهرة فی مقام التشخیص فی الممیّزات الشخصیة التی لا تنطبق إلّا علی العلم التفصیلی، و لا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ذلک؛ و إن کان کلّ ذلک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لأنّه علی فرض کونه متعرّضاً لخصوص العلم الإجمالی لا معنی لجعل الغایة أعمّ من العلم التفصیلی، و علی فرض کونه أعمّ لا معنی لجعل الغایة أعمّ أیضاً؛ لأنّ لازمه أنّ المشتبه البدوی حلال حتّی یعلم إجمالًا أو تفصیلًا أنّه حرام، و المعلوم الإجمالی حلال حتّی یعلم تفصیلًا أنّه حرام، مع أنّه باطل بالضرورة؛ لأنّ لازم جعل الغایة أعمّ تارة و العلم التفصیلی اخری هو التناقض أی حلّیة المعلوم بالإجمال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 المشتبه البدوی حلال حتّی یعلم إجمالًا وجود الحرام فیه، فحینئذٍ یرتفع حکمه، ثمّ یندرج فی صغری المشتبه بالعلم الإجمالی، فهو حلال إلی أن تعرف الحرام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مفیداً للمقصود لکنّه أشبه شی‌ء بالأحجیة و اللغز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للمعرفة، و هو یؤیّد کون العرفان لا بدّ و أن یکون بالعلم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المعروف بین العرفان و العلم</w:t>
      </w:r>
      <w:r>
        <w:rPr>
          <w:rStyle w:val="FootnoteAnchor"/>
          <w:rtl w:val="true"/>
        </w:rPr>
        <w:footnoteReference w:id="256"/>
      </w:r>
      <w:r>
        <w:rPr>
          <w:rFonts w:ascii="IRNazanin" w:hAnsi="IRNazanin" w:eastAsia="IRNazanin"/>
          <w:color w:val="111111"/>
          <w:sz w:val="28"/>
          <w:sz w:val="28"/>
          <w:szCs w:val="28"/>
          <w:rtl w:val="true"/>
          <w:lang w:bidi="fa-IR"/>
        </w:rPr>
        <w:t>فإنّ الأوّل لا یستعمل إلّا فی الجزئی المشخّص، فعلیه فالغایة للصدر</w:t>
      </w:r>
    </w:p>
    <w:p>
      <w:pPr>
        <w:pStyle w:val="BookText"/>
        <w:rPr/>
      </w:pPr>
      <w:r>
        <w:rPr>
          <w:rFonts w:ascii="IRNazanin" w:hAnsi="IRNazanin" w:eastAsia="IRNazanin"/>
          <w:color w:val="111111"/>
          <w:sz w:val="28"/>
          <w:sz w:val="28"/>
          <w:szCs w:val="28"/>
          <w:rtl w:val="true"/>
          <w:lang w:bidi="fa-IR"/>
        </w:rPr>
        <w:t>الشامل للعلم الإجمالی لیس إلّا العلم تفصیلًا بکون الحرام هذا الشی‌ء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الاحتمالات الواردة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الاحتمال الثانی، کما هو غیر بعید عن روایات الجبن؛ فإنّ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الاشتباه فی الجبن لأجل جعل المیتة فی بعضها، کما هو الظاهر فی بعضها مثل</w:t>
      </w:r>
    </w:p>
    <w:p>
      <w:pPr>
        <w:pStyle w:val="BookText"/>
        <w:rPr/>
      </w:pPr>
      <w:r>
        <w:rPr>
          <w:rFonts w:ascii="IRNazanin" w:hAnsi="IRNazanin" w:eastAsia="IRNazanin"/>
          <w:color w:val="111111"/>
          <w:sz w:val="28"/>
          <w:sz w:val="28"/>
          <w:szCs w:val="28"/>
          <w:rtl w:val="true"/>
          <w:lang w:bidi="fa-IR"/>
        </w:rPr>
        <w:t>ما رواه أبو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الجبن، فقلت أخبرنی من رأی أنّه یجعل فیه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یجعل فیه المیتة حرم جمیع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تأکله، و إن لم تعلم فاشتر و بع</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منصور بن حازم عن بکر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الجبن و أنّه توضع فیه الأنفحة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بدرهم،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 رجل مسلم و لا تسأل عن شی‌ء</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الکلام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اشتراک عبد اللَّه بن سلیمان بین ضعیف و موثّق یسقط الروایة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الحرام فیها الأنفحة، کما هو المنصوص فی بعض روایات الباب، مع أنّ ضرورة فقه الإمامیة قاضیة علی حلّیتها و طهارتها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الجواب عن روایة ابن عمّار، مضافاً إلی إرسالها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فی الباب إلّا صحیحة عبد اللَّه بن سنان؛ فبما أنّ ما رواه من الکبری موافقة مع روایة عبد اللَّه بن سلیمان التی رواه نفس عبد اللَّه بن سنان عنه أیضاً فلا بعد لو قلنا باتّحادهما حقیقة، و أنّ ما استقلّ به عبد اللَّه بن سنان قطعة منها نقلها بحذف خصوصیاتها، و علیه فیشترکان فیما ذکرناه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دفع الوهن بأنّ التقیة لیست فی الکبری، بل فی تطبیقها علی تلک الصغری، لا بمعنی أنّ حلّیة الأنفحة لأجل التقیة، بل بمعنی أنّ الکبری لمّا کان أمراً مسلّماً عند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کطهارة الأنفحة و حلّیتها علی خلاف العامّة القائلین بنجاستها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الإمام علیه السلام الحکم الواقعی فی ظرف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الکبری علی مورد لیس من صغریاته إلزاماً للخصم، و تقیة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له فی الفقه أشباهاً، کما فی صحیحة البزنطی</w:t>
      </w:r>
      <w:r>
        <w:rPr>
          <w:rStyle w:val="FootnoteAnchor"/>
          <w:rtl w:val="true"/>
        </w:rPr>
        <w:footnoteReference w:id="260"/>
      </w:r>
      <w:r>
        <w:rPr>
          <w:rFonts w:ascii="IRNazanin" w:hAnsi="IRNazanin" w:eastAsia="IRNazanin"/>
          <w:color w:val="111111"/>
          <w:sz w:val="28"/>
          <w:sz w:val="28"/>
          <w:szCs w:val="28"/>
          <w:rtl w:val="true"/>
          <w:lang w:bidi="fa-IR"/>
        </w:rPr>
        <w:t>حیث تمسّک الإمام علیه السلام علی بطلان الحلف علی العتق و الطلاق إذا کان مکرهاً بحدیث الرفع، مع أنّ الحلف علیهما باطل من رأس؛ سواء کان عن إکراه أو لا،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بعض الکلام حول هذه الروایات عند البحث عن الموافقة القطعیة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أیضاً محلّ إشکال؛ لاحتمال تمسّکه بالأصل لتسلّمه عندهم 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اختصاص له بأطراف العلم الإجمالی، و إلیک بیانها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شی‌ء لک حلال حتّی تعلم أنّه حرام بعینه، فتدعه من قبل نفسک، و ذلک مثل الثوب یکون علیک و لعلّه سرقة، أو العبد یکون عبدک و لعلّه حرّ قد باع نفسه أو قهر فبیع أو خدع فبیع، أو امرأة تحتک و هی اختک أو رضیعتک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تسعة،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استکرهوا علیه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أحادیث البراءة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لا یصحّ الاعتماد علیها فی ارتکاب أطراف العلم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الصدر و إن کان عمومیته للبدویة و العلم الإجمالی، و لکن لا مناص من تخصیص الصدر بالعلم التفصیلی؛ دفعاً للإشکال المتقدّم</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أنّ العلم بکون هذا أو هذا حراماً لیس من معرفة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الإشکال فی تطبیق الکبری المذکورة علی ما ذکر فی ذیل الحدیث؛ فإنّ الحلّ فیها مستند إلی أمارات و قواعد متقدّمة علی أصالة الحلّ؛</w:t>
      </w:r>
    </w:p>
    <w:p>
      <w:pPr>
        <w:pStyle w:val="BookText"/>
        <w:rPr/>
      </w:pPr>
      <w:r>
        <w:rPr>
          <w:rFonts w:ascii="IRNazanin" w:hAnsi="IRNazanin" w:eastAsia="IRNazanin"/>
          <w:color w:val="111111"/>
          <w:sz w:val="28"/>
          <w:sz w:val="28"/>
          <w:szCs w:val="28"/>
          <w:rtl w:val="true"/>
          <w:lang w:bidi="fa-IR"/>
        </w:rPr>
        <w:t>لأنّ الید فی الثوب أمارة الملکیة، کما أنّ أصالة الصحّة فی العقد هی المحکّم فی المرأة، و استصحاب عدم کونها رضیعة عند الشکّ فی کونها رضیعة، إلی غیر ذلک من القواعد ممّا یوهن انطباق الکبری علی الصغریات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لا بدّ من صرفها عن مورد القاعدة،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بصدد بیان الحلّ و لو بأمارة شرعیة مع الجهل الوجدانی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فالاستناد بها فی المقام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أحادیث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شمولها لأطراف العلم؛ لأنّ المراد من العلم فیها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العلم الوجدانی، و قد شاع إطلاق العلم و الیقین علی الحجّة فی الأخبار کثیراً، کما سیوافیک بیانه فی أخبار الاستصحاب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قامت الحجّة فی أطراف العلم علی لزوم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المنصرف أو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غیر معلوم من رأس؛ بمعنی المجهول المطلق لا ما علم و شکّ فی انطباق المعلوم علی هذا أو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إشکالًا آخر یعمّ جمیع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و 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الترخیص فی أطراف العلم الإجمالی الذی ثبت الحکم فیه بالحجّة یعدّ عند ارتکاز العقلاء ترخیصاً فی المعصیة و تفویتاً للغرض</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الارتکاز و إن کان خلاف الواقع علی ما عرفت من أنّه ترخیص فی مخالفة الأمارة لا ترخیص فی المعصیة</w:t>
      </w:r>
      <w:r>
        <w:rPr>
          <w:rStyle w:val="FootnoteAnchor"/>
          <w:rtl w:val="true"/>
        </w:rPr>
        <w:footnoteReference w:id="268"/>
      </w:r>
      <w:r>
        <w:rPr>
          <w:rFonts w:ascii="IRNazanin" w:hAnsi="IRNazanin" w:eastAsia="IRNazanin"/>
          <w:color w:val="111111"/>
          <w:sz w:val="28"/>
          <w:sz w:val="28"/>
          <w:szCs w:val="28"/>
          <w:rtl w:val="true"/>
          <w:lang w:bidi="fa-IR"/>
        </w:rPr>
        <w:t>، لکنّه تدقیق عقلی منّا، و العرف لا یقف علیه بفهمه الساذج</w:t>
      </w:r>
      <w:r>
        <w:rPr>
          <w:rFonts w:eastAsia="IRNazanin" w:cs="IRNazanin"/>
          <w:color w:val="111111"/>
          <w:sz w:val="28"/>
          <w:szCs w:val="28"/>
          <w:rtl w:val="true"/>
          <w:lang w:bidi="fa-IR"/>
        </w:rPr>
        <w:t>.</w:t>
      </w:r>
      <w:bookmarkStart w:id="242" w:name="pg12912_111776"/>
    </w:p>
    <w:p>
      <w:pPr>
        <w:pStyle w:val="BookText"/>
        <w:rPr/>
      </w:pPr>
      <w:bookmarkEnd w:id="242"/>
      <w:r>
        <w:rPr>
          <w:rFonts w:ascii="IRNazanin" w:hAnsi="IRNazanin" w:eastAsia="IRNazanin"/>
          <w:color w:val="111111"/>
          <w:sz w:val="28"/>
          <w:sz w:val="28"/>
          <w:szCs w:val="28"/>
          <w:rtl w:val="true"/>
          <w:lang w:bidi="fa-IR"/>
        </w:rPr>
        <w:t>و هذا الارتکاز یوجب انصراف الأخبار عامّة عن العلم الإجمالی المنجّز؛ فإنّ ردع هذا الارتکاز یحتاج إلی نصوص و تنبیه حتّی یرتدع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الشبهات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بعض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ممّا لا یکون إذناً فی 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الأعاظم من المتأخّرین بأنّ الترخیص فی أطراف العلم إذن فی ارتکاب المعصیة</w:t>
      </w:r>
      <w:r>
        <w:rPr>
          <w:rStyle w:val="FootnoteAnchor"/>
          <w:rtl w:val="true"/>
        </w:rPr>
        <w:footnoteReference w:id="269"/>
      </w:r>
      <w:r>
        <w:rPr>
          <w:rFonts w:ascii="IRNazanin" w:hAnsi="IRNazanin" w:eastAsia="IRNazanin"/>
          <w:color w:val="111111"/>
          <w:sz w:val="28"/>
          <w:sz w:val="28"/>
          <w:szCs w:val="28"/>
          <w:rtl w:val="true"/>
          <w:lang w:bidi="fa-IR"/>
        </w:rPr>
        <w:t>فإنّ حکمهم هذا ناشٍ من الارتکاز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فالعرف لا یرتدع عن فطرته بهذه الروایات حتّی یرد علیه بیان أوضح و 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الرباء من أنّ ظاهر هذه الروایات حلّ الجمیع، و لکن لم یعمل بها إلّا نادر من الطائفة</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روایات الحلّ مختصّة بالشبهة الموضوعیة و البحث فی الأعمّ منها</w:t>
      </w:r>
      <w:r>
        <w:rPr>
          <w:rFonts w:eastAsia="IRNazanin" w:cs="IRNazanin"/>
          <w:color w:val="111111"/>
          <w:sz w:val="28"/>
          <w:szCs w:val="28"/>
          <w:rtl w:val="true"/>
          <w:lang w:bidi="fa-IR"/>
        </w:rPr>
        <w:t>.</w:t>
      </w:r>
    </w:p>
    <w:p>
      <w:pPr>
        <w:pStyle w:val="Heading6"/>
        <w:numPr>
          <w:ilvl w:val="5"/>
          <w:numId w:val="1"/>
        </w:numPr>
        <w:rPr/>
      </w:pPr>
      <w:bookmarkStart w:id="243" w:name="__RefHeading___Toc3425501_3224264995"/>
      <w:bookmarkStart w:id="244" w:name="_Toc91"/>
      <w:bookmarkEnd w:id="243"/>
      <w:r>
        <w:rPr>
          <w:rtl w:val="true"/>
        </w:rPr>
        <w:t>مقالة الشیخ فی وجه عدم جریان الاصول فی أطراف العلم الإجمالی</w:t>
      </w:r>
      <w:bookmarkEnd w:id="244"/>
    </w:p>
    <w:p>
      <w:pPr>
        <w:pStyle w:val="BookText"/>
        <w:rPr/>
      </w:pPr>
      <w:r>
        <w:rPr>
          <w:rFonts w:ascii="IRNazanin" w:hAnsi="IRNazanin" w:eastAsia="IRNazanin"/>
          <w:color w:val="111111"/>
          <w:sz w:val="28"/>
          <w:sz w:val="28"/>
          <w:szCs w:val="28"/>
          <w:rtl w:val="true"/>
          <w:lang w:bidi="fa-IR"/>
        </w:rPr>
        <w:t>ثمّ إنّ الظاهر من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عن الشمول هو لزوم تعارض الصدر و الذیل فی أدلّة الاصول</w:t>
      </w:r>
      <w:r>
        <w:rPr>
          <w:rStyle w:val="FootnoteAnchor"/>
          <w:rtl w:val="true"/>
        </w:rPr>
        <w:footnoteReference w:id="271"/>
      </w:r>
      <w:r>
        <w:rPr>
          <w:rFonts w:ascii="IRNazanin" w:hAnsi="IRNazanin" w:eastAsia="IRNazanin"/>
          <w:color w:val="111111"/>
          <w:sz w:val="28"/>
          <w:sz w:val="28"/>
          <w:szCs w:val="28"/>
          <w:rtl w:val="true"/>
          <w:lang w:bidi="fa-IR"/>
        </w:rPr>
        <w:t>، و کلامه هذا حاکٍ علی أنّ المانع إثباتی لا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کلماته مختلفة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مبحث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لأحد الاستصحابین</w:t>
      </w:r>
    </w:p>
    <w:p>
      <w:pPr>
        <w:pStyle w:val="BookText"/>
        <w:rPr/>
      </w:pPr>
      <w:r>
        <w:rPr>
          <w:rFonts w:ascii="IRNazanin" w:hAnsi="IRNazanin" w:eastAsia="IRNazanin"/>
          <w:color w:val="111111"/>
          <w:sz w:val="28"/>
          <w:sz w:val="28"/>
          <w:szCs w:val="28"/>
          <w:rtl w:val="true"/>
          <w:lang w:bidi="fa-IR"/>
        </w:rPr>
        <w:t>مرجّح فالحقّ التساقط دون التخییر؛ لأنّ العلم الإجمالی هنا بانتقاض أحد الضدّین یوجب خروجهما عن مدلول لا تنقض؛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حرمة النقض بالشکّ و وجوب النقض بالیقین، فإذا فرض الیقین بارتفاع الحالة السابقة فی أحد المستصحبین فلا یجوز إبقاء کلّ منهما تحت عموم حرمة النقض بالشکّ؛ لأنّه مستلزم لطرح الحکم بنقض الیقین بمثله، و لا أحدهما المعیّن؛ لکونه ترجیحاً بلا مرجّح، و لا أحدهما المخیّر؛ لأنّه لیس من أفراد العامّ</w:t>
      </w:r>
      <w:r>
        <w:rPr>
          <w:rStyle w:val="FootnoteAnchor"/>
          <w:rtl w:val="true"/>
        </w:rPr>
        <w:footnoteReference w:id="27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بأنّ الذیل غیر وارد إلّا فی بعض الروایات</w:t>
      </w:r>
      <w:r>
        <w:rPr>
          <w:rStyle w:val="FootnoteAnchor"/>
          <w:rtl w:val="true"/>
        </w:rPr>
        <w:footnoteReference w:id="274"/>
      </w:r>
      <w:r>
        <w:rPr>
          <w:rFonts w:ascii="IRNazanin" w:hAnsi="IRNazanin" w:eastAsia="IRNazanin"/>
          <w:color w:val="111111"/>
          <w:sz w:val="28"/>
          <w:sz w:val="28"/>
          <w:szCs w:val="28"/>
          <w:rtl w:val="true"/>
          <w:lang w:bidi="fa-IR"/>
        </w:rPr>
        <w:t>غیر صحیح؛ ضرورة تقدیم المشتمل علی خصوصیة علی العاری منها علی ما هو مقرّر فی محلّه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الیقین و إن کان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سیوافیک فی محلّه؛ من أنّ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تنقض الحجّة باللاحجّة</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المراد من الذیل هو العلم التفصیلی، لا الأعمّ منه و من الإجمالی؛ لأنّ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الیقین الواقع فی الذیل عین ما تعلّق به الیقین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الیقین الأوّل قد تعلّق بطهارة کلّ واحد بالخصوص، کما أنّ الشکّ قد تعلّق بطهارتهما کذلک، فلا بدّ أن یحصل یقین آخر ضدّ الیقین الأوّل، و یتعلّق بنجاسة واحد منهما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الیقین فی العلم الإجمالی فلم یتعلّق</w:t>
      </w:r>
      <w:bookmarkStart w:id="245" w:name="pg12912_111778"/>
    </w:p>
    <w:p>
      <w:pPr>
        <w:pStyle w:val="BookText"/>
        <w:rPr/>
      </w:pPr>
      <w:bookmarkEnd w:id="245"/>
      <w:r>
        <w:rPr>
          <w:rFonts w:ascii="IRNazanin" w:hAnsi="IRNazanin" w:eastAsia="IRNazanin"/>
          <w:color w:val="111111"/>
          <w:sz w:val="28"/>
          <w:sz w:val="28"/>
          <w:szCs w:val="28"/>
          <w:rtl w:val="true"/>
          <w:lang w:bidi="fa-IR"/>
        </w:rPr>
        <w:t>بنجاسة إناء معیّن، بل بأمر مردّد وجوداً بین الإنائین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فالذیل غیر شامل للیقین الإجمالی؛ لعدم اتّحاد متعلّقی الیقینین، و یبقی المورد تحت حکم الصدر فقط،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یأتی فی المقام ما ذکرناه من المبعّدات فی جریان الاصول فی أطراف العلم الإجمالی؛ من کونه ترخیصاً فی المعصیة فی نظر العرف، فلاحظ</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3425503_3224264995"/>
      <w:bookmarkStart w:id="247" w:name="_Toc92"/>
      <w:bookmarkEnd w:id="246"/>
      <w:r>
        <w:rPr>
          <w:rtl w:val="true"/>
        </w:rPr>
        <w:t>تفصیل المحقّق النائینی بین الاصول التنزیلیة و غیرها</w:t>
      </w:r>
      <w:bookmarkEnd w:id="247"/>
    </w:p>
    <w:p>
      <w:pPr>
        <w:pStyle w:val="BookText"/>
        <w:rPr/>
      </w:pPr>
      <w:r>
        <w:rPr>
          <w:rFonts w:ascii="IRNazanin" w:hAnsi="IRNazanin" w:eastAsia="IRNazanin"/>
          <w:color w:val="111111"/>
          <w:sz w:val="28"/>
          <w:sz w:val="28"/>
          <w:szCs w:val="28"/>
          <w:rtl w:val="true"/>
          <w:lang w:bidi="fa-IR"/>
        </w:rPr>
        <w:t>ثمّ إنّ بعض أعاظم العصر رحمه الله فصّل فی دوران الأمر بین المحذورین بین أصالة الإباحة و بین الاصول التنزیلیة و غیرها، و جعل محذور کلّ واحد منها أمراً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شطراً منه فی دوران الأمر بین المحذورین، و ذکرنا هناک بعض المناقشات فی کلامه</w:t>
      </w:r>
      <w:r>
        <w:rPr>
          <w:rStyle w:val="FootnoteAnchor"/>
          <w:rtl w:val="true"/>
        </w:rPr>
        <w:footnoteReference w:id="278"/>
      </w:r>
      <w:r>
        <w:rPr>
          <w:rFonts w:ascii="IRNazanin" w:hAnsi="IRNazanin" w:eastAsia="IRNazanin"/>
          <w:color w:val="111111"/>
          <w:sz w:val="28"/>
          <w:sz w:val="28"/>
          <w:szCs w:val="28"/>
          <w:rtl w:val="true"/>
          <w:lang w:bidi="fa-IR"/>
        </w:rPr>
        <w:t>، و مع ذلک فلا بأس بنقل شطر آخر من کلامه، حسب ما یرتبط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أصالة الإباحة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الاصول فی غیر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عدم جریانها لیس هو عدم انحفاظ الرتبة و انتفاء موضوع الحکم الظاهری، بل أمر آخر یختلف فیه الاصول التنزیلیة مع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هو لزوم المخالفة القطعیة للتکلیف المعلوم فی البین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فالسرّ فیها هو قصور المجعول فیها عن شموله لأطراف العلم</w:t>
      </w:r>
    </w:p>
    <w:p>
      <w:pPr>
        <w:pStyle w:val="BookText"/>
        <w:rPr/>
      </w:pPr>
      <w:r>
        <w:rPr>
          <w:rFonts w:ascii="IRNazanin" w:hAnsi="IRNazanin" w:eastAsia="IRNazanin"/>
          <w:color w:val="111111"/>
          <w:sz w:val="28"/>
          <w:sz w:val="28"/>
          <w:szCs w:val="28"/>
          <w:rtl w:val="true"/>
          <w:lang w:bidi="fa-IR"/>
        </w:rPr>
        <w:t>الإجمالی؛ لأنّ المجعول فیها هو الأخذ بأحد طرفی الشکّ علی أنّه هو الواقع، و هذا المعنی من الحکم الظاهری لا یمکن جعله بالنسبة إلی جمیع الأفراد؛ للعلم بانتقاض الحالة السابقة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فالإحراز التعبّدی لا یجتمع مع الإحراز الوجدانی بالخلاف، و لا یمکن الحکم ببقاء الطهارة الواقعیة فی کلّ من الإنائین مع العلم بنجاسة أحدهما</w:t>
      </w:r>
      <w:r>
        <w:rPr>
          <w:rStyle w:val="FootnoteAnchor"/>
          <w:rtl w:val="true"/>
        </w:rPr>
        <w:footnoteReference w:id="2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أحطت خبراً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ضعف ما أفاده حول الاصول غیر التنزیلیة؛ من استلزامه المخالفة القطعیة للتکلیف؛ لما عرفت من أنّ محلّ البحث هو العلم بالحجّة، لا العلم بالتکلیف القطعی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جعله وجهاً للمنع فی الاصول التنزیلیة فیرد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کون الاستصحاب من الاصول التنزیلیة؛ و ذلک لأنّ المجعول فی الاصول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اعترف به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البناء العملی و الأخذ بأحد طرفی الشکّ علی أنّه هو الواقع، و إلقاء الطرف الآخر و جعل الشکّ کالعدم فی عالم التشریع، کقاعدة التجاوز؛ حیث إنّ مفاد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لیس بشی‌ء</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کان فی شی‌ء لم یجزه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فأمثال هذه التعابیر یستفاد منها کون القاعدة من الاصول المحرزة التنزیلیة، بخلاف أخبار الاستصحاب؛ فإنّ الظاهر منها لحاظ الشکّ و اعتباره، کما تنادی به التعابیر التی فیها،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و لیس ینبغی لک أن تنقض الیقین بالشکّ أبداً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ضرورة أنّ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ملحوظ فیه لکنّه لیس له معه نقض الیقین به، و لا بدّ عند الشکّ ترتیب آثار الیقین الطریقی، و معه لا یکون من الاصول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عدم جریانه لو فرض کونه أصلًا محرزاً،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وجهاً لکون الاستصحاب أصلًا محرزاً ذکرناه فی الدورة السابقة</w:t>
      </w:r>
      <w:r>
        <w:rPr>
          <w:rStyle w:val="FootnoteAnchor"/>
          <w:rtl w:val="true"/>
        </w:rPr>
        <w:footnoteReference w:id="286"/>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المجعولة فیه تدلّ علی حرمة 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 عملًا، و وجوب ترتیب آثار الیقین الطریقی فی ظرف الشکّ، و لمّا کان الیقین الطریقی کاشفاً عن الواقع کان العامل بیقینه یعمل به علی أنّه هو الواقع؛ لکونه منکشفاً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بوجوب صلاة الجمعة یأتی بها فی زمن الیقین بما أنّه الواقع، فإذا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معاملة الیقین و رتّب آثاره فی ظرف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ترتیب آثاره أن یأتی بالمشکوک فیه فی زمان الشکّ مبنیاً علی أنّه هو الواقع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الأصل إنّما اعتبر لأجل التحفّظ علی الواقع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إنّما یعمل علی طبق یقینه من غیر توجّه علی أنّه هو الواقع توجّهاً اسمیاً، و یأتی بالواقع بالحمل الشائع، بلا توجّه بأنّه معنون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تفعل؟ و أنّ ما تعمل هل هو الواقع أو لا؟ لأجاب بأنّه الواقع؛ متبدّلًا توجّهه الحرفی إلی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ترتیب آثار القطع الطریقی؛ أی الترتیب آثار المتیقّن لا ترتیب آثاره علی أنّه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جعل الاستصحاب لأجل التحفّظ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منه أنّ جعله بلحاظ حفظ الواقع، کالاحتیاط فی الشبهات البدویة فهو صحیح، لکن لا یوجب ذلک أن یکون التعبّد بالمتیقّن علی أنّه الواقع کالاحتیاط؛ فإنّه أیضاً بلحاظ الواقع لا علی أنّ المشتبه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هو التعبّد علی أنّه الواقع فهو ممّا لا شاهد له فی الأدلّة؛ لأنّ المراد من حرمة النقض بالشکّ إمّا إطالة عمر الیقین علی وجه ضعیف، أو حرمة النقض عملًا؛ أی ترتیب آثار الیقین أو المتیقّن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بصدد بیان وجوب البناء علی أنّه الواقع فلا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کونه أصلًا محرزاً فما جعله مانعاً من جریان الاستصحاب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الاستصحاب هو الأخذ بأحد طرفی الشکّ، و هو لا یجتمع مع العلم بانتقاض الحالة السابقة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لأنّ الجمع بین الحکم الظاهری و الواقع قد فرغنا عنه</w:t>
      </w:r>
      <w:r>
        <w:rPr>
          <w:rStyle w:val="FootnoteAnchor"/>
          <w:rtl w:val="true"/>
        </w:rPr>
        <w:footnoteReference w:id="287"/>
      </w:r>
      <w:r>
        <w:rPr>
          <w:rFonts w:ascii="IRNazanin" w:hAnsi="IRNazanin" w:eastAsia="IRNazanin"/>
          <w:color w:val="111111"/>
          <w:sz w:val="28"/>
          <w:sz w:val="28"/>
          <w:szCs w:val="28"/>
          <w:rtl w:val="true"/>
          <w:lang w:bidi="fa-IR"/>
        </w:rPr>
        <w:t>، کما فرغ هو قدس سره</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الإشکال لیس شیئاً غیر الإشکال المتوهّم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علمنا بوقوع نجاسة فی واحد من الإنائین فالتعبّد بکون کلّ واحد طاهراً واقعاً لا ینافی العلم الإجمالی بکون واحد منهما نجساً یقیناً؛ لأنّ المنافاة إن رجع إلی جهة الاعتقاد و أنّ الاعتقادین لا یجتمعان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باب الاستصحاب حدیث تعبّد لا اعتقاد واقعی، و هو یجتمع مع العلم بالخلاف إجمالًا إذا کان للتعبّد فی المقام أثر عملی، لو سلم عن بقیة الإشکالات؛ من کونه ترخیصاً فی المعصیة أو موجباً للمخالفة القطعیة؛ فإنّ المانع عنده قدس سره هو قصور المجعول لا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 أنّ هذا التعبّد لا یصدر من الحکیم مع العلم الوجدانی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الممتنع هو التعبّد بشی‌ء فی عرض التعبّد علی خلافه، و أمّا التعبّد فی ظرف الشکّ علی خلاف العلم الإجمالی الوجدانی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طرف من الأطراف یکون مشکوکاً فیه، فیتمّ أرکان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مخالفة أحد الأصلین للواقع لا یوجب عدم جریانه لو لا المخالفة العملیة، کاستصحاب طهارة الماء و نجاسة الید إذا غسل بالماء المشکوک الکرّیة؛ فإنّ للشارع التعبّد بوجود ما لیس بموجود، و التعبّد بتفکیک المتلازمین و تلازم المنفکّین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اجتماع الإحراز التعبّدی مع الإحراز الوجدانی بالضدّ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لمّا تنبّه علی هذا الإشکال، و أنّ لازم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الاصول المحرزة فی أطراف العلم الإجمالی مطلقاً؛ و إن لم یلزم مخالفة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التفکیک بین المتلازمین الشرعیین، کطهارة البدن و بقاء الحدث عند الوضوء</w:t>
      </w:r>
    </w:p>
    <w:p>
      <w:pPr>
        <w:pStyle w:val="BookText"/>
        <w:rPr/>
      </w:pPr>
      <w:r>
        <w:rPr>
          <w:rFonts w:ascii="IRNazanin" w:hAnsi="IRNazanin" w:eastAsia="IRNazanin"/>
          <w:color w:val="111111"/>
          <w:sz w:val="28"/>
          <w:sz w:val="28"/>
          <w:szCs w:val="28"/>
          <w:rtl w:val="true"/>
          <w:lang w:bidi="fa-IR"/>
        </w:rPr>
        <w:t>بمائع مردّد بین البول و الماء؛ لأنّ استصحاب بقاء الحدث و طهارة البدن ینافی العلم الوجدانی بعدم بقاء الواقع فی أحدهما، و من المعلوم اتّفاقهم علی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 الإشکال فی آخر مبحث الاستصحاب، فقال ما هذا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کون مفاد الأصلین متّفقین علی مخالفة ما یعلم تفصیلًا، کاستصحاب نجاسة الإنائین أو طهارتهما مع العلم بانتقاض الحالة السابقة؛ فإنّ الاستصحابین یتوافقان فی نفی ما یعلم تفصیلًا، و بین ما لا یلزم من التعبّد بمؤدّی الأصلین العلم التفصیلی بکذب ما یؤدّیان إلیه، بل یعلم إجمالًا بعدم مطابقة أحد الأصلین للواقع، من دون أن یتوافقا فی مخالفة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منعنا عن جریانه فی أطراف العلم الإجمالی هو الأوّل دون الثانی؛ لأنّه لا یمکن التعبّد بالجمع بین الاستصحابین اللذین یتوافقان فی المؤدّی مع مخالفة مؤدّاهما للمعلوم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التفکیک بین المتلازمین الواقعیین فلا مانع منه؛ لأنّ التلازم بحسب الواقع لا یلازم التلازم بحسب الظاهر</w:t>
      </w:r>
      <w:r>
        <w:rPr>
          <w:rStyle w:val="FootnoteAnchor"/>
          <w:rtl w:val="true"/>
        </w:rPr>
        <w:footnoteReference w:id="2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لیس فارقاً بین البابین؛ لأنّ جریان الأصل فی هذا الإناء لیس مصادماً للعلم الوجدانی، و کذا جریانه فی تلک الإناء لیس مصادماً له أیضاً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جریانهما فی کلتیهما مخالف للعلم الإجمالی، فیعلم مخالفة أحدهما للواقع، کما أنّ استصحاب طهارة البدن من الماء غیر منافٍ للعلم، و استصحاب الحدث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جریانهما منافٍ للعلم الإجمالی، فیعلم بکذب أحدهما؛ فما هو ملاک الجریان اللاجریان فی البابین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توافق الاستصحابین لا یوجب الفرق، مع أنّ توافقهما أیضاً ممنوع؛ فإنّ مفاد أحدهما نجاسة أحد الإنائین و مفاد الآخر نجاسة الإناء الآخر، و إنّما توافقهما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الموافقة لیس مجری الأصل، و ما هو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النجاسة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موافق المضمون مع صاحبه؛ بحیث ینافی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جعله مناط الجریان و عدمه هو جریان الأصل فیما لا یکون الأصلان متوافقی المضمون، کما إذا علم بوجوب صلاة الجمعة و حرمة شرب التتن سابقاً، و علم بانتقاض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من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غبار فیه؛ إذ لا یلزم منه سوی ما یلزم فی استصحاب الحدث و طهارة البدن إذا توضّأ بمائع مردّد بین الماء و البول، مع أنّه من البعید أن یلتزم بجریان الأصل فی هذا المثال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المخالفة القطعیة، و أظنّ أنّ هذا المقدار کافٍ فی تحقیق الحال</w:t>
      </w:r>
      <w:r>
        <w:rPr>
          <w:rFonts w:eastAsia="IRNazanin" w:cs="IRNazanin"/>
          <w:color w:val="111111"/>
          <w:sz w:val="28"/>
          <w:szCs w:val="28"/>
          <w:rtl w:val="true"/>
          <w:lang w:bidi="fa-IR"/>
        </w:rPr>
        <w:t>.</w:t>
      </w:r>
      <w:bookmarkStart w:id="248" w:name="pg12912_111785"/>
    </w:p>
    <w:p>
      <w:pPr>
        <w:pStyle w:val="Heading5"/>
        <w:numPr>
          <w:ilvl w:val="4"/>
          <w:numId w:val="1"/>
        </w:numPr>
        <w:rPr/>
      </w:pPr>
      <w:bookmarkStart w:id="249" w:name="__RefHeading___Toc3425505_3224264995"/>
      <w:bookmarkStart w:id="250" w:name="_Toc93"/>
      <w:bookmarkEnd w:id="248"/>
      <w:bookmarkEnd w:id="249"/>
      <w:r>
        <w:rPr>
          <w:rtl w:val="true"/>
        </w:rPr>
        <w:t>وجوب الموافقة القطعیة و عدمه</w:t>
      </w:r>
      <w:bookmarkEnd w:id="250"/>
    </w:p>
    <w:p>
      <w:pPr>
        <w:pStyle w:val="Heading6"/>
        <w:numPr>
          <w:ilvl w:val="5"/>
          <w:numId w:val="1"/>
        </w:numPr>
        <w:rPr/>
      </w:pPr>
      <w:bookmarkStart w:id="251" w:name="__RefHeading___Toc3425507_3224264995"/>
      <w:bookmarkStart w:id="252" w:name="_Toc94"/>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کالکلام فی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الثبوت و الإثبات</w:t>
      </w:r>
      <w:r>
        <w:rPr>
          <w:rFonts w:eastAsia="IRNazanin" w:cs="IRNazanin"/>
          <w:color w:val="111111"/>
          <w:sz w:val="28"/>
          <w:szCs w:val="28"/>
          <w:rtl w:val="true"/>
          <w:lang w:bidi="fa-IR"/>
        </w:rPr>
        <w:t>:</w:t>
      </w:r>
    </w:p>
    <w:p>
      <w:pPr>
        <w:pStyle w:val="Heading6"/>
        <w:numPr>
          <w:ilvl w:val="5"/>
          <w:numId w:val="1"/>
        </w:numPr>
        <w:rPr/>
      </w:pPr>
      <w:bookmarkStart w:id="253" w:name="__RefHeading___Toc3425509_3224264995"/>
      <w:bookmarkStart w:id="254" w:name="_Toc95"/>
      <w:bookmarkEnd w:id="253"/>
      <w:r>
        <w:rPr>
          <w:rtl w:val="true"/>
        </w:rPr>
        <w:t>جواز الترخیص فی بعض أطراف العلم الإجمالی ثبوتاً</w:t>
      </w:r>
      <w:bookmarkEnd w:id="254"/>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العلم الجازم بوجود تکلیف فی البین خارج عن محطّ البحث</w:t>
      </w:r>
      <w:r>
        <w:rPr>
          <w:rStyle w:val="FootnoteAnchor"/>
          <w:rtl w:val="true"/>
        </w:rPr>
        <w:footnoteReference w:id="290"/>
      </w:r>
      <w:r>
        <w:rPr>
          <w:rFonts w:ascii="IRNazanin" w:hAnsi="IRNazanin" w:eastAsia="IRNazanin"/>
          <w:color w:val="111111"/>
          <w:sz w:val="28"/>
          <w:sz w:val="28"/>
          <w:szCs w:val="28"/>
          <w:rtl w:val="true"/>
          <w:lang w:bidi="fa-IR"/>
        </w:rPr>
        <w:t>و إن خلط بعض محقّقی العصر بینه و بین العلم بالحجّة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وقف علی قیام الحجّة بالتکلیف فلا إشکال فی حکم العقل بلزوم الموافقة القطعیة بعد قیامها؛ لوجوب تحصیل المؤمّن عن العقاب، و هو لا یحصل إلّا بالموافقة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الدقیق فهو فی البابین واحد؛ یعنی لا یری الترخیص فی واحد من الأطراف أو جمیعها إذناً فی المعصیة؛ لأنّ المفروض هو العلم بالحجّة لا بالتکلیف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حکم العقلاء فیمکن إبداء الفرق بین البابین؛ فإنّ العقلاء لا یرون الإذن فی بعض الأطراف إذناً فی مخالفة الواقع و ارتکاب الحرام، بل إذناً فی المشتبه بما هو مشتبه، و هو غیر مستنکر عند العقلاء حتّی یوجب انصراف الأدلّة أو صرفها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 دلیل علی بعض الأطراف فلا موجب لرفع الید عنه فی المقام،</w:t>
      </w:r>
      <w:bookmarkStart w:id="255" w:name="pg12912_111786"/>
    </w:p>
    <w:p>
      <w:pPr>
        <w:pStyle w:val="BookText"/>
        <w:rPr/>
      </w:pPr>
      <w:bookmarkEnd w:id="255"/>
      <w:r>
        <w:rPr>
          <w:rFonts w:ascii="IRNazanin" w:hAnsi="IRNazanin" w:eastAsia="IRNazanin"/>
          <w:color w:val="111111"/>
          <w:sz w:val="28"/>
          <w:sz w:val="28"/>
          <w:szCs w:val="28"/>
          <w:rtl w:val="true"/>
          <w:lang w:bidi="fa-IR"/>
        </w:rPr>
        <w:t>بخلاف الإذن فی الأطراف عامّة؛ فإنّه عندهم مستنکر قبیح یرونه إذناً فی المعصیة، کما تقدّم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العلم الإجمالی علّة تامّة أو مقتضیاً بالنسبة إلی حرمة المخالفة أو وجوب الموافقة إنّما یصحّ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مانع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علّة تامّة لحرمة المخالفة القطعیة فی نظر العقلاء؛ بحیث یری العقلاء الإذن فی الأطراف ترخیصاً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مقتضٍ لوجوب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یحکم بلزومها مع عدم ورود رخصة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یستنکر ورودها، کما لا یستنکر ورودها فی بعض موارد الاشتغال مع العلم التفصیلی، کالشکّ بعد الفراغ و مضیّ الوقت</w:t>
      </w:r>
      <w:r>
        <w:rPr>
          <w:rFonts w:eastAsia="IRNazanin" w:cs="IRNazanin"/>
          <w:color w:val="111111"/>
          <w:sz w:val="28"/>
          <w:szCs w:val="28"/>
          <w:rtl w:val="true"/>
          <w:lang w:bidi="fa-IR"/>
        </w:rPr>
        <w:t>.</w:t>
      </w:r>
    </w:p>
    <w:p>
      <w:pPr>
        <w:pStyle w:val="Heading6"/>
        <w:numPr>
          <w:ilvl w:val="5"/>
          <w:numId w:val="1"/>
        </w:numPr>
        <w:rPr/>
      </w:pPr>
      <w:bookmarkStart w:id="256" w:name="__RefHeading___Toc3425511_3224264995"/>
      <w:bookmarkStart w:id="257" w:name="_Toc96"/>
      <w:bookmarkEnd w:id="256"/>
      <w:r>
        <w:rPr>
          <w:rtl w:val="true"/>
        </w:rPr>
        <w:t>جواز الترخیص فی بعض أطراف العلم الإجمالی إثباتاً</w:t>
      </w:r>
      <w:bookmarkEnd w:id="2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أدلّة البراءة، کحدیث الرفع</w:t>
      </w:r>
      <w:r>
        <w:rPr>
          <w:rStyle w:val="FootnoteAnchor"/>
          <w:rtl w:val="true"/>
        </w:rPr>
        <w:footnoteReference w:id="293"/>
      </w:r>
      <w:r>
        <w:rPr>
          <w:rFonts w:ascii="Amiri" w:hAnsi="Amiri" w:eastAsia="Amiri" w:cs="Amiri"/>
          <w:color w:val="111111"/>
          <w:sz w:val="28"/>
          <w:sz w:val="28"/>
          <w:szCs w:val="28"/>
          <w:rtl w:val="true"/>
          <w:lang w:bidi="ar-SA"/>
        </w:rPr>
        <w:t>و السعة</w:t>
      </w:r>
      <w:r>
        <w:rPr>
          <w:rStyle w:val="FootnoteAnchor"/>
          <w:rtl w:val="true"/>
        </w:rPr>
        <w:footnoteReference w:id="294"/>
      </w:r>
      <w:r>
        <w:rPr>
          <w:rFonts w:ascii="IRNazanin" w:hAnsi="IRNazanin" w:eastAsia="IRNazanin"/>
          <w:color w:val="111111"/>
          <w:sz w:val="28"/>
          <w:sz w:val="28"/>
          <w:szCs w:val="28"/>
          <w:rtl w:val="true"/>
          <w:lang w:bidi="fa-IR"/>
        </w:rPr>
        <w:t>فالظاهر عدم شمولها للمقام؛ لما وافاک من أنّ المراد من العلم فی المقام لیس العلم الوجدانی، بل المراد هو الحجّة</w:t>
      </w:r>
      <w:r>
        <w:rPr>
          <w:rStyle w:val="FootnoteAnchor"/>
          <w:rtl w:val="true"/>
        </w:rPr>
        <w:footnoteReference w:id="295"/>
      </w:r>
      <w:r>
        <w:rPr>
          <w:rFonts w:ascii="IRNazanin" w:hAnsi="IRNazanin" w:eastAsia="IRNazanin"/>
          <w:color w:val="111111"/>
          <w:sz w:val="28"/>
          <w:sz w:val="28"/>
          <w:szCs w:val="28"/>
          <w:rtl w:val="true"/>
          <w:lang w:bidi="fa-IR"/>
        </w:rPr>
        <w:t>، و المفروض أنّ الحجّة قائمة علی الحرمة، و قد تقدّم أنّه لا یقال للرجل الذی قامت الحجّة عنده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حجّة اخری وراء الأمارة؛ و هو حکم العقل بوجوب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حال الاستصحاب؛ فإنّ المراد من الیقین الواقع فی کبریات الاستصحاب هو الحجّة، فمعنی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لا تنقض الحجّة باللاحجّة، بل انقضه بحجّة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حصول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حکم العقل بوجوب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له لتحقّق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فی أطراف العلم قامت علی الواقع فی البین، لا علی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قامت علی الواقع فی البین، و هی حجّة علی کلّ من الأطراف لو صادفت الواقع، و معه یکون کلّ من الأطراف من الشبهة المصداقیة لأدلّة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دعوی انصراف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الساذج لا المقرون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موثّقة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أنّها مشتملة علی أمثلة لیست من صغریاتها</w:t>
      </w:r>
      <w:r>
        <w:rPr>
          <w:rStyle w:val="FootnoteAnchor"/>
          <w:rtl w:val="true"/>
        </w:rPr>
        <w:footnoteReference w:id="296"/>
      </w:r>
      <w:r>
        <w:rPr>
          <w:rFonts w:ascii="IRNazanin" w:hAnsi="IRNazanin" w:eastAsia="IRNazanin"/>
          <w:color w:val="111111"/>
          <w:sz w:val="28"/>
          <w:sz w:val="28"/>
          <w:szCs w:val="28"/>
          <w:rtl w:val="true"/>
          <w:lang w:bidi="fa-IR"/>
        </w:rPr>
        <w:t>، فعلی ذلک لا یبقی للکبری المذکورة فیها ظهور فی کونها ضابطاً فقهیاً مطّرداً فی الأبواب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روایات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غیر صحیحة عبد اللَّه بن سنان</w:t>
      </w:r>
      <w:r>
        <w:rPr>
          <w:rStyle w:val="FootnoteAnchor"/>
          <w:rtl w:val="true"/>
        </w:rPr>
        <w:footnoteReference w:id="297"/>
      </w:r>
      <w:r>
        <w:rPr>
          <w:rFonts w:ascii="IRNazanin" w:hAnsi="IRNazanin" w:eastAsia="IRNazanin"/>
          <w:color w:val="111111"/>
          <w:sz w:val="28"/>
          <w:sz w:val="28"/>
          <w:szCs w:val="28"/>
          <w:rtl w:val="true"/>
          <w:lang w:bidi="fa-IR"/>
        </w:rPr>
        <w:t>مخدوش من حیث السند</w:t>
      </w:r>
      <w:r>
        <w:rPr>
          <w:rStyle w:val="FootnoteAnchor"/>
          <w:rtl w:val="true"/>
        </w:rPr>
        <w:footnoteReference w:id="298"/>
      </w:r>
      <w:r>
        <w:rPr>
          <w:rFonts w:ascii="IRNazanin" w:hAnsi="IRNazanin" w:eastAsia="IRNazanin"/>
          <w:color w:val="111111"/>
          <w:sz w:val="28"/>
          <w:sz w:val="28"/>
          <w:szCs w:val="28"/>
          <w:rtl w:val="true"/>
          <w:lang w:bidi="fa-IR"/>
        </w:rPr>
        <w:t>، بل لا یبعد ورودها فی الشبهة الغیر المحصورة، کما یشهد به بعضها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أمّا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حلّ ما اختلط الحلال بالحرام جمیعاً، و لو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مفاده 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لها مفاد بالنسبة إلی الترخیص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دلالتها علی الترخیص فی بعض الأطراف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عموماً أفرادیاً و إطلاقاً أحوالیاً بالنسبة إلی حال ترک الآخر و فعله؛ فیقتصر فی التقیید علی القدر المتیقّن، فیصیر النتیجة هی الترخیص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صحیح جدّاً؛ لأنّ هذا التقریب إنّما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لا فی المقام؛ لأنّ مصادیق العموم الأفرادی فی الصحیحة إنّما هو کلّ مختلط؛ أی کلّ فرد فرد من أفراد الاجتماع الذی فیه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أطراف المعلوم بالإجمال فلیس فی کلّ واحد منها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الحکم فیها هو کلّ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الحلّ لها و إطلاقها الأحوالی یقتضی الحلّیة فی کلّ مختلط؛ ارتکب المختلط الآخر أو لا، و مقتضی التقیید هو الإجازة فی المخالفة القطعیة فی بعض المصادیق حال ترک البعض، و هو خلاف المقصود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أجزاء کلّ مختلط فلا حکم مستقلًّا حتّی یؤخذ بإطلاقه، بل حکم واحد مجعول لکلّ مجتمع فیه الحلال و الحرام، و الأجزاء محکوم بهذا الحکم الوحدانی، فلا معنی للإطلاق المتقدّم فیها</w:t>
      </w:r>
      <w:r>
        <w:rPr>
          <w:rFonts w:eastAsia="IRNazanin" w:cs="IRNazanin"/>
          <w:color w:val="111111"/>
          <w:sz w:val="28"/>
          <w:szCs w:val="28"/>
          <w:rtl w:val="true"/>
          <w:lang w:bidi="fa-IR"/>
        </w:rPr>
        <w:t>.</w:t>
      </w:r>
      <w:bookmarkStart w:id="258" w:name="pg12912_111789"/>
    </w:p>
    <w:p>
      <w:pPr>
        <w:pStyle w:val="Heading6"/>
        <w:numPr>
          <w:ilvl w:val="5"/>
          <w:numId w:val="1"/>
        </w:numPr>
        <w:rPr/>
      </w:pPr>
      <w:bookmarkStart w:id="259" w:name="__RefHeading___Toc3425513_3224264995"/>
      <w:bookmarkStart w:id="260" w:name="_Toc97"/>
      <w:bookmarkEnd w:id="258"/>
      <w:bookmarkEnd w:id="259"/>
      <w:r>
        <w:rPr>
          <w:rtl w:val="true"/>
        </w:rPr>
        <w:t>حول استفادة الترخیص فی بعض الأطراف من الأدلّة العامّة</w:t>
      </w:r>
      <w:bookmarkEnd w:id="260"/>
    </w:p>
    <w:p>
      <w:pPr>
        <w:pStyle w:val="Heading6"/>
        <w:numPr>
          <w:ilvl w:val="5"/>
          <w:numId w:val="1"/>
        </w:numPr>
        <w:rPr/>
      </w:pPr>
      <w:bookmarkStart w:id="261" w:name="__RefHeading___Toc3425515_3224264995"/>
      <w:bookmarkStart w:id="262" w:name="_Toc98"/>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ثمّ إنّه علی القول بعدم انصراف أدلّة الاصول عن العلم الإجمالی وقع الکلام فی کیفیة استفادة الترخیص عن أدلّة العامّة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بیانها وجوه ربّما اعتمد علیها المشایخ العظام، و إلیک بیانها و أجوبتها</w:t>
      </w:r>
      <w:r>
        <w:rPr>
          <w:rFonts w:eastAsia="IRNazanin" w:cs="IRNazanin"/>
          <w:color w:val="111111"/>
          <w:sz w:val="28"/>
          <w:szCs w:val="28"/>
          <w:rtl w:val="true"/>
          <w:lang w:bidi="fa-IR"/>
        </w:rPr>
        <w:t>:</w:t>
      </w:r>
    </w:p>
    <w:p>
      <w:pPr>
        <w:pStyle w:val="Heading6"/>
        <w:numPr>
          <w:ilvl w:val="5"/>
          <w:numId w:val="1"/>
        </w:numPr>
        <w:rPr/>
      </w:pPr>
      <w:bookmarkStart w:id="263" w:name="__RefHeading___Toc3425517_3224264995"/>
      <w:bookmarkStart w:id="264" w:name="_Toc99"/>
      <w:bookmarkEnd w:id="263"/>
      <w:r>
        <w:rPr>
          <w:rtl w:val="true"/>
        </w:rPr>
        <w:t>الوجه الأوّل</w:t>
      </w:r>
      <w:r>
        <w:rPr>
          <w:rtl w:val="true"/>
        </w:rPr>
        <w:t>:</w:t>
      </w:r>
      <w:bookmarkEnd w:id="264"/>
    </w:p>
    <w:p>
      <w:pPr>
        <w:pStyle w:val="BookText"/>
        <w:rPr/>
      </w:pPr>
      <w:r>
        <w:rPr>
          <w:rFonts w:ascii="IRNazanin" w:hAnsi="IRNazanin" w:eastAsia="IRNazanin"/>
          <w:color w:val="111111"/>
          <w:sz w:val="28"/>
          <w:sz w:val="28"/>
          <w:szCs w:val="28"/>
          <w:rtl w:val="true"/>
          <w:lang w:bidi="fa-IR"/>
        </w:rPr>
        <w:t>ما نقله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عموم الأدلّة الترخیص فی کلّ من الأطراف، غایة ما هنا وجوب التخصیص بحکم العقل بمقدار لا یلزم منه الإذن فی المعصیة، و حیث لا ترجیح لإخراج واحد معیّن من عموم الأدلّة نحکم بخروج البعض لا بعینه و بقاء الباقی کذلک؛ حفظاً لأصالة العموم فیما لم یدلّ دلیل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البعض الغیر المعیّن لا یکون موضوعاً للعامّ من أوّل الأمر حتّی یحفظ العموم بالنسبة إلیه؛ لأنّ موضوعه هو المعیّنات، فالحکم بالترخیص فی البعض المبهم یحتاج إلی دلیل آخر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3425519_3224264995"/>
      <w:bookmarkStart w:id="266" w:name="_Toc100"/>
      <w:bookmarkEnd w:id="265"/>
      <w:r>
        <w:rPr>
          <w:rtl w:val="true"/>
        </w:rPr>
        <w:t>الوجه الثانی</w:t>
      </w:r>
      <w:r>
        <w:rPr>
          <w:rtl w:val="true"/>
        </w:rPr>
        <w:t>:</w:t>
      </w:r>
      <w:bookmarkEnd w:id="2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نقله أیضاً و أوضحه هو قدس سره، و بما أنّه مذکور بطوله فی کتابه الشریف فلیرجع إلیه من شاء</w:t>
      </w:r>
      <w:r>
        <w:rPr>
          <w:rStyle w:val="FootnoteAnchor"/>
          <w:rtl w:val="true"/>
        </w:rPr>
        <w:footnoteReference w:id="302"/>
      </w:r>
      <w:r>
        <w:rPr>
          <w:rFonts w:ascii="IRNazanin" w:hAnsi="IRNazanin" w:eastAsia="IRNazanin"/>
          <w:color w:val="111111"/>
          <w:sz w:val="28"/>
          <w:sz w:val="28"/>
          <w:szCs w:val="28"/>
          <w:rtl w:val="true"/>
          <w:lang w:bidi="fa-IR"/>
        </w:rPr>
        <w:t>و إن أوضحناه فی الدورة السابقة</w:t>
      </w:r>
      <w:r>
        <w:rPr>
          <w:rStyle w:val="FootnoteAnchor"/>
          <w:rtl w:val="true"/>
        </w:rPr>
        <w:footnoteReference w:id="303"/>
      </w:r>
      <w:bookmarkStart w:id="267" w:name="pg12912_111790"/>
    </w:p>
    <w:p>
      <w:pPr>
        <w:pStyle w:val="Heading6"/>
        <w:numPr>
          <w:ilvl w:val="5"/>
          <w:numId w:val="1"/>
        </w:numPr>
        <w:rPr/>
      </w:pPr>
      <w:bookmarkStart w:id="268" w:name="__RefHeading___Toc3425521_3224264995"/>
      <w:bookmarkStart w:id="269" w:name="_Toc101"/>
      <w:bookmarkEnd w:id="267"/>
      <w:bookmarkEnd w:id="268"/>
      <w:r>
        <w:rPr>
          <w:rtl w:val="true"/>
        </w:rPr>
        <w:t>الوجه الثالث</w:t>
      </w:r>
      <w:r>
        <w:rPr>
          <w:rtl w:val="true"/>
        </w:rPr>
        <w:t>:</w:t>
      </w:r>
      <w:bookmarkEnd w:id="269"/>
    </w:p>
    <w:p>
      <w:pPr>
        <w:pStyle w:val="BookText"/>
        <w:rPr/>
      </w:pPr>
      <w:r>
        <w:rPr>
          <w:rFonts w:ascii="IRNazanin" w:hAnsi="IRNazanin" w:eastAsia="IRNazanin"/>
          <w:color w:val="111111"/>
          <w:sz w:val="28"/>
          <w:sz w:val="28"/>
          <w:szCs w:val="28"/>
          <w:rtl w:val="true"/>
          <w:lang w:bidi="fa-IR"/>
        </w:rPr>
        <w:t xml:space="preserve">ما أفاده بعض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و أوضحه عدّة من المشایخ؛ منهم شیخنا العلّامة</w:t>
      </w:r>
      <w:r>
        <w:rPr>
          <w:rStyle w:val="FootnoteAnchor"/>
          <w:rtl w:val="true"/>
        </w:rPr>
        <w:footnoteReference w:id="305"/>
      </w:r>
      <w:r>
        <w:rPr>
          <w:rFonts w:ascii="IRNazanin" w:hAnsi="IRNazanin" w:eastAsia="IRNazanin"/>
          <w:color w:val="111111"/>
          <w:sz w:val="28"/>
          <w:sz w:val="28"/>
          <w:szCs w:val="28"/>
          <w:rtl w:val="true"/>
          <w:lang w:bidi="fa-IR"/>
        </w:rPr>
        <w:t>و بعض أعاظم العصر</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أدلّة الاصول إلی کلّ واحد من الأطراف و إن کانت علی حدّ سواء، لکن لا یقتضی ذلک سقوطها عن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المرخّصة کما یکون لها عموم أفرادی بالنسبة إلی کلّ مشتبه، کذلک یکون لهما إطلاق أحوالی بالنسبة إلی حالات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مشتبه 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المکلّف بالآخر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یقع التزاحم بین إطلاقهما لا أصلهما؛ فإنّ الترخیص فی کلّ واحد منهما فی حال ترک الآخر ممّا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فالمخالفة العملیة إنّما نشأت من إطلاق الحجّیة، فلا بدّ من رفع الید عن إطلاقهما لا أصلهما، فتصیر النتیجة الإذن فی کلّ واحد مشروطاً بترک الآخر، و هذا مساوق للترخیص التخییری، و هذا نظیر باب التزاحم و حجّیة الأمارات علی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أنّ ما یصحّ الاعتماد به من الأدلّة إنّما هو صحیحة عبد اللَّه بن سنان، و أمّا الباقی فقد عرفت فیه الضعف فی السند أو فی الدلالة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الموضوع فیها غیر الموضوع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الموضوع فی الثانی إنّما هو کلّ فردٍ فردٍ أو کلّ جزءٍ جزءٍ، فیقال فی الحرام المختلط بالحلال بحلّیة کلّ جزء، فلو</w:t>
      </w:r>
    </w:p>
    <w:p>
      <w:pPr>
        <w:pStyle w:val="BookText"/>
        <w:rPr/>
      </w:pPr>
      <w:r>
        <w:rPr>
          <w:rFonts w:ascii="IRNazanin" w:hAnsi="IRNazanin" w:eastAsia="IRNazanin"/>
          <w:color w:val="111111"/>
          <w:sz w:val="28"/>
          <w:sz w:val="28"/>
          <w:szCs w:val="28"/>
          <w:rtl w:val="true"/>
          <w:lang w:bidi="fa-IR"/>
        </w:rPr>
        <w:t xml:space="preserve">صحّ ما ذکر من التقریب لصحّ تقییده بما ذکر من ترک الآخر، و أمّا الصحیحة فما هو الموضوع لیس إلّا کون الشی‌ء فیه الحلال و الحرام بالفعل، و هو لیس إلّا مجموع المختلط، 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الشی‌ء المقیّد بأنّ فیه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غیر الصحیحة هو کلّ جزء جزء مستقلًّا، و أمّا فیها فلیس کلّ جزء محکوماً بالحلّیة بالاستقلال، بل الموضوع هو نفس المجموع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الإطلاق فیها فلا بدّ أن یکون مصبّه ما هو الموضوع؛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المختلط محکوم بالحلّیة؛ سواء کان المختلط الآخر محکوماً بها أو لا، فلو قیّد بحکم العقل یصیر نتیجة التقیید هو حلّیة هذا المختلط عند ترک المختلط الآخر، و هو خلاف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الجزء محکوم بالحلّیة؛ سواء کان الجزء الآخر محکوماً أو لا؛ حتّی یصیر نتیجة التقیید بحکم العقل ما ادّعی من جواز ارتکاب هذا الجزء عند ترک الآخر؛ لأنّ الجزء لیس محکوماً بحکم حتّی یقع مصبّ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جریان الصحیحة فی الإنائین المشتبهین فالمحکوم بالحلّیة إنّما هو الکلّ، لا کلّ واحد منهما حتّی یؤخذ بإطلاقه الأحوالی و یقیّد بمقدار ما دلّ علیه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فی إطلاق الأدلّة بنحو ما ذکر کلاماً و إشکالًا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قد أجاب عنه بکلام طویل، و نحن نذکر خلاصة مرماه،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التی نقول فیها بالتخییر مع عدم قیام دلیل علیه بالخصوص لا تخلو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لاقتضاء الدلیل الدالّ علی الحکم التخییرَ فی العمل، و إمّا اقتضاء المنکشف و المدلول ذلک؛ و إن کان الدلیل یقتضی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بخروج زید و عمرو عن العامّ، و شکّ فی أنّ خروجهما هل هو علی وجه الإطلاق، أو أنّ خروج کلّ واحد مشروط بحال إکرام الآخر؛ بحیث یلزم من خروج أحدهما دخول الآخر، فیدور الأمر بین کون المخصّص أفرادیاً و أحوالیاً، أو أحوالیاً فقط، فلا بدّ من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نشأ ذلک من اجتماع دلیل العامّ و إجمال المخصّص و وجوب الاقتصار علی القدر المتیقّن فی التخصیص، و لیس التخییر لأجل اقتضاء المجعول، بل المجعول فی کلّ من العامّ و الخاصّ هو الحکم التعیینی، و التخییر نشأ من ناحیة الدلیل لا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تزاحم الواجبان فی مقام الامتثال؛ لعدم القدرة علی الجمع بینهما؛ فإنّ التخییر فی باب التزاحم إنّما هو لأجل أنّ المجعول فی باب التکالیف معنیً یقتضی التخییر؛ لاعتبار القدرة فی امتثالها، و المفروض حصول القدرة علی امتثال کلّ من المتزاحمین عند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ترجیح فی البین، و کلّ تکلیف یستدعی نفی الموانع عن متعلّقه و حفظ القدرة علیه فالعقل یستقلّ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القدرة فی أحدهما تخییراً؛ إمّا لأجل تقیید التکلیف فی کلّ منهما بحال عدم امتثال الآخر، و إمّا لأجل سقوط التکلیفین و استکشاف العقل حکماً تخییریاً لوجود الملاک التامّ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علی التخییر فیها إذا تعارضت؛ لا من ناحیة الدلیل؛ فإنّ دلیل اعتبار کلّ أصل إنّما یقتضی جریانه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عارضه أصل آخر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ناحیة المدلول؛ فلأنّ المجعول فیها لیس إلّا الحکم بتطبیق العمل علی مؤدّی الأصل مع انحفاظ رتبة الحکم الظاهری باجتماع القیود الثلاثة؛ و هی الجهل</w:t>
      </w:r>
    </w:p>
    <w:p>
      <w:pPr>
        <w:pStyle w:val="BookText"/>
        <w:rPr/>
      </w:pPr>
      <w:r>
        <w:rPr>
          <w:rFonts w:ascii="IRNazanin" w:hAnsi="IRNazanin" w:eastAsia="IRNazanin"/>
          <w:color w:val="111111"/>
          <w:sz w:val="28"/>
          <w:sz w:val="28"/>
          <w:szCs w:val="28"/>
          <w:rtl w:val="true"/>
          <w:lang w:bidi="fa-IR"/>
        </w:rPr>
        <w:t>بالواقع و إمکان الحکم علی المؤدّی بأنّه الواقع و عدم 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یلزم من جریان الاصول فی أطراف العلم الإجمالی مخالفة عملیة فلا یمکن جعلها جمیعاً، و کون المجعول أحدها تخییراً و إن کان ممکناً إلّا أنّه لا دلیل علیه</w:t>
      </w:r>
      <w:r>
        <w:rPr>
          <w:rStyle w:val="FootnoteAnchor"/>
          <w:rtl w:val="true"/>
        </w:rPr>
        <w:footnoteReference w:id="30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 نذکر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أنّ التخییر فی الصورة الاولی من ناحیة الکاشف لا المنکشف؛ قائلًا بأنّ المجعول فی کلّ من العامّ و الخاصّ هو الحکم التعیینی، لیس فی محلّه؛ إذ لو کان المجعول فی المخصّص أمراً تعیینیاً لم یبق مجال للشکّ؛ لأنّ المفروض أنّ زیداً و عمراً قد خرجا عن تحت العامّ بنحو التعیین، فلا وجه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مناص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الباعث للشکّ هو احتمال کون المجعول فی المخصّص أمراً ینطبق علی التخییر؛ بأن یتردّد المجعول بین خروج کلّ فرد مستقلًّا أو خروج کلّ واحد مشروطاً بعدم خروج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 فی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العامّ حجّة فی أفراد العامّ و أحواله فلازم ذلک الاکتفاء بما هو القدر المتیقّن؛ أعنی خروج کلّ عند عدم خروج الآخر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للتخییر إنّما هو دوران الأمر فی المخصّص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خروج الفردین مطلقاً أو خروج کلّ منهما مشروطاً بدخول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القدر المتیقّن من التصرّف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علمنا بخروج زید، و تردّد بین کونه زید بن عمرو أو زید بن بکر نحکم بالتخییر، لا من جهة الکاشف و لا المنکشف، بل من جهة حکم العقل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التخییر بین المتزاحمین فی الصورة الثانیة من ناحیة المجعول غیر صحیح، بل التخییر من ناحیة الکاشف و الدلیل؛ ضرورة أنّ المجعول فی المتزاحمین هو التعیین؛ لتعلّق الإرادة بکلّ واحد کذلک، غیر أنّ عجز العبد عن القیام بکلتا الوظیفتین أوجب حکم العقل بالتخییر؛ لملاحظة أنّ العامّ له إطلاق أحوالی، و کون المکلّف عاجزاً عن القیام بکلا المتزاحمین یوجب الاقتصار علی القدر المتیقّن 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نشأ من إطلاق الدلیل، و عدم الدلیل علی التصرّف فیه، إلّا بمقدار یحکم العقل بامتناع العمل بالعامّ؛ و هو الأخذ بالإطلاق الأحوالی فی کلا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التصرّف فیه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متقیّدة بالقدرة، فإن ارید منه تقییدها بالقدرة شرعاً حتّی یصیر عامّة الواجبات تکلیفاً مشروطاً فهو کما تری، و إن ارید أنّ التنجّز إنّما هو فی ظرف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تبعاته من الثواب و العقاب فی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متین، غیر أنّ ذلک لا یوجب أن یکون المجعول فی رتبة الجعل أمراً تخییریاً؛ ضرورة أنّ المقنّن لا نظر له إلی مقام الامتثال، بل هو أمر خارج عن حیطة الشارع المقنّن، بل هو من الامور التی زمامها بید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ورود خطاب من الشارع فی مقام الامتثال فهو خطاب لا بما هو مشرّع، بل یتکلّم من جانب العقلاء مع قطع النظر عن کونه مشرّعاً و مقنّناً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الصورة الاولی و الثانیة إلّا من ناحیة المخصّص؛ فإنّ المخصّص فی الاولی دلیل لفظی مجمل دائر بین الأقلّ و الأکثر، و فی الثانیة عقلی یحکم بخروج القدر المتیقّن من العامّ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بنینا علی أنّ التکلیفین یسقطان معاً، و یستکشف العقل لأجل الملاک</w:t>
      </w:r>
    </w:p>
    <w:p>
      <w:pPr>
        <w:pStyle w:val="BookText"/>
        <w:rPr/>
      </w:pPr>
      <w:r>
        <w:rPr>
          <w:rFonts w:ascii="IRNazanin" w:hAnsi="IRNazanin" w:eastAsia="IRNazanin"/>
          <w:color w:val="111111"/>
          <w:sz w:val="28"/>
          <w:sz w:val="28"/>
          <w:szCs w:val="28"/>
          <w:rtl w:val="true"/>
          <w:lang w:bidi="fa-IR"/>
        </w:rPr>
        <w:t>التامّ حکماً تخییریاً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بینهما إنّما یکون لأجل المدلول، لا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علی خلاف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بین الأصلین المتعارضین من مقتضیات الدلیل و الکاشف، و من مقتضیات المنکشف و المدلول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إلی آخره یدلّ علی حلّیة کلّ مشتبه، و له عموم أفرادی و إطلاق أحوالی، و لکن الإذن فی حلّیة کلّ واحد یوجب الإذن فی المعصیة و الترخیص فی مخالفة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الموجب لذلک هو إطلاق دلیل الأصلین لا عمومه فیقتصر فی مقام العلاج إلی تقییده؛ و هو حلّیة ذاک عند عدم حلّیة الآخر؛ حتّی لا یلزم خروج کلّ فرد علی نحو الإطلاق، فیکون مرجع الشکّ إلی الجهل بمقدار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فالعموم حجّة حتّی یجی‌ء الأمر البیّن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الموجب للتخییر فی الصورة الاولی هو اجتماع دلیل العامّ و إجمال دلیل الخاصّ بضمیمة وجوب الاقتصار علی القدر المتیقّن فی التخصیص، کذلک اجتماع دلیل الاصول مع لزوم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دورانه بین خروج الفردین مطلقاً و فی جمیع الأحوال أو خروج کلّ منهما فی حال عدم ارتکاب الآخر موجب للتخییر فی المقام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نحن فیه أولی منه؛ لأنّ المخصّص هنا عقلی، و العقل یحکم بأنّ ما یوجب الامتناع هو إطلاق الدلیل لا عمومه الأفرادی، فلیس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دائراً بین الأقلّ و الأکثر، 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باتّاً</w:t>
      </w:r>
      <w:r>
        <w:rPr>
          <w:rFonts w:eastAsia="IRNazanin" w:cs="IRNazanin"/>
          <w:color w:val="111111"/>
          <w:sz w:val="28"/>
          <w:szCs w:val="28"/>
          <w:rtl w:val="true"/>
          <w:lang w:bidi="fa-IR"/>
        </w:rPr>
        <w:t>-</w:t>
      </w:r>
      <w:bookmarkStart w:id="270" w:name="pg12912_111796"/>
    </w:p>
    <w:p>
      <w:pPr>
        <w:pStyle w:val="BookText"/>
        <w:rPr/>
      </w:pPr>
      <w:bookmarkEnd w:id="270"/>
      <w:r>
        <w:rPr>
          <w:rFonts w:ascii="IRNazanin" w:hAnsi="IRNazanin" w:eastAsia="IRNazanin"/>
          <w:color w:val="111111"/>
          <w:sz w:val="28"/>
          <w:sz w:val="28"/>
          <w:szCs w:val="28"/>
          <w:rtl w:val="true"/>
          <w:lang w:bidi="fa-IR"/>
        </w:rPr>
        <w:t>بأنّ ملاک التصرّف فی أدلّة الحلّیة لیس إلّا تقیید الإطلاق لا تخصیص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الحلّیة المستفادة من أدلّة الاصول مقیّدة بکون المکلّف قادراً حسب التشریع؛ أی عدم استلزامه المخالفة العملیة و الترخیص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عقلًا بعدم استلزامها الإذن فی المعصیة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 ما ذکره قدس سره طابق النعل بالنعل؛ من أنّ کلّ واحد من المتعارضین یقتضی صرف قدرة المکلّف فی متعلّقه و نفی الموانع عن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یکن للعبد إلّا صرف قدرته فی واحد منهما فیقع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نقول بسقوط التکلیفین و استکشاف العقل تکلیفاً تخییریاً، أو نقول بتقیید إطلاق کلّ منهما بحال امتثال الآخر، فیکون حال الاصول المتعارضة حال المتزاحمین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ما أفاده الأعلام، و قد طوینا الکلام عن بعض الوجوه؛ روماً للاختصار، و قد عرفت التحقیق فی جریان الاصول فی أطراف العلم کلًّا أو بعضاً، فراجع</w:t>
      </w:r>
      <w:r>
        <w:rPr>
          <w:rFonts w:eastAsia="IRNazanin" w:cs="IRNazanin"/>
          <w:color w:val="111111"/>
          <w:sz w:val="28"/>
          <w:szCs w:val="28"/>
          <w:rtl w:val="true"/>
          <w:lang w:bidi="fa-IR"/>
        </w:rPr>
        <w:t>.</w:t>
      </w:r>
    </w:p>
    <w:p>
      <w:pPr>
        <w:pStyle w:val="Heading6"/>
        <w:numPr>
          <w:ilvl w:val="5"/>
          <w:numId w:val="1"/>
        </w:numPr>
        <w:rPr/>
      </w:pPr>
      <w:bookmarkStart w:id="271" w:name="__RefHeading___Toc3425523_3224264995"/>
      <w:bookmarkStart w:id="272" w:name="_Toc102"/>
      <w:bookmarkEnd w:id="271"/>
      <w:r>
        <w:rPr>
          <w:rtl w:val="true"/>
        </w:rPr>
        <w:t>حول رجوع الترخیص فی البعض إلی جعل البدلیة</w:t>
      </w:r>
      <w:bookmarkEnd w:id="272"/>
    </w:p>
    <w:p>
      <w:pPr>
        <w:pStyle w:val="BookText"/>
        <w:rPr/>
      </w:pPr>
      <w:r>
        <w:rPr>
          <w:rFonts w:ascii="IRNazanin" w:hAnsi="IRNazanin" w:eastAsia="IRNazanin"/>
          <w:color w:val="111111"/>
          <w:sz w:val="28"/>
          <w:sz w:val="28"/>
          <w:szCs w:val="28"/>
          <w:rtl w:val="true"/>
          <w:lang w:bidi="fa-IR"/>
        </w:rPr>
        <w:t>ثمّ إنّه یظهر من الشیخ الأنصاری</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آخر</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بعض الأطراف یرجع فی الحقیقة إلی جعل الطرف الآخر بدلًا عن الواقع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بمکان من الغرابة؛ لعدم ملاک البدلیة فی الطرف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الطرف مباحاً فلیس فی ترکه ملاک البدلیة حتّی یکون بدلًا عنه</w:t>
      </w:r>
      <w:r>
        <w:rPr>
          <w:rFonts w:eastAsia="IRNazanin" w:cs="IRNazanin"/>
          <w:color w:val="111111"/>
          <w:sz w:val="28"/>
          <w:szCs w:val="28"/>
          <w:rtl w:val="true"/>
          <w:lang w:bidi="fa-IR"/>
        </w:rPr>
        <w:t>.</w:t>
      </w:r>
      <w:bookmarkStart w:id="273" w:name="pg12912_111797"/>
    </w:p>
    <w:p>
      <w:pPr>
        <w:pStyle w:val="BookText"/>
        <w:rPr/>
      </w:pPr>
      <w:bookmarkEnd w:id="273"/>
      <w:r>
        <w:rPr>
          <w:rFonts w:ascii="IRNazanin" w:hAnsi="IRNazanin" w:eastAsia="IRNazanin"/>
          <w:color w:val="111111"/>
          <w:sz w:val="28"/>
          <w:sz w:val="28"/>
          <w:szCs w:val="28"/>
          <w:rtl w:val="true"/>
          <w:lang w:bidi="fa-IR"/>
        </w:rPr>
        <w:t>و أسوأ منه لو کان الطرف مستحبّاً فی الشبهة التحریمیة أو مکروهاً فی الشبهة الوجوبیة، و لیس لترخیص الشارع سببیة لحصول الملاک؛ لا سیّما بالنسبة إلی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علی فرضه إنّما هو لمصلحة التسهیل أو مفسدة التضییق، من غیر تغییر فی الواقعیات بوجه، فهو راجع إلی الغمض عن التکلیف الواقعی علی بعض الفروض لأغراض أهمّ من حفظ الواقع فی هذا الحال</w:t>
      </w:r>
      <w:r>
        <w:rPr>
          <w:rFonts w:eastAsia="IRNazanin" w:cs="IRNazanin"/>
          <w:color w:val="111111"/>
          <w:sz w:val="28"/>
          <w:szCs w:val="28"/>
          <w:rtl w:val="true"/>
          <w:lang w:bidi="fa-IR"/>
        </w:rPr>
        <w:t>.</w:t>
      </w:r>
    </w:p>
    <w:p>
      <w:pPr>
        <w:pStyle w:val="Heading6"/>
        <w:numPr>
          <w:ilvl w:val="5"/>
          <w:numId w:val="1"/>
        </w:numPr>
        <w:rPr/>
      </w:pPr>
      <w:bookmarkStart w:id="274" w:name="__RefHeading___Toc3425525_3224264995"/>
      <w:bookmarkStart w:id="275" w:name="_Toc103"/>
      <w:bookmarkEnd w:id="274"/>
      <w:r>
        <w:rPr>
          <w:rtl w:val="true"/>
        </w:rPr>
        <w:t>تنجیز العلم الإجمالی فی التدریجیات</w:t>
      </w:r>
      <w:bookmarkEnd w:id="275"/>
    </w:p>
    <w:p>
      <w:pPr>
        <w:pStyle w:val="BookText"/>
        <w:rPr/>
      </w:pPr>
      <w:r>
        <w:rPr>
          <w:rFonts w:ascii="IRNazanin" w:hAnsi="IRNazanin" w:eastAsia="IRNazanin"/>
          <w:color w:val="111111"/>
          <w:sz w:val="28"/>
          <w:sz w:val="28"/>
          <w:szCs w:val="28"/>
          <w:rtl w:val="true"/>
          <w:lang w:bidi="fa-IR"/>
        </w:rPr>
        <w:t>ثمّ إنّ التحقیق فی منجّزیة العلم الإجمالی و سائر ما یقع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کون الأطراف حاصلًا فعلًا، و بین التدریجیات فی عمود الزمان؛ کان التکلیف مطلقاً أو معلّقاً أو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الأوّلین فواضح؛ لعدم الفرق لدی العقل بین حرمة مخالفة المولی قطعاً أو احتمالًا فی ارتکاب الأطراف المحقّقة فعلًا، أو فی ارتکابها مع تحقّقها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بحرمة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الحال أو فی زمان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بوجوب ترکه فی کلا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الواقعی منجّز علیه، بل و کذا الأمر فی الواجب المشروط؛ فإنّه مع العلم بتحقّق شرطه فی محلّه کالواجب المطلق من هذه الحیثیة، فتدبّر</w:t>
      </w:r>
      <w:r>
        <w:rPr>
          <w:rFonts w:eastAsia="IRNazanin" w:cs="IRNazanin"/>
          <w:color w:val="111111"/>
          <w:sz w:val="28"/>
          <w:szCs w:val="28"/>
          <w:rtl w:val="true"/>
          <w:lang w:bidi="fa-IR"/>
        </w:rPr>
        <w:t>.</w:t>
      </w:r>
    </w:p>
    <w:p>
      <w:pPr>
        <w:pStyle w:val="Heading5"/>
        <w:numPr>
          <w:ilvl w:val="4"/>
          <w:numId w:val="1"/>
        </w:numPr>
        <w:rPr/>
      </w:pPr>
      <w:bookmarkStart w:id="276" w:name="__RefHeading___Toc3425527_3224264995"/>
      <w:bookmarkStart w:id="277" w:name="_Toc104"/>
      <w:bookmarkEnd w:id="276"/>
      <w:r>
        <w:rPr>
          <w:rtl w:val="true"/>
        </w:rPr>
        <w:t>و ینبغی التنبیه علی امور</w:t>
      </w:r>
      <w:r>
        <w:rPr>
          <w:rtl w:val="true"/>
        </w:rPr>
        <w:t>:</w:t>
      </w:r>
      <w:bookmarkEnd w:id="27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8" w:name="__RefHeading___Toc3425529_3224264995"/>
      <w:bookmarkStart w:id="279" w:name="_Toc105"/>
      <w:bookmarkEnd w:id="278"/>
      <w:r>
        <w:rPr>
          <w:rtl w:val="true"/>
        </w:rPr>
        <w:t>اشارة</w:t>
      </w:r>
      <w:bookmarkStart w:id="280" w:name="pg12912_111798"/>
      <w:bookmarkEnd w:id="279"/>
    </w:p>
    <w:p>
      <w:pPr>
        <w:pStyle w:val="Heading6"/>
        <w:numPr>
          <w:ilvl w:val="5"/>
          <w:numId w:val="1"/>
        </w:numPr>
        <w:rPr/>
      </w:pPr>
      <w:bookmarkStart w:id="281" w:name="__RefHeading___Toc3425531_3224264995"/>
      <w:bookmarkStart w:id="282" w:name="_Toc106"/>
      <w:bookmarkEnd w:id="280"/>
      <w:bookmarkEnd w:id="281"/>
      <w:r>
        <w:rPr>
          <w:rtl w:val="true"/>
        </w:rPr>
        <w:t>الأمر الأوّل فیما إذا اضطرّ إلی أحد الأطراف</w:t>
      </w:r>
      <w:bookmarkEnd w:id="282"/>
    </w:p>
    <w:p>
      <w:pPr>
        <w:pStyle w:val="Heading6"/>
        <w:numPr>
          <w:ilvl w:val="5"/>
          <w:numId w:val="1"/>
        </w:numPr>
        <w:rPr/>
      </w:pPr>
      <w:bookmarkStart w:id="283" w:name="__RefHeading___Toc3425533_3224264995"/>
      <w:bookmarkStart w:id="284" w:name="_Toc10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تنجیز العلم الإجمالی کونه متعلّقاً بتکلیف فعلی صالح للاحتجاج، فی أیّ طرف اتّفق وجود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لو دار أمر المعلوم بالإجمال بین کونه فعلیاً إذا کان فی طرفٍ و إنشائیاً فی طرفٍ آخر، أو غیر صالح للاحتجاج به لما یوجب تنجیزاً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یقع البحث فی تنجّزه إذا کان المکلّف مضطرّاً إلی بعض الأطراف، و لا بدّ من بیان أقسامه ثمّ توضیح أحکامها،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الاضطرار قبل تعلّق التکلیف بأحدها و قبل 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تعلّقه و قبل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تعلّق التکلیف 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مقارناً لهما أو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بالخطاب و قبل تنجّز التکلیف، کما فی العلم بواجب مشروط قبل حصول شرطه، ثمّ حصل الاضطرار إلی بعض الأطراف، ثمّ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الخمسة قد یکون الاضطرار إلی أحدها المعیّن و اخری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التقادیر قد یکون الاضطرار عقلیاً و نتکلّم فیه مع قطع النظر عن حدیث الرفع، و قد یکون عادیاً مشمولًا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نتکلّم مع النظر إلیه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فی جمیع التقادیر ما إذا کان الاضطرار بمقدار المعلوم أو</w:t>
      </w:r>
      <w:bookmarkStart w:id="285" w:name="pg12912_111799"/>
    </w:p>
    <w:p>
      <w:pPr>
        <w:pStyle w:val="BookText"/>
        <w:rPr/>
      </w:pPr>
      <w:bookmarkEnd w:id="285"/>
      <w:r>
        <w:rPr>
          <w:rFonts w:ascii="IRNazanin" w:hAnsi="IRNazanin" w:eastAsia="IRNazanin"/>
          <w:color w:val="111111"/>
          <w:sz w:val="28"/>
          <w:sz w:val="28"/>
          <w:szCs w:val="28"/>
          <w:rtl w:val="true"/>
          <w:lang w:bidi="fa-IR"/>
        </w:rPr>
        <w:t>الزائد منه، و إلّا فلا تأثیر له فی سقوط العلم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فلنذکر من تلک الأقسام ما هو الأهمّ حکماً و ألزم بیاناً و توضیحاً، فنقول</w:t>
      </w:r>
      <w:r>
        <w:rPr>
          <w:rFonts w:eastAsia="IRNazanin" w:cs="IRNazanin"/>
          <w:color w:val="111111"/>
          <w:sz w:val="28"/>
          <w:szCs w:val="28"/>
          <w:rtl w:val="true"/>
          <w:lang w:bidi="fa-IR"/>
        </w:rPr>
        <w:t>:</w:t>
      </w:r>
    </w:p>
    <w:p>
      <w:pPr>
        <w:pStyle w:val="Heading6"/>
        <w:numPr>
          <w:ilvl w:val="5"/>
          <w:numId w:val="1"/>
        </w:numPr>
        <w:rPr/>
      </w:pPr>
      <w:bookmarkStart w:id="286" w:name="__RefHeading___Toc3425535_3224264995"/>
      <w:bookmarkStart w:id="287" w:name="_Toc108"/>
      <w:bookmarkEnd w:id="286"/>
      <w:r>
        <w:rPr>
          <w:rtl w:val="true"/>
        </w:rPr>
        <w:t>فی الاضطرار إلی بعض الأطراف المعیّن</w:t>
      </w:r>
      <w:bookmarkEnd w:id="2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الاضطرار إلی بعض الأطراف معیّناً قبل تعلّق التکلیف أو بعده و قبل العلم به، فلا إشکال فی عدم وجوب الاجتناب عن الآخر؛ سواء کان الاضطرار عقلیاً أو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مسلک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الأعذار العقلیة أو الشرعیة یوجب سقوط الأحکام عن الفعلیة فواضح؛ لأنّ العلم بتکلیف دائر أمره بین کونه إنشائیاً لو صادف مورد الاضطرار، و فعلیاً لو کان فی الطرف الآخر لا یوجب علماً بالتکلیف الفعلی علی أیّ تقدیر، فلا معنی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المختار فی باب الأعذار من بقاء الأحکام علی فعلیاتها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المکلّف عاجزاً أو قادراً، مختاراً کان أو مضطرّاً، من دون أن یکون الاضطرار موجباً لتحدید التکلیف و تقیید فعلیته، غایة الأمر یکون المکلّف معذوراً فی ترک الواجب أو ارتکاب الحرام، و لأجل ذلک قلنا بلزوم الاحتیاط عند الشکّ فی القدرة، إلی أن یقف علی عذر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بلزوم الاجتناب عن الطرف الآخر؛ لحصول العلم بالتکلیف الفعلی بعد الاضطرار، و المفروض عدم ارتفاعه بحدوث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الخمر فی ذاک الطرف غیر المضطرّ إلیه لزم الاجتناب عنه قطعاً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فارتکاب عامّة الأطراف مخالفة عملیة بلا عذر للتکلیف علی فرض وجوده فی ذاک الطرف، فیجب الاجتناب عنه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نزّلت المقام بما لو علم العبد بالتکلیف الفعلی و شکّ فی قدرته، و قد تقدّم أنّه لیس معذوراً فی ذلک، بل لا بدّ من العلم بالعذر، و لیس له الاکتفاء بالشکّ مع العلم بالتکلیف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فإنّ العلم الإجمالی قد تعلّق بالتکلیف الفعلی، و المکلّف شاکّ فی کونه مضطرّاً إلی الإتیان بمتعلّق التکلیف، فیکون من قبیل الشکّ فی القدرة، فیجب له الاحتیاط، من غیر فرق فی ذلک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بین المقامین؛ فإنّ التکلیف هناک قطعی و الشکّ فی وجود العذر، و أمّا المقام فالتکلیف و إن کان محقّقاً إلّا أنّ العذر مقطوع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بعد ما وقف علی 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المقیّد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له الاحتیاط و ترک المساهلة حتّی یجیب أمر المولی بامتثال قطعی أو عذر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أجاب أمر المولی بالشکّ فی القدرة فقد أجابه بما یشکّ کونه عذراً عند العقل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فإنّ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فی المقام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أسمعناک من أنّ الاضطرار عذر فی الطرف المضطرّ إلیه دون الطرف الآخر، و أنّ مرجع ذلک إلی الشکّ فی العذریة؛ لأنّ التکلیف لو کان فی الطرف المضطرّ إلیه فهو عذر قطعاً، و لو کان فی الطرف الآخر فهو غیر معذور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أنّ الحرام فی أیّ الطرفین یلازم الشکّ فی وجود العذر فی ذلک الطرف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بما عرفت فی صدر المسألة من أنّ المیزان فی تنجیز العلم الإجمالی أن یتعلّق العلم بشی‌ء لو تعلّق به العلم التفصیلی لتنجّز علیه التکلیف، فلو تعلّق العلم الإجمالی علی أمر مردّد بین الإنشائی و الفعلی فلا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فمتعلّق العلم و إن کان حکماً فعلیاً إلّا أنّ مجرّد کونه فعلیاً لا یثمر، بل لا بدّ أن یتعلّق بحکم فعلی صالح للاحتجاج مطلقاً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القید مفقود فی المقام؛ حیث إنّه لم یتعلّق بما هو صالح له مطلقاً؛ بحیث لو ارتفع الإجمال لتنجّز التکلیف، بل هو صالح للاحتجاج علی وجه، و غیر صالح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إلی عدم العلم بالصالح مطلقاً، و معه لا یوجب تنجیزاً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الشکّ فی القدرة أو الاضطرار مع العلم بالتکلیف، و بین العلم بالعجز أو الاضطرار مع الشکّ فی انطباقه علی مورد التکلیف أو غیره؛ فإنّ العلم بالعجز و الاضطرار یکون عذراً وجدانیاً، فلم یتعلّق علم العبد بتکلیف فعلی لا یکون معذوراً فیه، و لکن الشکّ فی العجز لا یکون عذراً عند العقلاء مع فعلیة التکلیف، و هذا هو الفارق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المعیّن؛ مقارناً لحصول التکلیف أو العلم به فلا تأثیر أیضاً؛ لأنّ العلم الإجمالی المقارن للعذر لا یمکن أن یصیر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العلم بتکلیف فعلی علی مبنی القوم، و عدم العلم بتکلیف فعلی صالح للاحتجاج علی ما حقّقنا لا وجه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حصل الاضطرار بعد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اضطرّ إلی أحد الإنائین معیّناً بعد العلم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لزوم الاجتناب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بالصورة الاولی؛ حیث إنّ التکلیف الفعلی الصالح للاحتجاج لم یکن موجوداً فیها من الأوّل ثمّ شکّ فی حصوله، و أمّا المقام فقد تعلّق العلم بتکلیف صالح للاحتجاج قبل حدوث الاضطرار، و الاجتناب عن غیر مورد الاضطرار إنّما هو من آثار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کان علّة تامّة لوجوب الموافقة القطعیة بالاجتناب من الطرفین، فإذا حدث الاضطرار و ارتفع حکم العقل فی واحد من الطرفین لأجله بقی حکمه بوجوب الموافقة الاحتمالیة، فالحکم بلزوم الاجتناب عن الباقی إنّما هو من آثار ذلک العلم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فالاضطرار إلی واحد من الطرفین کإراقته أو مخالفته فی ذاک الطرف بشربه و ارتکابه، کما لا یوجب هذان جواز ارتکاب الطرف الآخر فهکذا الاضطرار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لا یکون عذراً إلّا بمقداره، و الاشتغال الیقینی یقتضی البراءة الیقینیة، و مع عدم إمکانها یحکم العقل بلزوم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 من أنّ الاضطرار من قیود التکلیف و حدوده، فیرتفع عند الوصول إلی حدّه</w:t>
      </w:r>
      <w:r>
        <w:rPr>
          <w:rStyle w:val="FootnoteAnchor"/>
          <w:rtl w:val="true"/>
        </w:rPr>
        <w:footnoteReference w:id="312"/>
      </w:r>
      <w:r>
        <w:rPr>
          <w:rFonts w:ascii="IRNazanin" w:hAnsi="IRNazanin" w:eastAsia="IRNazanin"/>
          <w:color w:val="111111"/>
          <w:sz w:val="28"/>
          <w:sz w:val="28"/>
          <w:szCs w:val="28"/>
          <w:rtl w:val="true"/>
          <w:lang w:bidi="fa-IR"/>
        </w:rPr>
        <w:t>فیوافیک بیانه و نقده، فانتظر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حال الواجب المشروط لو تعلّق العلم به قبل تحقّق شرطه و اضطرّ إلیه قبل حصوله؛ فإنّه إن قلنا بأنّ الواجب المشروط قبل تحقّق شرطه لم یکن حکماً فعلیاً یکون حاله حال الاضطرار قبل العلم بالتکلیف، و إن قلنا بأنّه تکلیف فعلی و أنّ الشرط قید للمادّة أو ظرف لتعلّق التکلیف یکون حاله حال الاضطرار بعد العلم</w:t>
      </w:r>
      <w:r>
        <w:rPr>
          <w:rFonts w:eastAsia="IRNazanin" w:cs="IRNazanin"/>
          <w:color w:val="111111"/>
          <w:sz w:val="28"/>
          <w:szCs w:val="28"/>
          <w:rtl w:val="true"/>
          <w:lang w:bidi="fa-IR"/>
        </w:rPr>
        <w:t>.</w:t>
      </w:r>
      <w:bookmarkStart w:id="288" w:name="pg12912_111803"/>
    </w:p>
    <w:p>
      <w:pPr>
        <w:pStyle w:val="Heading6"/>
        <w:numPr>
          <w:ilvl w:val="5"/>
          <w:numId w:val="1"/>
        </w:numPr>
        <w:rPr/>
      </w:pPr>
      <w:bookmarkStart w:id="289" w:name="__RefHeading___Toc3425537_3224264995"/>
      <w:bookmarkStart w:id="290" w:name="_Toc109"/>
      <w:bookmarkEnd w:id="288"/>
      <w:bookmarkEnd w:id="289"/>
      <w:r>
        <w:rPr>
          <w:rtl w:val="true"/>
        </w:rPr>
        <w:t>فی الاضطرار إلی بعض الأطراف الغیر المعیّن</w:t>
      </w:r>
      <w:bookmarkEnd w:id="29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غیر المعیّن فالتحقیق وجوب الاجتناب مطلقاً عن الطرف الآخر؛ لعدم الاضطرار إلی مخالفة التکلیف الواقعی، بل ما تعلّق به الاضطرار غیر ما تعلّق به التکلیف، بخلاف ما إذا اضطرّ إلی مخالفة واحد من الأطراف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عند الاضطرار إلی الواحد المعیّن یحتمل أن یکون عین ما تعلّق به الاضطرار، و مع هذا الاحتمال لا یبقی علم بالتکلیف المنجّز الصالح للاحتجاج، بل الأمر یدور بین التکلیف الصالح له و غیر الصالح له، و مرجع ذلک إلی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لم یتعلّق بواحد معیّن حتّی یکون مضطرّاً فی ارتکابه، و لا یمکن له العدول إلی غیره؛ و إن فرضنا انکشاف الواقع، بل متعلّق الاضطرار إنّما هو إحدی الإنائین؛ بحیث لو کشف الواقع علیه یجب العدول إلی غیر المحرّم؛ لکون الآخر غیر المحرّم یندفع به الاضطرار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الاضطرار فی نفس الأمر غیر ما تعلّق به التکلیف، و هذا بخلاف الاضطرار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متعلّق التکلیف غیر ما اضطرّ إلیه؛ و إن کان ربّما ینطبق علیه إلّا أنّه من آثار الجهل لا الاضطرار؛ بحیث لو ارتفع الجهل لما وقع فی ارتکابه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الاضطرار إلی المعیّن؛ إذ لو تبیّن کونه خمراً لما کان له مناص عن ارتکابه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تفکیک ما هو من لوازم الجهل و ما هو من لوازم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الخمر عند الاضطرار إلی الواحد المعیّن لو صادف المحرّم</w:t>
      </w:r>
      <w:bookmarkStart w:id="291" w:name="pg12912_111804"/>
    </w:p>
    <w:p>
      <w:pPr>
        <w:pStyle w:val="BookText"/>
        <w:rPr/>
      </w:pPr>
      <w:bookmarkEnd w:id="291"/>
      <w:r>
        <w:rPr>
          <w:rFonts w:ascii="IRNazanin" w:hAnsi="IRNazanin" w:eastAsia="IRNazanin"/>
          <w:color w:val="111111"/>
          <w:sz w:val="28"/>
          <w:sz w:val="28"/>
          <w:szCs w:val="28"/>
          <w:rtl w:val="true"/>
          <w:lang w:bidi="fa-IR"/>
        </w:rPr>
        <w:t>من آثار الاضطرار إلیه، کما أنّ شربها عند الاضطرار إلی غیر المعیّن من آثار الجهل؛ لإمکان دفعه بالإناء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یندفع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اختار ما هو الخمر واقعاً مع الجهل کشف ذلک کون متعلّق الاضطرار فی نفس الأمر هو متعلّق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راجع إلی مقام الامتثال، و اختیار ما هو الخمر واقعاً لا یوجب تعلّق الاضطرار به واقعاً، و قد عرفت أنّ متعلّقه إنّما هو واقع أحدهما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توضیحه عند الاضطرار إلی الواحد المعیّن بعد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علّة تامّة لوجوب الموافقة القطعیة، و مع عدم إمکانها یحکم بوجوب الموافقة الاحتمالیة؛ و لذا لا یجوز شرب الإناء الاخری عند إراقة أحدهما أو شربها عمداً؛ حفظاً لآثار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یرفع الید إلّا بمقدار الاضطرار، و الشکّ فی فعلیة التکلیف بعد اختیار واحد من الأطراف؛ لإمکان کون المأتی به مورد الاضطرار، کالشکّ الحاصل بعد فقد أحدهما أو ارتکابه بلا اضطرار، فالعلم الإجمالی بعد الاضطرار صالح للاحتجاج بالنسبة إلی الموافقة الاحتمالیة؛ کان الاضطرار سابقاً أو مسبوقاً</w:t>
      </w:r>
      <w:r>
        <w:rPr>
          <w:rFonts w:eastAsia="IRNazanin" w:cs="IRNazanin"/>
          <w:color w:val="111111"/>
          <w:sz w:val="28"/>
          <w:szCs w:val="28"/>
          <w:rtl w:val="true"/>
          <w:lang w:bidi="fa-IR"/>
        </w:rPr>
        <w:t>.</w:t>
      </w:r>
    </w:p>
    <w:p>
      <w:pPr>
        <w:pStyle w:val="Heading6"/>
        <w:numPr>
          <w:ilvl w:val="5"/>
          <w:numId w:val="1"/>
        </w:numPr>
        <w:rPr/>
      </w:pPr>
      <w:bookmarkStart w:id="292" w:name="__RefHeading___Toc3425539_3224264995"/>
      <w:bookmarkStart w:id="293" w:name="_Toc110"/>
      <w:bookmarkEnd w:id="292"/>
      <w:r>
        <w:rPr>
          <w:rtl w:val="true"/>
        </w:rPr>
        <w:t>مختار المحقّق الخراسانی فی الکتاب و هامشه</w:t>
      </w:r>
      <w:bookmarkEnd w:id="29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المحقّق الخراسانی رحمه الله اختار سقوط العلم عن التأثیر مطلقاً؛ معلّلًا بأنّ جواز ارتکاب أحد الأطراف أو ترکه تعییناً أو تخییراً ینافی العلم بحرمة المعلوم أو بوجوبه بینها فعلًا، و نفی قدس سره الفرق بین سبق الاضطرار علی العلم و لحوقه؛ معلّلًا بأنّ التکلیف المعلوم بینها یکون محدوداً بعدم عروض</w:t>
      </w:r>
    </w:p>
    <w:p>
      <w:pPr>
        <w:pStyle w:val="BookText"/>
        <w:rPr/>
      </w:pPr>
      <w:r>
        <w:rPr>
          <w:rFonts w:ascii="IRNazanin" w:hAnsi="IRNazanin" w:eastAsia="IRNazanin"/>
          <w:color w:val="111111"/>
          <w:sz w:val="28"/>
          <w:sz w:val="28"/>
          <w:szCs w:val="28"/>
          <w:rtl w:val="true"/>
          <w:lang w:bidi="fa-IR"/>
        </w:rPr>
        <w:t>الاضطرار إلی متعلّقه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فرّق بین فقد بعض الأطراف بعد تعلّق العلم و بین الاضطرار إلیه بعده؛ حیث أوجب الاحتیاط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رجع فی هامش الکتاب عمّا ذکره، و فصّل بین الاضطرار إلی أحدهما لا بعینه و الاضطرار إلی المعیّن، و أوجب الاحتیاط فی الثانی دون الأوّل؛ معلّلًا بأنّ العلم الإجمالی بالتکلیف الفعلی المحدود فی هذا الطرف أو المطلق فی الطرف الآخر یکون منجّزاً، و أمّا إذا عرض الاضطرار إلی أحدهما لا بعینه فإنّه یمنع عن فعلیة التکلیف مطلقاً</w:t>
      </w:r>
      <w:r>
        <w:rPr>
          <w:rStyle w:val="FootnoteAnchor"/>
          <w:rtl w:val="true"/>
        </w:rPr>
        <w:footnoteReference w:id="313"/>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الاضطرار العقلی من حدود التکالیف و قیوده؛ فإنّ الاضطرار العقلی بمعنی عجز المکلّف عن القیام بوظائفه یوجب معذوریة المکلّف لترک المأمور به، فلا یکون للمولی حجّة علیه، بل له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آخر غیر محدودیة التکلیف و تقیّده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الاضطرار العرفی الذی إلیه مآل حدیث الرفع فهو و إن کان من حدوده الشرعیة إلّا أنّک قد عرفت أنّ ما هو متعلّق التکلیف عند الاضطرار إلی غیر المعیّن غیر ما هو متعلّق الاضطرار، و لا مصادمة بین حدیث الرفع و أدلّة التکالیف؛ لعدم عروض الاضطرار إلی متعلّق التکلیف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التفریق بین فقد المکلّف به و عروض الاضطرار فیما نحن فیه لا یرجع إلی محصّل؛ فإنّ الکبریات الکلّیة إنّما تحتجّ بها عند وجود موضوعاتها،</w:t>
      </w:r>
    </w:p>
    <w:p>
      <w:pPr>
        <w:pStyle w:val="BookText"/>
        <w:rPr/>
      </w:pPr>
      <w:r>
        <w:rPr>
          <w:rFonts w:ascii="IRNazanin" w:hAnsi="IRNazanin" w:eastAsia="IRNazanin"/>
          <w:color w:val="111111"/>
          <w:sz w:val="28"/>
          <w:sz w:val="28"/>
          <w:szCs w:val="28"/>
          <w:rtl w:val="true"/>
          <w:lang w:bidi="fa-IR"/>
        </w:rPr>
        <w:t>و لا یصحّ أن یحتجّ بالکبری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فقد بعض الأطراف قبل حدوث العلم الإجمالی، ثمّ علم إجمالًا بأنّ الخمر إمّا هو المفقود و إمّا هو الموجود فلا یؤثّر العلم أصلًا، نظیر الاضطرار إلی المعیّن قبل حدوث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فقد بعض الأطراف بعد حدوث العلم یکون العلم حجّة علی الطرف الموجود؛ لأجل احتمال انطباق التکلیف المنجّز سابقاً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یجی‌ء بعینه عند الاضطرار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من عدم وجوب الاجتناب عن الطرف الآخر عند الاضطرار إلی غیر المعیّن؛ قائلًا بمنافاته مع التکلیف فی البین غیر صحیح؛ إذ لا مزاحمة بینهما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مختار المکلّف منطبقاً علی المحرّم الواقعی أحیاناً لا یوجب کون التکالیف الواقعیة متقیّداً باختیار المکلّف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أن یرخّص فی أحدهما لا بعینه و یحرّم الخمر الواقعی؛ لتباین المتعلّقین فی مقام الإنشاء و رتبة التکالیف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لو وقف المکلّف فی مقام رفع الاضطرار علی الخمر الواقعی لوجب علیه رفع الاضطرار بغیر مورد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أوضح دلیل علی عدم المزاحمة فی رتبة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الألیق عدوله إلی ما ذکرنا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bookmarkStart w:id="294" w:name="pg12912_111807"/>
    </w:p>
    <w:p>
      <w:pPr>
        <w:pStyle w:val="Heading6"/>
        <w:numPr>
          <w:ilvl w:val="5"/>
          <w:numId w:val="1"/>
        </w:numPr>
        <w:rPr/>
      </w:pPr>
      <w:bookmarkStart w:id="295" w:name="__RefHeading___Toc3425541_3224264995"/>
      <w:bookmarkStart w:id="296" w:name="_Toc111"/>
      <w:bookmarkEnd w:id="294"/>
      <w:bookmarkEnd w:id="295"/>
      <w:r>
        <w:rPr>
          <w:rtl w:val="true"/>
        </w:rPr>
        <w:t>الأمر الثانی فی شرطیة الابتلاء لتنجیز العلم الإجمالی</w:t>
      </w:r>
      <w:bookmarkEnd w:id="296"/>
    </w:p>
    <w:p>
      <w:pPr>
        <w:pStyle w:val="Heading6"/>
        <w:numPr>
          <w:ilvl w:val="5"/>
          <w:numId w:val="1"/>
        </w:numPr>
        <w:rPr/>
      </w:pPr>
      <w:bookmarkStart w:id="297" w:name="__RefHeading___Toc3425543_3224264995"/>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قد استقرّ آراء جلّ المتأخّرین من أهل التحقیق علی عدم لزوم الاجتناب عن الأطراف إذا خرج بعضها عن محلّ الابتلاء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لداعی البعث و الزجر، و لأجل ذلک یتوقّف صحّة البعث و الزجر علی تحقّق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المکلّف قادراً علی الامتثال؛ فإنّ خطاب غیر القادر أمر قبیح، بل لا ینقدح الإرادة الجدّیة فی لوح النفس، و 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مورد التکلیف مورد الابتلاء نوعاً؛ بحیث لا یعدّ من المحالات النوعیة حتّی لا یکون البعث إلیه و الزجر عنه لغواً، کجعل الحرمة للخمر الموجود فی إحدی الکرات السماویة التی کان یعدّ من المحالات العادیة ابتلاء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إنّما تتوجّه إلی المکلّفین لأجل إیجاد الداعی إلی الفعل أو الترک، فما لا یمکن عادة ترکه لا مجال لتعلّق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المطلق عن شرب الخمر الموجود فی أقاصی بلاد المغرب أو ترک وطی جاریة سلطان الصین یکون مستهجناً، فإذا کان هذا حال خطاب التفصیلی فالحال فی الإجمالی منه واضح جدّاً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الدواعی مصروفة عنه نوعاً، کالنهی عن عضّ رأس الشجرة، کما مثّل بهما سیّد المحقّقین، السیّد محمّد الفشارکی، علی ما حکاه عنه</w:t>
      </w:r>
    </w:p>
    <w:p>
      <w:pPr>
        <w:pStyle w:val="BookText"/>
        <w:rPr/>
      </w:pPr>
      <w:r>
        <w:rPr>
          <w:rFonts w:ascii="IRNazanin" w:hAnsi="IRNazanin" w:eastAsia="IRNazanin"/>
          <w:color w:val="111111"/>
          <w:sz w:val="28"/>
          <w:sz w:val="28"/>
          <w:szCs w:val="28"/>
          <w:rtl w:val="true"/>
          <w:lang w:bidi="fa-IR"/>
        </w:rPr>
        <w:t>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تجد أحداً أحسّ أمراً و عرف یمینه عن یساره یفعل هذا حسب العادة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شمول عنوان المبحث لهذا الشرط أیضاً؛ فإنّ مرادهم من الخروج عن محلّ الابتلاء بمورد التکلیف أعمّ ممّا یکون غیر مقدور عادة أو یرغب عنه الناس، و یکون الدواعی مصروفة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کلّ الموارد هو استهجان الخطاب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الأمر و النهی لیس إلّا حصول ما اشتمل علی المصلحة أو عدم حصول ما اشتمل علی المفسدة، و مع عدم التمکّن العادی علی الترک أو الفعل أو صرف الدواعی عن الارتکاب لا تکاد تفوت المصلحة أو تحصل المفسدة، فلا موجب للتکلیف، بل لا یصحّ؛ لاستهجانه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أعاظم العصر قدس سره من التفصیل بین عدم القدرة العادیة و عدم الإرادة عادة،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من شرائط حسن الخطاب، و لا بدّ من أخذها قیداً فی التکلیف، و أمّا إرادة الفعل فلیس لها دخل فی حسن الخطاب، و لا یعقل أخذها قیداً فیه وجوداً و عدماً؛ لأنّه من الانقسامات اللاحقة للتکلیف</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یخلو من إشکال؛ فإنّ التفریق بین عدم القدرة العقلیة أو العادیة و وجود الداعی الطبیعی إلی العمل أو الانزجار الفطری عنه، بعدم صحّة الخطاب فی الأوّلین و الصحّة فی الآخرین فی غایة الغرابة؛ فإنّ خطاب من یرید الفعل طبعاً أو یترک الشی‌ء مستهجن؛ لعدم الملاک لإظهار الإرادة، کخطاب من لا یقدر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لا یصحّ النهی عن فعل غیر مقدور عادة کذلک یقبح النهی عن شی‌ء</w:t>
      </w:r>
    </w:p>
    <w:p>
      <w:pPr>
        <w:pStyle w:val="BookText"/>
        <w:rPr/>
      </w:pPr>
      <w:r>
        <w:rPr>
          <w:rFonts w:ascii="IRNazanin" w:hAnsi="IRNazanin" w:eastAsia="IRNazanin"/>
          <w:color w:val="111111"/>
          <w:sz w:val="28"/>
          <w:sz w:val="28"/>
          <w:szCs w:val="28"/>
          <w:rtl w:val="true"/>
          <w:lang w:bidi="fa-IR"/>
        </w:rPr>
        <w:t>لا ینقدح فی الأذهان احتمال ارتکابه، کالنهی عن کشف العورة بین الناس؛ موجّهاً ذلک الخطاب إلی صاحب المروّة، و النهی عن أکل القاذورات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الأعیان المحقّقین قدس سره من کفایة الإمکان الذاتی أو الإمکان الوقوعی فی صحّة الخطاب، و هذا تمام الملاک لصحّة الخطاب، و علیه یصحّ الخطاب فی موارد الابتلاء و عدمه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فإنّ کفایة الإمکان الذاتی فی هذا الباب غریب؛ فإنّ خطاب من لا ینبعث عن أمر المولی خطاباً حقیقیاً مستهجن جدّاً؛ فإنّ الإرادة التشریعیة لا تنقدح إلّا بعد حصول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الخطاب القانونی؛ فإنّ مقنّن الحکم لو وقف علی أنّ ما یشرّعه لا یکاد یعمل به أصلًا و لا ینبعث منه أحد، صار جعله و تقنینه مستهجناً جدّاً؛ و إن جاز الإمکان الذاتی أو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ما نقله قدس سره عن بعض أجلّة عصره من أنّ التکلیف لیس زجراً و لا بعثاً، بل إلزام من المولی بالنسبة إلی العبد، فیعمّ عامّة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موارد الابتلاء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المستهجن إنّما هو البعث أو الزجر المتضمّنین للخطاب دون الإلزام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افید أنّه لا یخرج التکلیف عن دائرة الأحکام الوضعیة أو أشبه شی‌ء به، و مع ذلک فهی من مقولة الجعل و الاعتبار، لا یصحّ إلّا إذا کان له أثر عقلائی، و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الموارد التی لم یوجد فیها بعض الشروط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الجعل و الاعتبار و الإلزام لغواً محضاً</w:t>
      </w:r>
      <w:r>
        <w:rPr>
          <w:rFonts w:eastAsia="IRNazanin" w:cs="IRNazanin"/>
          <w:color w:val="111111"/>
          <w:sz w:val="28"/>
          <w:szCs w:val="28"/>
          <w:rtl w:val="true"/>
          <w:lang w:bidi="fa-IR"/>
        </w:rPr>
        <w:t>.</w:t>
      </w:r>
      <w:bookmarkStart w:id="299" w:name="pg12912_111810"/>
    </w:p>
    <w:p>
      <w:pPr>
        <w:pStyle w:val="BookText"/>
        <w:rPr/>
      </w:pPr>
      <w:bookmarkEnd w:id="299"/>
      <w:r>
        <w:rPr>
          <w:rFonts w:ascii="IRNazanin" w:hAnsi="IRNazanin" w:eastAsia="IRNazanin"/>
          <w:color w:val="111111"/>
          <w:sz w:val="28"/>
          <w:sz w:val="28"/>
          <w:szCs w:val="28"/>
          <w:rtl w:val="true"/>
          <w:lang w:bidi="fa-IR"/>
        </w:rPr>
        <w:t>مضافاً إلی أنّ الإلزام بالفعل و الترک کأنّه عبارة اخری عن البعث و الزجر المنتزع منهما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إنکار کون التکالیف عبارة عن البعث و الزجر کأنّه إنکار الضروری</w:t>
      </w:r>
      <w:r>
        <w:rPr>
          <w:rFonts w:eastAsia="IRNazanin" w:cs="IRNazanin"/>
          <w:color w:val="111111"/>
          <w:sz w:val="28"/>
          <w:szCs w:val="28"/>
          <w:rtl w:val="true"/>
          <w:lang w:bidi="fa-IR"/>
        </w:rPr>
        <w:t>.</w:t>
      </w:r>
    </w:p>
    <w:p>
      <w:pPr>
        <w:pStyle w:val="Heading6"/>
        <w:numPr>
          <w:ilvl w:val="5"/>
          <w:numId w:val="1"/>
        </w:numPr>
        <w:rPr/>
      </w:pPr>
      <w:bookmarkStart w:id="300" w:name="__RefHeading___Toc3425545_3224264995"/>
      <w:bookmarkStart w:id="301" w:name="_Toc113"/>
      <w:bookmarkEnd w:id="300"/>
      <w:r>
        <w:rPr>
          <w:rtl w:val="true"/>
        </w:rPr>
        <w:t>الفرق بین الخطابات القانونیة و الشخصیة</w:t>
      </w:r>
      <w:bookmarkEnd w:id="301"/>
    </w:p>
    <w:p>
      <w:pPr>
        <w:pStyle w:val="BookText"/>
        <w:rPr/>
      </w:pPr>
      <w:r>
        <w:rPr>
          <w:rFonts w:ascii="IRNazanin" w:hAnsi="IRNazanin" w:eastAsia="IRNazanin"/>
          <w:color w:val="111111"/>
          <w:sz w:val="28"/>
          <w:sz w:val="28"/>
          <w:szCs w:val="28"/>
          <w:rtl w:val="true"/>
          <w:lang w:bidi="fa-IR"/>
        </w:rPr>
        <w:t>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الخلط بین الخطابات الکلّیة المتوجّهة إلی عامّة المکلّفین و الخطاب الشخصی إلی آحادهم؛ فإنّ الخطاب الشخصی إلی خصوص العاجز و غیر المتمکّن عادة أو عقلًا ممّا لا یصحّ، کما أوضحناه، و لکن الخطاب الکلّی إلی المکلّفین المختلفین حسب الحالات و العوارض ممّا لا استهجان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الخطاب الخاصّ غیر استهجان الخطاب الکلّی؛ فإنّ ملاک الاستهجان فی الأوّل ما إذا کان المخاطب غیر متمکّن، و الثانی فیما إذا کان العموم أو الغالب الذی یکون غیره کالمعدوم غیر متمکّن عادة، أو مصروفة عنه دواعیهم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لیست إلّا کالقوانین العرفیة المجعولة لحفظ الاجتماع و تنظیم الامور، فکما أنّه لیس فیها خطابات و دعایات، بل هو بما هو خطاب واحد متعلّق بعنوان عامّ حجّة علی عامّة المکلّفین، فکذلک ما نجده فی الشرع من الخطابات المتعلّقة بالمؤمنین أو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إلّا خطاب واحد قانونی یعمّ الجمیع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الموضوع فی دائرة التشریع هو عنوان المؤمنین أو الناس،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اجتنبوا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الفعل</w:t>
      </w:r>
    </w:p>
    <w:p>
      <w:pPr>
        <w:pStyle w:val="BookText"/>
        <w:rPr/>
      </w:pPr>
      <w:r>
        <w:rPr>
          <w:rFonts w:ascii="IRNazanin" w:hAnsi="IRNazanin" w:eastAsia="IRNazanin"/>
          <w:color w:val="111111"/>
          <w:sz w:val="28"/>
          <w:sz w:val="28"/>
          <w:szCs w:val="28"/>
          <w:rtl w:val="true"/>
          <w:lang w:bidi="fa-IR"/>
        </w:rPr>
        <w:t>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الموضوع إلّا الناس؛ أعمّ من العاجز و القادر، و الجاهل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یکون الحکم فعلیاً فی حقّ الجمیع، غیر أنّ العجز و الجهل عذر عقلی عن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 لصحّة هذا الخطاب و عدم استهجانه هو صلوحه لبعث عدد معتدّ به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فالاستهجان بالنسبة إلی الخطاب العامّ إنّما یلزم لو علم المتکلّم بعدم تأثیر ذلک الخطاب العامّ فی کلّ المکلّفین، و أمّا مع احتمال التأثیر فی عدد معتدّ به غیر مضبوط تحت عنوان خاصّ فلا محیص عن الخطاب العمومی و لا استهجان فیه أصلًا، کما أنّ الأمر کذلک فی القوانین العرفیة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الکلام فی الخارج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خطاب العاجز و الجاهل و غیر المبتلی بمورد التکلیف قبیح أو غیر ممکن صحیح لو کان الخطاب شخصیاً، و أمّا إذا کان بصورة التقنین فیکفی فی خطاب الجمیع کون عدد معتدّ به من المکلّفین واجداً لما ذکرنا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الفاقد لها فهو معذور عقلًا مع فعلیة التکلیف، کالعجز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إرادة واحدة تشریعیة متعلّقة بخطاب واحد، و لیس الموضوع إلّا أحد العناوین العامّة، من دون أن یقیّد بقید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بما هو خطاب وحدانی متعلّق لعنوان عامّ حجّة علی الجمیع، و الملاک فی صحّة الخطاب ما عرفت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فعلی مطلقاً، من دون أن یصیر الحکم فعلیاً تارة و إنشائیاً اخری، أو مریداً فی حالة و غیر مرید فی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أوضحناه هو حال القوانین الدارجة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لم یتّخذ مسلکاً غیرها و لم یطرق باباً سوی ما طرقه العقلاء من الناس، و سیوافیک مفاسد الخطاب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الحکم المشترک فیه الناس؟ و ما معنی کون کلّ واحد منّا مکلّفاً بإقامة الصلاة و إیتاء الزکاة؟ و ظاهر هذا تعدّد الخطاب و کثرة التکلیف، فلا یعقل کثرة التکالیف مع وحدة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الشرعیة منحلّة بعدد نفوس المکلّفین، و لا یکاد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المنحلّ المتوجّه إلی غیر المتمکّن أو غیر المبتلی مستهجن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ارید من الانحلال کون کلّ خطاب خطابات بعدد المکلّفین؛ حتّی یکون کلّ مکلّف مخصوصاً بخطاب خاصّ به و تکلیف مستقلّ متوجّه إلیه فهو ضروری البطلان؛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خطاب واحد لعموم المؤمنین، فالخطاب واحد و المخاطب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الإخبار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واحد و المخبر عنه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یکذب إلّا کذباً واحداً، لا أکاذیب متعدّدة حسب أفراد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فهو خطاب واحد متوجّه إلی کلّ مکلّف، و یکون الزنا تمام الموضوع للحرمة، و المکلّف تمام الموضوع لتوجّه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الخطاب الوحدانی یکون حجّة علی کلّ مکلّف، من غیر إنشاء تکالیف مستقلّة أو توجّه خطابات عدیدة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تکلیف واحد لمجموع المکلّفین؛ فإنّه ضروری الفساد،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واحد و الإنشاء واحد، و المنشإ هو حرمة الزنا علی</w:t>
      </w:r>
    </w:p>
    <w:p>
      <w:pPr>
        <w:pStyle w:val="BookText"/>
        <w:rPr/>
      </w:pPr>
      <w:r>
        <w:rPr>
          <w:rFonts w:ascii="IRNazanin" w:hAnsi="IRNazanin" w:eastAsia="IRNazanin"/>
          <w:color w:val="111111"/>
          <w:sz w:val="28"/>
          <w:sz w:val="28"/>
          <w:szCs w:val="28"/>
          <w:rtl w:val="true"/>
          <w:lang w:bidi="fa-IR"/>
        </w:rPr>
        <w:t>کلّ مکلّف، من غیر توجّه خطاب خاصّ أو تکلیف مستقلّ إلی کلّ واحد، و لا استهجان فی هذا الخطاب العمومی إذا کان المکلّف فی بعض الأحوال أو بالنسبة إلی بعضٍ الأمکنة غیر متمکّن عقلًا أو عادة، فالخمر حرام علی کلّ أحد؛ تمکّن من شربها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جعل الحرمة لغیر المتمکّن بالخصوص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یستهجن الخطاب، فلیس للمولی إلّا خطاب واحد لعنوان واحد؛ و هو حجّة علی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عدم استهجان الخطاب العمومی، فکما لا إشکال فی أنّ التکالیف الشرعیة لیست مقیّدة بالقدرة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غیر مقیّدة بالدخول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یترتّب علی القول بکون الخطابات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منحلّة إلی خطابات یلاحظ فیها عدم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خطاب العصاة من المسلمین؛ فإنّ خطاب من لا ینبعث به قبیح أو غیر ممکن؛ فإنّ الإرادة الجزمیة لا تحصل فی لوح النفس إلّا بعد حصول مبادئ قبلها، التی منها احتمال حصول المراد، و المفروض القطع بعدم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تکلیف الکفّار بالأُصول و الفروع بالملاک الذی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صاحب المروّة بستر العورة؛ فإنّ الدواعی مصروفة عن کشف العورة، فلا یصحّ الخطاب؛ إذ أیّ فرق بین النهی عن شرب الخمر الموجود فی أقاصی الدنیا و بین نهی صاحب المروّة عن کشف سوأته بین ملأ من الناس؟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نهی المکلّفین عن شرب البول و أکل القاذورات ممّا یکون الدواعی عن الإتیان بها مصروفة؛ إذ أیّ فرق بین عدم القدرة العادیة أو العقلیة علی العمل، و بین کون الدواعی مصروفة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الأعاظم من أنّ التکلیف غیر مقیّد بالإرادة؛ لأنّ التقیید بها غیر معقول، بخلاف القدرة العقلیة و العادیة قد وافاک جوابه</w:t>
      </w:r>
      <w:r>
        <w:rPr>
          <w:rStyle w:val="FootnoteAnchor"/>
          <w:rtl w:val="true"/>
        </w:rPr>
        <w:footnoteReference w:id="319"/>
      </w:r>
      <w:r>
        <w:rPr>
          <w:rFonts w:ascii="IRNazanin" w:hAnsi="IRNazanin" w:eastAsia="IRNazanin"/>
          <w:color w:val="111111"/>
          <w:sz w:val="28"/>
          <w:sz w:val="28"/>
          <w:szCs w:val="28"/>
          <w:rtl w:val="true"/>
          <w:lang w:bidi="fa-IR"/>
        </w:rPr>
        <w:t>فإنّ التکلیف لأجل إیجاد الداعی؛ و لو لأجل الخوف و الطمع فی الثواب، و التارک للشی‌ء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نهی المولی عنه أو لم ینهه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له مطلقاً، فالزجر لغو أو غیر ممکن؛ لعدم تحقّق ما هو المبادئ للإرادة الجدّیة،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کون الخطاب شخصیاً عدم وجوب الاحتیاط عند الشکّ فی القدرة؛ لکون الشکّ فی تحقّق ما هو جزء للموضوع؛ لأنّ خطاب العاجز قبیح، و الشکّ فی حصول القدرة و عدمها شکّ فی المصداق، و هو خلاف السیرة الموجودة بین الفقهاء؛ من لزوم الاحتیاط عند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الالتزام بأنّ الخطابات و أحکام الوضعیة مختصّة بما هو محلّ الابتلاء؛ لأنّ جعل الحکم الوضعی إن کان تبعاً للتکلیف فواضح، و مع عدم التبعیة و الاستقلال بالجعل فالجعل إنّما هو بلحاظ الآثار؛ و لهذا لا یمکن جعل حکم وضعی لا یترتّب علیه أثر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النجاسة للخمر و البول للآثار المترتّبة علیها، کحرمة الشرب و بطلان الصلاة مع تلوّث اللباس بها، و مع الخروج عن محلّ الابتلاء لا یترتّب علیها آثار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الالتزام بأنّ النجاسة و الحلّیة و غیرهما من الوضعیات من الامور النسبیة بلحاظ المکلّفین، فیکون الخمر و البول نجسان بالنسبة إلی من کان مبتلی بهما، دون غیرهما، و لا أظنّ التزامهم بذلک؛ للزوم الاختلال فی الفقه، و الدلیل العقلی غیر قابل للتخصیص فیکشف ذلک عن بطلان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حقّقناه فکلّها مندفعة؛ فإنّ الخطابات الإلهیة فعلیة فی حقّ الجمیع؛ کان المکلّف عاجزاً أو جاهلًا، أو مصروفاً عنه دواعیه أو لم یکن؛ و إن کان العجز و الجهل عذرین 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الخروج عن محلّ الابتلاء، فهو لا یوجب نقصاناً فی التکلیف، و لا بدّ من الخروج عن عهدته بترک ما یکون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ما هو الشرط فی صحّة الخطاب القانونی غیر ما هو الشرط فی صحّة الخطاب الشخصی، من غیر فرق بین التکلیف المعلوم بالتفصیل أو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المعلوم لا بدّ من الخروج عن عهدته بالموافقة القطعیة، و الاجتناب عن المخالفة القطعیة و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أحد الأطراف خارجاً عن محلّ الابتلاء أو مصروفة عنه الدواعی لا یوجب نقصاناً فی التکلیف القانونی؛ و إن کان موجباً له فی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فیمن رعف فامتخط فصار الدم قطعاً صغاراً، فأصاب إناءه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إلی آخره فقد حمله الشیخ الأعظم قدس سره علی العلم الإجمالی بإصابة ظَهر الإناء أو باطنه المحتوی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عدم وجوب الاجتناب عن الماء بخروج ظهر الإناء عن محلّ الابتلاء</w:t>
      </w:r>
      <w:r>
        <w:rPr>
          <w:rStyle w:val="FootnoteAnchor"/>
          <w:rtl w:val="true"/>
        </w:rPr>
        <w:footnoteReference w:id="321"/>
      </w:r>
      <w:r>
        <w:rPr>
          <w:rFonts w:ascii="IRNazanin" w:hAnsi="IRNazanin" w:eastAsia="IRNazanin"/>
          <w:color w:val="111111"/>
          <w:sz w:val="28"/>
          <w:sz w:val="28"/>
          <w:szCs w:val="28"/>
          <w:rtl w:val="true"/>
          <w:lang w:bidi="fa-IR"/>
        </w:rPr>
        <w:t>، و هو بمکان من الغرابة؛ إذ کیف یکون ظهر الإناء الذی بین یدی المکلّف خارجاً عن ابتلائه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فلا بدّ من تأویله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الأجزاء الصغار التی لا یدرکه الطرف و إن کانت مرئیة بالنظّارات، إلّا أنّ الدم المرئی بها لیست موضوعة</w:t>
      </w:r>
      <w:bookmarkStart w:id="302" w:name="pg12912_111816"/>
    </w:p>
    <w:p>
      <w:pPr>
        <w:pStyle w:val="BookText"/>
        <w:rPr/>
      </w:pPr>
      <w:bookmarkEnd w:id="302"/>
      <w:r>
        <w:rPr>
          <w:rFonts w:ascii="IRNazanin" w:hAnsi="IRNazanin" w:eastAsia="IRNazanin"/>
          <w:color w:val="111111"/>
          <w:sz w:val="28"/>
          <w:sz w:val="28"/>
          <w:szCs w:val="28"/>
          <w:rtl w:val="true"/>
          <w:lang w:bidi="fa-IR"/>
        </w:rPr>
        <w:t>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هذا الحمل مع العلم بإصابة الإناء؛ فإنّ العلم بها غیر إدراک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علی إبداء الشکّ فی أصل الإصابة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بظاهرها ممّا أعرض عنها الأصحاب</w:t>
      </w:r>
      <w:r>
        <w:rPr>
          <w:rFonts w:eastAsia="IRNazanin" w:cs="IRNazanin"/>
          <w:color w:val="111111"/>
          <w:sz w:val="28"/>
          <w:szCs w:val="28"/>
          <w:rtl w:val="true"/>
          <w:lang w:bidi="fa-IR"/>
        </w:rPr>
        <w:t>.</w:t>
      </w:r>
    </w:p>
    <w:p>
      <w:pPr>
        <w:pStyle w:val="Heading6"/>
        <w:numPr>
          <w:ilvl w:val="5"/>
          <w:numId w:val="1"/>
        </w:numPr>
        <w:rPr/>
      </w:pPr>
      <w:bookmarkStart w:id="303" w:name="__RefHeading___Toc3425547_3224264995"/>
      <w:bookmarkStart w:id="304" w:name="_Toc114"/>
      <w:bookmarkEnd w:id="303"/>
      <w:r>
        <w:rPr>
          <w:rtl w:val="true"/>
        </w:rPr>
        <w:t>مقتضی الأصل عند الشکّ فی الخروج عن محلّ الابتلاء</w:t>
      </w:r>
      <w:bookmarkEnd w:id="304"/>
    </w:p>
    <w:p>
      <w:pPr>
        <w:pStyle w:val="BookText"/>
        <w:rPr/>
      </w:pPr>
      <w:r>
        <w:rPr>
          <w:rFonts w:ascii="IRNazanin" w:hAnsi="IRNazanin" w:eastAsia="IRNazanin"/>
          <w:color w:val="111111"/>
          <w:sz w:val="28"/>
          <w:sz w:val="28"/>
          <w:szCs w:val="28"/>
          <w:rtl w:val="true"/>
          <w:lang w:bidi="fa-IR"/>
        </w:rPr>
        <w:t>ثمّ إنّه علی القول بکون الخروج عن محلّ الابتلاء مانعاً عن تأثیر العلم الإجمالی یقع البحث فیما إذا شکّ فی خروجه عن محلّ الابتلاء لا من جهة الامور الخارجیة، بل من جهة إجمال ما هو خارج عن مورد التکلیف الفعلی، فهل الأصل یقتضی الاحتیاط أو البراءة؟</w:t>
      </w:r>
    </w:p>
    <w:p>
      <w:pPr>
        <w:pStyle w:val="BookText"/>
        <w:rPr/>
      </w:pPr>
      <w:r>
        <w:rPr>
          <w:rFonts w:ascii="IRNazanin" w:hAnsi="IRNazanin" w:eastAsia="IRNazanin"/>
          <w:color w:val="111111"/>
          <w:sz w:val="28"/>
          <w:sz w:val="28"/>
          <w:szCs w:val="28"/>
          <w:rtl w:val="true"/>
          <w:lang w:bidi="fa-IR"/>
        </w:rPr>
        <w:t>و اختار الأوّل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البیان المصحّح للعقاب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بوجود مبغوض المولی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إن شکّ فی الخطاب الفعلی من جهة الشکّ فی حسن التکلیف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یکفی حجّة علیه، نظیر ما إذا شکّ فی قدرته علی إتیان المأمور به و عدمها، بعد إحراز کون ذلک الفعل موافقاً لغرض المولی و مطلوباً له ذاتاً، و هل له أن لا یقدم علی الفعل بمجرّد الشکّ فی الخطاب الفعلی الناشئ من الشکّ فی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بعد إحراز المطلوب الواقعی للمولی أو مبغوضه لا یری عذراً للعبد فی ترک الامتثال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هو البراءة؛ لأنّه بعد القول بکون الابتلاء من قیود التکلیف یرجع الشکّ إلی أصل التکلیف، و مجرّد احتمال کون المبغوض هو</w:t>
      </w:r>
    </w:p>
    <w:p>
      <w:pPr>
        <w:pStyle w:val="BookText"/>
        <w:rPr/>
      </w:pPr>
      <w:r>
        <w:rPr>
          <w:rFonts w:ascii="IRNazanin" w:hAnsi="IRNazanin" w:eastAsia="IRNazanin"/>
          <w:color w:val="111111"/>
          <w:sz w:val="28"/>
          <w:sz w:val="28"/>
          <w:szCs w:val="28"/>
          <w:rtl w:val="true"/>
          <w:lang w:bidi="fa-IR"/>
        </w:rPr>
        <w:t>المبتلی به لا یوجب تمامیة الحجّة علی العبد، بل له الحجّة لاحتمال کون المبغوض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القدرة فلو قلنا بمقالة القوم فلا مناص عن البراءة؛ لأنّ القدرة علی مبانی القوم من حدود التکلیف و قیوده، فالشکّ فیها شکّ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قلنا من کون الخطابات القانونیة فعلیة فی حقّ القادر و العاجز، غیر أنّ العاجز معذور فی ترک امتثاله، فعند الشکّ فیها لا مناص عن الاحتیاط إلّا مع إحراز العذر و إقامة الحجّة بعد تمامیة الحجّة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القدرة مصبّ البراءة علی مبانی القوم، کالشکّ فی الابتلاء، لا علی المختار،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باستکشاف الملاک من إطلاق المادّة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الملاک من تبعات تعلّق التکلیف علی مسلک العدلیة، و مع کون القدرة و الابتلاء من قیوده و حدوده لا طریق لاستکشافه إلّا فی بعض الأحیان المستکشف ذلک من الامور الخارجیة، و هو لا یفید؛ لکونه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القول بأنّ القدرة العقلیة و العادیة غیر دخیلة فی الملاکات النفس الأمریة، بل هی من شرائط حسن الخطاب</w:t>
      </w:r>
      <w:r>
        <w:rPr>
          <w:rStyle w:val="FootnoteAnchor"/>
          <w:rtl w:val="true"/>
        </w:rPr>
        <w:footnoteReference w:id="323"/>
      </w:r>
      <w:r>
        <w:rPr>
          <w:rFonts w:ascii="IRNazanin" w:hAnsi="IRNazanin" w:eastAsia="IRNazanin"/>
          <w:color w:val="111111"/>
          <w:sz w:val="28"/>
          <w:sz w:val="28"/>
          <w:szCs w:val="28"/>
          <w:rtl w:val="true"/>
          <w:lang w:bidi="fa-IR"/>
        </w:rPr>
        <w:t>تخرّص علی الغیب؛ لعدم العلم بالملاکات الواقعیة، و من المحتمل دخالة القدرة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یدفع هذا الاحتمال إلّا بإطلاق الدلیل، و هو مفقود فرضاً، إلّا علی ما اخترناه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قدس سره استدلّ علی وجوب الاحتیاط تبعاً للشیخ الأعظم قدس سره</w:t>
      </w:r>
      <w:r>
        <w:rPr>
          <w:rStyle w:val="FootnoteAnchor"/>
          <w:rtl w:val="true"/>
        </w:rPr>
        <w:footnoteReference w:id="324"/>
      </w:r>
      <w:r>
        <w:rPr>
          <w:rFonts w:ascii="IRNazanin" w:hAnsi="IRNazanin" w:eastAsia="IRNazanin"/>
          <w:color w:val="111111"/>
          <w:sz w:val="28"/>
          <w:sz w:val="28"/>
          <w:szCs w:val="28"/>
          <w:rtl w:val="true"/>
          <w:lang w:bidi="fa-IR"/>
        </w:rPr>
        <w:t>بإطلاق أدلّة المحرّمات، و حاصل ما أفاد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المسلّم من</w:t>
      </w:r>
    </w:p>
    <w:p>
      <w:pPr>
        <w:pStyle w:val="BookText"/>
        <w:rPr/>
      </w:pPr>
      <w:r>
        <w:rPr>
          <w:rFonts w:ascii="IRNazanin" w:hAnsi="IRNazanin" w:eastAsia="IRNazanin"/>
          <w:color w:val="111111"/>
          <w:sz w:val="28"/>
          <w:sz w:val="28"/>
          <w:szCs w:val="28"/>
          <w:rtl w:val="true"/>
          <w:lang w:bidi="fa-IR"/>
        </w:rPr>
        <w:t>التقیید هو ما إذا کان الخمر خارجاً عن محلّ الابتلاء؛ بحیث یلزم استهجان الخطاب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استهجانه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إمکان الابتلاء بموضوعه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إطلاق الدلیل؛ لأنّ المخصّص المجمل بین الأقلّ و الأکثر مفهوماً لا یمنع عن التمسّک بالعامّ فیما عدا القدر المتیقّن من التخصیص، و هو الأقلّ؛ خصوصاً اللبّیات؛ فإنّه یجوز التمسّک بالعامّ فیها فی الشبهات المصداقیة؛ فضلًا عن الشبهات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العقل لا یخرج العنوان عن تحت العموم، بل یخرج ذوات المصادیق الخارجیة، فالشکّ یکون شکّاً فی التخصیص الزائد، و لا یکون الشبهة مصداقیة، کالمخصّصات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المخصّصات اللبّیة الحافّة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إجمالها إلی العامّ، کالمخصّصات اللفظیة المتّصلة المجملة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یمکن منع کون المخصّص هنا من الضروریات المرتکزة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مسلّم إذا کان الخارج عنواناً واقعیاً غیر مختلف المراتب، کالفسق المردّد بین مرتکب الکبیرة أو الأعمّ، و أمّا إذا کان عنواناً ذا مراتب مختلفة، و علم بخروج بعض مراتبه عن العامّ و شکّ فی بعض آخر فلا؛ لأنّ الشکّ یرجع إلی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فرع إمکان الإطلاق الواقعی، و فیما نحن فیه یکون الشکّ فی صحّة الإطلاق النفس الأمری؛ لاحتمال استهجان التکلیف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ممنوع؛ لأنّ التمسّک بالإطلاق لو کان فرع الإمکان الواقعی لما جاز التمسّک به مطلقاً؛ لأنّ کلّیة الموارد یصیر الشکّ فیه من قبیل إمکان</w:t>
      </w:r>
    </w:p>
    <w:p>
      <w:pPr>
        <w:pStyle w:val="BookText"/>
        <w:rPr/>
      </w:pPr>
      <w:r>
        <w:rPr>
          <w:rFonts w:ascii="IRNazanin" w:hAnsi="IRNazanin" w:eastAsia="IRNazanin"/>
          <w:color w:val="111111"/>
          <w:sz w:val="28"/>
          <w:sz w:val="28"/>
          <w:szCs w:val="28"/>
          <w:rtl w:val="true"/>
          <w:lang w:bidi="fa-IR"/>
        </w:rPr>
        <w:t>الإطلاق النفس الأمری؛ خصوصاً علی مذهب العدلیة من تبعیة الأحکام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الشکّ یرجع إلی الشکّ فی وجود مصلحة أو مفسدة، و یمتنع الإطلاق مع عدمهما، فکما أنّ الإطلاق یکشف عن المصلحة النفس الأمریة فکذلک یکشف عن عدم الاستهجان</w:t>
      </w:r>
      <w:r>
        <w:rPr>
          <w:rStyle w:val="FootnoteAnchor"/>
          <w:rtl w:val="true"/>
        </w:rPr>
        <w:footnoteReference w:id="325"/>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أنظاراً، نشیر إلی مهمّاتها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اللبّی یسری إجماله إلی العامّ مطلقاً؛ ضروریاً کان أو نظریاً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بحکم المتّصل اللفظی یمنع عن انعقاد الظهور إلّا فی العامّ المقیّد بالعنوان المردّد بین الأقلّ و الأکثر، کالعلماء العدول، فلا یثبت حجّیته إلّا فی المتیقّن لا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بعد الانتقال إلی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برهة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عن أنّ ما تخیّله من العموم کان أمراً غیر صحیح، بل کان الکلام من أوّل الأمر مقیّداً بغیر عنوان المخصّص لوجود حکم العقل فی زمن الصدور؛ و إن کان المکلّف غیر 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کلامه من حصر سرایة الإجمال بما إذا کان ضروریاً لا نظریاً غیر سدید؛ فإنّ العقل یکشف عن أنّ الخطاب لم یکن متوجّهاً إلی الخارج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ورود المخصّص منفصلًا و بین الغفلة عن الواقع و حصول العلم بعد برهة بمحدودیة الخطاب و تقییده من أوّل الأمر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نظیر کشف القرینة اللفظیة الحافّة بالکلام بعد</w:t>
      </w:r>
    </w:p>
    <w:p>
      <w:pPr>
        <w:pStyle w:val="BookText"/>
        <w:rPr/>
      </w:pPr>
      <w:r>
        <w:rPr>
          <w:rFonts w:ascii="IRNazanin" w:hAnsi="IRNazanin" w:eastAsia="IRNazanin"/>
          <w:color w:val="111111"/>
          <w:sz w:val="28"/>
          <w:sz w:val="28"/>
          <w:szCs w:val="28"/>
          <w:rtl w:val="true"/>
          <w:lang w:bidi="fa-IR"/>
        </w:rPr>
        <w:t>حین، فکما أنّها یسقط العامّ عن الحجّیة فی غیر القدر المتیقّن، فهکذا المخصّص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کون المخصّص هنا ضروریاً مرتکزاً فی الأذهان قابل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إجمال المخصّص الحافّ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لفظیاً متّصلًا به أو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إلی العامّ، نعم لو کان لفظیاً منفصلًا فلا یسری؛ لانعقاد ظهوره فی جمیع الأفراد و حجّیته فی العموم، إلی أن یقوم دلیل آخر أقوی منه؛ حتّی یصحّ رفع الید عن الحجّة بالحجّة، و المفروض عدم قیامها إلّا فی الأقلّ دون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الحافّ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لفظیاً أو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فیسری إجماله إلیه؛ لعدم انعقاد ظهور له إلّا فی المقدار المتقیّد، و المفروض دوران الأمر فی المخصّص بین الأقلّ و الأکثر، فلا یکون العامّ حجّة إلّا فی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لا یجوز التمسّک فی الشبهات المصداقیة فی المخصّص اللبّی أیضاً، بلا فرق بینه و المخصّص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المحفوف بالعنوان المجمل المردّد بین الأقلّ و الأکثر لیس له ظهور إلّا فی العامّ المقیّد بالمجمل المردّد بین الأقلّ و الأکثر، فلا یثبت حجّیته إلّا فی المتیقّن لا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سرّ عدم سرایته هو أنّ العقل یخرج ذوات المصادیق لا العنوان حتّی یصیر الشبهة مصداقیة، بل یصیر من قبیل التخصیص الزائد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بعض أعاظم العصر قدس سره، تبعاً لما أفاده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رمسه</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ممنوع؛ فإنّ الأفراد تخرج عن تحت العامّ عند</w:t>
      </w:r>
    </w:p>
    <w:p>
      <w:pPr>
        <w:pStyle w:val="BookText"/>
        <w:rPr/>
      </w:pPr>
      <w:r>
        <w:rPr>
          <w:rFonts w:ascii="IRNazanin" w:hAnsi="IRNazanin" w:eastAsia="IRNazanin"/>
          <w:color w:val="111111"/>
          <w:sz w:val="28"/>
          <w:sz w:val="28"/>
          <w:szCs w:val="28"/>
          <w:rtl w:val="true"/>
          <w:lang w:bidi="fa-IR"/>
        </w:rPr>
        <w:t>العقل بملاک واحد، و قد یخرج کلّ فرد بملاک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من قبیل الثانی کان لما ذکره من التوجیه وجه، کما هو الحال فی المخصّص اللفظی إذا کان خروج کلّ فرد بعنوان یخصّه، و أمّا إذا کان من قبیل الأوّل فلا؛ لأنّ الإخراج کلّه بملاک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الفرد المشکوک خروجه لا یستلزم تخصیصاً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العقل بحرمة إکرام أعداء المولی فلا إشکال أنّ المخرج هو العنوان الوحدانی، و المخصّص واحد لا کثیر، و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الفرد المشکوک لا یستلزم تخصیصاً آخر؛ فلا یجوز التمسّک فیه بعین ما ذکر فی المخصّص اللفظی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یصحّ لو کانت الجهات تقییدیة، فیصیر المخرج هو العنوان المقیّد، و أمّا إذا کانت تعلیلیة فالخارج هی الأفراد لأجل تلک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فی محلّه أنّ الجهات التعلیلیة فی الأحکام العقلیة ترجع إلی الجهات التقییدیة،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القضیة اللفظیة إنّما هو الخمر لکونها مسکراً، لکن ما هو المحرّم لبّاً فی إدراک العقل إنّما هو المسکر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المخصّص اللفظی و اللبّی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الفرق بین المخصّص الذی هو ذا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التمسّک بالعامّ فی الأوّل فی اللفظی و اللبّی معاً، من غرائب الآراء؛ إذ أیّ فرق بین الفسق و الخروج عن محلّ الابتلاء؛ حیث جعل الثانی مختلف المراتب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الخروج عن طاعة اللَّه له مراتب مختلفة؛ فإنّ مرتبة ارتکاب الصغائر غیر مرتبة ارتکاب الکبائر و أضعف منها، و هو یباین مع ارتکاب الموبقات من الذنوب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یشکّ فی أنّ الخارج عن العامّ هل هو مطلق من خرج عن طاعة اللَّه، أو الخارج عنه مرتبة خاصّة منه، 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البلاد مختلفة، فالواقع فی أقاصی العالم یعدّ خارجاً عن محلّ الابتلاء، و إنّما الشکّ فی الأواسط و الأدانی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کون الفاسق ذا مراتب أولی من کونه ذا مراتب،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الکبری غیر مسلّم؛ فإنّ الإجمال یسری إلی العامّ إذا کان المخصّص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مقولًا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الأبیض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شککنا فی أنّ الخارج هل هو الأبیض الشدید أو الأعمّ منه فلا یجوز التمسّک به فی غیر المتیقّن خروجه؛ لأنّه من قبیل التمسّک بالعامّ فی الشبهة المصداقیة بالنسبة إلی نفس العامّ لا المخصّص؛ إذ لیس للکلام إلّا ظهور واحد، فمع إجمال القید لا یعقل 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المقام من قبیل الشبهة المفهومیة غیر صحیح؛ لأنّ معناها أنّ المفهوم مجمل فی دائرة المفهومیة، فلا یعلم انطباقه علی موضوع حسب الوضع اللغوی أو العرفی کالفاسق؛ إذ هو مجمل حسب المعنی الموضوع له، فلا نعلم أنّ معناه هو مرتکب الکبائر أو الأعمّ، فیکون الشکّ فی انطباق مفهوم الفاسق علی مرتکب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مفهوماً معیّناً ذا مراتب، و شکّ فی أنّ الخارج أیّ مرتبة منه فهو داخل فی إجمال المراد و خارج عن الشبهة المفهومیة؛ لکون المفهوم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التمسّک بالإطلاق لو کان مشروطاً بإحراز إمکان الإطلاق النفس الأمری لانسدّ باب التمسّک بها؛ لا سیّما علی مذهب العدلیة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واضح بین قضیة استهجان الخطاب و غیره؛ فإنّ البحث عن تبعیة الأحکام للمصالح و المفاسد بحث عقلی محض، فقد تضاربت فیه آراء العدلیة</w:t>
      </w:r>
    </w:p>
    <w:p>
      <w:pPr>
        <w:pStyle w:val="BookText"/>
        <w:rPr/>
      </w:pPr>
      <w:r>
        <w:rPr>
          <w:rFonts w:ascii="Amiri" w:hAnsi="Amiri" w:eastAsia="Amiri" w:cs="Amiri"/>
          <w:color w:val="111111"/>
          <w:sz w:val="28"/>
          <w:sz w:val="28"/>
          <w:szCs w:val="28"/>
          <w:rtl w:val="true"/>
          <w:lang w:bidi="ar-SA"/>
        </w:rPr>
        <w:t>و الأشاعرة</w:t>
      </w:r>
      <w:r>
        <w:rPr>
          <w:rStyle w:val="FootnoteAnchor"/>
          <w:rtl w:val="true"/>
        </w:rPr>
        <w:footnoteReference w:id="327"/>
      </w:r>
      <w:r>
        <w:rPr>
          <w:rFonts w:ascii="IRNazanin" w:hAnsi="IRNazanin" w:eastAsia="IRNazanin"/>
          <w:color w:val="111111"/>
          <w:sz w:val="28"/>
          <w:sz w:val="28"/>
          <w:szCs w:val="28"/>
          <w:rtl w:val="true"/>
          <w:lang w:bidi="fa-IR"/>
        </w:rPr>
        <w:t>، و لیس العلم باشتمال الموضوع علی المفاسد و المصالح من مبادئ الاحتجاج فی محیط العقلاء، بل الخطاب عند الشکّ فی التقیید و التخصیص تامّ متوجّه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العقلائی الدائر عندهم یحکم بمطابقة الإرادة الاستعمالیة و الجدّیة، فعند الشکّ فی دخالة قید أو خروج فرد تصیر أصالتی العموم و الإطلاق محکّمة؛ لتمامیة ما هو ملاک الحجاج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المصالح و المفاسد ممّا یغفل عنه العامّة، و إنّما یبحث عنهما العلماء الباحثون عن دقائق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سمع العبد فی محیط العقلاء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 أنّ تمام الموضوع هو العلماء، و لو شکّ فی دخول فرد أو دخالة شی‌ء یحکم بالعموم و الإطلاق علی عدم دخالة شی‌ء أو عدم خروجه، من غیر التفات إلی إمکان إطلاق النفس الأمری علی مسلک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فاستهجان الخطاب فی الموارد الخارجة عن محلّ الابتلاء لیس مخفیاً علی أحد؛ فلو شکّ فی استهجان الخطاب لأجل الشکّ فی کونه مورد الابتلاء أو لا لما صحّ التمسّک بالإطلاق لکشف حاله؛ إذ التمسّک بالإطلاق فرع إحراز إمکانه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مبانی القوم، و قد عرفت أنّه لا مناص عن البراءة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 فلزوم الاحتیاط ممّا لا غبار علیه، و یعلم وجهه ممّا قدّمناه</w:t>
      </w:r>
      <w:r>
        <w:rPr>
          <w:rStyle w:val="FootnoteAnchor"/>
          <w:rtl w:val="true"/>
        </w:rPr>
        <w:footnoteReference w:id="329"/>
      </w:r>
      <w:bookmarkStart w:id="305" w:name="pg12912_111824"/>
    </w:p>
    <w:p>
      <w:pPr>
        <w:pStyle w:val="Heading6"/>
        <w:numPr>
          <w:ilvl w:val="5"/>
          <w:numId w:val="1"/>
        </w:numPr>
        <w:rPr/>
      </w:pPr>
      <w:bookmarkStart w:id="306" w:name="__RefHeading___Toc3425549_3224264995"/>
      <w:bookmarkStart w:id="307" w:name="_Toc115"/>
      <w:bookmarkEnd w:id="305"/>
      <w:bookmarkEnd w:id="306"/>
      <w:r>
        <w:rPr>
          <w:rtl w:val="true"/>
        </w:rPr>
        <w:t>الأمر الثالث فی الشبهة غیر المحصورة</w:t>
      </w:r>
      <w:bookmarkEnd w:id="307"/>
    </w:p>
    <w:p>
      <w:pPr>
        <w:pStyle w:val="Heading6"/>
        <w:numPr>
          <w:ilvl w:val="5"/>
          <w:numId w:val="1"/>
        </w:numPr>
        <w:rPr/>
      </w:pPr>
      <w:bookmarkStart w:id="308" w:name="__RefHeading___Toc3425551_3224264995"/>
      <w:bookmarkStart w:id="309" w:name="_Toc116"/>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و توضیح حالها فی ضمن امور</w:t>
      </w:r>
      <w:r>
        <w:rPr>
          <w:rFonts w:eastAsia="IRNazanin" w:cs="IRNazanin"/>
          <w:color w:val="111111"/>
          <w:sz w:val="28"/>
          <w:szCs w:val="28"/>
          <w:rtl w:val="true"/>
          <w:lang w:bidi="fa-IR"/>
        </w:rPr>
        <w:t>:</w:t>
      </w:r>
    </w:p>
    <w:p>
      <w:pPr>
        <w:pStyle w:val="Heading6"/>
        <w:numPr>
          <w:ilvl w:val="5"/>
          <w:numId w:val="1"/>
        </w:numPr>
        <w:rPr/>
      </w:pPr>
      <w:bookmarkStart w:id="310" w:name="__RefHeading___Toc3425553_3224264995"/>
      <w:bookmarkStart w:id="311" w:name="_Toc117"/>
      <w:bookmarkEnd w:id="310"/>
      <w:r>
        <w:rPr>
          <w:rtl w:val="true"/>
        </w:rPr>
        <w:t>الأوّل</w:t>
      </w:r>
      <w:r>
        <w:rPr>
          <w:rtl w:val="true"/>
        </w:rPr>
        <w:t xml:space="preserve">: </w:t>
      </w:r>
      <w:r>
        <w:rPr>
          <w:rtl w:val="true"/>
        </w:rPr>
        <w:t>تنقیح محلّ البحث</w:t>
      </w:r>
      <w:bookmarkEnd w:id="311"/>
    </w:p>
    <w:p>
      <w:pPr>
        <w:pStyle w:val="BookText"/>
        <w:rPr/>
      </w:pPr>
      <w:r>
        <w:rPr>
          <w:rFonts w:ascii="IRNazanin" w:hAnsi="IRNazanin" w:eastAsia="IRNazanin"/>
          <w:color w:val="111111"/>
          <w:sz w:val="28"/>
          <w:sz w:val="28"/>
          <w:szCs w:val="28"/>
          <w:rtl w:val="true"/>
          <w:lang w:bidi="fa-IR"/>
        </w:rPr>
        <w:t>لو وقف المکلّف علی تکلیف فعلی قطعی وجدانی؛ بحیث لا یرضی المولی بترکه مطلقاً فلا إشکال فی لزوم اتّباعه و قبح مخالفته؛ سواء کان الأطراف محصورة أو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وقف علی الحکم لأجل إطلاق الدلیل أو عمومه فللترخیص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دلالة ما یدلّ علی الترخیص و تمامیة دلالته، کأدلّة الحلّ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وافاک فی المحصور من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أدلّة الحلّ علی أطراف المحصور و إن کان لا یعدّ ترخیصاً فی المعصیة فی نظر العقل إلّا أنّه ترخیص فی نظر العرف الذی هو المحکّم فی هذه المیادین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أطراف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بیان الحال فیه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یتمحّض البحث فی الشبهة غیر المحصورة من حیث هی هی، مع قطع النظر عن سائر العناوین المجوّزة، کالاضطرار و الخروج عن محلّ الابتلاء أو العسر و الحرج، و ما یظهر من الشیخ الأعظم من الاستدلال علی الجواز بخروج بعض الأطراف أو أکثرها من محلّ الابتلاء</w:t>
      </w:r>
      <w:r>
        <w:rPr>
          <w:rStyle w:val="FootnoteAnchor"/>
          <w:rtl w:val="true"/>
        </w:rPr>
        <w:footnoteReference w:id="331"/>
      </w:r>
      <w:r>
        <w:rPr>
          <w:rFonts w:ascii="IRNazanin" w:hAnsi="IRNazanin" w:eastAsia="IRNazanin"/>
          <w:color w:val="111111"/>
          <w:sz w:val="28"/>
          <w:sz w:val="28"/>
          <w:szCs w:val="28"/>
          <w:rtl w:val="true"/>
          <w:lang w:bidi="fa-IR"/>
        </w:rPr>
        <w:t>لیس بسدید</w:t>
      </w:r>
      <w:r>
        <w:rPr>
          <w:rFonts w:eastAsia="IRNazanin" w:cs="IRNazanin"/>
          <w:color w:val="111111"/>
          <w:sz w:val="28"/>
          <w:szCs w:val="28"/>
          <w:rtl w:val="true"/>
          <w:lang w:bidi="fa-IR"/>
        </w:rPr>
        <w:t>.</w:t>
      </w:r>
      <w:bookmarkStart w:id="312" w:name="pg12912_111825"/>
    </w:p>
    <w:p>
      <w:pPr>
        <w:pStyle w:val="Heading6"/>
        <w:numPr>
          <w:ilvl w:val="5"/>
          <w:numId w:val="1"/>
        </w:numPr>
        <w:rPr/>
      </w:pPr>
      <w:bookmarkStart w:id="313" w:name="__RefHeading___Toc3425555_3224264995"/>
      <w:bookmarkStart w:id="314" w:name="_Toc118"/>
      <w:bookmarkEnd w:id="312"/>
      <w:bookmarkEnd w:id="313"/>
      <w:r>
        <w:rPr>
          <w:rtl w:val="true"/>
        </w:rPr>
        <w:t>الثانی</w:t>
      </w:r>
      <w:r>
        <w:rPr>
          <w:rtl w:val="true"/>
        </w:rPr>
        <w:t xml:space="preserve">: </w:t>
      </w:r>
      <w:r>
        <w:rPr>
          <w:rtl w:val="true"/>
        </w:rPr>
        <w:t>فیما یدلّ علی عدم وجوب الاحتیاط فی الشبهة غیر المحصورة</w:t>
      </w:r>
      <w:bookmarkEnd w:id="314"/>
    </w:p>
    <w:p>
      <w:pPr>
        <w:pStyle w:val="Heading6"/>
        <w:numPr>
          <w:ilvl w:val="5"/>
          <w:numId w:val="1"/>
        </w:numPr>
        <w:rPr/>
      </w:pPr>
      <w:bookmarkStart w:id="315" w:name="__RefHeading___Toc3425557_3224264995"/>
      <w:bookmarkStart w:id="316" w:name="_Toc119"/>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قد اضطرب کلام القوم فی میزان الشبهة غیر المحصورة، کما اضطرب فی بیان سرّ عدم وجوب الاجتناب عن بعض أطرافها أو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 ما قیل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الأطراف توجب ضعف احتمال کون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خاصّ؛ بحیث لا یعتنی به العقلاء، و یجعلونه کالشکّ البدوی، فیکون فی کلّ طرف یرید الفاعل ارتکابه طریق عقلائی علی عدم کون الحرام فیه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توضیحه فلاحظ حال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لا یعتنون و یعدّون المعتنی ضعیف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سمع الرجل أنّ واحداً من بیوت بلده التی فیها آلاف بیت قد أغرقه الماء أو وقع فیه حریق، أو قرء فی جریدة أنّ واحداً من أهل بلده التی فیها مائة ألف نسمة قد قتل، تراه لا یبالی بما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صار بصدد التفتیش، و أظهر الاضطراب و الوحشة؛ لاحتمال کون البیت بیته و المقتول ولده لعدّ ضعیف العقل أو عدیمه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کثرة الاحتمال یوجب موهومیة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 قد استشکل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الاطمئنان بعدم الحرام فی کلّ واحد من الأطراف لا یجتمع مع العلم بوجود الحرام بینها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الجزئی و إن کان لا یجتمع مع السلب الکلّی إلّا أنّ</w:t>
      </w:r>
    </w:p>
    <w:p>
      <w:pPr>
        <w:pStyle w:val="BookText"/>
        <w:rPr/>
      </w:pPr>
      <w:r>
        <w:rPr>
          <w:rFonts w:ascii="IRNazanin" w:hAnsi="IRNazanin" w:eastAsia="IRNazanin"/>
          <w:color w:val="111111"/>
          <w:sz w:val="28"/>
          <w:sz w:val="28"/>
          <w:szCs w:val="28"/>
          <w:rtl w:val="true"/>
          <w:lang w:bidi="fa-IR"/>
        </w:rPr>
        <w:t>المنافاة إنّما یتحقّق فی المقام إذا لوحظت الأفراد فی عرض واحد، لا إذا لوحظت کلّ واحد فی مقابل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 الأطراف إذا لوحظ فی مقابل الباقی یکون فیه احتمال واحد فی مقابل الاحتمالات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ضعف احتمال واحد فی مقابل مائة ألف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بأنّ واحداً من هذه الأمارات مخالف للواقع، و معها کیف یجوز العمل بها معه؟</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بکذب واحد من الأمارات غیر المحصورة کالعلم بنجاسة إناء بین عدّة غیر محصورة؛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الاستدلال علی حکم الشبهة غیر المحصورة بروایات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أبداً حتّی تعرف الحرام بعینه فتدعه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فإنّ ظهورها فی العلم الإجمالی لا یکاد یشکّ، غیر أنّه خرج المحصورة بالإجماع أو بالعقل، 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الشبهة غیر المحصورة نادرة ضعیفٌ جدّاً، بل غالب الشبهات غیر محصورة، و قد یتّفق کونها محصورة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باب الجبن، و قد مضی بعض القول فی مدالیلها</w:t>
      </w:r>
      <w:r>
        <w:rPr>
          <w:rStyle w:val="FootnoteAnchor"/>
          <w:rtl w:val="true"/>
        </w:rPr>
        <w:footnoteReference w:id="335"/>
      </w:r>
      <w:r>
        <w:rPr>
          <w:rFonts w:ascii="IRNazanin" w:hAnsi="IRNazanin" w:eastAsia="IRNazanin"/>
          <w:color w:val="111111"/>
          <w:sz w:val="28"/>
          <w:sz w:val="28"/>
          <w:szCs w:val="28"/>
          <w:rtl w:val="true"/>
          <w:lang w:bidi="fa-IR"/>
        </w:rPr>
        <w:t>، و إلیک ما یناسب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معاویة بن عمّار عن أبی جعفر علیه السلام بعد ما سأله عن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الحلال و الحرام فهو لک حلال حتّی تعرف الحرام، فتدعه بعینه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منها روایة عبد اللَّه بن سلیمان</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ظهورها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یجعل فیه المیتة حرم ما فی جمیع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 و إن لم تعلم فاشتر و بع و کل، و اللَّه إنّی لاعترض السوق فاشتری بها اللحم و الجبن، و اللَّه ما أظنّ کلّهم یسمّون هذه البربر و هذه السودان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الاستدلال بها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بإبداء الاحتمال بأنّ جعل المیتة فی الجبن فی مکان واحد لا یوجب الاجتناب عن جبن غیره الذی هو مشکوک بدوی، و بأنّ المراد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کلّهم یسمّون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الظنّ أو القطع بالتسمیة و الحلّیة، بل یکفی أخذها من سوق المسلمین، بناءً علی أنّ السوق أمارة شرعیة للحلّ؛ و لو اخذ من ید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سوق المسلمین غیر معتبر مع العلم الإجمالی، فلا مسوّغ للارتکاب غیر کون الشبهة غیر محصورة، ثمّ أمر بالتأمّل</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أنت خبیر بضعف ما أورده؛ لأنّ حملها علی الشبهة البدویة بعید عن مساقها؛ إذ هی کالنصّ فی العلم الإجمالی؛ خصوصاً مع ملاحظة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ذیلها لیس أجنبیاً عن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احتمله فی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بعید؛ لأنّ قوله هذا ظاهر فی حصول القطع بعدم التسمیة؛ لکون الطائفتین لیستا من الطوائف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المرسلة لا غبار علیها، لو لا ضعفها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عبد اللَّه بن سلیمان، و فیها احتمال التقیة؛ لکون المیتة عبارة عن الإنفحة، و هی طاهرة بإجماع الطائفة، و قد أوضحنا حالها فی محلّه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فی بعض عمّال بنی امیّة، 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خلط الحرام حلالًا فاختلطا جمیعاً فلم یعرف الحرام من الحلال فلا بأس</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حملها علی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ورث من أبیه مالًا، و قد عرف أنّ فی ذلک المال رباً، و لکن قد اختلط فی التجارة بغیره حلالًا کان حلالًا طیّباً، فلیأکله، و إن عرف منه شیئاً معزولًا أنّه رباً فلیأخذ رأس ماله و لیرد الربا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له</w:t>
      </w:r>
      <w:r>
        <w:rPr>
          <w:rStyle w:val="FootnoteAnchor"/>
          <w:rtl w:val="true"/>
        </w:rPr>
        <w:footnoteReference w:id="343"/>
      </w:r>
      <w:bookmarkStart w:id="317" w:name="pg12912_111829"/>
    </w:p>
    <w:p>
      <w:pPr>
        <w:pStyle w:val="BookText"/>
        <w:rPr/>
      </w:pPr>
      <w:bookmarkEnd w:id="317"/>
      <w:r>
        <w:rPr>
          <w:rFonts w:ascii="IRNazanin" w:hAnsi="IRNazanin" w:eastAsia="IRNazanin"/>
          <w:color w:val="111111"/>
          <w:sz w:val="28"/>
          <w:sz w:val="28"/>
          <w:szCs w:val="28"/>
          <w:rtl w:val="true"/>
          <w:lang w:bidi="fa-IR"/>
        </w:rPr>
        <w:t xml:space="preserve">و غیرها من الروایات التی قد جمع بعضها السیّد الفقیه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جوائز السلطان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کون مورد أکثرها من قبیل الشبهة غیر المحصورة، و فی مقابلها روایات اخر محمولة علی المحصورة، کروایات التخمیس</w:t>
      </w:r>
      <w:r>
        <w:rPr>
          <w:rStyle w:val="FootnoteAnchor"/>
          <w:rtl w:val="true"/>
        </w:rPr>
        <w:footnoteReference w:id="345"/>
      </w:r>
      <w:r>
        <w:rPr>
          <w:rFonts w:ascii="IRNazanin" w:hAnsi="IRNazanin" w:eastAsia="IRNazanin"/>
          <w:color w:val="111111"/>
          <w:sz w:val="28"/>
          <w:sz w:val="28"/>
          <w:szCs w:val="28"/>
          <w:rtl w:val="true"/>
          <w:lang w:bidi="fa-IR"/>
        </w:rPr>
        <w:t>فإنّها محمولة علی ما جهل المقدار و احتمل کون الحرام مقدار الخمس و الزیادة 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علم أنّ فی ماله الذی بلغ خمسین ألف دینار دیناراً من الحرام فلا إشکال فی عدم 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الروایات علی الشبهة غیر المحصورة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 منها بعض الموارد، کما لو عرف صاحب المال، فیجب له التخلّص من ماله، و تفصیل الکلام فی باقی الأقسام فی محلّه</w:t>
      </w:r>
      <w:r>
        <w:rPr>
          <w:rFonts w:eastAsia="IRNazanin" w:cs="IRNazanin"/>
          <w:color w:val="111111"/>
          <w:sz w:val="28"/>
          <w:szCs w:val="28"/>
          <w:rtl w:val="true"/>
          <w:lang w:bidi="fa-IR"/>
        </w:rPr>
        <w:t>.</w:t>
      </w:r>
    </w:p>
    <w:p>
      <w:pPr>
        <w:pStyle w:val="Heading6"/>
        <w:numPr>
          <w:ilvl w:val="5"/>
          <w:numId w:val="1"/>
        </w:numPr>
        <w:rPr/>
      </w:pPr>
      <w:bookmarkStart w:id="318" w:name="__RefHeading___Toc3425559_3224264995"/>
      <w:bookmarkStart w:id="319" w:name="_Toc120"/>
      <w:bookmarkEnd w:id="318"/>
      <w:r>
        <w:rPr>
          <w:rtl w:val="true"/>
        </w:rPr>
        <w:t>ضابط الشبهة غیر المحصورة</w:t>
      </w:r>
      <w:bookmarkEnd w:id="319"/>
    </w:p>
    <w:p>
      <w:pPr>
        <w:pStyle w:val="BookText"/>
        <w:rPr/>
      </w:pPr>
      <w:r>
        <w:rPr>
          <w:rFonts w:ascii="IRNazanin" w:hAnsi="IRNazanin" w:eastAsia="IRNazanin"/>
          <w:color w:val="111111"/>
          <w:sz w:val="28"/>
          <w:sz w:val="28"/>
          <w:szCs w:val="28"/>
          <w:rtl w:val="true"/>
          <w:lang w:bidi="fa-IR"/>
        </w:rPr>
        <w:t>و قد ظهر ممّا أوضحنا من مقالة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الضابط فی الشبهة غیر المحصورة أن تکون کثرة الأطراف بمثابة لا یعتنی العقلاء باحتمال کون الواقع فی بعض الأطراف فی مقابل البقیة؛ لضعف الاحتمال لأجل الکثرة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شیخنا الأعظم قدس سره کلمات فی ضابطها عن الأعلام</w:t>
      </w:r>
      <w:r>
        <w:rPr>
          <w:rStyle w:val="FootnoteAnchor"/>
          <w:rtl w:val="true"/>
        </w:rPr>
        <w:footnoteReference w:id="347"/>
      </w:r>
      <w:r>
        <w:rPr>
          <w:rFonts w:ascii="Amiri" w:hAnsi="Amiri" w:eastAsia="Amiri" w:cs="Amiri"/>
          <w:color w:val="111111"/>
          <w:sz w:val="28"/>
          <w:sz w:val="28"/>
          <w:szCs w:val="28"/>
          <w:rtl w:val="true"/>
          <w:lang w:bidi="ar-SA"/>
        </w:rPr>
        <w:t>، غیر أنّه لا یهمّ</w:t>
      </w:r>
    </w:p>
    <w:p>
      <w:pPr>
        <w:pStyle w:val="BookText"/>
        <w:rPr/>
      </w:pPr>
      <w:r>
        <w:rPr>
          <w:rFonts w:ascii="IRNazanin" w:hAnsi="IRNazanin" w:eastAsia="IRNazanin"/>
          <w:color w:val="111111"/>
          <w:sz w:val="28"/>
          <w:sz w:val="28"/>
          <w:szCs w:val="28"/>
          <w:rtl w:val="true"/>
          <w:lang w:bidi="fa-IR"/>
        </w:rPr>
        <w:t>الباحث؛ لأنّ الدلیل الوحید ما عرفت من بناء العقلاء و دلالة الأخبار، و لیس عنوان غیر المحصور واقعاً فی مصبّ روایة حتّی نتکلّف لبیان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بعض أعاظم العصر ضابطاً آخر؛ فقال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ضابطها أن تبلغ الأطراف حدّاً لا یمکن عادة جمعها فی الاستعمال؛ من أکل و شرب، فخرج العلم بنجاسة حبّة من حقّة؛ لإمکان استعمال الحقّة، مع أنّ نسبتها إلی الحقّة تزید عن نسبة الواحد إلی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العبرة بکثرة العدد فقط؛ إذ ربّ کثیر تکون الشبهة فیه محصورة، کالحقّة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عبرة بعدم تمکّن الجمع فقط؛ إذ ربّما لا یتمکّن عادة مع أنّ الشبهة محصورة، ککون أحد الأطراف فی أقصی بلاد المغرب، بل لا بدّ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الأطراف، و عدم التمکّن العادی من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تمتاز الشبهة الغیر المحصورة عمّا تقدّم فی المحصورة، من أنّه یعتبر فیها إمکان الابتلاء بکلّ واحد من أطرافها؛ فإنّ إمکان الابتلاء بکلّ واحد غیر إمکان الابتلاء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فالشبهة الغیر المحصورة ما تکون کثرة الأطراف بحدّ یکون عدم التمکّن فی الجمع فی الاستعمال مستنداً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حکمها؛ و هو عدم حرمة المخالفة القطعیة و 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عدم التمکّن العادی منها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وجوبها فرع حرمة المخالفة القطعیة؛ لأنّها هی الأصل فی باب العلم الإجمالی؛ لأنّ وجوب الموافقة القطعیة یتوقّف علی تعارض الاصول فی الأطراف، و تعارضها یتوقّف علی حرمة المخالفة القطعیة، فیلزم من جریانها فی جمیع الأطراف مخالفة عملیة للتکلیف،</w:t>
      </w:r>
    </w:p>
    <w:p>
      <w:pPr>
        <w:pStyle w:val="BookText"/>
        <w:rPr/>
      </w:pPr>
      <w:r>
        <w:rPr>
          <w:rFonts w:ascii="IRNazanin" w:hAnsi="IRNazanin" w:eastAsia="IRNazanin"/>
          <w:color w:val="111111"/>
          <w:sz w:val="28"/>
          <w:sz w:val="28"/>
          <w:szCs w:val="28"/>
          <w:rtl w:val="true"/>
          <w:lang w:bidi="fa-IR"/>
        </w:rPr>
        <w:t>فإذا لم تحرم المخالفة القطعیة لم یقع التعارض بین الاصول، و معه لا یجب الموافقة القطعیة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عدم التمکّن من الجمع فی الاستعمال إن کان هو الجمع دفعة فیلزم أن یکون أکثر الشبهات المحصورة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أعمّ منها و من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مدّة طویلة من سنین متمادیة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تعیین ذلک الزمان الذی لا یمکن الجمع التدریجی بین الأطراف فیه، بل یلزم أن یکون أکثر الشبهات محصورة؛ إذ قلّما یتّفق أن لا یمکن الجمع بین الأطراف، و لو فی ظرف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الشبهة علی هذا الضابط محصورة، و 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جمیع الأطراف ممّا لا یمکن غالباً؛ و لو تدریجاً فی سنین متمادیة؛ لفقدان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تأثیر العلم الإجمالی فی التدریجیات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بعض الأطراف بعد تنجیز العلم غیر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بتنجیز العلم الإجمالی فی بقیة الأطراف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ممحّض فی کون الشبهة غیر محصورة، مع قطع النظر عن الجهات الاخر من فقدان بعض الأطراف</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تأثیر العلم فی التدریجی من حیث الاستعمال ممّا لا إشکال فیه، و فی التدریجی من حیث الوجود أیضاً مؤثّر علی الأقوی</w:t>
      </w:r>
      <w:r>
        <w:rPr>
          <w:rFonts w:eastAsia="IRNazanin" w:cs="IRNazanin"/>
          <w:color w:val="111111"/>
          <w:sz w:val="28"/>
          <w:szCs w:val="28"/>
          <w:rtl w:val="true"/>
          <w:lang w:bidi="fa-IR"/>
        </w:rPr>
        <w:t>.</w:t>
      </w:r>
      <w:bookmarkStart w:id="320" w:name="pg12912_111832"/>
    </w:p>
    <w:p>
      <w:pPr>
        <w:pStyle w:val="BookText"/>
        <w:rPr/>
      </w:pPr>
      <w:bookmarkEnd w:id="320"/>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مورد التکلیف إنّما هو کلّ فردٍ فردٍ، و المفروض قدرته علیه، لا الجمع بین الأطراف حتّی یقال بعدم قدرته علی الجمع، و ما هو مورد للتکلیف فالمکلّف متمکّن من الإتیان به؛ لتمکّنه من کلّ واحد، و المکلّف به غیر خارج عن محلّ ابتلائه، و ما لا یکون متمکّناً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العقل بالجمع أحیاناً فهو لأجل التحفّظ علی الواقع، لا أنّه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تنجیز العلم الإجمالی هو فعلیة التکلیف و عدم استهجان الخطاب، و المفروض أنّ مورد التکلیف یکون محلّ الابتلاء؛ لتمکّنه من استعمال کلّ واحد؛ و إن لم یتمکّن من الجمع فی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حرمة المخالفة الاحتمالیة بارتکاب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لفعلیة الحکم، و عدم استهجان الخطاب؛ لکون مورد التکلیف مورداً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أفاده؛ من عدم حرمة المخالفة القطعیة و عدم وجوب الموافقة القطعیة؛ لأجل تفرّع الثانیة علی الاولی</w:t>
      </w:r>
      <w:r>
        <w:rPr>
          <w:rFonts w:eastAsia="IRNazanin" w:cs="IRNazanin"/>
          <w:color w:val="111111"/>
          <w:sz w:val="28"/>
          <w:szCs w:val="28"/>
          <w:rtl w:val="true"/>
          <w:lang w:bidi="fa-IR"/>
        </w:rPr>
        <w:t>.</w:t>
      </w:r>
    </w:p>
    <w:p>
      <w:pPr>
        <w:pStyle w:val="Heading6"/>
        <w:numPr>
          <w:ilvl w:val="5"/>
          <w:numId w:val="1"/>
        </w:numPr>
        <w:rPr/>
      </w:pPr>
      <w:bookmarkStart w:id="321" w:name="__RefHeading___Toc3425561_3224264995"/>
      <w:bookmarkStart w:id="322" w:name="_Toc121"/>
      <w:bookmarkEnd w:id="321"/>
      <w:r>
        <w:rPr>
          <w:rtl w:val="true"/>
        </w:rPr>
        <w:t>الثالث</w:t>
      </w:r>
      <w:r>
        <w:rPr>
          <w:rtl w:val="true"/>
        </w:rPr>
        <w:t xml:space="preserve">: </w:t>
      </w:r>
      <w:r>
        <w:rPr>
          <w:rtl w:val="true"/>
        </w:rPr>
        <w:t>فی جواز مخالفة القطعیة فی الشبهة التحریمیة الغیر المحصورة</w:t>
      </w:r>
      <w:bookmarkEnd w:id="322"/>
    </w:p>
    <w:p>
      <w:pPr>
        <w:pStyle w:val="BookText"/>
        <w:rPr/>
      </w:pPr>
      <w:r>
        <w:rPr>
          <w:rFonts w:ascii="IRNazanin" w:hAnsi="IRNazanin" w:eastAsia="IRNazanin"/>
          <w:color w:val="111111"/>
          <w:sz w:val="28"/>
          <w:sz w:val="28"/>
          <w:szCs w:val="28"/>
          <w:rtl w:val="true"/>
          <w:lang w:bidi="fa-IR"/>
        </w:rPr>
        <w:t>هل یجوز ارتکاب الجمیع، أو یجب إبقاء مقدار الحرام؟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 الشیخ الأعظم قدس سره، فقال بعدم العقاب؛ إذا لم یقصد ارتکاب الجمیع من أوّل الأمر، و لکن انجرّ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بالعقاب فیما إذا قصد الجمیع من أوّله، أو توصّل به إلی ارتکاب الحرام</w:t>
      </w:r>
      <w:r>
        <w:rPr>
          <w:rStyle w:val="FootnoteAnchor"/>
          <w:rtl w:val="true"/>
        </w:rPr>
        <w:footnoteReference w:id="350"/>
      </w:r>
      <w:bookmarkStart w:id="323" w:name="pg12912_111833"/>
    </w:p>
    <w:p>
      <w:pPr>
        <w:pStyle w:val="BookText"/>
        <w:rPr/>
      </w:pPr>
      <w:bookmarkEnd w:id="323"/>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العمدة فی المقام هو أخبار الباب، و قد عرفت أنّ الظاهر منها جواز ارتکاب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ما اعتمد به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شرع المکلّف فی الأطراف؛ قاصداً ارتکاب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طول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معذوراً؛ لأنّ التکلیف بعد باقٍ علی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قسّم الأطراف بأقسام معدودة محصورة، و أراد ارتکاب بعض الأقسام الذی یکون نسبته إلی البقیة نسبة محصورة، کأن تکون الأطراف عشرة آلاف، و قسّمها عشرة أقسام، و أراد ارتکاب قسم منها، فإنّه غیر معذور فیه؛ لأنّه من قبیل الشبهة المحصورة؛ لعدم کون احتمال الواقع فی القسم الذی أراد ارتکابه ضعیفاً؛ بحیث لا یعتنی به العقلاء</w:t>
      </w:r>
      <w:r>
        <w:rPr>
          <w:rFonts w:eastAsia="IRNazanin" w:cs="IRNazanin"/>
          <w:color w:val="111111"/>
          <w:sz w:val="28"/>
          <w:szCs w:val="28"/>
          <w:rtl w:val="true"/>
          <w:lang w:bidi="fa-IR"/>
        </w:rPr>
        <w:t>.</w:t>
      </w:r>
    </w:p>
    <w:p>
      <w:pPr>
        <w:pStyle w:val="Heading6"/>
        <w:numPr>
          <w:ilvl w:val="5"/>
          <w:numId w:val="1"/>
        </w:numPr>
        <w:rPr/>
      </w:pPr>
      <w:bookmarkStart w:id="324" w:name="__RefHeading___Toc3425563_3224264995"/>
      <w:bookmarkStart w:id="325" w:name="_Toc122"/>
      <w:bookmarkEnd w:id="324"/>
      <w:r>
        <w:rPr>
          <w:rtl w:val="true"/>
        </w:rPr>
        <w:t>الرابع</w:t>
      </w:r>
      <w:r>
        <w:rPr>
          <w:rtl w:val="true"/>
        </w:rPr>
        <w:t xml:space="preserve">: </w:t>
      </w:r>
      <w:r>
        <w:rPr>
          <w:rtl w:val="true"/>
        </w:rPr>
        <w:t>فی سقوط حکم الشکّ البدوی عن بعض الأطراف الغیر المحصورة</w:t>
      </w:r>
      <w:bookmarkEnd w:id="325"/>
    </w:p>
    <w:p>
      <w:pPr>
        <w:pStyle w:val="BookText"/>
        <w:rPr/>
      </w:pPr>
      <w:r>
        <w:rPr>
          <w:rFonts w:ascii="IRNazanin" w:hAnsi="IRNazanin" w:eastAsia="IRNazanin"/>
          <w:color w:val="111111"/>
          <w:sz w:val="28"/>
          <w:sz w:val="28"/>
          <w:szCs w:val="28"/>
          <w:rtl w:val="true"/>
          <w:lang w:bidi="fa-IR"/>
        </w:rPr>
        <w:t>بناءً علی ما ذکرناه من أنّ العقلاء لا یعتنون بالعلم الإجمالی، بل الأمارة العقلائیة قامت علی عدم المعلوم فی کلّ واحد منفرداً عن غیره، یسقط حکم الشکّ البدوی أیضاً عن بعض الأطراف بعد سقوط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بأنّ مائعاً مضافاً بین الأوانی الغیر المحصورة من الماء یجوز التوضّی ببعض الأطراف؛ لقیام الطریق العقلائی علی عدم کونه مضافاً، مع أنّه لو شکّ فی کونه مضافاً بدواً لا یصحّ الاکتفاء بالوضوء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الشکّ البدوی یسقط عن بعض الأطراف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أفاده بعض الأعاظم من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حکم الشکّ؛ لأنّ عدم حرمة المخالفة القطعیة الجائیة من قبل عدم إمکان الجمع فی</w:t>
      </w:r>
      <w:bookmarkStart w:id="326" w:name="pg12912_111834"/>
    </w:p>
    <w:p>
      <w:pPr>
        <w:pStyle w:val="BookText"/>
        <w:rPr/>
      </w:pPr>
      <w:bookmarkEnd w:id="326"/>
      <w:r>
        <w:rPr>
          <w:rFonts w:ascii="IRNazanin" w:hAnsi="IRNazanin" w:eastAsia="IRNazanin"/>
          <w:color w:val="111111"/>
          <w:sz w:val="28"/>
          <w:sz w:val="28"/>
          <w:szCs w:val="28"/>
          <w:rtl w:val="true"/>
          <w:lang w:bidi="fa-IR"/>
        </w:rPr>
        <w:t>الاستعمال، اللازم منه عدم وجوب الموافقة القطعیة لا یلازم سقوط حکم الشکّ،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الفاضل المقرّر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کان یمیل إلی سقوط حکم الشبهة أیضاً</w:t>
      </w:r>
      <w:r>
        <w:rPr>
          <w:rStyle w:val="FootnoteAnchor"/>
          <w:rtl w:val="true"/>
        </w:rPr>
        <w:footnoteReference w:id="352"/>
      </w:r>
      <w:r>
        <w:rPr>
          <w:rFonts w:ascii="IRNazanin" w:hAnsi="IRNazanin" w:eastAsia="IRNazanin"/>
          <w:color w:val="111111"/>
          <w:sz w:val="28"/>
          <w:sz w:val="28"/>
          <w:szCs w:val="28"/>
          <w:rtl w:val="true"/>
          <w:lang w:bidi="fa-IR"/>
        </w:rPr>
        <w:t>، و هو لا یتّجه علی مختاره، و متّجه علی مختارنا</w:t>
      </w:r>
      <w:r>
        <w:rPr>
          <w:rFonts w:eastAsia="IRNazanin" w:cs="IRNazanin"/>
          <w:color w:val="111111"/>
          <w:sz w:val="28"/>
          <w:szCs w:val="28"/>
          <w:rtl w:val="true"/>
          <w:lang w:bidi="fa-IR"/>
        </w:rPr>
        <w:t>.</w:t>
      </w:r>
    </w:p>
    <w:p>
      <w:pPr>
        <w:pStyle w:val="Heading6"/>
        <w:numPr>
          <w:ilvl w:val="5"/>
          <w:numId w:val="1"/>
        </w:numPr>
        <w:rPr/>
      </w:pPr>
      <w:bookmarkStart w:id="327" w:name="__RefHeading___Toc3425565_3224264995"/>
      <w:bookmarkStart w:id="328" w:name="_Toc123"/>
      <w:bookmarkEnd w:id="327"/>
      <w:r>
        <w:rPr>
          <w:rtl w:val="true"/>
        </w:rPr>
        <w:t>الخامس</w:t>
      </w:r>
      <w:r>
        <w:rPr>
          <w:rtl w:val="true"/>
        </w:rPr>
        <w:t xml:space="preserve">: </w:t>
      </w:r>
      <w:r>
        <w:rPr>
          <w:rtl w:val="true"/>
        </w:rPr>
        <w:t>فی حکم الشبهة الوجوبیة الغیر المحصورة</w:t>
      </w:r>
      <w:bookmarkEnd w:id="328"/>
    </w:p>
    <w:p>
      <w:pPr>
        <w:pStyle w:val="BookText"/>
        <w:rPr/>
      </w:pPr>
      <w:r>
        <w:rPr>
          <w:rFonts w:ascii="IRNazanin" w:hAnsi="IRNazanin" w:eastAsia="IRNazanin"/>
          <w:color w:val="111111"/>
          <w:sz w:val="28"/>
          <w:sz w:val="28"/>
          <w:szCs w:val="28"/>
          <w:rtl w:val="true"/>
          <w:lang w:bidi="fa-IR"/>
        </w:rPr>
        <w:t>إذا کانت الشبهة وجوبیة، فلو کان المدرک لعدم التنجیز هو الأخبار الواردة فی المقام فالظاهر جواز المخالفة القطعیة؛ حتّی یقف علی الواجب أو الحرام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أفاده شیخنا العلّامة من قیام الأمارة العقلائیة فلو تمکّن المکلّف من الإتیان بمقدارٍ، نسبته إلی غیر المتمکّن نسبة محصور إلی محصور، فیجب الاحتیاط</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تمکّن من الإتیان بالمائة من بین الألف؛ فإنّ نسبتها إلی الألف کنسبة الواحد إلی العشرة،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یوجب ذلک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نذر شرب کأس و اشتبه من بین غیر محصور، و تمکّن من شرب الواحد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الاحتیاط؛ لقیام الأمارة العقلائیة علی عدم کونه الواقع، و لا یعتنی العقلاء بمثل هذا الاحتمال الضعیف</w:t>
      </w:r>
      <w:r>
        <w:rPr>
          <w:rFonts w:eastAsia="IRNazanin" w:cs="IRNazanin"/>
          <w:color w:val="111111"/>
          <w:sz w:val="28"/>
          <w:szCs w:val="28"/>
          <w:rtl w:val="true"/>
          <w:lang w:bidi="fa-IR"/>
        </w:rPr>
        <w:t>.</w:t>
      </w:r>
      <w:bookmarkStart w:id="329" w:name="pg12912_111835"/>
    </w:p>
    <w:p>
      <w:pPr>
        <w:pStyle w:val="Heading6"/>
        <w:numPr>
          <w:ilvl w:val="5"/>
          <w:numId w:val="1"/>
        </w:numPr>
        <w:rPr/>
      </w:pPr>
      <w:bookmarkStart w:id="330" w:name="__RefHeading___Toc3425567_3224264995"/>
      <w:bookmarkStart w:id="331" w:name="_Toc124"/>
      <w:bookmarkEnd w:id="329"/>
      <w:bookmarkEnd w:id="330"/>
      <w:r>
        <w:rPr>
          <w:rtl w:val="true"/>
        </w:rPr>
        <w:t>الأمر الرابع فی ملاقی الشبهة المحصورة</w:t>
      </w:r>
      <w:bookmarkEnd w:id="331"/>
    </w:p>
    <w:p>
      <w:pPr>
        <w:pStyle w:val="Heading6"/>
        <w:numPr>
          <w:ilvl w:val="5"/>
          <w:numId w:val="1"/>
        </w:numPr>
        <w:rPr/>
      </w:pPr>
      <w:bookmarkStart w:id="332" w:name="__RefHeading___Toc3425569_3224264995"/>
      <w:bookmarkStart w:id="333" w:name="_Toc125"/>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و تحقیق الحال فیه فی ضمن أبحاث</w:t>
      </w:r>
      <w:r>
        <w:rPr>
          <w:rFonts w:eastAsia="IRNazanin" w:cs="IRNazanin"/>
          <w:color w:val="111111"/>
          <w:sz w:val="28"/>
          <w:szCs w:val="28"/>
          <w:rtl w:val="true"/>
          <w:lang w:bidi="fa-IR"/>
        </w:rPr>
        <w:t>:</w:t>
      </w:r>
    </w:p>
    <w:p>
      <w:pPr>
        <w:pStyle w:val="Heading6"/>
        <w:numPr>
          <w:ilvl w:val="5"/>
          <w:numId w:val="1"/>
        </w:numPr>
        <w:rPr/>
      </w:pPr>
      <w:bookmarkStart w:id="334" w:name="__RefHeading___Toc3425571_3224264995"/>
      <w:bookmarkStart w:id="335" w:name="_Toc126"/>
      <w:bookmarkEnd w:id="334"/>
      <w:r>
        <w:rPr>
          <w:rtl w:val="true"/>
        </w:rPr>
        <w:t>فی أنّ ملاقی النجس بعنوانه من النجس</w:t>
      </w:r>
      <w:bookmarkEnd w:id="3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 من ضرورة الفقه وجوب الاجتناب عن ملاقی النجس القطعی وقع البحث فی کیفیة جعل هذا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زهرة</w:t>
      </w:r>
      <w:r>
        <w:rPr>
          <w:rStyle w:val="FootnoteAnchor"/>
          <w:rtl w:val="true"/>
        </w:rPr>
        <w:footnoteReference w:id="353"/>
      </w:r>
      <w:r>
        <w:rPr>
          <w:rFonts w:ascii="IRNazanin" w:hAnsi="IRNazanin" w:eastAsia="IRNazanin"/>
          <w:color w:val="111111"/>
          <w:sz w:val="28"/>
          <w:sz w:val="28"/>
          <w:szCs w:val="28"/>
          <w:rtl w:val="true"/>
          <w:lang w:bidi="fa-IR"/>
        </w:rPr>
        <w:t>و من تبعه</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الاجتناب عن ملاقی النجس من شؤون وجوب الاجتناب عن نفس النجس، و لیس وجوب الاجتناب عن الملاقی لأجل تعبّد آخر وراء التعبّد بوجوب الاجتناب عن النجس، و یکون المرتکب للملاقی معاقباً علی ارتکاب النجس لا علی ارتکاب ملاقیه؛ لعدم الحکم للملاقی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وجوب اجتناب واحد؛ و هو وجوب الاجتناب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ذلک إلّا بالاجتناب عنه و عن حواشیه و ملاقیاته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الملاقی یختصّ بجعل مستقلّ فی عرض وجوب الاجتناب عن النجس، و هذا الوجوب مجعول علی عنوان ملاقی</w:t>
      </w:r>
    </w:p>
    <w:p>
      <w:pPr>
        <w:pStyle w:val="BookText"/>
        <w:rPr/>
      </w:pP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وجوبه عین وجوبه و من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فالاجتناب عن الملاقی امتثال مستقلّ، کما أنّ الاجتناب عن النجس 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العقاب و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ابن زهرة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و لا یخفی عدم دلالته؛ إذ هو یدلّ علی وجوب الاجتناب عن الرجز، و لا یدلّ علی وجوب الاجتناب عن ملاقی الرجز؛ فإنّ الرجز عبارة عن نفس النجس، علی ما علیه جملة من المفسّرین، و لا یدلّ علی حکم ملاقیه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بما رواه عمرو بن شمر عن جابر الجعفی عن أبی جعفر علیه السلام 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تستخفّ بالفأرة، و إنّما استخففت بدینک؛ إنّ اللَّه حرّم المیتة من کلّ شی‌ء</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عدم الاجتناب من الطعام الذی وقعت فیه الفأرة استخفافاً للدین، و بیّنه بأنّ اللَّه حرّم المیتة من کلّ شی‌ء، و لولا کون الاجتناب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شؤون الاجتناب من الملاقی لم یکن عدم الاجتناب من الطعام استخفافاً بتحریم المیتة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 الروایة، و احتمال تفسّخ المیتة فی السمن؛ بحیث</w:t>
      </w:r>
    </w:p>
    <w:p>
      <w:pPr>
        <w:pStyle w:val="BookText"/>
        <w:rPr/>
      </w:pPr>
      <w:r>
        <w:rPr>
          <w:rFonts w:ascii="IRNazanin" w:hAnsi="IRNazanin" w:eastAsia="IRNazanin"/>
          <w:color w:val="111111"/>
          <w:sz w:val="28"/>
          <w:sz w:val="28"/>
          <w:szCs w:val="28"/>
          <w:rtl w:val="true"/>
          <w:lang w:bidi="fa-IR"/>
        </w:rPr>
        <w:t>حصل الامتزاج و الاختلاط، و صارا بحکم واحد فی الاستعمال و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مبنی علی أنّ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المیتة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مسوق لبیان نجاسة الملاقی للفأرة، و 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سیق لبیان ردّ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الفأرة أهون علیّ من أن أترک طعامی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استخفاف لحکم اللَّه تعالی؛ لتعلّق حکمه علی کلّ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الاجتناب عن الملاقی مجعول مستقلًّا بمفهوم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فإنّ مفهومه أنّ الماء إذا لم یبلغ حدّ الکرّ ینجّسه بعض النجاسات؛ أی یجعله نجساً و مصداقاً مستقلًّا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الأعیان النجسة واسطة لثبوت النجاسة للماء، فیصیر الماء لأجل الملاقاة للنجس فرداً من النجس مختصّاً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أیضاً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کلّه طاهر حتّی تعلم أنّه قذر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أی حتّی تعلم أنّه صار قذراً بواسطة الملاقاة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أعطف علیه ما دلّ من الروایات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و الأرض و الشمس مطهِّرات للأشیاء</w:t>
      </w:r>
      <w:r>
        <w:rPr>
          <w:rStyle w:val="FootnoteAnchor"/>
          <w:rtl w:val="true"/>
        </w:rPr>
        <w:footnoteReference w:id="360"/>
      </w:r>
      <w:r>
        <w:rPr>
          <w:rFonts w:ascii="IRNazanin" w:hAnsi="IRNazanin" w:eastAsia="IRNazanin"/>
          <w:color w:val="111111"/>
          <w:sz w:val="28"/>
          <w:sz w:val="28"/>
          <w:szCs w:val="28"/>
          <w:rtl w:val="true"/>
          <w:lang w:bidi="fa-IR"/>
        </w:rPr>
        <w:t>فإنّ الظاهر منها أنّ الأشیاء صارت نجسة، فتطهّر بالمذکورات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نجاسة الملاقی من ناحیة نجاسة الأعیان النجسة التی یلاقیها لأجل السرایة و السببیة، کما أنّ الظاهر منها کون الملاقی مختصّاً بجعل آخر و وجوب مستقلّ</w:t>
      </w:r>
      <w:r>
        <w:rPr>
          <w:rFonts w:eastAsia="IRNazanin" w:cs="IRNazanin"/>
          <w:color w:val="111111"/>
          <w:sz w:val="28"/>
          <w:szCs w:val="28"/>
          <w:rtl w:val="true"/>
          <w:lang w:bidi="fa-IR"/>
        </w:rPr>
        <w:t>.</w:t>
      </w:r>
      <w:bookmarkStart w:id="336" w:name="pg12912_111838"/>
    </w:p>
    <w:p>
      <w:pPr>
        <w:pStyle w:val="BookText"/>
        <w:rPr/>
      </w:pPr>
      <w:bookmarkEnd w:id="336"/>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الملاقی لأحد أطراف العلم الإجمالی؛ فعلی القول الأوّل یجب الاجتناب؛ لأجل تحصیل البراءة الیقینیة عن الاشتغال الیقینی؛ للشکّ فی حصول الامتثال بالاجتناب عن الأطراف دون الملاقی؛ لأنّ وجوب الاجتناب عن الملاقی علی فرض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وجوباً و تکلیفاً مستقلًاّ، بل وجب الاجتناب عنه بنفس الوجوب المتعلّق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الاجتناب عن الکلّ؛ تحصیلًا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هو البراءة، لکن علی تفصیل سیوافیک بیانه</w:t>
      </w:r>
      <w:r>
        <w:rPr>
          <w:rFonts w:eastAsia="IRNazanin" w:cs="IRNazanin"/>
          <w:color w:val="111111"/>
          <w:sz w:val="28"/>
          <w:szCs w:val="28"/>
          <w:rtl w:val="true"/>
          <w:lang w:bidi="fa-IR"/>
        </w:rPr>
        <w:t>.</w:t>
      </w:r>
    </w:p>
    <w:p>
      <w:pPr>
        <w:pStyle w:val="Heading6"/>
        <w:numPr>
          <w:ilvl w:val="5"/>
          <w:numId w:val="1"/>
        </w:numPr>
        <w:rPr/>
      </w:pPr>
      <w:bookmarkStart w:id="337" w:name="__RefHeading___Toc3425573_3224264995"/>
      <w:bookmarkStart w:id="338" w:name="_Toc127"/>
      <w:bookmarkEnd w:id="337"/>
      <w:r>
        <w:rPr>
          <w:rtl w:val="true"/>
        </w:rPr>
        <w:t>صور الملاقاة فی المسألة</w:t>
      </w:r>
      <w:bookmarkEnd w:id="338"/>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بالملاقاة قد یکون بعد العلم الإجمالی بنجاسة أحد الأطراف، و قد یکون قبله، و قد یکون مقارناً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الملاقی خارجاً عن محلّ الابتلاء رأساً و لا یعود إلیه، و قد یکون عائداً إلیه بعد خروجه حین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الأمثلة واضحة</w:t>
      </w:r>
      <w:r>
        <w:rPr>
          <w:rFonts w:eastAsia="IRNazanin" w:cs="IRNazanin"/>
          <w:color w:val="111111"/>
          <w:sz w:val="28"/>
          <w:szCs w:val="28"/>
          <w:rtl w:val="true"/>
          <w:lang w:bidi="fa-IR"/>
        </w:rPr>
        <w:t>.</w:t>
      </w:r>
    </w:p>
    <w:p>
      <w:pPr>
        <w:pStyle w:val="Heading6"/>
        <w:numPr>
          <w:ilvl w:val="5"/>
          <w:numId w:val="1"/>
        </w:numPr>
        <w:rPr/>
      </w:pPr>
      <w:bookmarkStart w:id="339" w:name="__RefHeading___Toc3425575_3224264995"/>
      <w:bookmarkStart w:id="340" w:name="_Toc128"/>
      <w:bookmarkEnd w:id="339"/>
      <w:r>
        <w:rPr>
          <w:rtl w:val="true"/>
        </w:rPr>
        <w:t>مقتضی الأصل العقلی فی صور الملاقاة</w:t>
      </w:r>
      <w:bookmarkEnd w:id="340"/>
    </w:p>
    <w:p>
      <w:pPr>
        <w:pStyle w:val="Heading6"/>
        <w:numPr>
          <w:ilvl w:val="5"/>
          <w:numId w:val="1"/>
        </w:numPr>
        <w:rPr/>
      </w:pPr>
      <w:bookmarkStart w:id="341" w:name="__RefHeading___Toc3425577_3224264995"/>
      <w:bookmarkStart w:id="342" w:name="_Toc129"/>
      <w:bookmarkEnd w:id="341"/>
      <w:r>
        <w:rPr>
          <w:rtl w:val="true"/>
        </w:rPr>
        <w:t>اشارة</w:t>
      </w:r>
      <w:bookmarkEnd w:id="3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سیّدنا الاستاذ فی الدورة السابقة البراءة فی هذه الصور مطلقاً</w:t>
      </w:r>
      <w:r>
        <w:rPr>
          <w:rStyle w:val="FootnoteAnchor"/>
          <w:rtl w:val="true"/>
        </w:rPr>
        <w:footnoteReference w:id="361"/>
      </w:r>
      <w:r>
        <w:rPr>
          <w:rFonts w:ascii="IRNazanin" w:hAnsi="IRNazanin" w:eastAsia="IRNazanin"/>
          <w:color w:val="111111"/>
          <w:sz w:val="28"/>
          <w:sz w:val="28"/>
          <w:szCs w:val="28"/>
          <w:rtl w:val="true"/>
          <w:lang w:bidi="fa-IR"/>
        </w:rPr>
        <w:t>، و لکنّه عدل فی هذه الدورة إلی تفصیل یوافق مختار المحقّق الخراسانی رحمه الله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إلیک بیان ما اختاره فی الدورة السابقة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الإجمالی بنجاسة بعض الأطراف منجّز لها، فإذا علم بالملاقاة أو بکون نجاسة الملاقی علی فرض کونه نجساً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الثانی لا یؤثّر شیئاً؛ لأنّ العلم بنجاسة بعض الأطراف متقدّم رتبةً علی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سواء کان بحسب الزمان مقارناً له أو متقدّماً علیه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الأوّل المتعلّق بنجاسة أحد الطرفین منجّز فی الرتبة السابقة علی تأثیر العلم الإجمالی الثانی، و معه لا ینجّز العلم الثانی؛ لعدم إمکان تنجیز المنجّز؛ للزوم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ثمّ علم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أنّ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فرضها تکون من الملاقی فالعلم الثانی مع کونه متأخّراً زماناً ینجّز أطرافه فی الرتبة السابقة؛ لأنّ معلومه یکون متقدّماً علی المعلوم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فی التنجیز هو تقدّم المعلوم زماناً أو رتبةً لا العلم، کما لو علمنا بوقوع قطرة من الدم فی إحدی الأوانی الثلاثة، ثمّ علمنا بوقوع قطرة منه قبله فی إحدی الإنائین منها فحینئذٍ یکون العلم الأوّل بلا أثر، و لا یجب الاجتناب عن الطرف المختصّ به؛ لأنّ العلم الثانی یؤثّر فی تنجیز معلومه فی الزمان السابق علی العلم الأوّل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تقدّم تنجّز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الملاقی بالرتبة یکون العلم المتعلّق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جمیع الصور بلا أثر، و لا معنی للتنجیز فوق التنجیز، فیکون الملاقی بحکم الشبهة البدویة</w:t>
      </w:r>
      <w:r>
        <w:rPr>
          <w:rFonts w:eastAsia="IRNazanin" w:cs="IRNazanin"/>
          <w:color w:val="111111"/>
          <w:sz w:val="28"/>
          <w:szCs w:val="28"/>
          <w:rtl w:val="true"/>
          <w:lang w:bidi="fa-IR"/>
        </w:rPr>
        <w:t>.</w:t>
      </w:r>
      <w:bookmarkStart w:id="343" w:name="pg12912_111840"/>
    </w:p>
    <w:p>
      <w:pPr>
        <w:pStyle w:val="BookText"/>
        <w:rPr/>
      </w:pPr>
      <w:bookmarkEnd w:id="343"/>
      <w:r>
        <w:rPr>
          <w:rFonts w:ascii="IRNazanin" w:hAnsi="IRNazanin" w:eastAsia="IRNazanin"/>
          <w:color w:val="111111"/>
          <w:sz w:val="28"/>
          <w:sz w:val="28"/>
          <w:szCs w:val="28"/>
          <w:rtl w:val="true"/>
          <w:lang w:bidi="fa-IR"/>
        </w:rPr>
        <w:t>هذا ملخّص ما أوضحه فی الدورة السابقة، و قد لخّصناه بحذف ما تکرّر بیانه فی الأبحاث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ضعفه فی طیّ المباحث الآتیة</w:t>
      </w:r>
      <w:r>
        <w:rPr>
          <w:rFonts w:eastAsia="IRNazanin" w:cs="IRNazanin"/>
          <w:color w:val="111111"/>
          <w:sz w:val="28"/>
          <w:szCs w:val="28"/>
          <w:rtl w:val="true"/>
          <w:lang w:bidi="fa-IR"/>
        </w:rPr>
        <w:t>.</w:t>
      </w:r>
    </w:p>
    <w:p>
      <w:pPr>
        <w:pStyle w:val="Heading6"/>
        <w:numPr>
          <w:ilvl w:val="5"/>
          <w:numId w:val="1"/>
        </w:numPr>
        <w:rPr/>
      </w:pPr>
      <w:bookmarkStart w:id="344" w:name="__RefHeading___Toc3425579_3224264995"/>
      <w:bookmarkStart w:id="345" w:name="_Toc130"/>
      <w:bookmarkEnd w:id="344"/>
      <w:r>
        <w:rPr>
          <w:rtl w:val="true"/>
        </w:rPr>
        <w:t>و التحقیق</w:t>
      </w:r>
      <w:r>
        <w:rPr>
          <w:rtl w:val="true"/>
        </w:rPr>
        <w:t xml:space="preserve">: </w:t>
      </w:r>
      <w:r>
        <w:rPr>
          <w:rtl w:val="true"/>
        </w:rPr>
        <w:t>هو ما اختاره المحقّق الخراسانی من التفصیل؛</w:t>
      </w:r>
      <w:bookmarkEnd w:id="345"/>
    </w:p>
    <w:p>
      <w:pPr>
        <w:pStyle w:val="Heading6"/>
        <w:numPr>
          <w:ilvl w:val="5"/>
          <w:numId w:val="1"/>
        </w:numPr>
        <w:rPr/>
      </w:pPr>
      <w:bookmarkStart w:id="346" w:name="__RefHeading___Toc3425581_3224264995"/>
      <w:bookmarkStart w:id="347" w:name="_Toc131"/>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فإنّه أوجب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الطرف و الملاقی و الملاقی جمیعاً،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بالفتح</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توضیحاً و تحقیقاً لما أفاده قدس سره</w:t>
      </w:r>
      <w:r>
        <w:rPr>
          <w:rFonts w:eastAsia="IRNazanin" w:cs="IRNazanin"/>
          <w:color w:val="111111"/>
          <w:sz w:val="28"/>
          <w:szCs w:val="28"/>
          <w:rtl w:val="true"/>
          <w:lang w:bidi="fa-IR"/>
        </w:rPr>
        <w:t>:</w:t>
      </w:r>
    </w:p>
    <w:p>
      <w:pPr>
        <w:pStyle w:val="Heading6"/>
        <w:numPr>
          <w:ilvl w:val="5"/>
          <w:numId w:val="1"/>
        </w:numPr>
        <w:rPr/>
      </w:pPr>
      <w:bookmarkStart w:id="348" w:name="__RefHeading___Toc3425583_3224264995"/>
      <w:bookmarkStart w:id="349" w:name="_Toc132"/>
      <w:bookmarkEnd w:id="348"/>
      <w:r>
        <w:rPr>
          <w:rtl w:val="true"/>
        </w:rPr>
        <w:t>أمّا الصورة الاولی</w:t>
      </w:r>
      <w:r>
        <w:rPr>
          <w:rtl w:val="true"/>
        </w:rPr>
        <w:t>:</w:t>
      </w:r>
      <w:bookmarkEnd w:id="349"/>
    </w:p>
    <w:p>
      <w:pPr>
        <w:pStyle w:val="BookText"/>
        <w:rPr/>
      </w:pPr>
      <w:r>
        <w:rPr>
          <w:rFonts w:ascii="IRNazanin" w:hAnsi="IRNazanin" w:eastAsia="IRNazanin"/>
          <w:color w:val="111111"/>
          <w:sz w:val="28"/>
          <w:sz w:val="28"/>
          <w:szCs w:val="28"/>
          <w:rtl w:val="true"/>
          <w:lang w:bidi="fa-IR"/>
        </w:rPr>
        <w:t>فهی ما إذا کان العلم بالملاقاة متأخّراً عن العلم بنجاسة أحد الأطراف، و علّله هو قدس سره بأنّه إذا اجتنب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فقد اجتنب عن النجس فی البین، و لو لم یجتنب عمّا یلاقیه؛ فإنّه علی تقدیر نجاسته فرد آخر من النجس قد شکّ فی وجوده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فیما مرّ کفایة بالنسبة إلی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الکشف و التنجیز من الامور التی لا یقبل التعدّد و الاثنینیة، فلا یعقل أن ینکشف الشی‌ء الواحد لدی العالم مرّتین ما لم ینفصل بینهما ذهول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التنجیز؛ فإنّ معناه تمامیة الحجّة و انقطاع العذر علی العبد، و هو لا یقبل التکرّر، فإذا تمّ الحجّة بالنسبة إلی الطرف فی العلم المتقدّم أو حصل الانکشاف فلا معنی لأن یتمّ الحجّة بالنسبة إلیه أیضاً فی العلم الثانی الذی تعلّق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کما لا معنی لتعدّد الانکشاف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تنجیز العلم الإجمالی کونه متعلّقاً بالتکلیف</w:t>
      </w:r>
      <w:bookmarkStart w:id="350" w:name="pg12912_111841"/>
    </w:p>
    <w:p>
      <w:pPr>
        <w:pStyle w:val="BookText"/>
        <w:rPr/>
      </w:pPr>
      <w:bookmarkEnd w:id="350"/>
      <w:r>
        <w:rPr>
          <w:rFonts w:ascii="IRNazanin" w:hAnsi="IRNazanin" w:eastAsia="IRNazanin"/>
          <w:color w:val="111111"/>
          <w:sz w:val="28"/>
          <w:sz w:val="28"/>
          <w:szCs w:val="28"/>
          <w:rtl w:val="true"/>
          <w:lang w:bidi="fa-IR"/>
        </w:rPr>
        <w:t>الفعلی فی أیّ طرف اتّفق، و موجباً للإلزام علی أیّ تقدیر، و هو مفقود فی المقام؛ فإنّ القول بأنّه یجب الاجتناب إمّا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قول صوری؛ فإنّ الطرف یجب الاجتناب عنه علی أیّ تقدیر؛ للعلم السابق؛ سواء وجب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العلم الإجمالی بأُمور قد سبق التکلیف إلی بعضها معیّناً لم یحدث شیئاً و لم یوجب تنجّزاً؛ لأنّه تعلّق بأمر وجب الاجتناب عنه سابقاً بلا تردید، و الباقی مشکوک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سلّمنا أنّ هاهنا علماً ثانیاً دائراً بین الطرف و الملاقی، لکنّه تعلّق بمعلوم مردّد بین ما هو محکوم بالاجتناب قبل حدوث هذا العلم و ما لیس کذلک، و معه کیف یحدث العلم الثانی تنجیزاً علی کلّ تقدیر، أو کشفاً علی کلّ تقدیر؟ مع أنّ الطرف کان منجّزاً و منکشفاً من قبلُ ببرکة العلم الأوّل، و المنجّز لا یتنجّز، و المنکشف لا ینکشف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حکم هذه الصورة واضحة جدّاً قد اتّفقت کلمتنا فیها فی کلتا الدورتین، و إنّما البحث فی غیرها</w:t>
      </w:r>
      <w:r>
        <w:rPr>
          <w:rFonts w:eastAsia="IRNazanin" w:cs="IRNazanin"/>
          <w:color w:val="111111"/>
          <w:sz w:val="28"/>
          <w:szCs w:val="28"/>
          <w:rtl w:val="true"/>
          <w:lang w:bidi="fa-IR"/>
        </w:rPr>
        <w:t>.</w:t>
      </w:r>
    </w:p>
    <w:p>
      <w:pPr>
        <w:pStyle w:val="Heading6"/>
        <w:numPr>
          <w:ilvl w:val="5"/>
          <w:numId w:val="1"/>
        </w:numPr>
        <w:rPr/>
      </w:pPr>
      <w:bookmarkStart w:id="351" w:name="__RefHeading___Toc3425585_3224264995"/>
      <w:bookmarkStart w:id="352" w:name="_Toc133"/>
      <w:bookmarkEnd w:id="351"/>
      <w:r>
        <w:rPr>
          <w:rtl w:val="true"/>
        </w:rPr>
        <w:t>و أمّا الصورة الثانیة</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ما یجب فیه الاجتناب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فیما إذا حصل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بعد العلم بالملاقاة، مع کون الجمیع مورداً للابتلاء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السرّ فی وجوب الاجتناب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بالملاقاة و إن کان متقدّماً إلّا أنّه لا یحدث تکلیفاً؛ فإنّ الملاقاة الخارجی لیس موضوعاً للحکم ما لم یعلم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الموجب للتکلیف إنّما هو العلم بنجاسة الملاقی أو الطرف، و هو قد تعلّق بالجمیع فی عرض واحد؛ لأنّ العلم بالملاقاة</w:t>
      </w:r>
      <w:bookmarkStart w:id="353" w:name="pg12912_111842"/>
    </w:p>
    <w:p>
      <w:pPr>
        <w:pStyle w:val="BookText"/>
        <w:rPr/>
      </w:pPr>
      <w:bookmarkEnd w:id="353"/>
      <w:r>
        <w:rPr>
          <w:rFonts w:ascii="IRNazanin" w:hAnsi="IRNazanin" w:eastAsia="IRNazanin"/>
          <w:color w:val="111111"/>
          <w:sz w:val="28"/>
          <w:sz w:val="28"/>
          <w:szCs w:val="28"/>
          <w:rtl w:val="true"/>
          <w:lang w:bidi="fa-IR"/>
        </w:rPr>
        <w:t>المتقدّم قد جعل الملاقی و الملاقی عدلًا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تعلّق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ففی الحقیقة تعلّق ببرکة العلم بالملاقاة من قبل بنجاستهما أو الطرف، و سیأتی الکلام عن قریب فی حال التقدّم الرتبی، فانتظر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ذلک یشیر قدس سره بأنّه یتنجّز التکلیف بالاجتناب عن النجس فی البین، و هو الواحد أو الاثنین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3425587_3224264995"/>
      <w:bookmarkStart w:id="355" w:name="_Toc134"/>
      <w:bookmarkEnd w:id="354"/>
      <w:r>
        <w:rPr>
          <w:rtl w:val="true"/>
        </w:rPr>
        <w:t>و أمّا الصورة الثالثة</w:t>
      </w:r>
      <w:bookmarkEnd w:id="355"/>
    </w:p>
    <w:p>
      <w:pPr>
        <w:pStyle w:val="BookText"/>
        <w:rPr/>
      </w:pPr>
      <w:r>
        <w:rPr>
          <w:rFonts w:ascii="IRNazanin" w:hAnsi="IRNazanin" w:eastAsia="IRNazanin"/>
          <w:color w:val="111111"/>
          <w:sz w:val="28"/>
          <w:sz w:val="28"/>
          <w:szCs w:val="28"/>
          <w:rtl w:val="true"/>
          <w:lang w:bidi="fa-IR"/>
        </w:rPr>
        <w:t>؛ أعنی ما یجب فیه الاجتناب عن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فقد ذکر رحمه الله لها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تأخّر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عن العلم بالملاقاة، و عن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کما إذا علم أوّلًا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من دون التفات إلی سبب نجاسة الملاقی، ثمّ حدث العلم بالملاقاة، و حدث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العلم بأنّه لیس لنجاسة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هو النجس الذی تعلّق العلم به أوّلًا سبب إلّا جهة ملاقاته؛ لأنّ المفروض أنّه لیس إلّا نجاسة واحدة فی البین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مرّ من أنّ شرط تنجیز العلم الإجمالی أن یکون متعلّقاً بالتکلیف الفعلی علی أیّ تقدیر، منجّزاً کذلک، و قد عرفت أنّه لو سبق التکلیف إلی بعض الأطراف قبل تعلّق العلم الثانی لما یؤثّر المتأخّر أصلًا؛ لتردّد متعلّقه بین ما</w:t>
      </w:r>
    </w:p>
    <w:p>
      <w:pPr>
        <w:pStyle w:val="BookText"/>
        <w:rPr/>
      </w:pPr>
      <w:r>
        <w:rPr>
          <w:rFonts w:ascii="IRNazanin" w:hAnsi="IRNazanin" w:eastAsia="IRNazanin"/>
          <w:color w:val="111111"/>
          <w:sz w:val="28"/>
          <w:sz w:val="28"/>
          <w:szCs w:val="28"/>
          <w:rtl w:val="true"/>
          <w:lang w:bidi="fa-IR"/>
        </w:rPr>
        <w:t>کان واجب الاجتناب لو لا هذا العلم، و ما لیس کذلک، فینحلّ العلم الثانی إلی قطعی الاجتناب و محتمله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واجب أو ذاک، بل أحدهما واجب الاجتناب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سبق إلیه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مشکوک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المقام؛ فإنّ العلم الأوّل قد نجّز حکم کلّ واحد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العلم الثانی قد تعلّق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المفروض أنّ الطرف کان فی ظرف حدوث العلم الأوّل واجب الاجتناب، و قد تمّ حجّة المولی فیه إلی العبد، و معه لا یحدث العلم الثانی تکلیفاً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فی العلم الثانی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البحث فی الطرف الذی هو عدل فی کلا العلمین، و قد ثبت تنجیزه قبل حدوث العلم الثانی، فلا معنی للتنجیز بعده، فینحلّ علم الثانی إلی قطعی الاجتناب و هو الطرف و مشکوکه و هو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شرطیة منجّزیة العلم الإجمالی هو أن یکون کاشفاً فعلیاً و منجّزاً فعلیاً علی جمیع التقادیر، و مع العلم الأوّل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یکون العلم کاشفاً فعلیاً عن التکلیف بینهما و منجّزاً فعلیاً علی جمیع التقادیر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حصل العلم بأنّ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نجساً فمن جانب الملاقی یحدث علم إجمالی، لکنّه لا یمکن أن یتّصف بالکاشفیة الفعلیة، و لا بالمنجّزیة الفعلیة علی جمیع التقادیر؛ فإنّه علی تقدیر کون النجس هو الطرف یکون فعلیاً بالعلم الأوّل و منجّزاً فعلیاً به، و لا یعقل تعلّق کشف فوق الکشف، و لا تنجیز فوق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الثانی یوجب بطلان العلم الأوّل و فساد زعم التنجیز؛ لأنّ التنجیز فرع مطابقة العلم لنفس الأمر، و قد کشف خلافه؛ لأنّه بعد حصول الثانی من العلمین الکاشف عن أنّ النجس إمّا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نستکشف بطلان الأوّل، الذی تعلّق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علمنا أنّ الذی یلیق أن یقع عدلًا للطرف إنّما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ثبوت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یجب الاجتناب عنه هو ملاقی النجس القطعی، فیجب الاجتناب عنه؛ و إن صار الملاقی غیر واجب الاجتناب؛ لأجل الاضطرار إلیه، أو لخروجه عن محلّ الابتلاء،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فلیس ملاقیاً للنجس، بل ملاقٍ لشی‌ء لم یحرز نجاسته، و لم یثبت وجوب الاجتناب عنه عند حصول العلم الأوّل،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حدث العلم الثانی کشفنا عن أنّ العلم الأوّل الذی تعلّق بوجوب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کان وهناً محضاً، و لم یکن ملاک وجوب الاجتناب موجوداً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فیبطل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الطرف کان واجب الاجتناب من أوّل الأمر، و لم یحدث العلم الثانی تکلیفاً آخر بالنسبة إلیه، و یصیر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الثانی لم یکشف إلّا عن سبب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بطلان العلم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حصول العلم الثانی أنّ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واجب الاجتناب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ملاقیاً للنجس واقعاً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 سببه،</w:t>
      </w:r>
    </w:p>
    <w:p>
      <w:pPr>
        <w:pStyle w:val="BookText"/>
        <w:rPr/>
      </w:pPr>
      <w:r>
        <w:rPr>
          <w:rFonts w:ascii="IRNazanin" w:hAnsi="IRNazanin" w:eastAsia="IRNazanin"/>
          <w:color w:val="111111"/>
          <w:sz w:val="28"/>
          <w:sz w:val="28"/>
          <w:szCs w:val="28"/>
          <w:rtl w:val="true"/>
          <w:lang w:bidi="fa-IR"/>
        </w:rPr>
        <w:t>و کان المکلّف معتقداً أنّ علّة نجاسته علی فرضها هو وقوع النجس فیه بلا واسطة، ثمّ بان بأنّ سببها هو الملاقاة لما هو نجس علی فرض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ما إذا وقفنا علی وجوب أحد الشیئین، ثمّ وقفنا علی ضعف الطریق مع العثور علی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فالتغایر فی السبب لا یوجب التغایر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 بانحلال العلم الأوّل بالثانی؛ قائلًا بأنّه أیّ فرق بین المقام و ما إذا علم بوقوع قطرة من الدم فی واحد من الإنائین، ثمّ علم بعد ذلک بوقوع قطرة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هذا الإناء المعیّن من الإنائین أو فی إناء ثالث؟ فلا ینبغی التأمّل فی أنّ الثانی من العلمین یوجب انحلال الأوّل منهما؛ لسبق معلومه علیه، و أنّ الأوّل منهما و إن کان متقدّماً حسب الوجود إلّا أنّ معلوم الثانی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الأوّل لم یحدث تکلیفاً بالنسبة إلی الإناء الذی وقع عدلًا للإناء الثالث فی العلم الثانی؛ لأنّ العلم الثانی کشف عن کونه واجب الاجتناب من قبل فی نفس الأمر؛ و إن کان مجهولًا لنا، و قد علمت ما هو الشرط فی تنجیز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یرجع إلی الإشکال المتقدّم مآلًا؛ و إن کان یفترق عنه تقریراً و تمثیلًا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المقامین واضح؛ لأنّه إذا علم بعد العلم بوقوع قطرة فی إحدی الإنائین بأنّه وقعت قطرة قبل تلک القطرة المعلومة فی واحد معیّن من الإنائین أو الثالث یکشف ذلک عن أنّ علمه بالتکلیف علی أیّ تقدیر کان جهلًا مرکّباً؛ لأنّ القطرة الثانیة المعلومة أوّلًا إذا کانت واقعة فیما وقعت فیه القطرة قبلًا لم یحدث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الثانی یکشف عن بطلان العلم الأوّل، و ینحلّ العلم الأوّل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فلیس کذلک؛ فإنّ العلم الأوّل باقٍ علی ما هو علیه، و مانع عن وقوع کشف و تنجیز بالنسبة إلی الطرف بالعلم الثانی، فالعلم الأوّل المتعلّق بنجاسة</w:t>
      </w:r>
    </w:p>
    <w:p>
      <w:pPr>
        <w:pStyle w:val="BookText"/>
        <w:rPr/>
      </w:pPr>
      <w:r>
        <w:rPr>
          <w:rFonts w:ascii="IRNazanin" w:hAnsi="IRNazanin" w:eastAsia="IRNazanin"/>
          <w:color w:val="111111"/>
          <w:sz w:val="28"/>
          <w:sz w:val="28"/>
          <w:szCs w:val="28"/>
          <w:rtl w:val="true"/>
          <w:lang w:bidi="fa-IR"/>
        </w:rPr>
        <w:t>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باقٍ علی حاله، و لا ینحلّ بحدوث العلم الثانی المتعلّق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بعض أعاظم العصر قدس سره ردّاً علی هذا التفصیل،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التفصیل مبنی علی کون حدوث العلم الإجمالی بما أنّه وصف فی النفس تمام الموضوع لوجوب الاجتناب عن الأطراف؛ و إن تبدّلت صورته؛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المدار علی حال حدوث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قد یکون متعلّق العلم الإجمالی حال حدوثه هو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قد یکون هو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قد یکون هو نجاستهما معاً أو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المبنی؛ لأنّ المدار فی تأثّر العلم إنّما هو علی المعلوم و المنکشف لا علی العلم و الکاشف، و فی جمیع الصور المفروضة رتبة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سابقة علی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تقدّم زمان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علی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لأنّ التکلیف فی الملاقی إنّما جاء من قِبَل التکلیف بالملاقی، فلا أثر لتقدّم زمان العلم و تأخّره، بعد ما کان المعلوم فی أحد العلمین سابقاً رتبة أو زماناً علی المعلوم بالآخر</w:t>
      </w:r>
      <w:r>
        <w:rPr>
          <w:rStyle w:val="FootnoteAnchor"/>
          <w:rtl w:val="true"/>
        </w:rPr>
        <w:footnoteReference w:id="367"/>
      </w:r>
      <w:r>
        <w:rPr>
          <w:rFonts w:ascii="IRNazanin" w:hAnsi="IRNazanin" w:eastAsia="IRNazanin"/>
          <w:color w:val="111111"/>
          <w:sz w:val="28"/>
          <w:sz w:val="28"/>
          <w:szCs w:val="28"/>
          <w:rtl w:val="true"/>
          <w:lang w:bidi="fa-IR"/>
        </w:rPr>
        <w:t>، انتهی ما یتعلّق بالمقام، و یأتی باقی کلامه عند البحث عن المورد الثانی للصورة الثالثة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التنجّز من آثار العلم المتقدّم وجوداً فی الزمان علی الآخر، لا من آثار المتقدّم رتبة؛ و إن تأخّر زمان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بنجاسة الطرف أو الملاقی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متقدّماً رتبة، إلّا أنّه حادث و متأخّر وجوداً عن العلم الأوّل، و ما هو الملاک فی باب الاحتجاج و قطع الأعذار إنّما هو وجود الحجّة علی التکلیف المتقدّم بوجوده علی الآخر، و الرتب العقلیة لیست مناطاً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تأثیر لتقدّم الرتبة عقلًا فی تقدّم التنجیز، کما اشتهر فی الألسن؛ ضرورة أنّ التنجیز إنّما هو أثر العلم فی الوجود الخارجی، و تقدّم السبب علی المسبّب لیس تقدّماً خارجیاً، بل هو معنیً یدرکه العقل و ینتزع من نشوء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الإجمالی المتعلّق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إن کان مقدّماً علی العلم الإجمالی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الرتبة العقلیة، لکنّه لا یوجب تقدّمه فی التنجیز حتّی یصیر مانعاً من تنجّز المتأخّر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یجب الاجتناب عن الجمیع فیما إذا تعلّق العلم بالأطراف بعد العلم بالملاقاة و بعد العلم بأنّه لیس للملاقی نجاسة غیر ما اکتسب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حصل العلم الإجمالی بنجاسة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حدوث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فإنّ العلم حینئذٍ یکون منجّزاً و یجب الاجتناب عن الأطراف عامّة، نظیر الصورة الثانیة التی تقدّم وجوب الاجتناب فیها عن الأطراف عامّة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سیوافیک فی بحث السببی و المسبّبی</w:t>
      </w:r>
      <w:r>
        <w:rPr>
          <w:rStyle w:val="FootnoteAnchor"/>
          <w:rtl w:val="true"/>
        </w:rPr>
        <w:footnoteReference w:id="368"/>
      </w:r>
      <w:r>
        <w:rPr>
          <w:rFonts w:ascii="IRNazanin" w:hAnsi="IRNazanin" w:eastAsia="IRNazanin"/>
          <w:color w:val="111111"/>
          <w:sz w:val="28"/>
          <w:sz w:val="28"/>
          <w:szCs w:val="28"/>
          <w:rtl w:val="true"/>
          <w:lang w:bidi="fa-IR"/>
        </w:rPr>
        <w:t>و فی هذا البحث عند بیان الأصل الشرعی فی الملاقی</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بالرتب العقلیة فی الأحکام العرفیة و الشرعیة لا</w:t>
      </w:r>
    </w:p>
    <w:p>
      <w:pPr>
        <w:pStyle w:val="BookText"/>
        <w:rPr/>
      </w:pPr>
      <w:r>
        <w:rPr>
          <w:rFonts w:ascii="IRNazanin" w:hAnsi="IRNazanin" w:eastAsia="IRNazanin"/>
          <w:color w:val="111111"/>
          <w:sz w:val="28"/>
          <w:sz w:val="28"/>
          <w:szCs w:val="28"/>
          <w:rtl w:val="true"/>
          <w:lang w:bidi="fa-IR"/>
        </w:rPr>
        <w:t>یرجع إلی شی‌ء؛ و إن جعل الشیخ الأعظم ذلک التقدّم علّة لتقدّم السببی علی المسبّبی</w:t>
      </w:r>
      <w:r>
        <w:rPr>
          <w:rStyle w:val="FootnoteAnchor"/>
          <w:rtl w:val="true"/>
        </w:rPr>
        <w:footnoteReference w:id="370"/>
      </w:r>
      <w:r>
        <w:rPr>
          <w:rFonts w:ascii="IRNazanin" w:hAnsi="IRNazanin" w:eastAsia="IRNazanin"/>
          <w:color w:val="111111"/>
          <w:sz w:val="28"/>
          <w:sz w:val="28"/>
          <w:szCs w:val="28"/>
          <w:rtl w:val="true"/>
          <w:lang w:bidi="fa-IR"/>
        </w:rPr>
        <w:t>، و تبعه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للصورة الثالثة؛ أعنی ما یجب فیه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بالملاقاة، ثمّ حدث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لکن کان الملاقی حال حدوث العلم داخلًا فی مورد الابتلاء،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عنه ثمّ عاد إلی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بعض الأعاظم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أثر لخروج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الابتلاء فی ظرف حدوث العلم، مع عوده إلی محلّ الابتلاء بعد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ظرف حدوث العلم خارجاً عن محلّ الابتلاء، و لم یعد بعد ذلک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بنجاسته أو الطرف ممّا لا أثر له، و یبقی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للعلم الإجمالی، فیجب الاجتناب عنه و عن الطرف</w:t>
      </w:r>
      <w:r>
        <w:rPr>
          <w:rStyle w:val="FootnoteAnchor"/>
          <w:rtl w:val="true"/>
        </w:rPr>
        <w:footnoteReference w:id="3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الاعتبار بالخروج عن محلّ الابتلاء؛ لأنّ الأحکام الشرعیة مجعولة علی الطریق الکلّی الذی عبّرنا عنه بأنّه أحکام قانونیة أو خطابات قانونیة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فیما إذا لم یکن للخارج أثر فعلی داخل فی محلّ الابتلاء، و أمّا إذا کان له أثر فعلی فلا نسلّم قبح الخطاب، و لا قبح الحکم الوضعی؛ فإنّ جعل النجاسة علی الحیوان الخارج عن محلّ الابتلاء ببرکة أصالة عدم التذکیة إذا کان</w:t>
      </w:r>
      <w:bookmarkStart w:id="356" w:name="pg12912_111849"/>
    </w:p>
    <w:p>
      <w:pPr>
        <w:pStyle w:val="BookText"/>
        <w:rPr/>
      </w:pPr>
      <w:bookmarkEnd w:id="356"/>
      <w:r>
        <w:rPr>
          <w:rFonts w:ascii="IRNazanin" w:hAnsi="IRNazanin" w:eastAsia="IRNazanin"/>
          <w:color w:val="111111"/>
          <w:sz w:val="28"/>
          <w:sz w:val="28"/>
          <w:szCs w:val="28"/>
          <w:rtl w:val="true"/>
          <w:lang w:bidi="fa-IR"/>
        </w:rPr>
        <w:t>بعض أجزائه داخلًا فی محلّ الابتلاء ممّا لا قبح فیه إذا قلنا بأنّ التذکیة ترد علی الحیوان فقط، و الأجزاء تصیر ذات تذکیة بواسطة عروضها علی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فإنّ جعل النجاسة للإناء الخارج عن محلّ الابتلاء مع کون ملاقیه داخلًا فیه لیس بقبیح؛ لأنّ أثر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محلّ الابتلاء إنّما هو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داخل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فیجری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أثره الذی داخل فی محلّ الابتلاء؛ أی نجاسة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عود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الابتلاء و عدم عوده سیّان، فما فصّله بعض الأعاظم من تسلیم ما ذکره المحقّق الخراسانی فیما لم یعد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الابتلاء دون ما عاد لا یرجع إلی محصّل؛ لما عرفت من أنّ خروج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خروجه؛ لوجود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مفاد الأصل العقلی فی المقام</w:t>
      </w:r>
      <w:r>
        <w:rPr>
          <w:rFonts w:eastAsia="IRNazanin" w:cs="IRNazanin"/>
          <w:color w:val="111111"/>
          <w:sz w:val="28"/>
          <w:szCs w:val="28"/>
          <w:rtl w:val="true"/>
          <w:lang w:bidi="fa-IR"/>
        </w:rPr>
        <w:t>.</w:t>
      </w:r>
    </w:p>
    <w:p>
      <w:pPr>
        <w:pStyle w:val="Heading6"/>
        <w:numPr>
          <w:ilvl w:val="5"/>
          <w:numId w:val="1"/>
        </w:numPr>
        <w:rPr/>
      </w:pPr>
      <w:bookmarkStart w:id="357" w:name="__RefHeading___Toc3425589_3224264995"/>
      <w:bookmarkStart w:id="358" w:name="_Toc135"/>
      <w:bookmarkEnd w:id="357"/>
      <w:r>
        <w:rPr>
          <w:rtl w:val="true"/>
        </w:rPr>
        <w:t>مقتضی الأصل الشرعی فی صور الملاقاة</w:t>
      </w:r>
      <w:bookmarkEnd w:id="358"/>
    </w:p>
    <w:p>
      <w:pPr>
        <w:pStyle w:val="Heading6"/>
        <w:numPr>
          <w:ilvl w:val="5"/>
          <w:numId w:val="1"/>
        </w:numPr>
        <w:rPr/>
      </w:pPr>
      <w:bookmarkStart w:id="359" w:name="__RefHeading___Toc3425591_3224264995"/>
      <w:bookmarkStart w:id="360" w:name="_Toc136"/>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و أمّا بیان الأصل الشرعی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المختار من عدم جریان أدلّة الاصول فی الأطراف علی الوجوه التی حرّرناه فی محلّها</w:t>
      </w:r>
      <w:r>
        <w:rPr>
          <w:rStyle w:val="FootnoteAnchor"/>
          <w:rtl w:val="true"/>
        </w:rPr>
        <w:footnoteReference w:id="373"/>
      </w:r>
      <w:r>
        <w:rPr>
          <w:rFonts w:ascii="IRNazanin" w:hAnsi="IRNazanin" w:eastAsia="IRNazanin"/>
          <w:color w:val="111111"/>
          <w:sz w:val="28"/>
          <w:sz w:val="28"/>
          <w:szCs w:val="28"/>
          <w:rtl w:val="true"/>
          <w:lang w:bidi="fa-IR"/>
        </w:rPr>
        <w:t>فلا یبقی إشکال فی جریان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کما یجری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الأوّل من الصورة الثالثة، بصیرورتهما کالشبهة البدویة علی ما عرفت</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أمّا علی جریانها فیها و سقوطها بالمعارضة فقد تصدّی المحقّقون</w:t>
      </w:r>
      <w:r>
        <w:rPr>
          <w:rStyle w:val="FootnoteAnchor"/>
          <w:rtl w:val="true"/>
        </w:rPr>
        <w:footnoteReference w:id="375"/>
      </w:r>
      <w:r>
        <w:rPr>
          <w:rFonts w:ascii="IRNazanin" w:hAnsi="IRNazanin" w:eastAsia="IRNazanin"/>
          <w:color w:val="111111"/>
          <w:sz w:val="28"/>
          <w:sz w:val="28"/>
          <w:szCs w:val="28"/>
          <w:rtl w:val="true"/>
          <w:lang w:bidi="fa-IR"/>
        </w:rPr>
        <w:t>لرفع التعارض؛ بأنّ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الأصل فی الملاقی؛ لکون الشکّ فی طهارته و نجاسته ناشئاً من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فجریان الأصل فیه یرفع الشکّ عن ملاقیه، فلا مجری للأصل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جریان الأصل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لمثلها فی الطرف، و بعد سقوطهما یبقی الأصل فی الملاقی جاریاً بلا معارض، من غیر فرق بین الصور المتقدّمة؛ لأنّ رتبة السبب مقدّم علی المسبّب، و الأصل الجاری فیه یرفع الشکّ عن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المورد الأوّل من الصورة الثالثة؛ أعنی ما إذا علم إجمالًا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ثمّ علم بأنّه لو کان نجساً فإنّما هو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الأصل فیه رافعاً للشکّ فی ملاقیه، و یصیر معارضاً للأصل فی الطرف، و یصیر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سیوافیک بیانه فی خاتمة الاستصحاب</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الشکّ فی أحدهما متقدّماً علی الآخر رتبةً لا یوجب حکومة أصله علی الآخر، و لا یصیر رافعاً لشکّه؛ لأنّ ما هو الموضوع للدلیل الشرعی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المشکوک فیه الواقع فی عمود الزمان، لا المشکوک فیه الواقع فی الرتب العقلیة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الشکّ فی السبب و المسبّب حادثان فی عمود الزمان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فیشملهما الدلیل الشرعی دفعة واحدة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حینئذٍ حکومة أحد الأصلین علی الآخر مع عرضیتها فی الموضوع، بل السبب الوحید لتقدّم السببی علی المسبّبی هو أنّ الأصل فی السببی ینقّح موضوع الدلیل الاجتهادی، و یؤسّس موضوعاً تعبّدیاً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فلاحظ المثال المعروف و هو ما إذا غسل الثوب النجس بماء مشکوک الطهارة فإنّ استصحاب طهارة الماء أو کرّیته ینقّح موضوعاً تعبّدیاً لدلیل اجتهادی؛ و هو أنّ کلّ متنجّس غسل بماء طاهر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طهارته و نجاسته و إن کان مسبّباً عن الملاقی إلّا أنّ المیزان المذکور هو غیر موجود فی المقام؛ فإنّ الشکّ فی طهارة الملاقی و نجاسته و إن کان مسبّباً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استصحاب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ینقّح معه موضوع الدلیل الاجتهادی؛ فإنّ غایته إنّما هو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یقم دلیل علی أنّ کلّ ما لاقی الطاهر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یقم الدلیل علی أنّ ملاقی الطاهر طاهر إلّا أنّه قام الدلیل علی أنّ ملاقی الطاهر لیس بنجس، مدفوع بأنّه لیس حکماً شرعیاً، بل هو أمر مستنبط من لا اقتضائیة الشی‌ء لتنجیس الشی‌ء،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العلاج من طریق آخر غیر طریق سببیة الأصل فی أحدهما و مسبّبیته فی الآخر، و إلیک بیانه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صار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الملاقی فی حکم الشبهة البدویة یجری فیه الأصل، و کلّما صارا طرفاً للعلم فلا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اخترناه من التفصیل مبنی علی هذا، و إلیک بیانه حتّی یتمیّز حکم ما یجری فیه الأصل عمّا لا یجری، و یکون ما نتلو علیک کالفذلکة ممّا مرّ</w:t>
      </w:r>
      <w:r>
        <w:rPr>
          <w:rFonts w:eastAsia="IRNazanin" w:cs="IRNazanin"/>
          <w:color w:val="111111"/>
          <w:sz w:val="28"/>
          <w:szCs w:val="28"/>
          <w:rtl w:val="true"/>
          <w:lang w:bidi="fa-IR"/>
        </w:rPr>
        <w:t>.</w:t>
      </w:r>
      <w:bookmarkStart w:id="361" w:name="pg12912_111852"/>
    </w:p>
    <w:p>
      <w:pPr>
        <w:pStyle w:val="Heading6"/>
        <w:numPr>
          <w:ilvl w:val="5"/>
          <w:numId w:val="1"/>
        </w:numPr>
        <w:rPr/>
      </w:pPr>
      <w:bookmarkStart w:id="362" w:name="__RefHeading___Toc3425593_3224264995"/>
      <w:bookmarkStart w:id="363" w:name="_Toc137"/>
      <w:bookmarkEnd w:id="361"/>
      <w:bookmarkEnd w:id="362"/>
      <w:r>
        <w:rPr>
          <w:rtl w:val="true"/>
        </w:rPr>
        <w:t>فذلکة البحث فی المقام</w:t>
      </w:r>
      <w:bookmarkEnd w:id="363"/>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علی مبنی بعضهم من جریان الاصول فی الأطراف و تعارضها لأجل استلزامه مخالفة الحکم المنجّز، فحینئذٍ فلا بدّ أن یلاحظ و یعلم ما یستلزم تلک المخالفة و ما لا یستلزمه،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أعنی ما إذا 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ثمّ علم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أصالتی الطهارة و الحلّیة؛ فإنّ العلم الثانی المتعلّق بنجاسة الطرف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علماً بالتکلیف المنجّز؛ و إن کان علماً بوجود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إلّا أنّ المیزان هو العلم بالتکلیف المنجّز علی کلّ تقدیر لا العلم بالموضوع؛ و إن لم یکن حکمه منجّزاً، و المانع من الجریان هو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الإنسان بوقوع قطرة دم إمّا فی إناء زید أو فی إناء عمرو فلا شکّ فی تنجیز ذاک العلم، و لو وقف بعد ذلک علی وقوع قطرة اخری منه إمّا فی إناء عمرو أو إناء بکر فالعلم بوجود الموضوع و إن کان موجوداً بین الثانی و الثالث إلّا أنّه لیس علماً بتکلیف منجّز علی کلّ تقدیر؛ فإنّ القطرة الثانیة لو وقعت فی إناء عمرو لم یحدث تکلیفاً جدیداً، و لم یوجب إلزاماً علی کلّ تقدیر، بل هو کان قبل حدوث هذا العلم واجب الاجتناب لأجل العلم الأوّل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لو شرب الإناء الثانی و الثالث، و فرضنا وقوع القطرة الاولی فی إناء زید فهو و إن شرب النجس إلّا أنّه لم یخالف التکلیف المنجّز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الاجتناب عن إناء عمرو فهو لأجل العلم الأوّل دون الثانی؛ و لذلک یجری فی الثالث عامّة الاصول، دون إناء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المقام؛ فإنّ العلم الثانی و إن تعلّق بنجاسة الطرف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علماً بالتکلیف الحادث المنجّز علی کلّ تقدیر؛ لأنّ الطرف کان واجب الاجتناب لأجل العلم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شرب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وقوع النجس فی نفس الأمر فی العلم الأوّل فی الإناء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شرب النجس فی نفس الأمر إلّا أنّه لم یخالف التکلیف المنجّز، فلا یعاقب علی شرب النجس؛ و إن کان یصحّ عقابه علی شرب الإناء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بعقاب المتجرّی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فالإناء الذی یعدّ طرفاً إنّما یجب الاجتناب عنه لأجل العلم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یجب فیه الاجتناب عن الجمیع؛ لأنّه إذا حصل العلم الإجمالی بنجاسة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بالملاقاة فیحصل العلم بنجاسة مردّدة بین الطرف و غیر الطرف عن الملاقی و ملاقیه، و یصیر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للعلم، فلا مجال للُاصول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لها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ثمّ علم الملاقاة و وقف علی نجاسة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لا وجه لنجاسة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نجاسة الملاقی، فالحکم الشرعی لا یتخلّف عمّا حکم به العقل؛ من منجّزیة العلم الأوّل؛ و إن انکشف سبب وجود النجاسة دون الثانی؛ لامتناع إفادة العلم الثانی التنجیز علی کلّ تقدیر، و لا یعقل التنجیز فوق التنجیز، و یصیر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للأصل دون الملاقی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المورد الثانی؛ أعنی ما إذا علم بالملاقاة ثمّ حدث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لکن حال حدوث العلم الإجمالی کان</w:t>
      </w:r>
      <w:bookmarkStart w:id="364" w:name="pg12912_111854"/>
    </w:p>
    <w:p>
      <w:pPr>
        <w:pStyle w:val="BookText"/>
        <w:rPr/>
      </w:pPr>
      <w:bookmarkEnd w:id="364"/>
      <w:r>
        <w:rPr>
          <w:rFonts w:ascii="IRNazanin" w:hAnsi="IRNazanin" w:eastAsia="IRNazanin"/>
          <w:color w:val="111111"/>
          <w:sz w:val="28"/>
          <w:sz w:val="28"/>
          <w:szCs w:val="28"/>
          <w:rtl w:val="true"/>
          <w:lang w:bidi="fa-IR"/>
        </w:rPr>
        <w:t>الملاقی خارجاً عن الابتلاء، فحکمه ما أوضحناه؛ من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طرفاً للعلم، غیر أنّ خروج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الابتلاء غیر مؤثّر؛ و لذلک لو عاد یجب الاجتناب عنه، کما عرفت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3425595_3224264995"/>
      <w:bookmarkStart w:id="366" w:name="_Toc138"/>
      <w:bookmarkEnd w:id="365"/>
      <w:r>
        <w:rPr>
          <w:rtl w:val="true"/>
        </w:rPr>
        <w:t>شبهة التفکیک بین قاعدتی الطهارة و الحلّ فی الملاقی</w:t>
      </w:r>
      <w:bookmarkEnd w:id="366"/>
    </w:p>
    <w:p>
      <w:pPr>
        <w:pStyle w:val="BookText"/>
        <w:rPr/>
      </w:pPr>
      <w:r>
        <w:rPr>
          <w:rFonts w:ascii="IRNazanin" w:hAnsi="IRNazanin" w:eastAsia="IRNazanin"/>
          <w:color w:val="111111"/>
          <w:sz w:val="28"/>
          <w:sz w:val="28"/>
          <w:szCs w:val="28"/>
          <w:rtl w:val="true"/>
          <w:lang w:bidi="fa-IR"/>
        </w:rPr>
        <w:t>هاهنا شبهة ذکرها شیخنا العلّامة قدس سره</w:t>
      </w:r>
      <w:r>
        <w:rPr>
          <w:rStyle w:val="FootnoteAnchor"/>
          <w:rtl w:val="true"/>
        </w:rPr>
        <w:footnoteReference w:id="378"/>
      </w: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مبانی القوم حلالًا غیر محرز الطهارة؛ لأنّ فی کلّ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الملاقی اصولًا ستّة، تحصل من ضرب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إلّا أنّهما مختلفة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فأصالة الطهارة فی کلّ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رتبة واحدة، کما أنّ الشکّ فی حلّیتهما فی رتبة ثانیة؛ لأنّ الشکّ فی حلّیتهما مسبّب عن طهارتهما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الشکّ فی طهارته مسبّب عن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 طهارته فی رتبة ثانیة؛ أی یتأخّر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برتبة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یتّحد رتبة ذلک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رتبة الشکّ فی حلّیة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لأنّ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حلّیة الملاقی و الطرف مسبّب عن طهارة الطرف و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هذه الاصول الثلاثة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فی حلّیة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رتبة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فالاصول الموجودة فی الرتبة الواحدة تتساقط بالتعارض، و یبقی الأصل الذی لم یوجد له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کلّ من أصالتی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کما یسقط کلّ من أصالتی الحلّیة فیهما مع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تبقی أصالة الحلّیة فی ناحیة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فهو حلال لم یحرز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الطرفین و الملاقی أصل موضوعی؛ و هو أصالة الطهارة، و أصل حکمی؛ و هو أصالة الحلّ، و الاصول الحکمیة محکومة بالنسبة إلی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الموضوعی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بالأصل الموضوعی فی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تعارض الأصلان الموضوعیان فی الطرفین تصل النوبة إلی الأصلین الحکمیین فیهما، و إلی الأصل الموضوعی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 هذه الاصول، و یبقی الأصل الحکمی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المعارض، فالملاقی محکوم بالاجتناب؛ من حیث إنّه لم یحرز طهارته، و محکوم بالحلّیة لأصالة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بوجهین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المختار من عدم جریان الاصول فی أطراف العلم الإجمالی؛ للوجوه التی عرفتها فی محلّه</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الاصول الموضوعیة</w:t>
      </w:r>
    </w:p>
    <w:p>
      <w:pPr>
        <w:pStyle w:val="BookText"/>
        <w:rPr/>
      </w:pPr>
      <w:r>
        <w:rPr>
          <w:rFonts w:ascii="IRNazanin" w:hAnsi="IRNazanin" w:eastAsia="IRNazanin"/>
          <w:color w:val="111111"/>
          <w:sz w:val="28"/>
          <w:sz w:val="28"/>
          <w:szCs w:val="28"/>
          <w:rtl w:val="true"/>
          <w:lang w:bidi="fa-IR"/>
        </w:rPr>
        <w:t>و الحکمیة غیر 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یکون جریانها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مانع؛ لعدم تأثیر العلم الإجمالی بالنسبة إلیه؛ لکونه کالشبهة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الأصلان الطهارة و الحلّ، إلّا فی بعض الصور الذی یکون الملاقی فیه طرفاً للعلم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مبنی علی تسلیم امور لم یسلم أکثرها، کما سنشیر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التی تقدّم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غیر معارضة لأصالة الحلّ فی الطرف، فلا مانع من جریانها؛ لأنّ التعارض بین أصالة الطهارة فیه و أصل الحلّ فی الطرف متقوّم بالعلم الإجمالی المنجّز حتّی یلزم من جریانهما المخالفة العملیة الممنوعة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تأثیر للعلم الإجمالی الثانی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مخالفة ذلک العلم غیر المنجّز لا مانع منه، و لا یوجب عدم 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یجری فیه الأصل أعنی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طرف للعلم غیر المنجّز، و ما لا یجری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الملاقی 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طرفان للمنجّز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فیجری فی الملاقی أصالة الطهارة، و لا یعارض ذلک الأصل مع أصالة الحلّ فی الطرف؛ و إن کان یعارض أصالة الحلّ فی الطرف مع أصالة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طرفین للعلم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الاولی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تعلّق العلم بنجاسة الملاقی و الملاقی و الطرف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الأصل فی واحد منها؛ لکون الجمیع طرفاً للعلم، و قد عرفت قصور الأدلّة عن شمولها للأطراف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تسلیم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و تسقط بالتعارض، من غیر تقدّم للأصل السببی و المسبّبی؛ لما سیوافیک من أنّ الرتب العقلیة لا اعتبار بها، و ما هو المیزان لتقدّمه علیه مفقود فی المقام</w:t>
      </w:r>
      <w:r>
        <w:rPr>
          <w:rStyle w:val="FootnoteAnchor"/>
          <w:rtl w:val="true"/>
        </w:rPr>
        <w:footnoteReference w:id="38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لکونهما طرفین للعلم المنجّز، و أمّا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خارج عن کونه طرفاً للعلم، فیجری فیه الاصول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المورد الثانی من تلک الصورة؛ أعنی ما إذا خرج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الابتلاء فقد عرفت ما هو الحقّ عندنا</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بیننا و بین القوم</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المختار لا یجری فیه أیضاً کالملاقی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الاعتبار بالخروج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الشبهة لا تجری فی الملاقی فی الصورة الاولی؛ لکونه کالشبهة البدویة، فلا تتعارض اصوله مع غیره، و لا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الأوّل من الصورة الثالثة مطلقاً، و لا فیه أیضاً فی المورد الثانی منها علی مبانی القوم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فالاصول فی الجمیع متعارضة، و لا اعتبار بالسببی و المسبّبی فی المقام؛ لما عرفت</w:t>
      </w:r>
      <w:r>
        <w:rPr>
          <w:rStyle w:val="FootnoteAnchor"/>
          <w:rtl w:val="true"/>
        </w:rPr>
        <w:footnoteReference w:id="383"/>
      </w:r>
      <w:bookmarkStart w:id="367" w:name="pg12912_111858"/>
    </w:p>
    <w:p>
      <w:pPr>
        <w:pStyle w:val="Heading6"/>
        <w:numPr>
          <w:ilvl w:val="5"/>
          <w:numId w:val="1"/>
        </w:numPr>
        <w:rPr/>
      </w:pPr>
      <w:bookmarkStart w:id="368" w:name="__RefHeading___Toc3425597_3224264995"/>
      <w:bookmarkStart w:id="369" w:name="_Toc139"/>
      <w:bookmarkEnd w:id="367"/>
      <w:bookmarkEnd w:id="368"/>
      <w:r>
        <w:rPr>
          <w:rtl w:val="true"/>
        </w:rPr>
        <w:t>ما أفاده شیخنا العلّامة من الجواب حول الشبهة</w:t>
      </w:r>
      <w:bookmarkEnd w:id="369"/>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فی أطراف العلم غیر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حکمیة کانت أو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التناقض الواقع فی مدلول الدلیل، و إمّا لأجل أنّ أصالة الظهور فی عمومات الحلّ و الطهارة معلّقة بعدم العلم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فحیثما تحقّق العلم یصیر قرینة علی عدم الظهور فیها، من غیر فرق بین کون العلم سابقاً علی مرتبة جریانها أو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المانع من جریان الأصلین الموضوعیین لأجل التناقض أو لأجل عدم جریان أصالة الظهور فی العمومات مانع عن جریان الأصلین الحکمیین أیضاً؛ لکونه قرینة علی عدم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قرینیته بالنسبة إلی الأصل الموضوعی مقارنة و بالنسبة إلی الأصل الحکمی مقدّمة، و لا فرق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فمورد جریان الأصل الحکمی و وجود الشکّ فی الأصل المحکوم کان حین وجود القرینة علی خلافه، فلا یبقی الظهور لأدلّة الاصول، فیبقی الأصل الموضوعی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المعارض</w:t>
      </w:r>
      <w:r>
        <w:rPr>
          <w:rStyle w:val="FootnoteAnchor"/>
          <w:rtl w:val="true"/>
        </w:rPr>
        <w:footnoteReference w:id="3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رحمه الله من التناقض فی مدلول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أفاده الشیخ الأعظم فی أدلّة الاستصحاب و أدلّة الحلّ من تناقض صدرها مع ذیلها</w:t>
      </w:r>
      <w:r>
        <w:rPr>
          <w:rStyle w:val="FootnoteAnchor"/>
          <w:rtl w:val="true"/>
        </w:rPr>
        <w:footnoteReference w:id="385"/>
      </w:r>
      <w:r>
        <w:rPr>
          <w:rFonts w:ascii="IRNazanin" w:hAnsi="IRNazanin" w:eastAsia="IRNazanin"/>
          <w:color w:val="111111"/>
          <w:sz w:val="28"/>
          <w:sz w:val="28"/>
          <w:szCs w:val="28"/>
          <w:rtl w:val="true"/>
          <w:lang w:bidi="fa-IR"/>
        </w:rPr>
        <w:t>فقد</w:t>
      </w:r>
      <w:bookmarkStart w:id="370" w:name="pg12912_111859"/>
    </w:p>
    <w:p>
      <w:pPr>
        <w:pStyle w:val="BookText"/>
        <w:rPr/>
      </w:pPr>
      <w:bookmarkEnd w:id="370"/>
      <w:r>
        <w:rPr>
          <w:rFonts w:ascii="IRNazanin" w:hAnsi="IRNazanin" w:eastAsia="IRNazanin"/>
          <w:color w:val="111111"/>
          <w:sz w:val="28"/>
          <w:sz w:val="28"/>
          <w:szCs w:val="28"/>
          <w:rtl w:val="true"/>
          <w:lang w:bidi="fa-IR"/>
        </w:rPr>
        <w:t>أوضحنا حاله عند البحث عن جریان الاصول فی أطراف الشبهة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مراده هو العلم بمخالفة أحدهما للواقع فهذا لیس تناقضاً فی مدلول الدلیل، بل مآله إلی مناقضة الحکم الظاهری مع الواقعی، و قد فرغنا عن رفع الغائلة بینهما، فراجع</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کون العلم قرینة علی عدم الظهور فی أدلّة الاصول ممنوع؛ لأنّ کلّ واحد من الأطراف مشکوک فیه و مصداق لأدلّة الاصول، و العلم بمخالفة بعضها للواقع لا یوجب صرف ظهورها بعد رفع المناقضة بین مفاد الأصلین و الحکم الواقعی</w:t>
      </w:r>
      <w:r>
        <w:rPr>
          <w:rFonts w:eastAsia="IRNazanin" w:cs="IRNazanin"/>
          <w:color w:val="111111"/>
          <w:sz w:val="28"/>
          <w:szCs w:val="28"/>
          <w:rtl w:val="true"/>
          <w:lang w:bidi="fa-IR"/>
        </w:rPr>
        <w:t>.</w:t>
      </w:r>
    </w:p>
    <w:p>
      <w:pPr>
        <w:pStyle w:val="Heading6"/>
        <w:numPr>
          <w:ilvl w:val="5"/>
          <w:numId w:val="1"/>
        </w:numPr>
        <w:rPr/>
      </w:pPr>
      <w:bookmarkStart w:id="371" w:name="__RefHeading___Toc3425599_3224264995"/>
      <w:bookmarkStart w:id="372" w:name="_Toc140"/>
      <w:bookmarkEnd w:id="371"/>
      <w:r>
        <w:rPr>
          <w:rtl w:val="true"/>
        </w:rPr>
        <w:t>مقتضی الأصل عند الشکّ فی نجاسة الملاقی بعنوانه</w:t>
      </w:r>
      <w:bookmarkEnd w:id="372"/>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أنّ الملاقی مخصوص بجعل مستقلّ، أو یکون وجوب الاجتناب عنه من شؤون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الأصل یقتضی البراءة أو الاحتیاط؟</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و الشرعیة فیه؛ لرجوع الشکّ إلی الأقلّ و الأکثر؛ فإنّ التکلیف بوجوب الاجتناب عن نفس الأعیان النجسة معلوم، و شکّ فی کونه بحیث یقتضی وجوب الاجتناب عن ملاقیه أیضاً أو لا، فیکون الشکّ فی خصوصیة زائدة علی أصل التکالیف بالاجتناب عن الأعیان موجبة للاجتناب عن ملاقیها أیضاً، و هی مورد الأصل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متقوّم بتعلّق العلم الإجمالی بتکلیف واحد مقتضٍ للاجتناب عن النجس و ملاقیه، فیکون علم إجمالی واحد متعلّق بتکلیف واحد، لکن مع تلک الخصوصیة 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شککنا فی أنّ الحکم علی الأعیان النجسة کذلک أو لا فلا ینجّز العلم الإجمالی الأوّل المتعلّق بوجوب الاجتناب عن الطرف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الملاقی؛ لکون تلک الخصوصیة مشکوکاً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الإجمالی الثانی علی فرضه غیر منجّز، کما مرّ سابقاً</w:t>
      </w:r>
      <w:r>
        <w:rPr>
          <w:rStyle w:val="FootnoteAnchor"/>
          <w:rtl w:val="true"/>
        </w:rPr>
        <w:footnoteReference w:id="388"/>
      </w:r>
      <w:r>
        <w:rPr>
          <w:rFonts w:ascii="IRNazanin" w:hAnsi="IRNazanin" w:eastAsia="IRNazanin"/>
          <w:color w:val="111111"/>
          <w:sz w:val="28"/>
          <w:sz w:val="28"/>
          <w:szCs w:val="28"/>
          <w:rtl w:val="true"/>
          <w:lang w:bidi="fa-IR"/>
        </w:rPr>
        <w:t>، و مع عدم تمامیة الحجّة من المولی و عدم تنجیز العلم الإجمالی للخصوصیة تجری البراءة العقلیة و الشرعیة؛ لعدم المانع فی الثانیة بعد جریان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أفاده بعض أعاظم العصر فی تقریراته</w:t>
      </w:r>
      <w:r>
        <w:rPr>
          <w:rStyle w:val="FootnoteAnchor"/>
          <w:rtl w:val="true"/>
        </w:rPr>
        <w:footnoteReference w:id="389"/>
      </w:r>
      <w:r>
        <w:rPr>
          <w:rFonts w:ascii="IRNazanin" w:hAnsi="IRNazanin" w:eastAsia="IRNazanin"/>
          <w:color w:val="111111"/>
          <w:sz w:val="28"/>
          <w:sz w:val="28"/>
          <w:szCs w:val="28"/>
          <w:rtl w:val="true"/>
          <w:lang w:bidi="fa-IR"/>
        </w:rPr>
        <w:t>، و أتعب نفسه الشریفة، و جعل المسألة مبنیة علی ما لا یبتنی علیه أصلًا</w:t>
      </w:r>
      <w:r>
        <w:rPr>
          <w:rStyle w:val="FootnoteAnchor"/>
          <w:rtl w:val="true"/>
        </w:rPr>
        <w:footnoteReference w:id="390"/>
      </w:r>
      <w:r>
        <w:rPr>
          <w:rFonts w:ascii="IRNazanin" w:hAnsi="IRNazanin" w:eastAsia="IRNazanin"/>
          <w:color w:val="111111"/>
          <w:sz w:val="28"/>
          <w:sz w:val="28"/>
          <w:szCs w:val="28"/>
          <w:rtl w:val="true"/>
          <w:lang w:bidi="fa-IR"/>
        </w:rPr>
        <w:t>، کما یظهر الإشکال فیما أفاده بعض محقّقی العصر قدس سره</w:t>
      </w:r>
      <w:r>
        <w:rPr>
          <w:rStyle w:val="FootnoteAnchor"/>
          <w:rtl w:val="true"/>
        </w:rPr>
        <w:footnoteReference w:id="39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bookmarkStart w:id="373" w:name="pg12912_111861"/>
    </w:p>
    <w:p>
      <w:pPr>
        <w:pStyle w:val="Heading6"/>
        <w:numPr>
          <w:ilvl w:val="5"/>
          <w:numId w:val="1"/>
        </w:numPr>
        <w:rPr/>
      </w:pPr>
      <w:bookmarkStart w:id="374" w:name="__RefHeading___Toc3425601_3224264995"/>
      <w:bookmarkStart w:id="375" w:name="_Toc141"/>
      <w:bookmarkEnd w:id="373"/>
      <w:bookmarkEnd w:id="374"/>
      <w:r>
        <w:rPr>
          <w:rtl w:val="true"/>
        </w:rPr>
        <w:t>تنبیهات</w:t>
      </w:r>
      <w:bookmarkEnd w:id="375"/>
    </w:p>
    <w:p>
      <w:pPr>
        <w:pStyle w:val="Heading6"/>
        <w:numPr>
          <w:ilvl w:val="5"/>
          <w:numId w:val="1"/>
        </w:numPr>
        <w:rPr/>
      </w:pPr>
      <w:bookmarkStart w:id="376" w:name="__RefHeading___Toc3425603_3224264995"/>
      <w:bookmarkStart w:id="377" w:name="_Toc142"/>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و قد تعرّض لها الشیخ الأعظم</w:t>
      </w:r>
      <w:r>
        <w:rPr>
          <w:rStyle w:val="FootnoteAnchor"/>
          <w:rtl w:val="true"/>
        </w:rPr>
        <w:footnoteReference w:id="392"/>
      </w:r>
      <w:r>
        <w:rPr>
          <w:rFonts w:ascii="IRNazanin" w:hAnsi="IRNazanin" w:eastAsia="IRNazanin"/>
          <w:color w:val="111111"/>
          <w:sz w:val="28"/>
          <w:sz w:val="28"/>
          <w:szCs w:val="28"/>
          <w:rtl w:val="true"/>
          <w:lang w:bidi="fa-IR"/>
        </w:rPr>
        <w:t>، و تبعه بعض أعاظم العصر قدس سره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3425605_3224264995"/>
      <w:bookmarkStart w:id="379" w:name="_Toc143"/>
      <w:bookmarkEnd w:id="378"/>
      <w:r>
        <w:rPr>
          <w:rtl w:val="true"/>
        </w:rPr>
        <w:t>التنبیه الأوّل</w:t>
      </w:r>
      <w:r>
        <w:rPr>
          <w:rtl w:val="true"/>
        </w:rPr>
        <w:t xml:space="preserve">: </w:t>
      </w:r>
      <w:r>
        <w:rPr>
          <w:rtl w:val="true"/>
        </w:rPr>
        <w:t>فی وجوب الاحتیاط عند الجهل بالموضوع</w:t>
      </w:r>
      <w:bookmarkEnd w:id="379"/>
    </w:p>
    <w:p>
      <w:pPr>
        <w:pStyle w:val="BookText"/>
        <w:rPr/>
      </w:pPr>
      <w:r>
        <w:rPr>
          <w:rFonts w:ascii="IRNazanin" w:hAnsi="IRNazanin" w:eastAsia="IRNazanin"/>
          <w:color w:val="111111"/>
          <w:sz w:val="28"/>
          <w:sz w:val="28"/>
          <w:szCs w:val="28"/>
          <w:rtl w:val="true"/>
          <w:lang w:bidi="fa-IR"/>
        </w:rPr>
        <w:t>لا إشکال حسب القواعد العقلیة فی وجوب الاحتیاط عند الجهل بالموضوع، من غیر فرق بین الشرائط و الموانع، فیجب الصلاة إلی أربعة جهات، أو فی ثوبین یعلم بطهارة أحدهما، أو بخلوّه ممّا لا یؤکل لحمه، و لا وجه لسقوط الشرائط و الموانع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حکی عن المحقّق القمی من التفصیل بین ما یستفاد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 السقوط و عدم وجوب الاحتیاط، و ما یستفاد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 وجوب الاحتیاط</w:t>
      </w:r>
      <w:r>
        <w:rPr>
          <w:rStyle w:val="FootnoteAnchor"/>
          <w:rtl w:val="true"/>
        </w:rPr>
        <w:footnoteReference w:id="394"/>
      </w:r>
      <w:r>
        <w:rPr>
          <w:rFonts w:ascii="IRNazanin" w:hAnsi="IRNazanin" w:eastAsia="IRNazanin"/>
          <w:color w:val="111111"/>
          <w:sz w:val="28"/>
          <w:sz w:val="28"/>
          <w:szCs w:val="28"/>
          <w:rtl w:val="true"/>
          <w:lang w:bidi="fa-IR"/>
        </w:rPr>
        <w:t>لعلّه مبنی علی ما هو المعروف منه من عدم تنجیز العلم الإجمالی مطلقاً، و أنّه کالشبهة البدویة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الاصول، و بما أنّ المستفاد من الأوّل هو</w:t>
      </w:r>
    </w:p>
    <w:p>
      <w:pPr>
        <w:pStyle w:val="BookText"/>
        <w:rPr/>
      </w:pPr>
      <w:r>
        <w:rPr>
          <w:rFonts w:ascii="IRNazanin" w:hAnsi="IRNazanin" w:eastAsia="IRNazanin"/>
          <w:color w:val="111111"/>
          <w:sz w:val="28"/>
          <w:sz w:val="28"/>
          <w:szCs w:val="28"/>
          <w:rtl w:val="true"/>
          <w:lang w:bidi="fa-IR"/>
        </w:rPr>
        <w:t>المانعیة فیرجع فیها إلی البراءة؛ لانحلال الحکم فیه حسب أفراد المانع و مصادیقه، فیؤخذ بالمعلوم منه، و یرجع فی المشکوک فیه إلی البراءة؛ لکون الشکّ فی حکم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المستفاد من الثانی و أضرابه هو الشرطیة، و هو ممّا یجب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إحرازه هو تکرار الصلاة علی وجه یحصل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المحقّق القمی فصّل بین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 الشرط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المستفادة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یحضرنی کتب المحقّق حتّی اراجع کلامه، و کأنّه قاس باب العلم و الجهل بالموضوع بباب القدرة و العجز</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صحیح احتمالًا و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القیاس المذکور لا یصحّح التفصیل المحکی عنه؛ ضرورة أنّ العجز عن الشرط و المانع سواسیة، فلو کان مفاد الدلیل هو الشرطیة و المانعیة المطلقتین فلازمه سقوط الأمر؛ لعدم التمکّن من الإتیان بالمکلّف به، و إن لم یکن کذلک فلازمه سقوط الشرط و المانع مطلقاً عن الشرطیة و المانعیة، من غیر فرق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غرضه الفرق بین العلم و القدرة بأنّ العلم من شرائط التنجیز و القدرة من شرائط ثبوت التکلیف و فعلیته، و فیه ما مرّ من أنّ العلم و القدرة سواسیة؛ فإنّ القدرة الشخصیة من شرائط التنجیز؛ لما مرّ من أنّ الأحکام الشرعیة أحکام قانونیة</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ذکرنا یجب الاحتیاط عند الشکّ فی القدرة، فلو کانت من</w:t>
      </w:r>
      <w:bookmarkStart w:id="380" w:name="pg12912_111863"/>
    </w:p>
    <w:p>
      <w:pPr>
        <w:pStyle w:val="BookText"/>
        <w:rPr/>
      </w:pPr>
      <w:bookmarkEnd w:id="380"/>
      <w:r>
        <w:rPr>
          <w:rFonts w:ascii="IRNazanin" w:hAnsi="IRNazanin" w:eastAsia="IRNazanin"/>
          <w:color w:val="111111"/>
          <w:sz w:val="28"/>
          <w:sz w:val="28"/>
          <w:szCs w:val="28"/>
          <w:rtl w:val="true"/>
          <w:lang w:bidi="fa-IR"/>
        </w:rPr>
        <w:t>شرائط ثبوت التکلیف لکانت البراءة محکّمة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البعید أن یذهب المحقّق إلی أنّ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الشرطیة؛ فإنّ جمهور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بالمانعیة، فمن البعید أن یکون ذلک مختار المحقّق القمی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الخلل فی حکایة مقالة المحقّق، کما لا یخفی</w:t>
      </w:r>
      <w:r>
        <w:rPr>
          <w:rFonts w:eastAsia="IRNazanin" w:cs="IRNazanin"/>
          <w:color w:val="111111"/>
          <w:sz w:val="28"/>
          <w:szCs w:val="28"/>
          <w:rtl w:val="true"/>
          <w:lang w:bidi="fa-IR"/>
        </w:rPr>
        <w:t>.</w:t>
      </w:r>
    </w:p>
    <w:p>
      <w:pPr>
        <w:pStyle w:val="Heading6"/>
        <w:numPr>
          <w:ilvl w:val="5"/>
          <w:numId w:val="1"/>
        </w:numPr>
        <w:rPr/>
      </w:pPr>
      <w:bookmarkStart w:id="381" w:name="__RefHeading___Toc3425607_3224264995"/>
      <w:bookmarkStart w:id="382" w:name="_Toc144"/>
      <w:bookmarkEnd w:id="381"/>
      <w:r>
        <w:rPr>
          <w:rtl w:val="true"/>
        </w:rPr>
        <w:t>التنبیه الثانی</w:t>
      </w:r>
      <w:r>
        <w:rPr>
          <w:rtl w:val="true"/>
        </w:rPr>
        <w:t xml:space="preserve">: </w:t>
      </w:r>
      <w:r>
        <w:rPr>
          <w:rtl w:val="true"/>
        </w:rPr>
        <w:t>فی کیفیة النیة لو کان المعلوم بالإجمال من العبادات</w:t>
      </w:r>
      <w:bookmarkEnd w:id="382"/>
    </w:p>
    <w:p>
      <w:pPr>
        <w:pStyle w:val="BookText"/>
        <w:rPr/>
      </w:pPr>
      <w:r>
        <w:rPr>
          <w:rFonts w:ascii="IRNazanin" w:hAnsi="IRNazanin" w:eastAsia="IRNazanin"/>
          <w:color w:val="111111"/>
          <w:sz w:val="28"/>
          <w:sz w:val="28"/>
          <w:szCs w:val="28"/>
          <w:rtl w:val="true"/>
          <w:lang w:bidi="fa-IR"/>
        </w:rPr>
        <w:t>فصّل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الشبهات البدویة و المقرونة بالعلم الإجمالی إذا کان المحتمل أو المعلوم بالإجمال من العبادات، فاکتفی فی الاولی فی تحقّق الامتثال بمجرّد قصد احتمال الأمر و المحبوبیة، فإنّه هو الذی یمکن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المقرونة بالعلم الإجمالی فحکم بعدم کفایته، بل رأی لزوم قصد امتثال الأمر المعلوم بالإجمال علی کلّ تقدیر،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أن یکون المکلّف حال الإتیان بأحد المحتملین قاصداً للإتیان بالآخر؛ إذ مع عدم ذلک لا یتحقّق قصد امتثال الأمر المعلوم بالإجمال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قصد امتثال الأمر علی تقدیر تعلّقه بالمأتی به، و هذا لا یکفی فی تحقّق الامتثال مع العلم بالأمر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بعض أعاظم العصر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بتعلّق الأمر بأحد المحتملین لا یوجب فرقاً فی کیفیة النیة فی الشبهات؛ فإنّ الطاعة فی کلّ من المحتملین لیست إلّا احتمالیة کالشبهة البدویة؛ إذ المکلّف لا یمکنه أزید من قصد امتثال الأمر الاحتمالی عند الإتیان بکلّ من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المحتملان بمنزلة فعل واحد مرتبط الأجزاء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بتعلّق التکلیف بعمل واحد یقتضی قصد امتثال الأمر المعلوم، فلو أتی المکلّف بأحد المحتملین من دون قصد الإتیان بالآخر یحصل الامتثال علی تقدیر تعلّق الأمر بالمأتی به؛ و إن کان متجرّیاً فی قصده عدم الامتثال علی کلّ تقدیر</w:t>
      </w:r>
      <w:r>
        <w:rPr>
          <w:rStyle w:val="FootnoteAnchor"/>
          <w:rtl w:val="true"/>
        </w:rPr>
        <w:footnoteReference w:id="39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ما یوضح حال المقام و ضعف ما أفاده الشیخ الأعظم قدس سره من أنّ إطاعة الأمر المعلوم تتوقّف علی أن یکون المکلّف حال الإتیان بأحد المحتملین قاصداً للإتیان بالآخر؛ لما عرفت من عدم الدلیل علی الجزم فی النیة، بل یکفی کون العمل مأتیاً للَّه تعالی</w:t>
      </w:r>
      <w:r>
        <w:rPr>
          <w:rStyle w:val="FootnoteAnchor"/>
          <w:rtl w:val="true"/>
        </w:rPr>
        <w:footnoteReference w:id="400"/>
      </w:r>
      <w:r>
        <w:rPr>
          <w:rFonts w:ascii="IRNazanin" w:hAnsi="IRNazanin" w:eastAsia="IRNazanin"/>
          <w:color w:val="111111"/>
          <w:sz w:val="28"/>
          <w:sz w:val="28"/>
          <w:szCs w:val="28"/>
          <w:rtl w:val="true"/>
          <w:lang w:bidi="fa-IR"/>
        </w:rPr>
        <w:t>، و هو حاصل فی إتیان کلّ واحد من العملین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الجزم بوجود الأمر فی البین حتّی لا یصحّ إطاعة المحتمل الأوّل، إلّا بالقصد إلی ضمّ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إلی الإتیان بأحد المحتملین لیس إلّا إطاعة المولی، فهو علی فرض الانطباق مطیع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قاصداً للإتیان بالآخر أو ترکه لا ینفع و لا یضرّ بذلک، فلا یتوقّف امتثال الأمر المعلوم علی قصد امتثال کلا المشتبهین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نقلناه عن بعض أعاظم العصر رحمه الله فهو أیضاً غیر تامّ من ناحیة اخری؛ فإنّ الفرق فی الداعی فی البدویة و المقرونة بالعلم واضح جدّاً؛ فإنّ الداعی فی الاولی لیس إلّا احتمال الأمر، و فی الثانیة لیس احتماله فقط، بل له 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إلی أصل الإتیان؛ و هو الأمر المعلوم، و داعٍ آخر إلی الإتیان بالمحتمل لأجل احتمال انطباق المعلوم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الداعی الثانی ینشأ من الأوّل</w:t>
      </w:r>
      <w:r>
        <w:rPr>
          <w:rFonts w:eastAsia="IRNazanin" w:cs="IRNazanin"/>
          <w:color w:val="111111"/>
          <w:sz w:val="28"/>
          <w:szCs w:val="28"/>
          <w:rtl w:val="true"/>
          <w:lang w:bidi="fa-IR"/>
        </w:rPr>
        <w:t>.</w:t>
      </w:r>
      <w:bookmarkStart w:id="383" w:name="pg12912_111865"/>
    </w:p>
    <w:p>
      <w:pPr>
        <w:pStyle w:val="BookText"/>
        <w:rPr/>
      </w:pPr>
      <w:bookmarkEnd w:id="383"/>
      <w:r>
        <w:rPr>
          <w:rFonts w:ascii="IRNazanin" w:hAnsi="IRNazanin" w:eastAsia="IRNazanin"/>
          <w:color w:val="111111"/>
          <w:sz w:val="28"/>
          <w:sz w:val="28"/>
          <w:szCs w:val="28"/>
          <w:rtl w:val="true"/>
          <w:lang w:bidi="fa-IR"/>
        </w:rPr>
        <w:t>فهو یأتی بالمحتمل لداعیین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المعلوم و احتمال الانطباق، و هو منشأ من الداعی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ینبعث فی الإتیان بکلّ واحد من المحتملین عن 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لامتثال أمر المولی، و داعٍ للاحتفاظ علیه عند الاشتباه</w:t>
      </w:r>
      <w:r>
        <w:rPr>
          <w:rFonts w:eastAsia="IRNazanin" w:cs="IRNazanin"/>
          <w:color w:val="111111"/>
          <w:sz w:val="28"/>
          <w:szCs w:val="28"/>
          <w:rtl w:val="true"/>
          <w:lang w:bidi="fa-IR"/>
        </w:rPr>
        <w:t>.</w:t>
      </w:r>
    </w:p>
    <w:p>
      <w:pPr>
        <w:pStyle w:val="Heading6"/>
        <w:numPr>
          <w:ilvl w:val="5"/>
          <w:numId w:val="1"/>
        </w:numPr>
        <w:rPr/>
      </w:pPr>
      <w:bookmarkStart w:id="384" w:name="__RefHeading___Toc3425609_3224264995"/>
      <w:bookmarkStart w:id="385" w:name="_Toc145"/>
      <w:bookmarkEnd w:id="384"/>
      <w:r>
        <w:rPr>
          <w:rtl w:val="true"/>
        </w:rPr>
        <w:t>التنبیه الثالث</w:t>
      </w:r>
      <w:r>
        <w:rPr>
          <w:rtl w:val="true"/>
        </w:rPr>
        <w:t xml:space="preserve">: </w:t>
      </w:r>
      <w:r>
        <w:rPr>
          <w:rtl w:val="true"/>
        </w:rPr>
        <w:t>حکم ما لو کان المعلوم بالإجمال واجبین مترتبین شرعاً</w:t>
      </w:r>
      <w:bookmarkEnd w:id="385"/>
    </w:p>
    <w:p>
      <w:pPr>
        <w:pStyle w:val="BookText"/>
        <w:rPr/>
      </w:pPr>
      <w:r>
        <w:rPr>
          <w:rFonts w:ascii="IRNazanin" w:hAnsi="IRNazanin" w:eastAsia="IRNazanin"/>
          <w:color w:val="111111"/>
          <w:sz w:val="28"/>
          <w:sz w:val="28"/>
          <w:szCs w:val="28"/>
          <w:rtl w:val="true"/>
          <w:lang w:bidi="fa-IR"/>
        </w:rPr>
        <w:t>إذا کان المعلوم بالإجمال واجبین مترتّبین کالظهر و العصر، و اشتبه شرط من شرائطهما کالقبلة أو الستر فلا إشکال أنّه لا یجوز استیفاء محتملات العصر قبل استیفاء محتملات الظهر، کما أنّه لا یجوز قبل استیفاء محتملات الظهر أن یأتی بالعصر إلی الجهة التی لم یصلّ الظهر إلیها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أنّه هل یجب استیفاء جمیع محتملات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فی الآخر، أو یجوز الإتیان بهما مترتّباً إلی کلّ جهة، فیجوز الإتیان بظهر و عصر إلی جهة، و ظهر و عصر إلی اخری، و هکذا حتّی یستوفی المحتملات؟</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بعض الأعاظم ما اختاره علی ما قوّاه سابقاً؛ من ترتّب الامتثال الإجمالی علی الامتثال التفصیلی</w:t>
      </w:r>
      <w:r>
        <w:rPr>
          <w:rStyle w:val="FootnoteAnchor"/>
          <w:rtl w:val="true"/>
        </w:rPr>
        <w:footnoteReference w:id="401"/>
      </w:r>
      <w:r>
        <w:rPr>
          <w:rFonts w:ascii="IRNazanin" w:hAnsi="IRNazanin" w:eastAsia="IRNazanin"/>
          <w:color w:val="111111"/>
          <w:sz w:val="28"/>
          <w:sz w:val="28"/>
          <w:szCs w:val="28"/>
          <w:rtl w:val="true"/>
          <w:lang w:bidi="fa-IR"/>
        </w:rPr>
        <w:t>، و أنّ فیما نحن فیه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إحراز القبلة؛ فهو ممّا لا یمکن علی الفرض، و الاخری إحراز الترتیب بین الظهر و العصر، و هو بمکان من الإمکان، و ذلک بالإتیان بجمیع محتملات الظهر، ثمّ الاشتغال بالعصر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العلم حین الإتیان بکلّ واحد من محتملات العصر بأنّه صلاة صحیحة</w:t>
      </w:r>
    </w:p>
    <w:p>
      <w:pPr>
        <w:pStyle w:val="BookText"/>
        <w:rPr/>
      </w:pPr>
      <w:r>
        <w:rPr>
          <w:rFonts w:ascii="IRNazanin" w:hAnsi="IRNazanin" w:eastAsia="IRNazanin"/>
          <w:color w:val="111111"/>
          <w:sz w:val="28"/>
          <w:sz w:val="28"/>
          <w:szCs w:val="28"/>
          <w:rtl w:val="true"/>
          <w:lang w:bidi="fa-IR"/>
        </w:rPr>
        <w:t>واقعة عقیب الظهر إنّما هو للجهل بالقبلة لا الجهل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اعتبار الامتثال التفصیلی فی شرط لعدم إمکانه لا یوجب سقوطه فی سائر الشروط مع الإمکان</w:t>
      </w:r>
      <w:r>
        <w:rPr>
          <w:rStyle w:val="FootnoteAnchor"/>
          <w:rtl w:val="true"/>
        </w:rPr>
        <w:footnoteReference w:id="402"/>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المبنی علیه و المبنی کلاهما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Style w:val="FootnoteAnchor"/>
          <w:rtl w:val="true"/>
        </w:rPr>
        <w:footnoteReference w:id="403"/>
      </w:r>
      <w:r>
        <w:rPr>
          <w:rFonts w:ascii="IRNazanin" w:hAnsi="IRNazanin" w:eastAsia="IRNazanin"/>
          <w:color w:val="111111"/>
          <w:sz w:val="28"/>
          <w:sz w:val="28"/>
          <w:szCs w:val="28"/>
          <w:rtl w:val="true"/>
          <w:lang w:bidi="fa-IR"/>
        </w:rPr>
        <w:t>من عدم الدلیل علی تقدیم الامتثال التفصیلی علی الإجمالی، و لا طولیة بینهما أصلًا، فیجوز الاحتیاط مع التمکّن من التقلید و الاجتهاد، و الجمع بین المحتملات مع التمکّن من العلم إذا کان هنا غرض عقلائی، و لا یعدّ ذلک تلاعباً بأمر المولی علی ما عرفت من حکم العقل و العقلاء، و البرهان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أقصی ما یحصل من الشروع بمحتملات العصر بعد استیفاء محتملات الظهر هو العلم بالإتیان بالظهر؛ محقّقاً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 محتمل العصر عصراً واقعیاً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شرع قبل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المقدار لا یجدی من الفرق؛ فلأنّ فی الإتیان بکلّ ظهر و عصر مترتّبین إلی کلّ جهة موافقة علی تقدیر، و عدم موافقة رأساً بالنسبة إلی کلّ واحد من الظهر و العصر علی تقدیر 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الأمر دائراً بین الموافقة الإجمالیة و التفصیلیة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مترتّبان؛ لأنّ کلّ واحد من محتملات العصر لو صادف القبلة فقد أتی قبله بالظهر، و یحصل الترتیب واقعاً، و غیر المصادف منها عمل لا طائل تحته، کغیر المصادف</w:t>
      </w:r>
    </w:p>
    <w:p>
      <w:pPr>
        <w:pStyle w:val="BookText"/>
        <w:rPr/>
      </w:pPr>
      <w:r>
        <w:rPr>
          <w:rFonts w:ascii="IRNazanin" w:hAnsi="IRNazanin" w:eastAsia="IRNazanin"/>
          <w:color w:val="111111"/>
          <w:sz w:val="28"/>
          <w:sz w:val="28"/>
          <w:szCs w:val="28"/>
          <w:rtl w:val="true"/>
          <w:lang w:bidi="fa-IR"/>
        </w:rPr>
        <w:t>من الآخر، و لا ترتیب بینهما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موافقة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بحصول الترتیب بین الظهر و العصر حین الإتیان بهما لا یمکن علی أیّ حال؛ سواء شرع فی محتملات العصر قبل استیفاء محتملات الآخر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العلم حین الإتیان بکلّ عصر بأنّه صلاة صحیحة واقعة عقیب الظهر إنّما هو للجهل بالقبلة، لا الجهل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غرائب الکلام؛ فإنّ الترتیب مجهول علی کلّ تقدیر؛ فإنّ المکلّف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استوفی محتملات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الإتیان بکلّ عصر أنّها صلاة واقعیة عقیب الظهر أو لا، بل یعلم إجمالًا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صلاة واقعیة مترتّبة علی الظهر، و إمّا لیست بصلاة أصلًا؛ فضلًا عن أن یکون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بکفایته فهو حاصل علی المختار؛ أی إذا أتی بواحد من محتملات الظهر و العصر إلی جهة، و هکذا؛ حتّی یتمّ المحتملات، فإنّه یعلم إجمالًا بأنّ المحتمل الأوّل من محتملات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صلاة واقعیة مترتّبة علی الظهر، و إمّا لیس بصلاة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الترتیب بینهما یتقوّم بثلاث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الظهر، وجود العصر،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یأت بالظهر أو بالعصر أو قدّم الثانی علی الأوّل لبطل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بتحقّق العلم بالترتیب عند الإتیان بکلّ واحد من محتملات العصر غریب؛ لأنّه عند الشروع بواحد منها لا یعلم أنّها صلاة عصر صحیحة أو لا، و مع ذلک فکیف یعلم تفصیلًا بوجود الترتیب مع کون الحال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الترتیب أمر إضافی بین الصلاتین الصحیحتین، لا ما بین ما هو صلاة محقّقاً و ما هو مشکوک کونه صلاة أو أمراً باطلًا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 الترتیب ما ذکرنا فهو حاصل علی کلّ تقدیر</w:t>
      </w:r>
      <w:r>
        <w:rPr>
          <w:rFonts w:eastAsia="IRNazanin" w:cs="IRNazanin"/>
          <w:color w:val="111111"/>
          <w:sz w:val="28"/>
          <w:szCs w:val="28"/>
          <w:rtl w:val="true"/>
          <w:lang w:bidi="fa-IR"/>
        </w:rPr>
        <w:t>.</w:t>
      </w:r>
      <w:bookmarkStart w:id="386" w:name="pg12912_111869"/>
    </w:p>
    <w:p>
      <w:pPr>
        <w:pStyle w:val="Heading4"/>
        <w:numPr>
          <w:ilvl w:val="3"/>
          <w:numId w:val="1"/>
        </w:numPr>
        <w:rPr/>
      </w:pPr>
      <w:bookmarkStart w:id="387" w:name="__RefHeading___Toc3425611_3224264995"/>
      <w:bookmarkStart w:id="388" w:name="_Toc146"/>
      <w:bookmarkEnd w:id="386"/>
      <w:bookmarkEnd w:id="387"/>
      <w:r>
        <w:rPr>
          <w:rtl w:val="true"/>
        </w:rPr>
        <w:t>المقام الثانی فی الأقلّ و الأکثر الارتباطیین</w:t>
      </w:r>
      <w:bookmarkEnd w:id="388"/>
    </w:p>
    <w:p>
      <w:pPr>
        <w:pStyle w:val="Heading5"/>
        <w:numPr>
          <w:ilvl w:val="4"/>
          <w:numId w:val="1"/>
        </w:numPr>
        <w:rPr/>
      </w:pPr>
      <w:bookmarkStart w:id="389" w:name="__RefHeading___Toc3425613_3224264995"/>
      <w:bookmarkStart w:id="390" w:name="_Toc147"/>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قد استوفینا الکلام بحمد اللَّه فی البحث عن المتباینین الذی یعدّ مقاماً أوّلًا للشکّ فی المکلّف به، و حان البحث عن الأقلّ و الأکثر، و هو من أنفع المباحث الاصولیة؛ فلا عتب علینا لو أرخینا عنان الکلام و جعلنا البحث مترامی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391" w:name="__RefHeading___Toc3425615_3224264995"/>
      <w:bookmarkStart w:id="392" w:name="_Toc148"/>
      <w:bookmarkEnd w:id="391"/>
      <w:r>
        <w:rPr>
          <w:rtl w:val="true"/>
        </w:rPr>
        <w:t>تنقیح المقام یتوقّف علی بیان مقدّمات</w:t>
      </w:r>
      <w:r>
        <w:rPr>
          <w:rtl w:val="true"/>
        </w:rPr>
        <w:t>:</w:t>
      </w:r>
      <w:bookmarkEnd w:id="392"/>
    </w:p>
    <w:p>
      <w:pPr>
        <w:pStyle w:val="Heading6"/>
        <w:numPr>
          <w:ilvl w:val="5"/>
          <w:numId w:val="1"/>
        </w:numPr>
        <w:rPr/>
      </w:pPr>
      <w:bookmarkStart w:id="393" w:name="__RefHeading___Toc3425617_3224264995"/>
      <w:bookmarkStart w:id="394" w:name="_Toc149"/>
      <w:bookmarkEnd w:id="393"/>
      <w:r>
        <w:rPr>
          <w:rtl w:val="true"/>
        </w:rPr>
        <w:t>الاولی</w:t>
      </w:r>
      <w:r>
        <w:rPr>
          <w:rtl w:val="true"/>
        </w:rPr>
        <w:t xml:space="preserve">: </w:t>
      </w:r>
      <w:r>
        <w:rPr>
          <w:rtl w:val="true"/>
        </w:rPr>
        <w:t>فی الفرق بین الأقل و الأکثر الاستقلالیین و الارتباطیین</w:t>
      </w:r>
      <w:bookmarkEnd w:id="394"/>
    </w:p>
    <w:p>
      <w:pPr>
        <w:pStyle w:val="BookText"/>
        <w:rPr/>
      </w:pPr>
      <w:r>
        <w:rPr>
          <w:rFonts w:ascii="IRNazanin" w:hAnsi="IRNazanin" w:eastAsia="IRNazanin"/>
          <w:color w:val="111111"/>
          <w:sz w:val="28"/>
          <w:sz w:val="28"/>
          <w:szCs w:val="28"/>
          <w:rtl w:val="true"/>
          <w:lang w:bidi="fa-IR"/>
        </w:rPr>
        <w:t>الفرق بین الاستقلالیین منهما و الارتباطیین أوضح من أن یخفی؛ فإنّ الأقلّ فی الاستقلالی مغایر للأکثر؛ غرضاً و ملاکاً و أمراً و تکلیفاً، کالفائتة المردّدة بین الواحد و ما فوقها، و الدین المردّد بین الدرهم و الدرهمین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أغراض و موضوعات و أوامر و أحکام علی تقدیر وجوب الأکثر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الأقلّ و الأکثر علیهما بضرب من المسامحة و المجاز، و باعتبار أنّ الواحد من الدراهم أقلّ من الدرهمین و هو کثیرة، و إلّا فلکلّ تکلیف و بعث بحیاله</w:t>
      </w:r>
      <w:r>
        <w:rPr>
          <w:rFonts w:eastAsia="IRNazanin" w:cs="IRNazanin"/>
          <w:color w:val="111111"/>
          <w:sz w:val="28"/>
          <w:szCs w:val="28"/>
          <w:rtl w:val="true"/>
          <w:lang w:bidi="fa-IR"/>
        </w:rPr>
        <w:t>.</w:t>
      </w:r>
      <w:bookmarkStart w:id="395" w:name="pg12912_111870"/>
    </w:p>
    <w:p>
      <w:pPr>
        <w:pStyle w:val="BookText"/>
        <w:rPr/>
      </w:pPr>
      <w:bookmarkEnd w:id="395"/>
      <w:r>
        <w:rPr>
          <w:rFonts w:ascii="IRNazanin" w:hAnsi="IRNazanin" w:eastAsia="IRNazanin"/>
          <w:color w:val="111111"/>
          <w:sz w:val="28"/>
          <w:sz w:val="28"/>
          <w:szCs w:val="28"/>
          <w:rtl w:val="true"/>
          <w:lang w:bidi="fa-IR"/>
        </w:rPr>
        <w:t>و أمّا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قائم بالأجزاء الواقعیة، فلو کان الواجب هو الأکثر فالأقلّ خالٍ عن الغرض و البعث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فوزانه فی عالم التکوین کالمعاجین؛ فإنّ الغرض و الأثر المطلوب قائم بالصورة الحاصلة من ترکیب الأجزاء الواقعیة علی ما هی علیها، و لا تحصل الغایة إلّا باجتماع الأجزاء عامّة؛ بلا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المرکّبات الاعتباریة أیضاً؛ فلو تعلّق غرض الملک علی إرعاب القوم و خُصمائه یأمر بعرض الجنود و العساکر؛ فإنّ الغرض لا یحصل إلّا بإراءة صفوف من العساکر، لا إراءة جندی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الاستقلالیة و الارتباطیة باعتبار الغرض القائم بالموضوع قبل تعلّق الأمر؛ فإنّ الغرض قد یقوم بعشرة أجزاء و قد یقوم بأزید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w:t>
      </w:r>
      <w:r>
        <w:rPr>
          <w:rStyle w:val="FootnoteAnchor"/>
          <w:rtl w:val="true"/>
        </w:rPr>
        <w:footnoteReference w:id="404"/>
      </w:r>
      <w:r>
        <w:rPr>
          <w:rFonts w:ascii="IRNazanin" w:hAnsi="IRNazanin" w:eastAsia="IRNazanin"/>
          <w:color w:val="111111"/>
          <w:sz w:val="28"/>
          <w:sz w:val="28"/>
          <w:szCs w:val="28"/>
          <w:rtl w:val="true"/>
          <w:lang w:bidi="fa-IR"/>
        </w:rPr>
        <w:t>ضعف ما عن بعضهم من أنّ ملاکهما إنّما هو وحدة التکلیف و کثرته</w:t>
      </w:r>
      <w:r>
        <w:rPr>
          <w:rStyle w:val="FootnoteAnchor"/>
          <w:rtl w:val="true"/>
        </w:rPr>
        <w:footnoteReference w:id="405"/>
      </w:r>
      <w:r>
        <w:rPr>
          <w:rFonts w:ascii="IRNazanin" w:hAnsi="IRNazanin" w:eastAsia="IRNazanin"/>
          <w:color w:val="111111"/>
          <w:sz w:val="28"/>
          <w:sz w:val="28"/>
          <w:szCs w:val="28"/>
          <w:rtl w:val="true"/>
          <w:lang w:bidi="fa-IR"/>
        </w:rPr>
        <w:t>ضرورة أنّ وحدته و کثرته باعتبار الغرض الباعث علی التکلیف، فلا معنی لجعل المتأخّر عن الملاک الواقعی ملاکاً لتمییزهما، فتدبّر</w:t>
      </w:r>
      <w:r>
        <w:rPr>
          <w:rFonts w:eastAsia="IRNazanin" w:cs="IRNazanin"/>
          <w:color w:val="111111"/>
          <w:sz w:val="28"/>
          <w:szCs w:val="28"/>
          <w:rtl w:val="true"/>
          <w:lang w:bidi="fa-IR"/>
        </w:rPr>
        <w:t>.</w:t>
      </w:r>
    </w:p>
    <w:p>
      <w:pPr>
        <w:pStyle w:val="Heading6"/>
        <w:numPr>
          <w:ilvl w:val="5"/>
          <w:numId w:val="1"/>
        </w:numPr>
        <w:rPr/>
      </w:pPr>
      <w:bookmarkStart w:id="396" w:name="__RefHeading___Toc3425619_3224264995"/>
      <w:bookmarkStart w:id="397" w:name="_Toc150"/>
      <w:bookmarkEnd w:id="396"/>
      <w:r>
        <w:rPr>
          <w:rtl w:val="true"/>
        </w:rPr>
        <w:t>الثانیة</w:t>
      </w:r>
      <w:r>
        <w:rPr>
          <w:rtl w:val="true"/>
        </w:rPr>
        <w:t xml:space="preserve">: </w:t>
      </w:r>
      <w:r>
        <w:rPr>
          <w:rtl w:val="true"/>
        </w:rPr>
        <w:t>تنقیح محطّ البحث</w:t>
      </w:r>
      <w:bookmarkEnd w:id="397"/>
    </w:p>
    <w:p>
      <w:pPr>
        <w:pStyle w:val="BookText"/>
        <w:rPr/>
      </w:pPr>
      <w:r>
        <w:rPr>
          <w:rFonts w:ascii="IRNazanin" w:hAnsi="IRNazanin" w:eastAsia="IRNazanin"/>
          <w:color w:val="111111"/>
          <w:sz w:val="28"/>
          <w:sz w:val="28"/>
          <w:szCs w:val="28"/>
          <w:rtl w:val="true"/>
          <w:lang w:bidi="fa-IR"/>
        </w:rPr>
        <w:t>البحث إنّما هو فی الأقلّ المأخوذ لا بشرط حتّی یکون محفوظاً فی ضمن الأکثر، فلو کان مأخوذاً بشرط لا فلا یکون الأقلّ أقلّ الأکثر، بل یکونان متباینین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رتّب علی هذا بعض محقّقی العصر رحمه الله خروج ما دار الأمر فیه بین الطبیعی</w:t>
      </w:r>
    </w:p>
    <w:p>
      <w:pPr>
        <w:pStyle w:val="BookText"/>
        <w:rPr/>
      </w:pPr>
      <w:r>
        <w:rPr>
          <w:rFonts w:ascii="IRNazanin" w:hAnsi="IRNazanin" w:eastAsia="IRNazanin"/>
          <w:color w:val="111111"/>
          <w:sz w:val="28"/>
          <w:sz w:val="28"/>
          <w:szCs w:val="28"/>
          <w:rtl w:val="true"/>
          <w:lang w:bidi="fa-IR"/>
        </w:rPr>
        <w:t>و الحصّة من موضوع الأقلّ و الأکثر؛ بأن تردّد الأمر بین وجوب إکرام الإنسان أو إکرام زید؛ لأنّ الطبیعی باعتبار قابلیته للانطباق علی حصّة اخری منه المباینة مع الحصّة الاخری لا یکون محفوظاً بمعناه الإطلاقی فی ضمن الأکثر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تسمیة الفرد الخارجی حصّة غیر موافق لاصطلاح القوم؛ فإنّ الحصّة عبارة عن الکلّی المقیّد بکلّی آخر، کالإنسان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الهویة المتحقّقة المتعیّنة فهو فرد خارجی لا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ذکره خروج المطلق و المقیّد عن مصبّ النزاع؛ فإنّ المطلق لم یبق بإطلاقه فی ضمن المقیّد؛ ضرورة سقوط إطلاقه الاولی بعد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دار الأمر بین أنّه أمر بإکرام الإنسان أو الإنسان الأبیض فالمطلق علی فرض وجوب الأکثر بطل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دوران الأمر بین الفرد و الطبیعی من البحث لأجل أنّه یشترط فی الأمر المتعلّق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إلی الأقلّ أیضاً، و الفرد و الطبیعی لیسا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تعلّق الأمر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الفرد؛ لکونه هو الطبیعی مع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یدعو إلی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لا یتجاوز فی مقام الدعوة عن متعلّقه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الفرد إلی الطبیعی و المشخّصات الحافّة به إنّما هو تحلیل عقلی فلسفی، و لا دلالة للّفظ علیه أصلًا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فرضنا 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مصبّ الأمر فهو 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لفظیة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إکرام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الأمر ما لو دار الأمر بین الجنس و النوع؛</w:t>
      </w:r>
      <w:bookmarkStart w:id="398" w:name="pg12912_111872"/>
    </w:p>
    <w:p>
      <w:pPr>
        <w:pStyle w:val="BookText"/>
        <w:rPr/>
      </w:pPr>
      <w:bookmarkEnd w:id="398"/>
      <w:r>
        <w:rPr>
          <w:rFonts w:ascii="IRNazanin" w:hAnsi="IRNazanin" w:eastAsia="IRNazanin"/>
          <w:color w:val="111111"/>
          <w:sz w:val="28"/>
          <w:sz w:val="28"/>
          <w:szCs w:val="28"/>
          <w:rtl w:val="true"/>
          <w:lang w:bidi="fa-IR"/>
        </w:rPr>
        <w:t>فلو تردّد الواجب بین کونه الحیوان أو الإنسان فهو خارج عن الأقلّ و الأکثر المبحوث عنه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دار الأمر بین الحیوان أو الحیوان الأبیض فهو داخل فی مورد البحث</w:t>
      </w:r>
      <w:r>
        <w:rPr>
          <w:rFonts w:eastAsia="IRNazanin" w:cs="IRNazanin"/>
          <w:color w:val="111111"/>
          <w:sz w:val="28"/>
          <w:szCs w:val="28"/>
          <w:rtl w:val="true"/>
          <w:lang w:bidi="fa-IR"/>
        </w:rPr>
        <w:t>.</w:t>
      </w:r>
    </w:p>
    <w:p>
      <w:pPr>
        <w:pStyle w:val="Heading6"/>
        <w:numPr>
          <w:ilvl w:val="5"/>
          <w:numId w:val="1"/>
        </w:numPr>
        <w:rPr/>
      </w:pPr>
      <w:bookmarkStart w:id="399" w:name="__RefHeading___Toc3425621_3224264995"/>
      <w:bookmarkStart w:id="400" w:name="_Toc151"/>
      <w:bookmarkEnd w:id="399"/>
      <w:r>
        <w:rPr>
          <w:rtl w:val="true"/>
        </w:rPr>
        <w:t>الثالثة</w:t>
      </w:r>
      <w:r>
        <w:rPr>
          <w:rtl w:val="true"/>
        </w:rPr>
        <w:t xml:space="preserve">: </w:t>
      </w:r>
      <w:r>
        <w:rPr>
          <w:rtl w:val="true"/>
        </w:rPr>
        <w:t>فی الصور المحتملة فی المسألة</w:t>
      </w:r>
      <w:bookmarkEnd w:id="400"/>
    </w:p>
    <w:p>
      <w:pPr>
        <w:pStyle w:val="BookText"/>
        <w:rPr/>
      </w:pPr>
      <w:r>
        <w:rPr>
          <w:rFonts w:ascii="IRNazanin" w:hAnsi="IRNazanin" w:eastAsia="IRNazanin"/>
          <w:color w:val="111111"/>
          <w:sz w:val="28"/>
          <w:sz w:val="28"/>
          <w:szCs w:val="28"/>
          <w:rtl w:val="true"/>
          <w:lang w:bidi="fa-IR"/>
        </w:rPr>
        <w:t>إنّ التردید بین الأقلّ و الأکثر تارة یکون فی متعلّق التکلیف، و اخری فی موضوعه، و ثالثة فی السبب المحصّل الشرعی أو العقلی أو العرفی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الأقلّ و الأکثر من قبیل الجزء و الکلّ، و قد یکون من الشرط و المشروط، و ثالثة من قبیل الجنس و النوع، إلی غیر ذلک من التقسیمات التی یتّضح حالها و أحکامها ممّا نتلوه علیک فی ضمن مطالب</w:t>
      </w:r>
      <w:r>
        <w:rPr>
          <w:rFonts w:eastAsia="IRNazanin" w:cs="IRNazanin"/>
          <w:color w:val="111111"/>
          <w:sz w:val="28"/>
          <w:szCs w:val="28"/>
          <w:rtl w:val="true"/>
          <w:lang w:bidi="fa-IR"/>
        </w:rPr>
        <w:t>:</w:t>
      </w:r>
      <w:bookmarkStart w:id="401" w:name="pg12912_111873"/>
    </w:p>
    <w:p>
      <w:pPr>
        <w:pStyle w:val="Heading5"/>
        <w:numPr>
          <w:ilvl w:val="4"/>
          <w:numId w:val="1"/>
        </w:numPr>
        <w:rPr/>
      </w:pPr>
      <w:bookmarkStart w:id="402" w:name="__RefHeading___Toc3425623_3224264995"/>
      <w:bookmarkStart w:id="403" w:name="_Toc152"/>
      <w:bookmarkEnd w:id="401"/>
      <w:bookmarkEnd w:id="402"/>
      <w:r>
        <w:rPr>
          <w:rtl w:val="true"/>
        </w:rPr>
        <w:t>المطلب الأوّل فیما إذا کان الأقلّ و الأکثر من قبیل الکلّ و الجزء</w:t>
      </w:r>
      <w:bookmarkEnd w:id="403"/>
    </w:p>
    <w:p>
      <w:pPr>
        <w:pStyle w:val="Heading6"/>
        <w:numPr>
          <w:ilvl w:val="5"/>
          <w:numId w:val="1"/>
        </w:numPr>
        <w:rPr/>
      </w:pPr>
      <w:bookmarkStart w:id="404" w:name="__RefHeading___Toc3425625_3224264995"/>
      <w:bookmarkStart w:id="405" w:name="_Toc153"/>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هو المرجع فی الأقلّ و الأکثر الاستقلالیین اتّفاقاً، إلّا أنّ الارتباطی منهما مورد اختلاف، فهل المرجع هو البراءة أیضاً مطلقاً أو الاشتغال کذلک أو یفصّل بین العقلی منها و الشرعی؛ فیجری الثانی منها دون الأوّل، کما اختاره المحقّق الخراسانی</w:t>
      </w:r>
      <w:r>
        <w:rPr>
          <w:rStyle w:val="FootnoteAnchor"/>
          <w:rtl w:val="true"/>
        </w:rPr>
        <w:footnoteReference w:id="407"/>
      </w:r>
      <w:r>
        <w:rPr>
          <w:rFonts w:ascii="IRNazanin" w:hAnsi="IRNazanin" w:eastAsia="IRNazanin"/>
          <w:color w:val="111111"/>
          <w:sz w:val="28"/>
          <w:sz w:val="28"/>
          <w:szCs w:val="28"/>
          <w:rtl w:val="true"/>
          <w:lang w:bidi="fa-IR"/>
        </w:rPr>
        <w:t>؟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لنحقّق المقام برسم امور</w:t>
      </w:r>
      <w:r>
        <w:rPr>
          <w:rFonts w:eastAsia="IRNazanin" w:cs="IRNazanin"/>
          <w:color w:val="111111"/>
          <w:sz w:val="28"/>
          <w:szCs w:val="28"/>
          <w:rtl w:val="true"/>
          <w:lang w:bidi="fa-IR"/>
        </w:rPr>
        <w:t>:</w:t>
      </w:r>
    </w:p>
    <w:p>
      <w:pPr>
        <w:pStyle w:val="Heading6"/>
        <w:numPr>
          <w:ilvl w:val="5"/>
          <w:numId w:val="1"/>
        </w:numPr>
        <w:rPr/>
      </w:pPr>
      <w:bookmarkStart w:id="406" w:name="__RefHeading___Toc3425627_3224264995"/>
      <w:bookmarkStart w:id="407" w:name="_Toc154"/>
      <w:bookmarkEnd w:id="406"/>
      <w:r>
        <w:rPr>
          <w:rtl w:val="true"/>
        </w:rPr>
        <w:t>بیان امور لجریان البراءة العقلیة</w:t>
      </w:r>
      <w:bookmarkEnd w:id="40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المرکّبات الاعتباریة فی عالم الاعتبار من بعض الجهات وزان المرکّبات الحقیقیة فی الخارج؛ فإنّ المرکّب الحقیقی إنّما یحصل بعد کسر سورة الأجزاء بواسطة التفاعل الواقع بینها، فتخرج الأجزاء من الاستقلال لأجل الفعل و الانفعال و الکسر و الانکسار، و تتّخذ الأجزاء لنفسها صورة مستقلّة؛ هی صورة المرکّب، فلها وجود و وحدة غیر ما للأجزاء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المرکّب الصناعی کالبیت و المسجد، أو الاعتباری کالقوم و الفوج و الأعمال العبادیة کلّها، فإنّ کلّ جزء منها و إن کان باقیاً علی فعلیته بحسب التکوین، و لا یکسر عن سورة الأجزاء فی الخارج شی‌ء، إلّا أنّها فی عالم الاعتبار</w:t>
      </w:r>
    </w:p>
    <w:p>
      <w:pPr>
        <w:pStyle w:val="BookText"/>
        <w:rPr/>
      </w:pPr>
      <w:r>
        <w:rPr>
          <w:rFonts w:ascii="IRNazanin" w:hAnsi="IRNazanin" w:eastAsia="IRNazanin"/>
          <w:color w:val="111111"/>
          <w:sz w:val="28"/>
          <w:sz w:val="28"/>
          <w:szCs w:val="28"/>
          <w:rtl w:val="true"/>
          <w:lang w:bidi="fa-IR"/>
        </w:rPr>
        <w:t>لمّا کان شیئاً واحداً و وجوداً فارداً تکسر سورة الأجزاء و تخرج الأجزاء عن الاستقلال فی عالم الاعتبار، و تفنی فی الصورة الحاصلة للمرکّب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یحصل للمرکّب الصناعی أو الاعتباری وحدة اعتباریة کصورتها الاعتباریة لم یکن له وجود فی ذلک اللحاظ؛ فإنّ ما لا وحدة له لا وجود له تکویناً و اعتباراً، و إنّما تحصل الوحدة بذهاب فعلیة الأجزاء و حصول صورة اخری مجملة غیر صورة الأجزاء المنفصلات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بعد ما شاهدت أنّ الغرض قائم بالهیئة الاعتباریة من الفوج، و بالصورة المجتمعة من الأذکار و الأفعال ینتزع عندئذٍ وحدة اعتباریة، و صورة مثلها تبلع فعلیة الأجزاء و أحکامها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الأجزاء و الصورة المرکّبة هو الفرق بین 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الاعتباریة و الصناعیة و إن کانت تفارق الحقیقیة، إلّا أنّها من جهة اشتمالها علی الصورة الصناعیة أو الاعتباریة أشبه شی‌ء بالحقیقیة من المرکّبات،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المرکّب الاعتباری إنّما ینتهی إلیها الآمر بعد تصوّر الأجزاء و الشرائط علی سبیل الاستقلال، فینتزع منها بعد تصوّرها صورة وحدانیة، و یأمر بها علی عکس الإتیان بها فی الخارج</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الواقف علی أغراضه و آماله یجد من نفسه تحریکاً إلی محصّلاتها، فلو کان محصّل غرضه أمراً بسیطاً یوجّه أمره إلیه، و أمّا إذا کان مرکّباً فهو یتصوّر أجزائها و شرائطها و معدّاتها و موانعها، و یرتّبها حسب ما یقتضی المصلحة و الملاک النفس الأمریین، ثمّ یلاحظها علی نعت الوحدة؛ بحیث تفنی فیها</w:t>
      </w:r>
    </w:p>
    <w:p>
      <w:pPr>
        <w:pStyle w:val="BookText"/>
        <w:rPr/>
      </w:pPr>
      <w:r>
        <w:rPr>
          <w:rFonts w:ascii="IRNazanin" w:hAnsi="IRNazanin" w:eastAsia="IRNazanin"/>
          <w:color w:val="111111"/>
          <w:sz w:val="28"/>
          <w:sz w:val="28"/>
          <w:szCs w:val="28"/>
          <w:rtl w:val="true"/>
          <w:lang w:bidi="fa-IR"/>
        </w:rPr>
        <w:t>الکثرات، ثمّ یجعلها موضوعاً للحکم و متعلّقاً للبعث و الإرادة، فینتهی الآمر من الکثرة إلی الوحدة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المأمور الآتی به خارجاً فهو ینتهی من الوحدة إلی الکثرة غالباً؛ فإنّ الإنسان إذا أراد إتیان المرکّب فی الخارج و تعلّقت إرادته بإیجاده یتصوّره بنعت الوحدة أوّلًا، و یجد فی نفسه شوقاً إلیه، و لمّا رأی أنّه لا یحصل فی الخارج إلّا بإتیان أجزائها و شرائطها حسب ما قرّره المولی تجد فی نفسه إرادات تبعیة متعلّقة بها، فالمأمور ینتهی من الوحدة إلی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الأمر تابع لوحدة المتعلّق لا غیر؛ لأنّ وحدة الإرادة تابع لوحدة المراد؛ فإنّ تشخّصها بتشخّصه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تعلّق إرادة واحدة بالاثنین بنعت الاثنینیة و الکثرة، فما لم یتّخذ المتعلّق لنفسها وحدة لا یقع فی افق الإرادة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البعث الناشئ منها حکمه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یلحظ فی المبعوث إلیه وحدة اعتباریة فانیة فیه الکثرات لا یتعلّق به البعث الوحدانی، و إلّا یلزم أن یکون الواحد کثیراً أو الکثیر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و الشرائط فی الاعتباریة من المرکّبات بما أنّها باقیة علی کثراتها و فعلیاتها حسب التکوین فلا یتعلّق بها الإرادة التکوینیة الوحدانیة مع بقاء المتعلّق علی نعت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سبک تلک الکثرات المنفصلات فی قالب الوحدة حتّی یقع الکلّ تحت عنوان واحد جامع لشتات المرکّب و متفرّقاتها، و یصحّ معه تعلّق الإرادة الواحدة، و یتبعه تعلّق البعث الواحد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ما عن بعض محقّقی العصر من أنّ وحدة المتعلّق من وحدة الأمر</w:t>
      </w:r>
      <w:r>
        <w:rPr>
          <w:rStyle w:val="FootnoteAnchor"/>
          <w:rtl w:val="true"/>
        </w:rPr>
        <w:footnoteReference w:id="40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 فی المرکّبات الاعتباریة لیست أمراً مغایراً للأجزاء بالأسر، بل هی عینها حقیقة؛ إذ لیس المراد من الصورة إلّا الأجزاء فی لحاظ الوحدة، کما أنّ الأجزاء عبارة عن الامور المختلفة فی لحاظ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یوجب أن یکون هنا صورة و أجزاء متغایرة، و یکون أحدهما محصِّلًا و الآخر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فلاحظ العشرة؛ فإنّها عبارة عن هذا الواحد و ذاک الواحد و ذلک، و لیست أمراً مغایراً لتلک الوحدات، بل هی عبارة عن هذه الکثرات فی لحاظ الوحدة، و العنوان یحکی عن وحدة جمعیة بین الوحدات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لاحظت کلّ واحد من الوحدات فقد لاحظت ذات العشرة، کما أنّک إذا لاحظت العنوان فقد لاحظت کلّ واحد من الوحدات بلحاظ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إنّما هو بالإجمال و التفصیل و الوحدة و الکثرة، فالعنوان مجمل هذه الکثرات و معصورها، کما أنّ الأجزاء مفصّل ذلک العنوان؛ ضرورة أنّ ضمّ موجود إلی موجود آخر حتّی ینتهی إلی ما شاء لا یحصل منه موجود آخر متغایر مع الأجزاء المنضمّات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دعوة الأمر إلی إیجاد الأجزاء إنّما هو بعین دعوته إلی الطبیعة؛ لا بدعوة مستقلّة و لا بدعوة ضمنیة و لا بأمر انحلالی و لا بحکم العقل الحاکم بأنّ إتیان الکلّ لا یحصل إلّا بإتیان ما یتوقّف علیه من الأجزاء؛ و ذلک لأنّ الطبیعة تنحلّ إلی الأجزاء؛ انحلال المجمل إلی مفصّله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عین الأجزاء فی لحاظ الوحدة، لا شی‌ء آخر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فالدعوة إلی الطبیعة الاعتباریة عین الدعوة إلی الأجزاء، و البعث إلی إحضار عشرة رجال بعث إلی إحضار هذا و ذاک حتّی یصدق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ذکرنا لا حاجة إلی التمسّک فی مقام الدعوة إلی حکم العقل؛ و إن کان حکمه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الضمنی أو الانحلالی فممّا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بالمرکّب واحد متعلّق بواحد، و لیست الأجزاء متعلّقة للأمر؛ لعدم شیئیة لها فی لحاظ الآمر عند لحاظ المرکّب، و لا یری عند البعث إلیه إلّا صورة وحدانیة هی صورة المرکّب؛ فانیاً فیها الأجزاء، فهی تکون مغفولًا عنها، و لا تکون متعلّقة للأمر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فالآمر لا یری فی تلک اللحاظ إلّا أمراً واحداً، و لا یأمر إلّا بأمر واحد، و لکن هذا الأمر الوحدانی یکون داعیاً إلی إتیان الأجزاء بعین دعوته إلی المرکّب، و حجّة علیها بعین حجّیته علیه؛ لکون المرکّب هو الأجزاء فی لحاظ الوحدة و الاضمحلال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هاهنا و فی المقدّمة الرابعة لا ینافی مع ما عرفت تحقیقه؛ من وجود ملاک المقدّمیة فی الأجزاء، و أنّ کلّ جزء مقدّمة، و هو غیر الکلّ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الأمر هو العنوان لا ذات الأجزاء المردّدة بین الأقلّ و الأکثر بنعت الکثرة؛ و إن کان العنوان عینها فی لحاظ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فما هو متعلّق الأمر إنّما هو العنوان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التعبیر بأنّ الأمر دائر بین الأقلّ و الأکثر یوهم تعلّق الحکم بالأجزاء، و أنّ الواجب بذاته مردّد بینهما، و هو خلاف المفروض و خلاف التحقیق، بل الحکم تعلّق بعنوان غیر مردّد فی نفسه بین القلیل و الکثیر؛ و إن کان ما ینحلّ إلیه</w:t>
      </w:r>
      <w:bookmarkStart w:id="408" w:name="pg12912_111878"/>
    </w:p>
    <w:p>
      <w:pPr>
        <w:pStyle w:val="BookText"/>
        <w:rPr/>
      </w:pPr>
      <w:bookmarkEnd w:id="408"/>
      <w:r>
        <w:rPr>
          <w:rFonts w:ascii="IRNazanin" w:hAnsi="IRNazanin" w:eastAsia="IRNazanin"/>
          <w:color w:val="111111"/>
          <w:sz w:val="28"/>
          <w:sz w:val="28"/>
          <w:szCs w:val="28"/>
          <w:rtl w:val="true"/>
          <w:lang w:bidi="fa-IR"/>
        </w:rPr>
        <w:t>هذا العنوان مردّد بینهما، و هو لا یوجب تردّد الواجب بالذات بینهما، و هو لا ینافی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عین الأجزاء؛ لما تقدّم أنّ العینیة مع حفظ عنوانی الإجمال و التفصیل</w:t>
      </w:r>
      <w:r>
        <w:rPr>
          <w:rFonts w:eastAsia="IRNazanin" w:cs="IRNazanin"/>
          <w:color w:val="111111"/>
          <w:sz w:val="28"/>
          <w:szCs w:val="28"/>
          <w:rtl w:val="true"/>
          <w:lang w:bidi="fa-IR"/>
        </w:rPr>
        <w:t>.</w:t>
      </w:r>
    </w:p>
    <w:p>
      <w:pPr>
        <w:pStyle w:val="Heading6"/>
        <w:numPr>
          <w:ilvl w:val="5"/>
          <w:numId w:val="1"/>
        </w:numPr>
        <w:rPr/>
      </w:pPr>
      <w:bookmarkStart w:id="409" w:name="__RefHeading___Toc3425629_3224264995"/>
      <w:bookmarkStart w:id="410" w:name="_Toc155"/>
      <w:bookmarkEnd w:id="409"/>
      <w:r>
        <w:rPr>
          <w:rtl w:val="true"/>
        </w:rPr>
        <w:t>تقریب جریان البراءة العقلیة</w:t>
      </w:r>
      <w:bookmarkEnd w:id="410"/>
    </w:p>
    <w:p>
      <w:pPr>
        <w:pStyle w:val="BookText"/>
        <w:rPr/>
      </w:pPr>
      <w:r>
        <w:rPr>
          <w:rFonts w:ascii="IRNazanin" w:hAnsi="IRNazanin" w:eastAsia="IRNazanin"/>
          <w:color w:val="111111"/>
          <w:sz w:val="28"/>
          <w:sz w:val="28"/>
          <w:szCs w:val="28"/>
          <w:rtl w:val="true"/>
          <w:lang w:bidi="fa-IR"/>
        </w:rPr>
        <w:t>إذا عرفت ذلک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فی المشکوک من الأجزاء؛ لأنّ الحجّة علی المرکّب إنّما یکون حجّة علی الأجزاء و داعیاً إلیها إذا قامت الحجّة علی کون المرکّب مرکّباً من الأجزاء الکذائیة و منحلًاّ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قیام الحجّة علیه لا یمکن أن یکون الأمر به حجّة علیها و داعیاً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الشکّ فی جزئیة شی‌ء للمرکّب لا یکون الأمر المتعلّق به حجّة علیه؛ ضرورة أنّ تمامیة الحجّة إنّما تکون بالعلم، و العلم بتعلّق الأمر بالمرکّب إنّما یکون حجّة علی الأجزاء التی علم ترکّب المرکّب منها؛ لما عرفت من أنّ السرّ فی داعویة الأمر المتعلّق به إلی الأجزاء لیس إلّا کونه منحلًاّ إلیها و مترکّباً منها، فمع الشکّ فی دخالة شی‌ء فی المرکّب و اعتباره فیه عند ترتیب أجزائه لا یکون الأمر بالمرکّب حجّة علیه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بذل العبد جهده فی استعلام ما أخذه المولی جزءًا للمرکّب، و وقف علی عدّة أجزاء دلّت علیه الأدلّة، و شکّ فی جزئیة شی‌ء آخر، فأتی بما قامت الحجّة علیه، و ترک ما لم تقم علیه یعدّ مطیعاً لأمر مولاه، فلو عاقبه المولی علی ترک الجزء المشکوک فیه یکون عقاباً بلا بیان و بلا برهان</w:t>
      </w:r>
      <w:r>
        <w:rPr>
          <w:rFonts w:eastAsia="IRNazanin" w:cs="IRNazanin"/>
          <w:color w:val="111111"/>
          <w:sz w:val="28"/>
          <w:szCs w:val="28"/>
          <w:rtl w:val="true"/>
          <w:lang w:bidi="fa-IR"/>
        </w:rPr>
        <w:t>.</w:t>
      </w:r>
      <w:bookmarkStart w:id="411" w:name="pg12912_111879"/>
    </w:p>
    <w:p>
      <w:pPr>
        <w:pStyle w:val="BookText"/>
        <w:rPr/>
      </w:pPr>
      <w:bookmarkEnd w:id="41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مأخوذ بمقدار ما قامت الحجّة علیه؛ لا أزید و لا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 انحلاله إلیها فقد لزم علی العبد؛ لأنّ قیام الحجّة علی العنوان قیام علی الأجزاء التی علم انحلاله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انحلال العنوان علیها، و لا یتمّ الحجّة علیها؛ للشکّ فی دخولها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لو کانت الأجزاء واجبة من أوّل الأمر بلا توسیط عنوان، فکما یرجع فیه إلی البراءة فهکذا فیما إذا کان متوسّطاً فی وجوب الأجزاء؛ لما عرفت من العینیة مع التحفّظ بالفرق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قد قامت علی العنوان الإجمالی، فلا بدّ من الإتیان بالأکثر حتّی یحصل العلم بالإتیان بما قامت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نسیت ما حرّرنا من الامور لما تقدّم من أنّ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العنوان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نسبة المحقِّق إلی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المآل إلی الشکّ فی السقوط، بل العنوان عین الأجزاء فی لحاظ الوحدة، لا متحصّلًا منها</w:t>
      </w:r>
      <w:r>
        <w:rPr>
          <w:rFonts w:eastAsia="IRNazanin" w:cs="IRNazanin"/>
          <w:color w:val="111111"/>
          <w:sz w:val="28"/>
          <w:szCs w:val="28"/>
          <w:rtl w:val="true"/>
          <w:lang w:bidi="fa-IR"/>
        </w:rPr>
        <w:t>.</w:t>
      </w:r>
    </w:p>
    <w:p>
      <w:pPr>
        <w:pStyle w:val="Heading6"/>
        <w:numPr>
          <w:ilvl w:val="5"/>
          <w:numId w:val="1"/>
        </w:numPr>
        <w:rPr/>
      </w:pPr>
      <w:bookmarkStart w:id="412" w:name="__RefHeading___Toc3425631_3224264995"/>
      <w:bookmarkStart w:id="413" w:name="_Toc156"/>
      <w:bookmarkEnd w:id="412"/>
      <w:r>
        <w:rPr>
          <w:rtl w:val="true"/>
        </w:rPr>
        <w:t>الإشکالات الثمانیة علی جریان البراءة العقلیة عن الأکثر و دفعها</w:t>
      </w:r>
      <w:bookmarkEnd w:id="413"/>
    </w:p>
    <w:p>
      <w:pPr>
        <w:pStyle w:val="Heading6"/>
        <w:numPr>
          <w:ilvl w:val="5"/>
          <w:numId w:val="1"/>
        </w:numPr>
        <w:rPr/>
      </w:pPr>
      <w:bookmarkStart w:id="414" w:name="__RefHeading___Toc3425633_3224264995"/>
      <w:bookmarkStart w:id="415" w:name="_Toc157"/>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هذا التقریب الذی أبدعناه یندفع به أکثر الإشکالات، و مع ذلک لا بأس بالتعرّض لبعض المعضلات التی أوردها الأعاظم من الأصحاب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إشکالات</w:t>
      </w:r>
      <w:r>
        <w:rPr>
          <w:rFonts w:eastAsia="IRNazanin" w:cs="IRNazanin"/>
          <w:color w:val="111111"/>
          <w:sz w:val="28"/>
          <w:szCs w:val="28"/>
          <w:rtl w:val="true"/>
          <w:lang w:bidi="fa-IR"/>
        </w:rPr>
        <w:t>:</w:t>
      </w:r>
      <w:bookmarkStart w:id="416" w:name="pg12912_111880"/>
    </w:p>
    <w:p>
      <w:pPr>
        <w:pStyle w:val="Heading6"/>
        <w:numPr>
          <w:ilvl w:val="5"/>
          <w:numId w:val="1"/>
        </w:numPr>
        <w:rPr/>
      </w:pPr>
      <w:bookmarkStart w:id="417" w:name="__RefHeading___Toc3425635_3224264995"/>
      <w:bookmarkStart w:id="418" w:name="_Toc158"/>
      <w:bookmarkEnd w:id="416"/>
      <w:bookmarkEnd w:id="417"/>
      <w:r>
        <w:rPr>
          <w:rtl w:val="true"/>
        </w:rPr>
        <w:t>الإشکال الأوّل</w:t>
      </w:r>
      <w:r>
        <w:rPr>
          <w:rtl w:val="true"/>
        </w:rPr>
        <w:t>:</w:t>
      </w:r>
      <w:bookmarkEnd w:id="418"/>
    </w:p>
    <w:p>
      <w:pPr>
        <w:pStyle w:val="BookText"/>
        <w:rPr/>
      </w:pPr>
      <w:r>
        <w:rPr>
          <w:rFonts w:ascii="IRNazanin" w:hAnsi="IRNazanin" w:eastAsia="IRNazanin"/>
          <w:color w:val="111111"/>
          <w:sz w:val="28"/>
          <w:sz w:val="28"/>
          <w:szCs w:val="28"/>
          <w:rtl w:val="true"/>
          <w:lang w:bidi="fa-IR"/>
        </w:rPr>
        <w:t>و قد حکی</w:t>
      </w:r>
      <w:r>
        <w:rPr>
          <w:rStyle w:val="FootnoteAnchor"/>
          <w:rtl w:val="true"/>
        </w:rPr>
        <w:footnoteReference w:id="410"/>
      </w:r>
      <w:r>
        <w:rPr>
          <w:rFonts w:ascii="IRNazanin" w:hAnsi="IRNazanin" w:eastAsia="IRNazanin"/>
          <w:color w:val="111111"/>
          <w:sz w:val="28"/>
          <w:sz w:val="28"/>
          <w:szCs w:val="28"/>
          <w:rtl w:val="true"/>
          <w:lang w:bidi="fa-IR"/>
        </w:rPr>
        <w:t xml:space="preserve">عن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بوجوب الأقلّ و الأکثر حجّة علی التکلیف و منجّز له، و لا بدّ من الاحتیاط بالإتیان بالجزء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ینحلّ هذا العلم الإجمالی بالعلم بوجوب الأقلّ و الشکّ فی الأکثر؛ لتردّد وجوبه بین المتباینین، فإنّه لا إشکال فی مباینة الماهیة بشرط شی‌ء للماهیة لا بشرط؛ لکونهما 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متعلّق التکلیف هو الأقلّ فالتکلیف به إنّما یکون لا بشرط عن الزیادة، و لو کان الأکثر فالتکلیف بالأقلّ یکون بشرط انضمامه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الأقلّ یکون مردّداً بین المتباینین باعتبار اختلاف سنخی الوجوب الملحوظ لا بشرط شی‌ء أو بشرطه، کما أنّ امتثاله یکون مختلفاً أیضاً حسب اختلاف الوجوب؛ فإنّ امتثال الأقلّ إنّما یکون بانضمام الزائد إلیه إذا کان التکلیف ملحوظاً بشرط شی‌ء، بخلاف ما إذا کان ملحوظاً لا بشرط، فیرجع الشکّ فی الأقلّ و الأکثر الارتباطیین إلی الشکّ بین المتباینین تکلیفاً و امتثالًا</w:t>
      </w:r>
      <w:r>
        <w:rPr>
          <w:rStyle w:val="FootnoteAnchor"/>
          <w:rtl w:val="true"/>
        </w:rPr>
        <w:footnoteReference w:id="411"/>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الموصوف باللابشرطیة و قسیمها إنّما هو متعلّق التکلیف لا نفس التکلیف، و التکلیف علی سنخ واحد، و الاختلاف إنّما هو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لعلّه سوء تعبیر، و المراد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أیضاً لیس أمره دائراً بین الماهیة لا بشرط شی‌ء و بشرطه؛ إذ لیس التکلیف متعلّقاً بالأقلّ، و المتعلّق مردّداً بین کونه لا بشرط عن الزیادة أو بشرط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لازم ذلک تسلیم أنّ مصبّ الأمر مطلقاً هو الأقلّ و الشکّ فی اشتراطه بالزیادة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صحیح؛ لأنّ الأجزاء کلّها فی رتبة واحدة، و لیس بعضها جزءًا و بعضها شرطاً لبعض، بل الأمر دائر بین تعلّق التکلیف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المرکّب المنحلّ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المرکّب المنحلّ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الأجزاء متعلّقة للتکلیف بما أنّها أجزاء، کما تقدّم فی کیفیة تعلّق الأوامر بالمرکّبات الاعتباریة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الأقلّ اللابشرط أو التکلیف اللابشرط علی تعبیره رحمه الله یباین الأقلّ بشرط شی‌ء؛ تباین القسم مع القسم؛ لأنّ معنی کون الأقلّ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الملحوظ نفس الأقلّ، من غیر لحاظ انضمام شی‌ء معه، لا کون عدم لحاظ شی‌ء معه ملحوظاً حتّی یصیر متبایناً مع الملحوظ بشرط شی‌ء، فیکون الأقلّ متیقّناً و الزیادة مشکوکاً فیها، فینحلّ العلم إلی علم تفصیلی و شکّ بدوی فی وجوب الزیادة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أنّا نمنع کون الأجزاء متعلّقة للحکم، بل المتعلّق إنّما هو العنوان؛ و هو المرکّب الواحد الذی تعلّق به بعث واحد، و هو یصیر حجّة علی الأجزاء المعلوم انحلالها إلیها، و لا یصیر حجّة علی الزیادة المشکوک فیها، کما تقدّم</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أفاده هو الاحتیاط علی طریق الاحتیاط فی المتباینین؛ أی الإتیان بالأقلّ منفصلًا عن الزیادة تارة، و معها اخری؛ لأنّ المتباینین غیر ممکن الاجتماع، مع أنّ القائل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رحمه الله أجاب عن الإشکال بأنّ الماهیة لا بشرط و الماهیة بشرط شی‌ء لیستا من المتباینین اللذین لا جامع بینهما؛ فإنّ التقابل بینهما لیس تقابل التضادّ، بل تقابل العدم و الملکة؛ فإنّ الماهیة لا بشرط لیس معناها لحاظ عدم انضمام شی‌ء معها؛ بحیث یؤخذ العدم قیداً للماهیة، و إلّا رجعت إلی الماهیة بشرط لا، و یلزم تداخل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الماهیة لا بشرط معناها عدم لحاظ شی‌ء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لیس أمراً وجودیاً، بل هو عبارة عن عدم ذکر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لا بشرط لیست مباینة بالهویة و الحقیقة مع الماهیة بشرط شی‌ء؛ بحیث لا یوجد بینهما جامع، بل یجمعهما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التقابل بینهما بمجرّد الاعتبار و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یکون الأقلّ متیقّن الاعتبار علی کلّ حال؛ سواء لوحظ الواجب لا بشرط أو بشرط شی‌ء؛ فإنّ التغایر الاعتباری لا یوجب خروج الأقلّ من کونه متیقّن الاعتبار</w:t>
      </w:r>
      <w:r>
        <w:rPr>
          <w:rStyle w:val="FootnoteAnchor"/>
          <w:rtl w:val="true"/>
        </w:rPr>
        <w:footnoteReference w:id="414"/>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إشکالات نشیر إلیها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جعل الماهیة مقسماً و جامعاً، و فرض اللابشرط المطلق و البشرط شی‌ء من أقسامها، و فسّر الإطلاق فی القسم بما لم یعتبر فیه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قوله فی تفسیر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یعتبر مع الماهیة قید، عدم الاعتبار بالسلب البسیط؛ بحیث یکون اللابشرط القسمی هو ذات الماهیة مع عدم وجود قید معها فی نفس الأمر، لا بلحاظ اللحاظ فهو غیر تامّ؛ لأنّ هذا هو عین المقسم، فیرجع القسم حینئذٍ إلی المقسم، و یتداخل الأقسام، مع أنّه جعل اللابشرط من أقسام نفس الماهیة، و حکم بجامعیة ذات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لم یلحظ معها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المقسمیة التی هی نفس الماهیة، و لا یعقل الجامع بین الماهیة الکذائیة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ذات الماهیة عبارة اخری عن الماهیة التی لم یلحظ معها شی‌ء بنحو السلب البسیط، لا الإیجاب العدولی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عدم اعتبار القید عدم اعتباره بالسلب الترکیبی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الماهیة التی لوحظت کونها لا مع قید علی نحو العدول، أو لم یعتبر معها شی‌ء فی اللحاظ علی نحو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مثل ما تقدّم؛ لأنّه یصیر اللابشرط قسیماً مع بشرط شی‌ء و مبایناً، و هو بصدد الفرار عن کونهما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الجامع بین المتضادّین غیر صحیح، بل قد عرّف الضدّان بأنّهما أمران وجودیان داخلان تحت جنس قریب، بینهما غایة الخلاف</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فتسلیم الجامع بین العدم و الملکة دون المتضادّین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التقابل بینهما تقابل العدم و الملکة فلا یستلزم ذلک عدم وجوب الاحتیاط إذا کان بین المتعلّقین تباین؛ و لو بنحو العدم و الملکة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إجمالًا بوجوب إکرام شخص مردّد بین الملتحی</w:t>
      </w:r>
      <w:bookmarkStart w:id="419" w:name="pg12912_111884"/>
    </w:p>
    <w:p>
      <w:pPr>
        <w:pStyle w:val="BookText"/>
        <w:rPr/>
      </w:pPr>
      <w:bookmarkEnd w:id="419"/>
      <w:r>
        <w:rPr>
          <w:rFonts w:ascii="IRNazanin" w:hAnsi="IRNazanin" w:eastAsia="IRNazanin"/>
          <w:color w:val="111111"/>
          <w:sz w:val="28"/>
          <w:sz w:val="28"/>
          <w:szCs w:val="28"/>
          <w:rtl w:val="true"/>
          <w:lang w:bidi="fa-IR"/>
        </w:rPr>
        <w:t>و الکوسج یجب الاحتیاط، مع أنّ بینهما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بوجوب إکرام واحد من الإنسان مردّد بین مطلق الإنسان أو الإنسان الرومی یکفی إکرام مطلق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المتعلّق مردّداً بین المتباینین، و عدم التقابل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مجرّد کون التقابل بینهما تقابل العدم و الملکة میزاناً للرجوع إلی البراءة، و کون التقابل غیره میزاناً للرجوع إلی الاحتیاط کما عرفت، بل المیزان فی الاحتیاط کون المتعلّق مردّداً بین المتباینین، و فی البراءة کونه مردّداً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تقسیم الماهیة إلی الأقسام الثلاثة، و أنّ المقسم هل هو نفس الماهیة أو لحاظ الماهیة؟ و توضیح الفرق بین المطلقین المقسمی و القسمی موکول إلی محلّه و أهله، و ذکرنا نبذاً من ذلک عند البحث عن المطلق و المقیّد، فراجع</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3425637_3224264995"/>
      <w:bookmarkStart w:id="421" w:name="_Toc159"/>
      <w:bookmarkEnd w:id="420"/>
      <w:r>
        <w:rPr>
          <w:rtl w:val="true"/>
        </w:rPr>
        <w:t>الإشکال الثانی</w:t>
      </w:r>
      <w:r>
        <w:rPr>
          <w:rtl w:val="true"/>
        </w:rPr>
        <w:t>:</w:t>
      </w:r>
      <w:bookmarkEnd w:id="421"/>
    </w:p>
    <w:p>
      <w:pPr>
        <w:pStyle w:val="BookText"/>
        <w:rPr/>
      </w:pPr>
      <w:r>
        <w:rPr>
          <w:rFonts w:ascii="IRNazanin" w:hAnsi="IRNazanin" w:eastAsia="IRNazanin"/>
          <w:color w:val="111111"/>
          <w:sz w:val="28"/>
          <w:sz w:val="28"/>
          <w:szCs w:val="28"/>
          <w:rtl w:val="true"/>
          <w:lang w:bidi="fa-IR"/>
        </w:rPr>
        <w:t>إنّ متعلّق التکلیف فی باب الأقلّ و الأکثر مردّد بین المتباینین؛ فإنّ المرکّب الملتئم من الأقلّ له صورة وحدانیة غیر صورة المرکّب من الأکثر، فهما صورتان متباینتان، و یکون التکلیف مردّداً بین تعلّقه بهذا أو ذاک، فیجب الاحتیاط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صحّ الإشکال لزم وجوب الاحتیاط بتکرار الصلاة، لا ضمّ المشکوک إلی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مضی کفایة لردّ هذا الإشکال؛ لأنّ نسبة صورة المرکّب الاعتباری إلی الأجزاء لیست نسبة المحصّل إلی المحصّل، و لا</w:t>
      </w:r>
      <w:bookmarkStart w:id="422" w:name="pg12912_111885"/>
    </w:p>
    <w:p>
      <w:pPr>
        <w:pStyle w:val="BookText"/>
        <w:rPr/>
      </w:pPr>
      <w:bookmarkEnd w:id="422"/>
      <w:r>
        <w:rPr>
          <w:rFonts w:ascii="IRNazanin" w:hAnsi="IRNazanin" w:eastAsia="IRNazanin"/>
          <w:color w:val="111111"/>
          <w:sz w:val="28"/>
          <w:sz w:val="28"/>
          <w:szCs w:val="28"/>
          <w:rtl w:val="true"/>
          <w:lang w:bidi="fa-IR"/>
        </w:rPr>
        <w:t>لها حقیقة وراء حقیقة الأجزاء حتّی یکون المتحصّل من بعض الأجزاء غیر المتحصّل من عدّة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العقل تارة یری الأجزاء فی لحاظ الوحدة و اخری فی لحاظ الکثرة، و هذا لا یوجب اختلافاً جوهریاً بین الملحوظین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یرجع الاختلاف بین الصورتین إلی الأقلّ و الأکثر، کما یرجع الاختلاف بین الأجزاء إلیهما أیضاً</w:t>
      </w:r>
      <w:r>
        <w:rPr>
          <w:rFonts w:eastAsia="IRNazanin" w:cs="IRNazanin"/>
          <w:color w:val="111111"/>
          <w:sz w:val="28"/>
          <w:szCs w:val="28"/>
          <w:rtl w:val="true"/>
          <w:lang w:bidi="fa-IR"/>
        </w:rPr>
        <w:t>.</w:t>
      </w:r>
    </w:p>
    <w:p>
      <w:pPr>
        <w:pStyle w:val="Heading6"/>
        <w:numPr>
          <w:ilvl w:val="5"/>
          <w:numId w:val="1"/>
        </w:numPr>
        <w:rPr/>
      </w:pPr>
      <w:bookmarkStart w:id="423" w:name="__RefHeading___Toc3425639_3224264995"/>
      <w:bookmarkStart w:id="424" w:name="_Toc160"/>
      <w:bookmarkEnd w:id="423"/>
      <w:r>
        <w:rPr>
          <w:rtl w:val="true"/>
        </w:rPr>
        <w:t>الإشکال الثالث</w:t>
      </w:r>
      <w:r>
        <w:rPr>
          <w:rtl w:val="true"/>
        </w:rPr>
        <w:t>:</w:t>
      </w:r>
      <w:bookmarkEnd w:id="424"/>
    </w:p>
    <w:p>
      <w:pPr>
        <w:pStyle w:val="BookText"/>
        <w:rPr/>
      </w:pPr>
      <w:r>
        <w:rPr>
          <w:rFonts w:ascii="IRNazanin" w:hAnsi="IRNazanin" w:eastAsia="IRNazanin"/>
          <w:color w:val="111111"/>
          <w:sz w:val="28"/>
          <w:sz w:val="28"/>
          <w:szCs w:val="28"/>
          <w:rtl w:val="true"/>
          <w:lang w:bidi="fa-IR"/>
        </w:rPr>
        <w:t>إنّ وجوب الأقلّ دائر بین کونه نفسیاً أصلیاً توجب مخالفته العقاب، و کونه نفسیاً ضمنیاً لا یعاقب علی ترکه؛ فإنّ العقاب إنّما هو علی ترک الواجب الأصلی لا الضمنی، فلا یحکم بلزوم إتیان الأقلّ علی أیّ تقدیر، بل یکون أمره من هذه الجهة کالمردّد بین الواجب و المستحبّ، فإذا لم یحکم العقل بوجوب إتیانه کذلک فلا ینحلّ به العلم الإجمالی، فلا بدّ من الخروج عن عهدته بضمّ الزیادة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المرکّب فی الخارج إنّما هو بوجود عامّة أجزائه بلا نقص واحد منها، و أمّا عدمه فکما یحصل بترک الأجزاء عامّة، کذلک یحصل بترک أیّ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للمرکّب 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نقیض الواحد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عدم واحد، و لکنّه تارة یستند إلی ترک الکلّ، و اخری إلی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المکلّف المرکّب من رأس أو الأجزاء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 المرکّب، فیکون معاقباً علی ترک المأمور به بلا عذر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أتی بالأجزاء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الجزء المشکوک فیه بعد ما فحص و اجتهد و لم یعثر علی بیان من المولی بالنسبة إلیه، و فرضنا وجوب الأکثر</w:t>
      </w:r>
    </w:p>
    <w:p>
      <w:pPr>
        <w:pStyle w:val="BookText"/>
        <w:rPr/>
      </w:pPr>
      <w:r>
        <w:rPr>
          <w:rFonts w:ascii="IRNazanin" w:hAnsi="IRNazanin" w:eastAsia="IRNazanin"/>
          <w:color w:val="111111"/>
          <w:sz w:val="28"/>
          <w:sz w:val="28"/>
          <w:szCs w:val="28"/>
          <w:rtl w:val="true"/>
          <w:lang w:bidi="fa-IR"/>
        </w:rPr>
        <w:t>فی نفس الأمر فقد ترک فی هذه الحالة أیضاً المأمور به، و لکن لا عن عصیان، بل عن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الأوّلین و الثالث واضح جدّاً؛ فإنّ المکلّف و إن ترک المأمور به فی الجمیع إلّا أنّه ترک فی الأوّلین ترک الأجزاء من رأس، و ترک الأجزاء المعلومة عصیاناً للمولی؛ لأنّ ترکه للأجزاء عین ترکه للمأمور به، فیعاقب علی ترکه بلا عذر و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الثالث؛ فإنّ المأمور به و إن کان متروکاً إلّا أنّ الترک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کافٍ فی لزوم الإتیان بالأقلّ عند العقل علی کلّ حال، بخلاف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حین ترک الأقلّ واقف علی ترک الواجب تفصیلًا؛ إمّا لأنّ الواجب هو الأقلّ الذی ترکه، أو الأکثر الذی یحصل ترکه بترک الأقلّ، فیجب الإتیان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القائل من أنّ ترک الأقلّ لیس بحرام علی کلّ حال غیر تامّ؛ لأنّ ترک الأقلّ لمّا کان ترکاً بلا عذر یجب الإتیان به؛ للعلم بأنّ فی ترکه عقاباً علی أیّ جهة کان، و هذا کافٍ فی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یلزم علی العبد هو تحصیل المؤمّن القطعی من العقاب الذی هو مستند البراءة العقلیة، و لا یتحقّق المؤمّن القطعی إلّا فی مورد یکون العقاب قبیحاً علی المولی الحکیم؛ لامتناع صدور القبیح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أو احتمل العقاب یجب علیه الإطاعة و الاحتیاط؛ و إن کان الاحتمال ضعیفاً؛ لأنّ تمام الموضوع للاحتیاط هو احتمال العقاب لا غیر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التکلیف بین کونه ممّا یعاقب علیه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الأقلّ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الاحتیاط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یرجع إلی المولی إنّما هو بیان الأحکام لا بیان العقوبة علی الأحکام، فلو حکم المولی بحرمة الخمر، و احتمل العبد أنّ المولی لا یعاقب علیه فلا یمکن الاکتفاء به فی مقام تحصیل المؤمّن عن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حرّم شیئاً و علم العبد أنّ فی ارتکابه عقاباً، و لکن لم یبیّن المولی کیفیة العقوبة فارتکبه العبد، و قد کان المنهی عنه فی نفس الأمر ممّا أعدّ المولی لمخالفته عقاباً شدیداً فلا یعدّ ذلک العقاب من المولی عقاباً بلا بیان؛ لأنّ ما هو وظیفته إنّما هو بیان الأحکام، لا بیان ما یترتّب علیه من المثوبة 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Style w:val="FootnoteAnchor"/>
          <w:rtl w:val="true"/>
        </w:rPr>
        <w:footnoteReference w:id="417"/>
      </w:r>
      <w:r>
        <w:rPr>
          <w:rFonts w:ascii="IRNazanin" w:hAnsi="IRNazanin" w:eastAsia="IRNazanin"/>
          <w:color w:val="111111"/>
          <w:sz w:val="28"/>
          <w:sz w:val="28"/>
          <w:szCs w:val="28"/>
          <w:rtl w:val="true"/>
          <w:lang w:bidi="fa-IR"/>
        </w:rPr>
        <w:t>أنّ التکلیف بالأجزاء عین التکلیف بالمرکّب، و أنّ الأقلّ دائر أمره بین کونه واجباً نفسیاً أصلیاً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تمام المرکّب مستوجباً للعقوبة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نفسیاً ضمنیاً، و یکون المرکّب هو الأکثر، و العقوبة علی ترکه لا علی ترک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فالأقلّ یحتمل العقوبة و عدمها، و فی مثله یحکم العقل بالاحتیاط؛ لأنّه لو صادف کونه تمام المرکّب لا یکون العقاب علیه بلا بیان؛ فإنّ ما لزم علی المولی هو بیان التکلیف الإلزامی، و المفروض أنّه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 بیان کون الواجب ممّا فی ترکه العقوبة، کما أنّه لیس له بیان أنّ الأقلّ تمام الموضوع للأمر، کما لا یخفی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القارئ إنّ انحلال العلم فی المقام أوضح من أن یخفی؛ لأنّ کون الأقلّ واجباً تفصیلیاً ممّا لا سترة فیه، فکیف یقع طرفاً للعلم الإجمالی؟ و ما أفاده بعض أعاظم العصر من أنّ تفصیله عین إجماله</w:t>
      </w:r>
      <w:r>
        <w:rPr>
          <w:rStyle w:val="FootnoteAnchor"/>
          <w:rtl w:val="true"/>
        </w:rPr>
        <w:footnoteReference w:id="418"/>
      </w:r>
      <w:r>
        <w:rPr>
          <w:rFonts w:ascii="IRNazanin" w:hAnsi="IRNazanin" w:eastAsia="IRNazanin"/>
          <w:color w:val="111111"/>
          <w:sz w:val="28"/>
          <w:sz w:val="28"/>
          <w:szCs w:val="28"/>
          <w:rtl w:val="true"/>
          <w:lang w:bidi="fa-IR"/>
        </w:rPr>
        <w:t>أشبه شی‌ء بالشعر من البرهان</w:t>
      </w:r>
      <w:r>
        <w:rPr>
          <w:rFonts w:eastAsia="IRNazanin" w:cs="IRNazanin"/>
          <w:color w:val="111111"/>
          <w:sz w:val="28"/>
          <w:szCs w:val="28"/>
          <w:rtl w:val="true"/>
          <w:lang w:bidi="fa-IR"/>
        </w:rPr>
        <w:t>.</w:t>
      </w:r>
      <w:bookmarkStart w:id="425" w:name="pg12912_111888"/>
    </w:p>
    <w:p>
      <w:pPr>
        <w:pStyle w:val="Heading6"/>
        <w:numPr>
          <w:ilvl w:val="5"/>
          <w:numId w:val="1"/>
        </w:numPr>
        <w:rPr/>
      </w:pPr>
      <w:bookmarkStart w:id="426" w:name="__RefHeading___Toc3425641_3224264995"/>
      <w:bookmarkStart w:id="427" w:name="_Toc161"/>
      <w:bookmarkEnd w:id="425"/>
      <w:bookmarkEnd w:id="426"/>
      <w:r>
        <w:rPr>
          <w:rtl w:val="true"/>
        </w:rPr>
        <w:t>الإشکال الرابع</w:t>
      </w:r>
      <w:r>
        <w:rPr>
          <w:rtl w:val="true"/>
        </w:rPr>
        <w:t>:</w:t>
      </w:r>
      <w:bookmarkEnd w:id="427"/>
    </w:p>
    <w:p>
      <w:pPr>
        <w:pStyle w:val="BookText"/>
        <w:rPr/>
      </w:pPr>
      <w:r>
        <w:rPr>
          <w:rFonts w:ascii="IRNazanin" w:hAnsi="IRNazanin" w:eastAsia="IRNazanin"/>
          <w:color w:val="111111"/>
          <w:sz w:val="28"/>
          <w:sz w:val="28"/>
          <w:szCs w:val="28"/>
          <w:rtl w:val="true"/>
          <w:lang w:bidi="fa-IR"/>
        </w:rPr>
        <w:t>ما ذکره بعض أعاظم العصر رحمه الله و أوضحه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یستقلّ بعدم کفایة الامتثال الاحتمالی للتکلیف القطعی؛ ضرورة أنّ العلم بالاشتغال یستدعی العلم بالفراغ؛ لتنجّز التکلیف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البیان الذی یستقلّ العقل بتوقّف صحّة العقاب علیه؛ فلو صادف التکلیف فی الطرف الآخر الغیر المأتی به لا یکون العقاب علی ترکه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لا یجوز الاقتصار علی الأقلّ عقلًا؛ لأنّه یشکّ معه فی الامتثال و الخروج عن عهدة التکلیف المعلوم فی البین، و لا یحصل العلم بالامتثال إلّا بعد ضمّ الخصوصیة الزائدة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التفصیلی بوجوب الأقلّ المردّد بین کونه لا بشرط أو بشرط شی‌ء هو عین العلم الإجمالی بالتکلیف المردّد بین الأقلّ و الأکثر، و مثل هذا العلم التفصیلی لا یعقل أن یوجب الانحلال؛ لأنّه یلزم أن یکون العلم الإجمالی موجباً لانحلال نفسه</w:t>
      </w:r>
      <w:r>
        <w:rPr>
          <w:rStyle w:val="FootnoteAnchor"/>
          <w:rtl w:val="true"/>
        </w:rPr>
        <w:footnoteReference w:id="419"/>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قائم بالتردّد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بأنّ هذا واجب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کذلک؛ للعلم بوجوب الأقلّ علی کلّ حال و الشکّ فی وجوب الزائد؛ إذ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ذات الأقلّ علی نحو الإطلاق المقسمی، و وجوبه لا ینافی مع وجوب شی‌ء آخر أو عدم وجوبه؛ إذ الأکثر لیس إلّا الأقلّ و الزیادة، و لا یفترق حال الأقلّ بالنسبة إلی تعلّق أصل التکلیف به؛</w:t>
      </w:r>
    </w:p>
    <w:p>
      <w:pPr>
        <w:pStyle w:val="BookText"/>
        <w:rPr/>
      </w:pPr>
      <w:r>
        <w:rPr>
          <w:rFonts w:ascii="IRNazanin" w:hAnsi="IRNazanin" w:eastAsia="IRNazanin"/>
          <w:color w:val="111111"/>
          <w:sz w:val="28"/>
          <w:sz w:val="28"/>
          <w:szCs w:val="28"/>
          <w:rtl w:val="true"/>
          <w:lang w:bidi="fa-IR"/>
        </w:rPr>
        <w:t>ضمّت إلیه الزیادة أو لا تضمّ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فالقطع التفصیلی حاصل من غیر دخول الإجمال بالنسبة إلی وجوب الأجزاء التی یعلم انحلال المرکّب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الشکّ فی أنّ الجزء الزائد هل یکون دخیلًا فیه حتّی یکون متعلّق التکلیف بعین تعلّقه بالمرکّب، أولا؟ و هذا عین ما أوضحناه مراراً بأنّ هنا علماً تفصیلیاً و شکّاً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الاشتغال الیقینی یستدعی البراءة الیقینیة بمقدار ما قام الدلیل علی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أنّ الحجّة قائمة علی وجوب الأقلّ، و أمّا الزیادة فلیست إلّا مشکوکاً فیها من رأس، و مع ذلک فکیف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الأقلّ المردّد بین اللابشرط و بشرط شی‌ء هو عین العلم الإجمالی، فیلزم أن یکون العلم الإجمالی موجباً لانحلال نفسه، غیر تامّ؛ لأنّ الأقلّ متعلّق للعلم التفصیلی لیس إلّا، و الشکّ إنّما هو فی الزیادة، لا فی مقدار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علم إجمالی من رأس حتّی یحتاج إلی الانحلال، بل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حاله نظیر قیام الأمارة علی بعض الأطراف الموجب للانحلال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التقریبین اللذین فی کلامه رحمه الله،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تعلّق التکلیف بالخصوصیة الزائدة المشکوکة من الجزء أو الشرط و إن کان لا یقتضی التنجیز و استحقاق العقاب علی مخالفته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للجهل بتعلّق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جهة اخری تقتضی التنجیز و استحقاق العقاب علی ترک الخصوصیة علی تقدیر تعلّقه بها؛ و هی احتمال الارتباطیة و قیدیة الزائد للأقلّ؛ فإنّ هذا الاحتمال بضمیمة العلم الإجمالی یقتضی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رافع لهذا الاحتمال، و لیس من وظیفة العقل وضع القیدیة أو رفعها، بل ذلک من وظیفة الشارع، و لا حکم للعقل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حکمه بلزوم الخروج عن عهدة التکلیف المعلوم و القطع بامتثاله علی حاله، فلا بدّ من ضمّ الخصوصیة الزائدة</w:t>
      </w:r>
      <w:r>
        <w:rPr>
          <w:rStyle w:val="FootnoteAnchor"/>
          <w:rtl w:val="true"/>
        </w:rPr>
        <w:footnoteReference w:id="420"/>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 فرق بین الجزء الزائد و احتمال الارتباطیة و القیدیة فی أنّه تجری البراءة العقلیة فی الأوّل دون الأخیرین، مع أنّ الکلّ من القیود الزائدة المشکوک فیها، التی لا یکون العقاب علیها إلّا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اعترف قدس سره فی صدر کلامه بأنّ کلّ خصوصیة مشکوک فیها یکون العقاب علیها عقاباً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وظیفة العقل رفع القیدیة أو وضعها فهو صحیح لکن لیس معنی البراءة العقلیة رفع التکلیف، بل مفاد البراءة العقلیة هو حکم العقل علی أنّ العقاب علی المشکوک فیه عقاب بلا بیان، من غیر فرق بین أن یکون المشکوک فیه ذات الجزء أو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الأقلّ متعلّقاً للعلم التفصیلی، من غیر کون الخصوصیة متعلّقة للعلم، بل مشکوک فیها من رأس فتجری البراءة فی أیّة خصوصیة 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القارئ إنّ بین صدر کلامه و ذیله تناقضاً ظاهراً، و لعلّ التدبّر الصحیح یرفع تلک المناقضة، فتأمّل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تقریر ثالث للاشتغال؛ و هو أنّ الأقلّ معلوم الوجوب بالضرورة، و مع إتیانه یشکّ فی البراءة عن هذا التکلیف المعلوم؛ لأنّ الأکثر لو کان واجباً لا یسقط</w:t>
      </w:r>
    </w:p>
    <w:p>
      <w:pPr>
        <w:pStyle w:val="BookText"/>
        <w:rPr/>
      </w:pPr>
      <w:r>
        <w:rPr>
          <w:rFonts w:ascii="IRNazanin" w:hAnsi="IRNazanin" w:eastAsia="IRNazanin"/>
          <w:color w:val="111111"/>
          <w:sz w:val="28"/>
          <w:sz w:val="28"/>
          <w:szCs w:val="28"/>
          <w:rtl w:val="true"/>
          <w:lang w:bidi="fa-IR"/>
        </w:rPr>
        <w:t>التکلیف المتوجّه إلی الأقلّ بإتیانه بلا ضمّ القید الزائد، فلا بدّ للعلم بحصول الفراغ من ضمّه إلیه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الاشتغال قد تعلّق بالأقلّ لا بالأکثر، لکن الخروج عن الاشتغال المعلوم تعلقه بالأقلّ لا یحصل یقیناً إلّا بضمّ المشکوک، و الذی یحمل المکلّف علی الإتیان بالزائد إنّما هو الاشتغال بالأقلّ الذی لا یحصل الیقین بالبراءة عنه إلّا بالإتیان بالمشکوک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لیس وجوباً مغایراً لوجوب المرکّب، بل هو واجب بعین وجوبه، و قد عرفت</w:t>
      </w:r>
      <w:r>
        <w:rPr>
          <w:rStyle w:val="FootnoteAnchor"/>
          <w:rtl w:val="true"/>
        </w:rPr>
        <w:footnoteReference w:id="422"/>
      </w:r>
      <w:r>
        <w:rPr>
          <w:rFonts w:ascii="IRNazanin" w:hAnsi="IRNazanin" w:eastAsia="IRNazanin"/>
          <w:color w:val="111111"/>
          <w:sz w:val="28"/>
          <w:sz w:val="28"/>
          <w:szCs w:val="28"/>
          <w:rtl w:val="true"/>
          <w:lang w:bidi="fa-IR"/>
        </w:rPr>
        <w:t>أنّ الوجوب المتعلّق بالأجزاء فی لحاظ الوحدة داعٍ بنفسه إلی الإتیان بالأجزاء، و لیس الأجزاء واجباً غیریاً، کما أنّ نسبتها إلی المرکّب لیست کنسبة المحصِّل إلی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المکلّف آتیاً به، و ما ترکه لم تقم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 اشتغال الذمّة به أطاعه، و ما لم یعلم لم یتحقّق الامتثال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الواجب هو الأقلّ فقد امتثله، و لو کان هو مع الزیادة فقد حصل عنده المؤمّن من العقاب؛ و هو کون العقاب علیه عقاباً بلا بیان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أن یکون للأمر بالمرکّب داعویة بالنسبة إلی أجزائه مرّتین، بل له داعویة واحدة إلی الکلّ، و هو یدعو بهذه الدعوة إلی کلّ واحد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بالأقلّ فقد أتی بما یکون الأمر داعیاً إلیه، و ما</w:t>
      </w:r>
      <w:bookmarkStart w:id="428" w:name="pg12912_111892"/>
    </w:p>
    <w:p>
      <w:pPr>
        <w:pStyle w:val="BookText"/>
        <w:rPr/>
      </w:pPr>
      <w:bookmarkEnd w:id="428"/>
      <w:r>
        <w:rPr>
          <w:rFonts w:ascii="IRNazanin" w:hAnsi="IRNazanin" w:eastAsia="IRNazanin"/>
          <w:color w:val="111111"/>
          <w:sz w:val="28"/>
          <w:sz w:val="28"/>
          <w:szCs w:val="28"/>
          <w:rtl w:val="true"/>
          <w:lang w:bidi="fa-IR"/>
        </w:rPr>
        <w:t>لم یأت به فهو مشکوک لیس للأمر بالنسبة إلیه 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هو الأکثر یکون المأتی به لغواً و باطلًا، فمع الشکّ فی أنّ الواجب هو الأکثر یدور أمر الأقلّ بین کونه إطاعة أو أمراً باطلًا، فلا بدّ من إحراز کونه إطاعة و منطبقاً علیه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الإطاعة و العصیان من الامور العقلیة، و العقل یحکم بوجوب إطاعة ما أمر به المولی و بیّنه، لا ما أضمره و 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ما وقع تحت دائرة البیان قد امتثله و أطاعه، و معه لما ذا لا ینطبق علیه عنوان الإطاعة؟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 إن کانت موضوعة للأعمّ من الصحیح إلّا أنّ البعث لا یتعلّق بالصحیح منها؛ لأنّ الملاک فی التسمیة غیر الملاک فی تعلّق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یلزم الإتیان بالجزء المشکوک حتّی یحرز انطباق عنوان الصحیح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 الفساد من عوارض الطبیعة الموجودة، و ما هو متعلّق للأمر إنّما هو نفس الطبیعة، فمن المستحیل أن یتعلّق البعث بأمر موجود، کما أوضحناه فی محلّه</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فالطبیعة صادقة علی الأقلّ و الأکثر، فما علم تقیید الطبیعة من الأجزاء یجب الإتیان به، و ما لم یعلم یجری فیه البراءة العقلیة</w:t>
      </w:r>
      <w:r>
        <w:rPr>
          <w:rFonts w:eastAsia="IRNazanin" w:cs="IRNazanin"/>
          <w:color w:val="111111"/>
          <w:sz w:val="28"/>
          <w:szCs w:val="28"/>
          <w:rtl w:val="true"/>
          <w:lang w:bidi="fa-IR"/>
        </w:rPr>
        <w:t>.</w:t>
      </w:r>
    </w:p>
    <w:p>
      <w:pPr>
        <w:pStyle w:val="Heading6"/>
        <w:numPr>
          <w:ilvl w:val="5"/>
          <w:numId w:val="1"/>
        </w:numPr>
        <w:rPr/>
      </w:pPr>
      <w:bookmarkStart w:id="429" w:name="__RefHeading___Toc3425643_3224264995"/>
      <w:bookmarkStart w:id="430" w:name="_Toc162"/>
      <w:bookmarkEnd w:id="429"/>
      <w:r>
        <w:rPr>
          <w:rtl w:val="true"/>
        </w:rPr>
        <w:t>الإشکال الخامس</w:t>
      </w:r>
      <w:r>
        <w:rPr>
          <w:rtl w:val="true"/>
        </w:rPr>
        <w:t>:</w:t>
      </w:r>
      <w:bookmarkEnd w:id="43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ننقله بعین عبارته عن کتابه المطبوع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نسبنا إلیه من الإشکال السابق فقد تبعنا فی النسبة علی بعض أعاظم العصر رحمه الله، و هذا التقریب غیره، بل أمتن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عبارته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بطبیعة فقد ارتفعت به البراءة السابقة و ثبت الاشتغال، إلّا أنّه یدور الأمر بین الاشتغال بالأقلّ و الأکثر، و لیس المشتمل علی الأقلّ مندرجاً فی الحاصلة بالأکثر، کما فی الدین؛ إذ المفروض ارتباطیة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یثمر القول بأنّ التکلیف بالکلّ تکلیف بالأقل؛ لأنّ المتیقّن تعلّق الوجوب التبعی بالجزء، لا أنّه مورد للتکلیف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فاشتغال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أمره بین طبیعتین وجودیتین لا یندرج أحدهما فی الآخر، فلا یجری الأصل فی تعیین أحدهما؛ لأنّ مورده هو الشکّ فی وجوده و عدمه، لا ما إذا دار الأمر بین الاشتغال بوجود أحد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بالأکثر قاضٍ بالتکلیف بالأقلّ، فیصدق ثبوت الاشتغال به علی طریق اللابشرط، فیدور الأمر فی الزائد بین ثبوت التکلیف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التکلیف بالأقلّ ثابتاً علی طریق اللابشرط؛ لیکون ثبوت التکلیف به علی نحو الإطلاق، بل ثبوته هناک علی سبیل الإجمال و الدوران بین کونه أصلیاً أو تبعیاً، فعلی الأوّل لا حاجة إلی الأصل، و علی الثانی لا یعقل إجراؤه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الأقلّ لیس مغایراً للأکثر عنواناً و لا طبیعة، بل الأکثر هو الأقلّ مع الزیادة</w:t>
      </w:r>
      <w:r>
        <w:rPr>
          <w:rStyle w:val="FootnoteAnchor"/>
          <w:rtl w:val="true"/>
        </w:rPr>
        <w:footnoteReference w:id="425"/>
      </w:r>
      <w:r>
        <w:rPr>
          <w:rFonts w:ascii="IRNazanin" w:hAnsi="IRNazanin" w:eastAsia="IRNazanin"/>
          <w:color w:val="111111"/>
          <w:sz w:val="28"/>
          <w:sz w:val="28"/>
          <w:szCs w:val="28"/>
          <w:rtl w:val="true"/>
          <w:lang w:bidi="fa-IR"/>
        </w:rPr>
        <w:t>، فما أفاده من أنّ الأمر دائر بین طبیعتین وجودیتین لا یندرج أحدهما فی الآخر غیر تامّ جدّاً</w:t>
      </w:r>
      <w:r>
        <w:rPr>
          <w:rFonts w:eastAsia="IRNazanin" w:cs="IRNazanin"/>
          <w:color w:val="111111"/>
          <w:sz w:val="28"/>
          <w:szCs w:val="28"/>
          <w:rtl w:val="true"/>
          <w:lang w:bidi="fa-IR"/>
        </w:rPr>
        <w:t>.</w:t>
      </w:r>
      <w:bookmarkStart w:id="431" w:name="pg12912_111894"/>
    </w:p>
    <w:p>
      <w:pPr>
        <w:pStyle w:val="BookText"/>
        <w:rPr/>
      </w:pPr>
      <w:bookmarkEnd w:id="431"/>
      <w:r>
        <w:rPr>
          <w:rFonts w:ascii="IRNazanin" w:hAnsi="IRNazanin" w:eastAsia="IRNazanin"/>
          <w:color w:val="111111"/>
          <w:sz w:val="28"/>
          <w:sz w:val="28"/>
          <w:szCs w:val="28"/>
          <w:rtl w:val="true"/>
          <w:lang w:bidi="fa-IR"/>
        </w:rPr>
        <w:t>کما أنّ ما یظهر منه من أنّ الأقلّ واجب بوجوب التبعی لا بالوجوب المتعلّق بالمرکّب علی فرض تعلّقه بالأکثر غیر صحیح، بل الأقلّ واجب بوجوبه علی أیّ تقدیر؛ أمّا علی تقدیر کون الأقلّ تمام المأمور به فواضح، و أمّا علی تقدیر تعلّقه بالأکثر فالأمر الداعی إلی المرکّب داعٍ بنفس تلک الدعوة إلی الأجزاء؛ إذ لیست الأجزاء إلّا نفس المرکّب فی لحاظ التفصیل، کما أنّه عینها فی لحاظ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منع تلک المقدّمتین یظهر النظر فی ما أفاده من التقریب، و لا نطول بتوضیحه</w:t>
      </w:r>
      <w:r>
        <w:rPr>
          <w:rFonts w:eastAsia="IRNazanin" w:cs="IRNazanin"/>
          <w:color w:val="111111"/>
          <w:sz w:val="28"/>
          <w:szCs w:val="28"/>
          <w:rtl w:val="true"/>
          <w:lang w:bidi="fa-IR"/>
        </w:rPr>
        <w:t>.</w:t>
      </w:r>
    </w:p>
    <w:p>
      <w:pPr>
        <w:pStyle w:val="Heading6"/>
        <w:numPr>
          <w:ilvl w:val="5"/>
          <w:numId w:val="1"/>
        </w:numPr>
        <w:rPr/>
      </w:pPr>
      <w:bookmarkStart w:id="432" w:name="__RefHeading___Toc3425645_3224264995"/>
      <w:bookmarkStart w:id="433" w:name="_Toc163"/>
      <w:bookmarkEnd w:id="432"/>
      <w:r>
        <w:rPr>
          <w:rtl w:val="true"/>
        </w:rPr>
        <w:t>الإشکال السادس</w:t>
      </w:r>
      <w:r>
        <w:rPr>
          <w:rtl w:val="true"/>
        </w:rPr>
        <w:t>:</w:t>
      </w:r>
      <w:bookmarkEnd w:id="433"/>
    </w:p>
    <w:p>
      <w:pPr>
        <w:pStyle w:val="BookText"/>
        <w:rPr/>
      </w:pPr>
      <w:r>
        <w:rPr>
          <w:rFonts w:ascii="IRNazanin" w:hAnsi="IRNazanin" w:eastAsia="IRNazanin"/>
          <w:color w:val="111111"/>
          <w:sz w:val="28"/>
          <w:sz w:val="28"/>
          <w:szCs w:val="28"/>
          <w:rtl w:val="true"/>
          <w:lang w:bidi="fa-IR"/>
        </w:rPr>
        <w:t>ما أفاده المحقّق الخراسانی رحمه الله بتقریبین، و مرجع الأوّل إلی دعوی تحقّق العلم الإجمالی و امتناع الانحلال؛ للزوم الخلف، و مرجع الثانی إلی امتناعه لأجل کون وجود الانحلال مستلزماً لعدمه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فتوضیحه أنّ تنجّز التکلیف و تعلّقه بالأکثر لا بدّ و أن یکون مفروضاً حتّی یحرز وجوب الأقلّ فعلًا علی کلّ تقدیر؛ إمّا لنفسه و إمّا لغیره؛ لأنّه مع عدم مفروضیة تنجّزه و تعلّقه بالأکثر لا یعقل العلم بفعلیة التکلیف بالنسبة إلی الأقلّ علی کلّ تقدیر؛ فإنّ أحد التقدیرین کونه مقدّمة للأکثر، فلو لزم من فعلیة التکلیف بالأقلّ عدم تنجّز الأکثر یکون خلف الفرض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الانحلال یستلزم عدم تنجّز التکلیف علی أیّ تقدیر و هو مستلزم لعدم لزوم الأقلّ علی أیّ تقدیر، و هو مستلزم لعدم الانحلال، فلزم من</w:t>
      </w:r>
    </w:p>
    <w:p>
      <w:pPr>
        <w:pStyle w:val="BookText"/>
        <w:rPr/>
      </w:pPr>
      <w:r>
        <w:rPr>
          <w:rFonts w:ascii="IRNazanin" w:hAnsi="IRNazanin" w:eastAsia="IRNazanin"/>
          <w:color w:val="111111"/>
          <w:sz w:val="28"/>
          <w:sz w:val="28"/>
          <w:szCs w:val="28"/>
          <w:rtl w:val="true"/>
          <w:lang w:bidi="fa-IR"/>
        </w:rPr>
        <w:t>وجود الانحلال عدمه، و هو محال؛ فالعلم الإجمالی منجّز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تقریب ثالث، نبّهنا علیه عند البحث عن مقدّمة الواجب</w:t>
      </w:r>
      <w:r>
        <w:rPr>
          <w:rStyle w:val="FootnoteAnchor"/>
          <w:rtl w:val="true"/>
        </w:rPr>
        <w:footnoteReference w:id="427"/>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تولّد من العلم الإجمالی علم تفصیلی لا یعقل أن یکون ذلک العلم مبدءً لانحلال العلم السابق؛ لأنّ قوامه بالأوّل، فلا یتصوّر بقاء العلم التفصیلی مع زوال ما هو قوام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إجمالًا أنّ واحداً من الوضوء و الصلاة واجب له، و لکن دار وجوب الوضوء بین کونه نفسیاً أو غیریاً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معلوم الوجوب تفصیلًا؛ لکونه واجباً إمّا نفسیاً أو مقدّمیاً، و أمّا الصلاة فمشکوکة الوجوب من رأس؛ لأنّ العلم علی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نشأ من التحفّظ بالعلم الإجمالی، و لو رفع الید عنه فلا علم بوجوبه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هذه التقریبات واحدة، و کلّها مبنی علی أنّ الأجزاء واجب بالوجوب الغیری الذی یترشّح من الأمر بالکلّ، و أنّ الأجزاء و الکلّ یختلفان عنواناً و 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فساد هذه الأقوال کلّها، و أنّ الوجوب المتعلّق بالأقلّ عین الوجوب المتعلّق بالمرکّب، سواء ضمّ إلیه شی‌ء أو لم یضمّ، و أنّه لو ضمّ إلیه شی‌ء لا یتغیّر حال الأقلّ فی تعلّق الأمر به، غیر أنّه یکون للأمر نحو انبساط لبّاً بالنسبة إلیه، و إن لم یضمّ إلیه شی‌ء یقف علی الأقلّ و لا یتجاوز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تعابیر القوم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انضمّ إلیه شی‌ء ینحلّ إلیه المرکّب و یحتجّ بالأمر بالمرکّب بالنسبة إلی الزائد، و إن لم یضمّ فلا ینحلّ و لا یحتجّ</w:t>
      </w:r>
      <w:r>
        <w:rPr>
          <w:rFonts w:eastAsia="IRNazanin" w:cs="IRNazanin"/>
          <w:color w:val="111111"/>
          <w:sz w:val="28"/>
          <w:szCs w:val="28"/>
          <w:rtl w:val="true"/>
          <w:lang w:bidi="fa-IR"/>
        </w:rPr>
        <w:t>.</w:t>
      </w:r>
      <w:bookmarkStart w:id="434" w:name="pg12912_111896"/>
    </w:p>
    <w:p>
      <w:pPr>
        <w:pStyle w:val="BookText"/>
        <w:rPr/>
      </w:pPr>
      <w:bookmarkEnd w:id="434"/>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الأجزاء واجباً بعین وجوب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وجوب الأقلّ علی أیّ تقدیر، علی تنجّز الأکثر؛ فإنّ الأمر بالمرکّب معلوم، و هو أمر بالأجزاء المعلومة أی ینحلّ المرکّب الذی تنجّز الأمر بالنسبة إلیه، إلی الأجزاء المعلومة بلا إشکال؛ سواء کان الجزء الآخر واجباً أو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فتنجّز الأمر بالأقلّ عین تنجّز الأمر بالمرکّب، و لا یتوقّف وجوبه علی وجوب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وجوب الأقلّ علی کلّ تقدیر؛ انحلّ المرکّب إلی المعلومة من الأجزاء فقط، أو إلیها و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أعاظم العصر رحمه الله تفصّی عن الإشکال فی بعض أجوبته، مع تسلیم کون وجوب الأجزاء مقدّمیاً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إذا أحطت خُبراً بما أشرنا إلیه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العلم التفصیلی متولّداً من العلم الإجمالی فلا یعقل أن یکون ذلک التفصیل مبدءً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صحّة مقالنا و ضعف ما أفاده رحمه الله، فلا نطیل المقام</w:t>
      </w:r>
      <w:r>
        <w:rPr>
          <w:rFonts w:eastAsia="IRNazanin" w:cs="IRNazanin"/>
          <w:color w:val="111111"/>
          <w:sz w:val="28"/>
          <w:szCs w:val="28"/>
          <w:rtl w:val="true"/>
          <w:lang w:bidi="fa-IR"/>
        </w:rPr>
        <w:t>.</w:t>
      </w:r>
    </w:p>
    <w:p>
      <w:pPr>
        <w:pStyle w:val="Heading6"/>
        <w:numPr>
          <w:ilvl w:val="5"/>
          <w:numId w:val="1"/>
        </w:numPr>
        <w:rPr/>
      </w:pPr>
      <w:bookmarkStart w:id="435" w:name="__RefHeading___Toc3425647_3224264995"/>
      <w:bookmarkStart w:id="436" w:name="_Toc164"/>
      <w:bookmarkEnd w:id="435"/>
      <w:r>
        <w:rPr>
          <w:rtl w:val="true"/>
        </w:rPr>
        <w:t>الإشکال السابع</w:t>
      </w:r>
      <w:r>
        <w:rPr>
          <w:rtl w:val="true"/>
        </w:rPr>
        <w:t>:</w:t>
      </w:r>
      <w:bookmarkEnd w:id="436"/>
    </w:p>
    <w:p>
      <w:pPr>
        <w:pStyle w:val="BookText"/>
        <w:rPr/>
      </w:pPr>
      <w:r>
        <w:rPr>
          <w:rFonts w:ascii="IRNazanin" w:hAnsi="IRNazanin" w:eastAsia="IRNazanin"/>
          <w:color w:val="111111"/>
          <w:sz w:val="28"/>
          <w:sz w:val="28"/>
          <w:szCs w:val="28"/>
          <w:rtl w:val="true"/>
          <w:lang w:bidi="fa-IR"/>
        </w:rPr>
        <w:t>ما أفاده الشیخ الأعظم رحمه الله</w:t>
      </w:r>
      <w:r>
        <w:rPr>
          <w:rStyle w:val="FootnoteAnchor"/>
          <w:rtl w:val="true"/>
        </w:rPr>
        <w:footnoteReference w:id="429"/>
      </w:r>
      <w:r>
        <w:rPr>
          <w:rFonts w:ascii="IRNazanin" w:hAnsi="IRNazanin" w:eastAsia="IRNazanin"/>
          <w:color w:val="111111"/>
          <w:sz w:val="28"/>
          <w:sz w:val="28"/>
          <w:szCs w:val="28"/>
          <w:rtl w:val="true"/>
          <w:lang w:bidi="fa-IR"/>
        </w:rPr>
        <w:t>، و یستفاد من کلامه تقریبان، لا بأس بتوضیحهما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تابعة لمصالح فی المأمور به و مفاسد فی المنهی عنه، و أنّ الواجبات الشرعیة ألطاف فی الواجبات</w:t>
      </w:r>
    </w:p>
    <w:p>
      <w:pPr>
        <w:pStyle w:val="BookText"/>
        <w:rPr/>
      </w:pPr>
      <w:r>
        <w:rPr>
          <w:rFonts w:ascii="IRNazanin" w:hAnsi="IRNazanin" w:eastAsia="IRNazanin"/>
          <w:color w:val="111111"/>
          <w:sz w:val="28"/>
          <w:sz w:val="28"/>
          <w:szCs w:val="28"/>
          <w:rtl w:val="true"/>
          <w:lang w:bidi="fa-IR"/>
        </w:rPr>
        <w:t>العقلیة، و الأحکام الشرعیة و إن تعلّقت بعناوین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 و السرقة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المأمور به و المنهی عنه حقیقة هو المصالح و المفاسد، و الأمر بالصلاة و النهی عن الغیبة إرشاد إلی ما هو المطلوب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تعلّقها بالعناوین دون نفس المصالح و المفاسد عدم علم العباد بکیفیة تحصیلها أو الاجتناب عنها، و لو اطّلع العقل بتلک المصالح و الألطاف لَحکم بلزوم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فالمصالح و الألطاف هی المأمور بها بالأمر النفسی، و العناوین التی تعلّق بها الأمر و النهی فی ظاهر الشرع محصّلات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الغایات، و أوامرها إرشادیة مقدّمیة، و مع الشکّ فی المحصّل لا مناص عن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بالعناوین و إن کانت أوامر حقیقیة غیر إرشادیة إلّا أنّ المصالح و المفاسد أغراض و غایات لتلک الأوامر و النواهی، و لا یحرز الغرض إلّا بالإتیان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و المفاسد و الأغراض المولویة علّة البعث نحو العمل و علّة لظهور الإرادة فی صورة الأمر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وجود الأشیاء و بقائها إنّما هو بوجود عللها و بقائها فهکذا انعدامها و سقوطها بسقوط عللها و 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بسقوط الأوامر و النواهی یتوقّف علی العلم بسقوط الأغراض و حصول الغایات الداعیة إلیها، فمع الإتیان بالأقلّ یشکّ فی إحراز المصالح، فیشکّ فی سقوط الأوامر، فمع العلم بالثبوت لا بدّ من العلم بالسقوط، و هو لا یحصل إلّا بالإتیان بالأکثر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التقریبین أوضح من أن یخفی؛ فإنّ المأمور به و المنهی عنه علی الأوّل هو المصالح و المفاسد، و العناوین محصّلات، و علی الثانی فالأوامر النفسیة</w:t>
      </w:r>
    </w:p>
    <w:p>
      <w:pPr>
        <w:pStyle w:val="BookText"/>
        <w:rPr/>
      </w:pPr>
      <w:r>
        <w:rPr>
          <w:rFonts w:ascii="IRNazanin" w:hAnsi="IRNazanin" w:eastAsia="IRNazanin"/>
          <w:color w:val="111111"/>
          <w:sz w:val="28"/>
          <w:sz w:val="28"/>
          <w:szCs w:val="28"/>
          <w:rtl w:val="true"/>
          <w:lang w:bidi="fa-IR"/>
        </w:rPr>
        <w:t>و إن تعلّقت بالعناوین حقیقة لکنّها لأجل أغراض و مقاصد، فما لم تحصل تلک الأغراض لا تسقط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الشیخ الأعظم إلی التقریبین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المأمور به حقیقة أو غرض للآمر، فیجب تحصیل العلم بحصول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بعض أعاظم العصر رحمه الله من أنّ مراده لیس مصلحة الحکم و ملاکه، بل المراد منه التعبّد بالأمر و قصد امتثاله</w:t>
      </w:r>
      <w:r>
        <w:rPr>
          <w:rStyle w:val="FootnoteAnchor"/>
          <w:rtl w:val="true"/>
        </w:rPr>
        <w:footnoteReference w:id="430"/>
      </w:r>
      <w:r>
        <w:rPr>
          <w:rFonts w:ascii="IRNazanin" w:hAnsi="IRNazanin" w:eastAsia="IRNazanin"/>
          <w:color w:val="111111"/>
          <w:sz w:val="28"/>
          <w:sz w:val="28"/>
          <w:szCs w:val="28"/>
          <w:rtl w:val="true"/>
          <w:lang w:bidi="fa-IR"/>
        </w:rPr>
        <w:t>، لیس بشی‌ء و إن أتعب نفسه الشریفة،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أفعال اللَّه معلّلة بالأغراض من المسائل الکلامیة، و هو أساس لهذه القضیة الدائرة من تبعیة أوامره و نواهیه لمصالح أو مفاسد مکنونة فی المتعلّق، و لا شکّ أنّ غایة ما قام علیه الدلیل هو أنّه یمتنع علیه تعالی الإرادة الجزافیة؛ للزوم العبث فی فعله، و الظلم علی العباد فی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 الأوامر و النواهی أفعال اختیاریة له تعالی فلا بدّ أن تکون معلّلة بالأغراض، فی مقابل ما یدّعیه الأشاعرة النافین للأغراض و الغایات فی مطلق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فدفع العبثیة کما یحصل باشتمال نفس تلک العناوین علی مصالح و مفاسد قائمة بها متحصّلة بوجودها، کذلک یحصل بکون المصلحة فی نفس البعث و الزجر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العناوین مطلوبات بالذات، من قبیل نفس الأغراض، أو تکون الأغراض اموراً اخر غیر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المذکورة فی محلّه لا یثبت ما ذکر فی 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الأمر بالمصالح النفس الأمریة التی یستتبعها تلک العناوین ممّا یمتنع علیه تعالی؛ للزوم اللغویة و العبث؛ لأنّ الأمر بالشی‌ء و البعث إلیه لأجل إیجاد الداعی فی نفس المکلّف حتّی ینبعث ببرکة سائر المبادئ نحوه، و هو فرع وصول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تکون الأوامر النفس الأمریة الغیر الواصلة إلی المکلّفین متعلّقة بعناوین واقعیة مجهولة لدیهم و باعثة نحوها؛ فإنّ البعث و التحریک فرع الوصول و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فتعلّقها بها لا یکون إلّا لغواً و عبثاً ممتنع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ما قدّمناه عن الأوّل عنه أیضاً؛ فإنّ العلّة الغائیة و إن کانت تعدّ من أجزاء العلّة إلّا أنّه لا یلزم أن یکون الغایة مغایراً لنفس العنوان الذی وقع تحت دائرة الطلب، بل من المحتمل أن یکون الغرض الذی دلّ الدلیل علی امتناع خلوّ فعله تعالی عنه هو قائماً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الغرض هو قائماً بنفس الأمر أو کونه نفس المأمور به؛ بمعنی کونه محبوباً بالذات، من دون أن یکون محصّلًا للغرض ینفی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یدلّ دلیل علی تحصیل الأغراض الواقعیة للمولی التی لم یقم علیها حجّة، بل العقل یحکم بلزوم الخروج عن العهدة بمقدار ما قام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الحجّة قامت علی الأقلّ فلو کان الغرض حاصلًا به فهو، و إلّا ففوت الغرض مستند إلی قصور بیان المولی؛ لعدم البیان، أو لعدم إیجاب التحفّظ و الاحتیاط</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یسقط بالأقلّ و یتبعه سقوط الأمر؛ إذ لو لم یسقط به فی نفس الأمر لوجب علی المولی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البیان أو جعل الاحتیاط؛</w:t>
      </w:r>
      <w:bookmarkStart w:id="437" w:name="pg12912_111900"/>
    </w:p>
    <w:p>
      <w:pPr>
        <w:pStyle w:val="BookText"/>
        <w:rPr/>
      </w:pPr>
      <w:bookmarkEnd w:id="437"/>
      <w:r>
        <w:rPr>
          <w:rFonts w:ascii="IRNazanin" w:hAnsi="IRNazanin" w:eastAsia="IRNazanin"/>
          <w:color w:val="111111"/>
          <w:sz w:val="28"/>
          <w:sz w:val="28"/>
          <w:szCs w:val="28"/>
          <w:rtl w:val="true"/>
          <w:lang w:bidi="fa-IR"/>
        </w:rPr>
        <w:t>تحفّظاً علی أغراضه، و إلّا یلزم التلاعب بالغرض و نقضه، و هو قبیح علی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لم یبیّنه و لم یوجب الاحتیاط نستکشف من ذلک قیام الغرض بالأقلّ و سقوطه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إذا کان بعض أطرافه مجهول العنوان؛ بحیث لا ینقدح فی ذهن المکلّف بعنوانه أبداً لا یکون منجّزاً؛ فإنّ تنجیزه متوقّف علی إمکان الباعثیة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أیّ طرف کان من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بعضها مجهول العنوان لا یمکن البعث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إذ نحتمل أن یکون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لم تصل إلینا أصلًا، و نحتمل دخالته فی سقوط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العلم غیر منجّز أصلًا؛ لکون طرف العلم مجهول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فلزوم العلم بسقوط الغرض الواقعی موجب لعدم العلم فی مطلق التکالیف بسقوط الأوامر؛ إذ ما من تکلیف إلّا و یحتمل دخالة شی‌ء فی متعلّقه دخیل فی حصول الغرض لم یصل إلینا حتّی یصحّ الاحتیاط، و یلزم منه سدّ باب الإطاعات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شی‌ء علی العبد إلّا الخروج عن عهدة ما قامت الحجّة علیه؛ سقط الغرض لبّاً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العلم بالغرض الملزم لا بدّ من تحصیله؛ کان أمر من المولی أم لا</w:t>
      </w:r>
      <w:r>
        <w:rPr>
          <w:rFonts w:eastAsia="IRNazanin" w:cs="IRNazanin"/>
          <w:color w:val="111111"/>
          <w:sz w:val="28"/>
          <w:szCs w:val="28"/>
          <w:rtl w:val="true"/>
          <w:lang w:bidi="fa-IR"/>
        </w:rPr>
        <w:t>.</w:t>
      </w:r>
    </w:p>
    <w:p>
      <w:pPr>
        <w:pStyle w:val="Heading6"/>
        <w:numPr>
          <w:ilvl w:val="5"/>
          <w:numId w:val="1"/>
        </w:numPr>
        <w:rPr/>
      </w:pPr>
      <w:bookmarkStart w:id="438" w:name="__RefHeading___Toc3425649_3224264995"/>
      <w:bookmarkStart w:id="439" w:name="_Toc165"/>
      <w:bookmarkEnd w:id="438"/>
      <w:r>
        <w:rPr>
          <w:rtl w:val="true"/>
        </w:rPr>
        <w:t>الإشکال الثامن</w:t>
      </w:r>
      <w:r>
        <w:rPr>
          <w:rtl w:val="true"/>
        </w:rPr>
        <w:t>:</w:t>
      </w:r>
      <w:bookmarkEnd w:id="43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یختصّ بالأوامر القربیة، و لا یجری فی التوصّلیة،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الأقلّ دائر بین کونه نفسیاً صالحاً للتقرّب، و کونه غیریاً مقدّمیاً غیر صالح له، و ما حاله کذلک لا یمکن أن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المتعلّق به نفسی صالح للتقرّب؛ إمّا لکونه بنفسه هو المأمور به، أو کون المأمور به هو الأقلّ، و لکنّه یقصد التقرّب بما هو واجب فی الواقع، فینطبق علیه علی کلّ تقدیر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المعتبر فی العبادات هو أن یکون العبد متحرّکاً بتحریک المولی، و یکون الأمر باعثاً مع مبادئ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کالخوف و الرجاء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المتعلّق، و لا یکون الداعی فی إتیانه أغراض اخر کالریا و نحوه، لا بأن یکون قصد الأمر و الامتثال و نحوهما منظوراً إلیه، بل حقیقة الامتثال لیست إلّا الإتیان بداعویة الأمر، و به یحصل التقرّب و یصیر العبد ممتازاً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عبارة عن أجزاء و شرائط فی لحاظ الوحدة، و یکون الأمر الداعی إلی المرکّب داعیاً إلی الأجزاء، لا بداعویة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الآتی بالأقلّ القائل بالبراءة و الآتی بالأکثر القائل بالاشتغال کلّ واحد منهما متحرّک بتحریک الأمر المتعلّق بالمرکّب؛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محرّک للآتی بالأقلّ و الآتی بالأکثر، من غیر فرق بینهما من هذه الجهة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یفترقان فی أنّ القائل بالبراءة لا یری نفسه مکلّفاً بإتیان الجزء المشکوک فیه، بخلاف القائل بالاشتغال، و هذا لا یصیر فارقاً فیما هما مشترکان فیه؛ و هو الإتیان بالأجزاء المعلومة بداعویة الأمر بالمرکّب</w:t>
      </w:r>
      <w:r>
        <w:rPr>
          <w:rFonts w:eastAsia="IRNazanin" w:cs="IRNazanin"/>
          <w:color w:val="111111"/>
          <w:sz w:val="28"/>
          <w:szCs w:val="28"/>
          <w:rtl w:val="true"/>
          <w:lang w:bidi="fa-IR"/>
        </w:rPr>
        <w:t>.</w:t>
      </w:r>
      <w:bookmarkStart w:id="440" w:name="pg12912_111902"/>
    </w:p>
    <w:p>
      <w:pPr>
        <w:pStyle w:val="BookText"/>
        <w:rPr/>
      </w:pPr>
      <w:bookmarkEnd w:id="440"/>
      <w:r>
        <w:rPr>
          <w:rFonts w:ascii="IRNazanin" w:hAnsi="IRNazanin" w:eastAsia="IRNazanin"/>
          <w:color w:val="111111"/>
          <w:sz w:val="28"/>
          <w:sz w:val="28"/>
          <w:szCs w:val="28"/>
          <w:rtl w:val="true"/>
          <w:lang w:bidi="fa-IR"/>
        </w:rPr>
        <w:t>ثمّ لو فرض الوجوب الغیری للأجزاء فیمکن للآتی بالأقلّ قصد التقرّب؛ لاحتمال کون الأقلّ واجباً نفسیاً، و ما لا یمکن له هو الجزم بالنیّة، و هو غیر معتبر فی العبادات جزماً؛ و لهذا یصحّ العمل بالاحتیاط و ترک طریقی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الجزم بالنیّة غیر ممکن مع الإتیان بالأقلّ کذلک غیر ممکن مع الإتیان بالأکثر؛ لعدم العلم بمتعلّق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القربة ممکن منهما، و الجزم غیر ممکن منهما بلا افتراق بینهما</w:t>
      </w:r>
      <w:r>
        <w:rPr>
          <w:rFonts w:eastAsia="IRNazanin" w:cs="IRNazanin"/>
          <w:color w:val="111111"/>
          <w:sz w:val="28"/>
          <w:szCs w:val="28"/>
          <w:rtl w:val="true"/>
          <w:lang w:bidi="fa-IR"/>
        </w:rPr>
        <w:t>.</w:t>
      </w:r>
    </w:p>
    <w:p>
      <w:pPr>
        <w:pStyle w:val="Heading6"/>
        <w:numPr>
          <w:ilvl w:val="5"/>
          <w:numId w:val="1"/>
        </w:numPr>
        <w:rPr/>
      </w:pPr>
      <w:bookmarkStart w:id="441" w:name="__RefHeading___Toc3425651_3224264995"/>
      <w:bookmarkStart w:id="442" w:name="_Toc166"/>
      <w:bookmarkEnd w:id="441"/>
      <w:r>
        <w:rPr>
          <w:rtl w:val="true"/>
        </w:rPr>
        <w:t>فی جریان البراءة الشرعیة فی المقام</w:t>
      </w:r>
      <w:bookmarkEnd w:id="442"/>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اتّضح کون الجزء الزائد مشکوکاً فیه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الجزء المشکوک فیه مورداً للبراءة الشرعیة، و یشمله حدیثا الرفع و الحجب، و غیرهما من أدلّة الباب؛ لأنّ شأن الحدیثین هو الرفع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الرفع فی المقام هو رفع الجزئیة عن الجزء المشکوک فیه، و البناء علی عدم کون المشکوک فیه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یأتی بالأجزاء المعلومة لأجل الأمر المتعلّق بالمرکّب الذی عرفت داعویته إلی نفس الأجزاء بدعوة واحدة، و ینفی لزوم الجزء المشکوک فیه أو جزئیته للمرکّب، و یکون مأموناً من العقاب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إجزاء الأقلّ عن الأکثر لو فرض انکشاف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أوضحنا حاله بما لا مزید علیه فی مبحث الإجزاء</w:t>
      </w:r>
      <w:r>
        <w:rPr>
          <w:rStyle w:val="FootnoteAnchor"/>
          <w:rtl w:val="true"/>
        </w:rPr>
        <w:footnoteReference w:id="434"/>
      </w:r>
      <w:r>
        <w:rPr>
          <w:rFonts w:ascii="Amiri" w:hAnsi="Amiri" w:eastAsia="Amiri" w:cs="Amiri"/>
          <w:color w:val="111111"/>
          <w:sz w:val="28"/>
          <w:sz w:val="28"/>
          <w:szCs w:val="28"/>
          <w:rtl w:val="true"/>
          <w:lang w:bidi="ar-SA"/>
        </w:rPr>
        <w:t>، فلا وجه للإعادة</w:t>
      </w:r>
      <w:r>
        <w:rPr>
          <w:rFonts w:eastAsia="Amiri" w:cs="Amiri" w:ascii="Amiri" w:hAnsi="Amiri"/>
          <w:color w:val="111111"/>
          <w:sz w:val="28"/>
          <w:szCs w:val="28"/>
          <w:rtl w:val="true"/>
          <w:lang w:bidi="ar-SA"/>
        </w:rPr>
        <w:t>.</w:t>
      </w:r>
      <w:bookmarkStart w:id="443" w:name="pg12912_111903"/>
    </w:p>
    <w:p>
      <w:pPr>
        <w:pStyle w:val="Heading5"/>
        <w:numPr>
          <w:ilvl w:val="4"/>
          <w:numId w:val="1"/>
        </w:numPr>
        <w:rPr/>
      </w:pPr>
      <w:bookmarkStart w:id="444" w:name="__RefHeading___Toc3425653_3224264995"/>
      <w:bookmarkStart w:id="445" w:name="_Toc167"/>
      <w:bookmarkEnd w:id="443"/>
      <w:bookmarkEnd w:id="444"/>
      <w:r>
        <w:rPr>
          <w:rtl w:val="true"/>
        </w:rPr>
        <w:t>المطلب الثانی فیما إذا کان الأقلّ و الأکثر من قبیل المطلق و المشروط</w:t>
      </w:r>
      <w:bookmarkEnd w:id="445"/>
    </w:p>
    <w:p>
      <w:pPr>
        <w:pStyle w:val="BookText"/>
        <w:rPr/>
      </w:pPr>
      <w:r>
        <w:rPr>
          <w:rFonts w:ascii="IRNazanin" w:hAnsi="IRNazanin" w:eastAsia="IRNazanin"/>
          <w:color w:val="111111"/>
          <w:sz w:val="28"/>
          <w:sz w:val="28"/>
          <w:szCs w:val="28"/>
          <w:rtl w:val="true"/>
          <w:lang w:bidi="fa-IR"/>
        </w:rPr>
        <w:t>تفصیل القول فی جریان البراءة فی الجزء المشکوک یغنینا عن إفاضة القول فی الشرط المشکوک؛ فإنّ المناط فی الجزء و الشرط واحد، غیر أنّا أفردنا البحث عنه؛ تبعاً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انتزاع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أمراً مبایناً للمشروط فی الوجود کالطهارة فی الصلاة، و اخری یکون أمراً متّحداً معه کالإیمان فی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جدّاً؛ لأنّ داعویة الأمر إلی ذات الصلاة معلوم؛ سواء تعلّق الأمر بها بلا اشتراط شی‌ء أو مع اشتراطه، و التقیید و الاشتراط، أو القید و الشرط مشکوک فیه، فیجری أدلّة البراءة؛ عقلیة کان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إذا کان منشأ الانتزاع متّحداً معه کالإیمان فی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البراءة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البعث و الزجر إنّما هو الماهیات و العناوین دون المصادیق الخارجیة، و قد أقمنا برهانه فیما سبق</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فالمدار فی دوران الأمر بین الأقلّ و الأکثر إنّما هو ملاحظة لسان الدلیل الدالّ علی الحکم حسب الدلالة اللفظیة العرفیة، لا المصادیق الخارجیة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دار متعلّق الأمر بین کونه مطلق الرقبة أو الرقبة المؤمنة فهو من موارد البراءة العقلیة و الشرعیة؛ لانحلال العلم فیه، و دورانه بین الأقلّ و الأکثر؛ لأنّ مطلق الرقبة و إن کان غیر موجود فی الخارج و الموجود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الرقبة الکافرة أو</w:t>
      </w:r>
    </w:p>
    <w:p>
      <w:pPr>
        <w:pStyle w:val="BookText"/>
        <w:rPr/>
      </w:pPr>
      <w:r>
        <w:rPr>
          <w:rFonts w:ascii="IRNazanin" w:hAnsi="IRNazanin" w:eastAsia="IRNazanin"/>
          <w:color w:val="111111"/>
          <w:sz w:val="28"/>
          <w:sz w:val="28"/>
          <w:szCs w:val="28"/>
          <w:rtl w:val="true"/>
          <w:lang w:bidi="fa-IR"/>
        </w:rPr>
        <w:t>المؤمنة، و هما متباینان، إلّا أنّ المیزان فی کون الشی‌ء من قبیل المتباینین أو الأقلّ و الأکثر لیس المصادیق الخارجیة؛ لأنّ مجری البراءة هو متعلّقات الأحکام، و هو العناوین المأخوذة فی لسان الدلیل، لا المصادیق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إلی طبیعة الرقبة معلوم، و تعلّقه إلی المؤمنة مشکوک فیه، فتجری البراءة علی البراهین و المقدّمات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تحقّق الطبیعی فی الخارج إلّا فی ضمن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 و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المقام من قبیل المتباینین؛ فإنّ المیزان هو ما تعلّق البعث به، و من المعلوم أنّ البعث إلی الطبیعة غیر البعث إلی الطبیعة المقیّدة، و النسبة بین المتعلّقین هو القلّة و الکثرة؛ و إن کان المصادیق علی غیر هذا النحو باعتبار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حال المرکّبات التحلیلیة؛ سواء کانت بسائط خارجیة کالبیاض و السواد المنحلّین إلی اللون المفرّق لنور البصر أو قابضه، أو کالإنسان المنحلّ عقلًا إلی الحیوان و الناطق؛ فإنّ الجنس و الفصل و إن لم یکونا من الأجزاء الخارجیة للمحدود؛ لأنّهما من أجزاء الحدّ، و إن کان مأخذهما المادّة و الصورة بوجه یعرفه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منهما بعض الأصناف و الأشخاص المنحلّین فی العقل إلی الماهیة و العوارض المصنّفة، و إلی الماهیة و العوارض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دار أمر صبغ ثوب المولی بمطلق اللون، أو بلون قابض لنور البصر فما قام علیه الحجّة یؤخذ به، و یترک المشکوک فیه؛ اعتماداً علی البراءة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تجری فی الجمیع علی وزان واحد، من غیر فرق بین ما له منشأ انتزاع مغایر و ما لیس له کذلک؛ لأنّ الموضوع ینحلّ عند العقل إلی معلوم 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المشروطة بالطهارة عین ذات الصلاة فی الخارج، کما أنّ الرقبة المؤمنة عین مطلقها فیه، و الإنسان عین الحیوان و هکذا، و إنّما الافتراق فی التحلیل العقلی، و هو فی الجمیع سواء، فکما تنحلّ الصلاة المشروطة بالصلاة و الاشتراط، کذا ینحلّ الإنسان إلی الحیوان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البراءة و قیام الحجّة علی المتیقّن دون المشکوک لا فرق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أهل العصر رحمه الله نفی الرجوع إلی البراءة عند التردید بین الجنس و النوع؛ قائلًا بأنّهما عند التحلیل العقلی و إن کان یرجع إلی الأقلّ و الأکثر إلّا أنّهما فی نظر العرف من التردید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دار الأمر بین إطعام الإنسان أو الحیوان فاللازم هو الاحتیاط بإطعام الإنسان؛ لأنّ نسبة الرفع إلی کلّ منهما علی حدّ سواء، فیسقطان بالمعارضة، فلا بدّ من العلم بالخروج من العهدة، و لا یحصل إلّا بإطعام خصوص الإنسان؛ لأنّه جمع بین الأمرین، و إطعامه یستلزم إطعام ذاک</w:t>
      </w:r>
      <w:r>
        <w:rPr>
          <w:rStyle w:val="FootnoteAnchor"/>
          <w:rtl w:val="true"/>
        </w:rPr>
        <w:footnoteReference w:id="4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یرجع إلی المناقشة فی المثال؛ فإنّ الإنسان و الحیوان و إن کانا فی نظر العرف من قبیل المتباینین إلّا أنّ الحیوان و الفرس لیسا کذلک، فلو دار الأمر فی الإطعام بینهما فلا مناص عن البراءة، کما لو دار الأمر بین مطلق اللون و اللون الأبیض، أو مطلق الرائحة أو رائحة المسک فإنّ الجمیع من قبیل الأقلّ و الأکثر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الدوران بین الإنسان و الحیوان دوراناً بین المتباینین فطریق الاحتیاط هو الجمع بینهما فی الإطعام، لا إطعام خصوص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إطعامه یستلزم إطعام الحیوان أشبه شی‌ء بالمناقضة فی المقال؛ فإنّ مغزی هذا التعلیل إلی أنّهما من الأقلّ و الأکثر،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أفاده المحقّق الخراسانی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موجودة بعین وجودها، و فی ضمن صلاة اخری فاقدة لشرطها تکون مباینة للمأمور بها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خلطاً واضحاً؛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موجود فی الخارج بنعت الکثرة لا بنعت التباین؛ فإنّ الطبیعی لمّا لم یکن فی حدّ ذاته واحداً و لا کثیراً فلا محالة یکون مع الواحد واحداً و مع الکثیر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الطبیعی موجوداً مع کلّ فرد بتمام ذاته، و یکون متکثّراً بتکثّر الأفراد، فزید إنسان و عمرو إنسان و بکر إنسان، لا أنّهم متباینات فی الإنسانیة، بل متکثّرات فیها، و إنّما التباین من لحوق عوارض مصنّفة و مشخّصة،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التباین فی الخصوصیات لا یجعل الماهیة المتّحدة مع کلّ فرد و خصوصیة متباینة مع الاخری؛ فإنّ الإنسان بحکم کونه ماهیة بلا شرط شی‌ء غیر مرهون بالوحدة و الکثرة، و هو مع الکثیر کثیر؛ فهو بتمام حقیقته متّحد مع کلّ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متکثّر غیر متباین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لتوضیحه مقام آخر، فلیطلب من أهله و محلّه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الفردین متباینین غیر مفید أصلًا؛ لأنّ المیزان إنّما هو ما وقع تحت دائرة الطلب، و قد عرفت أنّ متعلّقه إنّما هو العناوین و الماهیات، و من الواضح أنّ مطلق الصلاة أو الصلاة المشروطة بشی‌ء من الطهارة من قبیل الأقلّ و الأکثر، فتدبّر</w:t>
      </w:r>
      <w:r>
        <w:rPr>
          <w:rFonts w:eastAsia="IRNazanin" w:cs="IRNazanin"/>
          <w:color w:val="111111"/>
          <w:sz w:val="28"/>
          <w:szCs w:val="28"/>
          <w:rtl w:val="true"/>
          <w:lang w:bidi="fa-IR"/>
        </w:rPr>
        <w:t>.</w:t>
      </w:r>
      <w:bookmarkStart w:id="446" w:name="pg12912_111907"/>
    </w:p>
    <w:p>
      <w:pPr>
        <w:pStyle w:val="Heading5"/>
        <w:numPr>
          <w:ilvl w:val="4"/>
          <w:numId w:val="1"/>
        </w:numPr>
        <w:rPr/>
      </w:pPr>
      <w:bookmarkStart w:id="447" w:name="__RefHeading___Toc3425655_3224264995"/>
      <w:bookmarkStart w:id="448" w:name="_Toc168"/>
      <w:bookmarkEnd w:id="446"/>
      <w:bookmarkEnd w:id="447"/>
      <w:r>
        <w:rPr>
          <w:rtl w:val="true"/>
        </w:rPr>
        <w:t>المطلب الثالث فی دوران الأمر بین الأقلّ و الأکثر فی الأسباب و المحصّلات</w:t>
      </w:r>
      <w:bookmarkEnd w:id="448"/>
    </w:p>
    <w:p>
      <w:pPr>
        <w:pStyle w:val="Heading6"/>
        <w:numPr>
          <w:ilvl w:val="5"/>
          <w:numId w:val="1"/>
        </w:numPr>
        <w:rPr/>
      </w:pPr>
      <w:bookmarkStart w:id="449" w:name="__RefHeading___Toc3425657_3224264995"/>
      <w:bookmarkStart w:id="450" w:name="_Toc169"/>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و هی تنقسم إلی عقلیة و عادیة 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فمرکز البحث فیهما ما إذا تعلّق الأمر بمفهوم مبیّن، و کان له سبب عقلی أو عادی، و دار أمر السبب بین الأقلّ و الأکثر، کما لو أمر بالقتل و تردّد سببه بین ضربة و ضربتین، و أمر بتنظیف البیت و دار أمره بین کنسه و رشّه أو کنسه فقط، و مثله ما لو شکّ فی اشتراط السبب بکیفیة خاصّة من تقدیم أجزاء علی اخری، هذا هو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جریان البراءة؛ لأنّ المأمور به مبیّن و غیر دائر بین الأقلّ و الأکثر، و ما هو دائر بینهما فهو غیر مأمور به، و الشکّ بعد فی حصول المأمور به و سقوطه، و قد قامت الحجّة علی الشی‌ء المبیّن، فلا بدّ من العلم بالخروج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المسبّب ذا مراتب و من البسائط التدریجیة فتجری البراءة، و بین غیره؛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العنوان البسیط متدرّج الحصول من قِبل علّته؛ بأن یکون کلّ جزء من أجزاء علّته مؤثّراً فی تحقّق مرتبة منه، إلی أن یتمّ المرکّب فیتحقّق تلک المرتبة الخاصّة التی هی منشأ للآثار، نظیر مرتبة خاصّة من النور الحاصلة من عدّة شموع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باب الطهارة؛</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أمسسته الماء فقد انقیته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قصور عن جریان البراءة عند دوران الأمر فی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 فإنّ مرجع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تسلیم سعة الأمر البسیط فی ازدیاد أجزاء محقّقه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سعة ذلک الأمر البسیط و ضیقه، فینتهی الأمر إلی الأقلّ و الأکثر فی نفس الأمر البسیط، فتجری البراءة، و هذا بخلاف ما لو کان دفعی الحصول فلا محیص عن الاحتیاط</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غیر صحیح علی فرض، و خارج عن محطّ البحث علی فرض آخر؛ لأنّه لو کان الشکّ فی أنّ الواجب هل هو غَسل جمیع الأجزاء أو یکفی الغالب و لا یضرّ النادر فللقول بجریان البراءة مجال، و لکنّه خارج عن البحث؛ لأنّ مآل البحث حینئذٍ إلی الأقلّ و الأکثر فی نفس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الواجب هو تحصیل الطهور، و لکن وقع الشکّ فی أنّ السبب هل هو نفس الغسل أو هو مع اشتراط تقدیم بعض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کالرأس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الاحتیاط؛ و إن کان المسبّب تدریجی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علمنا باشتراط صلاة الظهر بالطهارة، و شککنا فی حصوله بالغسلتین و المسحتین مطلقاً أو مع شرط و کیفیة خاصّة، و دار الأمر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 فلا إشکال فی عدم جریان البراءة، من غیر فرق بین کون العنوان البسیط الذی هو المأمور به ذا مراتب متفاوتة متدرّج الحصول، أو کونه دفعی الحصول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علمنا بوجوب الطهور، و شککنا فی أنّ الحقیقة المتدرّجة الوجود هل</w:t>
      </w:r>
    </w:p>
    <w:p>
      <w:pPr>
        <w:pStyle w:val="BookText"/>
        <w:rPr/>
      </w:pPr>
      <w:r>
        <w:rPr>
          <w:rFonts w:ascii="IRNazanin" w:hAnsi="IRNazanin" w:eastAsia="IRNazanin"/>
          <w:color w:val="111111"/>
          <w:sz w:val="28"/>
          <w:sz w:val="28"/>
          <w:szCs w:val="28"/>
          <w:rtl w:val="true"/>
          <w:lang w:bidi="fa-IR"/>
        </w:rPr>
        <w:t>یحصل بمطلق الغسل أو بشرط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الوجه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لزم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التفصیل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تفصیلًا آخر ذکره ذلک المحقّق فی کلامه؛ و هو التفصیل بین کون العلم مقتضیاً قابلًا لإجراء الاصول فی أطراف العلم أو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بجریان الاصول فی أطراف العلم ما لم یمنع عنه مانع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البسیط و إن کان له وجود واحد إلّا أنّ له أعداماً علی نحو العموم البدلی بانعدام کلّ واحد من أجزاء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الأمر بالشی‌ء مقتضٍ عن النهی عن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المأمور به و إعدامه بإعدام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ترک المأمور به عن قِبل ترک الأقلّ ممّا یعلم تفصیلًا حرمته، و علم 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ترکه الناشئ من ترک المشکوک جزئیته فلم یعلم حرمته؛ لعدم العلم بإفضاء ترکه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أجاب عنه بما هو مذکور فی کلامه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المأمور به بالذات مردّداً بین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کالظهر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باقتضائیة العلم یمکن للشارع أن یکتفی بأحدهما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المأمور به معلوم العنوان مبیّن المفهوم، و قد تعلّق الأمر به، و قامت الحجّة علی لزوم إتیانه فالمأمور به معلوم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الترخیص فی العلم التفصیلی؛ و إن کان محصّله مردّداً بین الأقلّ و الأکثر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المقام من قبیل العلم الإجمالی فی المأمور به حتّی یأتی فیه</w:t>
      </w:r>
    </w:p>
    <w:p>
      <w:pPr>
        <w:pStyle w:val="BookText"/>
        <w:rPr/>
      </w:pP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الإجمالی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الشکّ فی البراءة، لا الشکّ فی مقدار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علماً واحداً تفصیلیاً بحرمة ترک المأمور به المعلوم، من غیر تردید، و من أیّ طریق حصل ترک المأمور به؛ أی سواء حصل بترک الأقلّ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حرمة ترکه من قِبل ترک الأقلّ، و أمّا من قبل ترک الأکثر فمشکوک أشبه شی‌ء بالشعر؛ فإنّ حرمة ترک المأمور به معلوم مطلقاً؛ من أیّ سبب حصل؛ سواء حصل بترک الأقلّ أو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حرمة ترکه من ناحیة الأکثر مشکوک؟ فإنّ العلم بحرمة ترکه مطلقاً یوجب سدّ باب جمیع الأعدام المتیقّنة أو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حجّة واحدة؛ و هو الأمر الصادر من المولی القائم علی وجوب المأمور به، و أمّا النهی عن 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صحّة هذا النهی، و عدم کونه عبثاً و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عقلیة، ینتقل إلیه العقل بعد التفطّن بالملازمة بین الأمر بالشی‌ء و النهی عن ترکه، و لکن الحجّة العقلیة تابعة فی السعة و الضیق للأمر المولوی، و لا یمکن أن یکون أوسع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لازم أمر المولی هو سدّ جمیع أبواب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قطعیاتها و محتملاتها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مفاد الحجّة العقلیة مجوّز إعدامه من جانب واحد؛ و هو ترک الأکثر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انحلال النهی عن ترک المأمور به إلی نهی مقطوع و مشکوک، فلا یوجب ذلک انحلال الدلیل المولوی القائم علی وجوب الأمر المبیّن إلی ذلک؛ لأنّ إجراء البراءة فی النواهی المتعدّدة المنحلّة لا یوجب جریانها فی الأمر</w:t>
      </w:r>
      <w:bookmarkStart w:id="451" w:name="pg12912_111911"/>
    </w:p>
    <w:p>
      <w:pPr>
        <w:pStyle w:val="BookText"/>
        <w:rPr/>
      </w:pPr>
      <w:bookmarkEnd w:id="451"/>
      <w:r>
        <w:rPr>
          <w:rFonts w:ascii="IRNazanin" w:hAnsi="IRNazanin" w:eastAsia="IRNazanin"/>
          <w:color w:val="111111"/>
          <w:sz w:val="28"/>
          <w:sz w:val="28"/>
          <w:szCs w:val="28"/>
          <w:rtl w:val="true"/>
          <w:lang w:bidi="fa-IR"/>
        </w:rPr>
        <w:t>الواحد المتعلّق بالمفهوم الواحد المبیّن؛ فإنّ غایة القول بالانحلال لا یزید عن إنکار اقتضاء الأمر بالشی‌ء النهی عن ترک العامّ، و معه لا محیص عن الخروج عن الاشتغال القطعی</w:t>
      </w:r>
      <w:r>
        <w:rPr>
          <w:rFonts w:eastAsia="IRNazanin" w:cs="IRNazanin"/>
          <w:color w:val="111111"/>
          <w:sz w:val="28"/>
          <w:szCs w:val="28"/>
          <w:rtl w:val="true"/>
          <w:lang w:bidi="fa-IR"/>
        </w:rPr>
        <w:t>.</w:t>
      </w:r>
    </w:p>
    <w:p>
      <w:pPr>
        <w:pStyle w:val="Heading6"/>
        <w:numPr>
          <w:ilvl w:val="5"/>
          <w:numId w:val="1"/>
        </w:numPr>
        <w:rPr/>
      </w:pPr>
      <w:bookmarkStart w:id="452" w:name="__RefHeading___Toc3425659_3224264995"/>
      <w:bookmarkStart w:id="453" w:name="_Toc170"/>
      <w:bookmarkEnd w:id="452"/>
      <w:r>
        <w:rPr>
          <w:rtl w:val="true"/>
        </w:rPr>
        <w:t>بیان الحقّ فی الأسباب الشرعیة</w:t>
      </w:r>
      <w:bookmarkEnd w:id="453"/>
    </w:p>
    <w:p>
      <w:pPr>
        <w:pStyle w:val="BookText"/>
        <w:rPr/>
      </w:pPr>
      <w:r>
        <w:rPr>
          <w:rFonts w:ascii="IRNazanin" w:hAnsi="IRNazanin" w:eastAsia="IRNazanin"/>
          <w:color w:val="111111"/>
          <w:sz w:val="28"/>
          <w:sz w:val="28"/>
          <w:szCs w:val="28"/>
          <w:rtl w:val="true"/>
          <w:lang w:bidi="fa-IR"/>
        </w:rPr>
        <w:t>و توضیح الحال فی عامّة الأسباب سیوافیک بیانه فی مبحث الاستصحاب عند البحث عن جریانه فی الأحکام الوضعیة</w:t>
      </w:r>
      <w:r>
        <w:rPr>
          <w:rStyle w:val="FootnoteAnchor"/>
          <w:rtl w:val="true"/>
        </w:rPr>
        <w:footnoteReference w:id="442"/>
      </w:r>
      <w:r>
        <w:rPr>
          <w:rFonts w:ascii="IRNazanin" w:hAnsi="IRNazanin" w:eastAsia="IRNazanin"/>
          <w:color w:val="111111"/>
          <w:sz w:val="28"/>
          <w:sz w:val="28"/>
          <w:szCs w:val="28"/>
          <w:rtl w:val="true"/>
          <w:lang w:bidi="fa-IR"/>
        </w:rPr>
        <w:t>، غیر أنّا نشیر فی المقام إلی أمر هامّ،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السببیة و المسبّبیة فی الأسباب العقلیة و العادیة امور واقعیة خارجة عن طوق الاعتبار فالشمس مضیئة؛ اعتبرها اللاحظ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الشرعیة و العقلائیة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الامور الاعتباریة القائمة باعتبار معتبرها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شارعاً کان أو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معنی السببیة کون الأسباب مؤثّرات حقیقة فی وجود المسبّبات؛ بحیث یحصل بعد إعمال الأسباب وجود حقیقی فی عالم التکوین لم یکن موجوداً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السببیة و التأثیر و التأثّر کلّها من باب التشبیه و المجاز؛ لأنّ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البائع بِعْتُ سبب لتحقّق البیع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المتکلّم إذا أنشأ به بداعی الجدّ یصیر موضوعاً عند العقلاء لآثار عقلائیة مترتّبة علی المعنی المنشأ اعتباراً بالصیغة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فالسبب و إن کان أمراً تکوینیاً إلّا أنّ سببیته و تأثیره و إیجاده المعنی المنشأ کلّها قائمة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لبیان معنی تأثیر الأسباب فی المسبّبات فی عالم الاعتبار مقاماً آخر، و لعلّنا نستوفی البحث فی مبحث الاستصحاب</w:t>
      </w:r>
      <w:r>
        <w:rPr>
          <w:rStyle w:val="FootnoteAnchor"/>
          <w:rtl w:val="true"/>
        </w:rPr>
        <w:footnoteReference w:id="443"/>
      </w:r>
      <w:r>
        <w:rPr>
          <w:rFonts w:ascii="IRNazanin" w:hAnsi="IRNazanin" w:eastAsia="IRNazanin"/>
          <w:color w:val="111111"/>
          <w:sz w:val="28"/>
          <w:sz w:val="28"/>
          <w:szCs w:val="28"/>
          <w:rtl w:val="true"/>
          <w:lang w:bidi="fa-IR"/>
        </w:rPr>
        <w:t>و إن أوضحناه فی هذا المقام فی الدورة السابقة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تشریع الأسباب و المسبّبات الشرعیة فیما إذا کانت دائرة بین العقلاء قبل التشریع لیست علی وتیرة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بإمضاء السبب و المسبّب العقلائی و سببیتهما و لم یتصرّف فیه إلّا تصرّفاً طفیفاً من زیادة شرط 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بسلب السببیة عن الأسباب العقلائیة و حصر السببیة فی سبب واحد، کما فی باب الطلاق؛ فإنّه بمعنی الهجران عن الزوجة، و الزوجیة أمر عقلائی کسائر الحقائق العقلائیة، متعارف عند کلّ منتحل بدین و غیر منتحل، و لکنّه سلب السببیة عن کلّ الأسباب و حصرها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ببسط دائرة السببیة و السبب، کما فی باب الضمان؛ فإنّ حصول الضمان بمجرّد وضع الید المستفادة من قاعدة الید ممّا لیس منه بین العقلاء عین و لا أثر، إلی غیر ذلک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المخترعات الشرعیة المحضة التی لیس لها سابقة عند العقلاء، فهل یجب تعلّق الجعل بکلّ واحد من السبب و المسبّب أو یکفی تعلّقه بأحدهما؟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بعض أعاظم العصر الثانی؛ قائلًا بأنّ جعل أحدهما یغنی من الآخر، فبناءً علی تعلّق الجعل بالمسبّبات تکون الأسباب الشرعیة کالأسباب</w:t>
      </w:r>
    </w:p>
    <w:p>
      <w:pPr>
        <w:pStyle w:val="BookText"/>
        <w:rPr/>
      </w:pPr>
      <w:r>
        <w:rPr>
          <w:rFonts w:ascii="IRNazanin" w:hAnsi="IRNazanin" w:eastAsia="IRNazanin"/>
          <w:color w:val="111111"/>
          <w:sz w:val="28"/>
          <w:sz w:val="28"/>
          <w:szCs w:val="28"/>
          <w:rtl w:val="true"/>
          <w:lang w:bidi="fa-IR"/>
        </w:rPr>
        <w:t>العادیة غیر قابلة للوضع و الرفع</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 نشأ من مقایسة الأسباب الشرعیة بالعلل التکوینیة؛ فإنّ الجعل فی التکوینی حقیقة یتعلّق بوجود السبب، و سببیة السبب أو نفس المسبّب مجعول بالعرض، فالجاعل جعل النار، لا جعل النار مؤثّراً فی الإحراق، و هکذا نفس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المسبّبات الشرعیة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أسبابها أیضاً اختراعیة لا عقلائیة فلا یعقل کفایة تعلّق الجعل بالمسبّب دون سببه أو سببیته؛ لأنّ المفروض أنّ المسبّب لیس أمراً عقلائیاً بل اختراعیاً، و ما کان کذلک لا یعقل أن یکون له سبب عقلائی أو عقلی أو عادی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أن یکون سببه أیضاً اختراعیاً، فلا بدّ من تعلّق الجعل بالسبب و مسبّبه؛ سواء تعلّق ابتداءً بالسبب أو بالمسبّب أو أدّی کلاماً یتکفّل الجعلین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الجعل یتعلّق بوصف السببیة؛ أی یجعل ما لم یکن سبباً سبباً، فلو فرضنا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العقلاء محرّماً، و جعله الشارع سبباً لحرمة ظهر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فالجعل لم یتعلّق بذات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بوصف السببیة؛ أی صیّر الشارع ما لم یکن سبباً سبباً للتحریم أنّ الجعل تعلّق بالسبب، و السببیة أمر انتزاعی، کما هو المشهور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سیوافیک تفصیل القول فی هذه المقامات فی الاستصحاب</w:t>
      </w:r>
      <w:r>
        <w:rPr>
          <w:rStyle w:val="FootnoteAnchor"/>
          <w:rtl w:val="true"/>
        </w:rPr>
        <w:footnoteReference w:id="446"/>
      </w:r>
      <w:bookmarkStart w:id="454" w:name="pg12912_111914"/>
    </w:p>
    <w:p>
      <w:pPr>
        <w:pStyle w:val="Heading6"/>
        <w:numPr>
          <w:ilvl w:val="5"/>
          <w:numId w:val="1"/>
        </w:numPr>
        <w:rPr/>
      </w:pPr>
      <w:bookmarkStart w:id="455" w:name="__RefHeading___Toc3425661_3224264995"/>
      <w:bookmarkStart w:id="456" w:name="_Toc171"/>
      <w:bookmarkEnd w:id="454"/>
      <w:bookmarkEnd w:id="455"/>
      <w:r>
        <w:rPr>
          <w:rtl w:val="true"/>
        </w:rPr>
        <w:t>عدم جریان البراءة فی الأسباب الشرعیة</w:t>
      </w:r>
      <w:bookmarkEnd w:id="456"/>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عدم إمکان إجراء البراءة العقلیة فی الأسباب الشرعیة؛ لتعلّق الأمر بالمفهوم المبیّن و الشکّ فی سقوطه بالأقلّ، فلا یجری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آنفاً أنّ المسبّب و السبب بمعنی مجعولیة سببیته مجعولان شرعاً، و لا طریق إلی معرفة إحراز السبب سوی بیانه و نقله، و المفروض أنّ ما وقع تحت دائرة البیان إنّما هو الأقلّ، و المشکوک لا یمکن العقاب علیه علی فرض دخالته؛ لکون العقاب علیه عقاباً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و إن کان فی فُسحة من ناحیة السبب؛ لجریان البراءة فی سببیة الجزء المشکوک، لکنّه مأخوذ من ناحیة تعلّق الأمر الشرعی بالمفهوم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رفع الید عن الحجّة إلّا بحجّة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العقل بقبح العقاب بلا بیان فی ناحیة السبب لا یکون حجّة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تحقّق المسبّب و عدمه ناشٍ من اعتبار أمر زائد فی السبب و عدمه، و بما أنّ سببیة السبب مجعولة شرعاً فیرفع جزئیة المشکوک للسبب، فیرتفع الشکّ فی ناحیة المسبّب، فیحکم بتحقّقه؛ لوجود الأقلّ وجداناً و رفع الزیادة بحدیث الرفع، و یرفع الشکّ عن تحقّق السبب، فیحکم بأنّه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السببیة عقلیة حتّی یکون من الأصل المثبت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تحقّق المسبّب لیس ناشئاً من دخالة الجزء المشکوک و عدمها، بل من کون الأقلّ تمام المؤثّر و تمام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جزئیته لا یثبت کونه کذلک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المسبّب یترتّب حسب الجعل علی السبب الواقعی التامّ، و لیس رفع الزیادة مثبتاً لذلک بالأصل حتّی یرتفع الشکّ من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عدم الزیادة و حصول الأقلّ سبباً بنحو الترکیب حتّی یحرز أحد الجزءین بالوجدان و الآخر بالأصل، و یترتّب علیه المسبّب؛ ضرورة أنّ تمام السبب حینئذٍ هو الأقلّ، و الزیادة لا تکون دخیلة فی حصول المسبّب وجوداً و عدماً حتّی یؤخذ عدمها جزءًا للسبب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دلّ الدلیل علی أنّه کلّما تحقّق الأقلّ و لم یتحقّق الزیادة وجد المسبّب کان للتوهّم مجال، لکنّه خارج عن مبحث الأقلّ و الأکثر</w:t>
      </w:r>
      <w:r>
        <w:rPr>
          <w:rFonts w:eastAsia="IRNazanin" w:cs="IRNazanin"/>
          <w:color w:val="111111"/>
          <w:sz w:val="28"/>
          <w:szCs w:val="28"/>
          <w:rtl w:val="true"/>
          <w:lang w:bidi="fa-IR"/>
        </w:rPr>
        <w:t>.</w:t>
      </w:r>
      <w:bookmarkStart w:id="457" w:name="pg12912_111916"/>
    </w:p>
    <w:p>
      <w:pPr>
        <w:pStyle w:val="Heading5"/>
        <w:numPr>
          <w:ilvl w:val="4"/>
          <w:numId w:val="1"/>
        </w:numPr>
        <w:rPr/>
      </w:pPr>
      <w:bookmarkStart w:id="458" w:name="__RefHeading___Toc3425663_3224264995"/>
      <w:bookmarkStart w:id="459" w:name="_Toc172"/>
      <w:bookmarkEnd w:id="457"/>
      <w:bookmarkEnd w:id="458"/>
      <w:r>
        <w:rPr>
          <w:rtl w:val="true"/>
        </w:rPr>
        <w:t>المطلب الرابع فی الشبهة الموضوعیة من الأقلّ و الأکثر الارتباطیین</w:t>
      </w:r>
      <w:bookmarkEnd w:id="459"/>
    </w:p>
    <w:p>
      <w:pPr>
        <w:pStyle w:val="Heading6"/>
        <w:numPr>
          <w:ilvl w:val="5"/>
          <w:numId w:val="1"/>
        </w:numPr>
        <w:rPr/>
      </w:pPr>
      <w:bookmarkStart w:id="460" w:name="__RefHeading___Toc3425665_3224264995"/>
      <w:bookmarkStart w:id="461" w:name="_Toc173"/>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فالأولی أن نذکر الصور المتصوّرة فی المقام، ثمّ نحول حول ما قیل أو یمکن أن یقال، مع بیان ما هو المختار</w:t>
      </w:r>
      <w:r>
        <w:rPr>
          <w:rFonts w:eastAsia="IRNazanin" w:cs="IRNazanin"/>
          <w:color w:val="111111"/>
          <w:sz w:val="28"/>
          <w:szCs w:val="28"/>
          <w:rtl w:val="true"/>
          <w:lang w:bidi="fa-IR"/>
        </w:rPr>
        <w:t>:</w:t>
      </w:r>
    </w:p>
    <w:p>
      <w:pPr>
        <w:pStyle w:val="Heading6"/>
        <w:numPr>
          <w:ilvl w:val="5"/>
          <w:numId w:val="1"/>
        </w:numPr>
        <w:rPr/>
      </w:pPr>
      <w:bookmarkStart w:id="462" w:name="__RefHeading___Toc3425667_3224264995"/>
      <w:bookmarkStart w:id="463" w:name="_Toc174"/>
      <w:bookmarkEnd w:id="462"/>
      <w:r>
        <w:rPr>
          <w:rtl w:val="true"/>
        </w:rPr>
        <w:t>الأقسام المتصوّرة فی الشبهة الموضوعیة</w:t>
      </w:r>
      <w:bookmarkEnd w:id="463"/>
    </w:p>
    <w:p>
      <w:pPr>
        <w:pStyle w:val="Heading6"/>
        <w:numPr>
          <w:ilvl w:val="5"/>
          <w:numId w:val="1"/>
        </w:numPr>
        <w:rPr/>
      </w:pPr>
      <w:bookmarkStart w:id="464" w:name="__RefHeading___Toc3425669_3224264995"/>
      <w:bookmarkStart w:id="465" w:name="_Toc175"/>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إنّ تعلّق الحکم علی العناوین الواقعة تحت دائرة الحکم یتصوّر علی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الحکم علی الطبیعة بوجودها الساری و الاستغراق الأفرادی، و یسمّی العامّ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بها بوجودها المجموعی، و یسمّی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المحکوم بالحکم فی الأوّل کلّ فرد منها و فی الثانی مجموع الأفراد، و فی الأوّل عصیانات و امتثالات بخلاف الآخر؛ فإنّ فیه امتثالًا واحداً و عصیاناً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الحکم بنفس الطبیعة؛ أعنی الماهیة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الحکم بها علی نحو صرف الوجود؛ أعنی ناقض العدم عند البعث إلیها، أو ناقض الوجود عند الزجر عنها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قسم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علیه بعض الأعاظم</w:t>
      </w:r>
      <w:r>
        <w:rPr>
          <w:rStyle w:val="FootnoteAnchor"/>
          <w:rtl w:val="true"/>
        </w:rPr>
        <w:footnoteReference w:id="447"/>
      </w:r>
      <w:r>
        <w:rPr>
          <w:rFonts w:ascii="IRNazanin" w:hAnsi="IRNazanin" w:eastAsia="IRNazanin"/>
          <w:color w:val="111111"/>
          <w:sz w:val="28"/>
          <w:sz w:val="28"/>
          <w:szCs w:val="28"/>
          <w:rtl w:val="true"/>
          <w:lang w:bidi="fa-IR"/>
        </w:rPr>
        <w:t>و هو أن یکون متعلّق الحکم</w:t>
      </w:r>
      <w:bookmarkStart w:id="466" w:name="pg12912_111917"/>
    </w:p>
    <w:p>
      <w:pPr>
        <w:pStyle w:val="BookText"/>
        <w:rPr/>
      </w:pPr>
      <w:bookmarkEnd w:id="466"/>
      <w:r>
        <w:rPr>
          <w:rFonts w:ascii="IRNazanin" w:hAnsi="IRNazanin" w:eastAsia="IRNazanin"/>
          <w:color w:val="111111"/>
          <w:sz w:val="28"/>
          <w:sz w:val="28"/>
          <w:szCs w:val="28"/>
          <w:rtl w:val="true"/>
          <w:lang w:bidi="fa-IR"/>
        </w:rPr>
        <w:t>القضیة المعدولة علی وجه الناعتیة؛ بأن یطلب من المکلّف کونه لا شارب الخمر، و لکن المذکور صرف تصوّر؛ و لذلک ضربنا عنه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قد یتعلّق بالموضوع الخارجی،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العلماء موضوع لمتعلّق الحکم؛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لا یکون کذلک،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واضح؛ فإنّ المتعلّق ما هو مصبّ الحکم و متعلّقه؛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الموضوع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یکون الشکّ فی أصل التکلیف، و قد یکون فی جزئه أو شرطه، أو مانعه أو قاطعه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الأقسام المتصوّرة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الموضوع و المتعلّق لا یفترقان حسب النتیجة جعلناهما قسماً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التکلیف أمراً و قد یکون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 حال الأقسام فی ضمن أمرین</w:t>
      </w:r>
      <w:r>
        <w:rPr>
          <w:rFonts w:eastAsia="IRNazanin" w:cs="IRNazanin"/>
          <w:color w:val="111111"/>
          <w:sz w:val="28"/>
          <w:szCs w:val="28"/>
          <w:rtl w:val="true"/>
          <w:lang w:bidi="fa-IR"/>
        </w:rPr>
        <w:t>:</w:t>
      </w:r>
    </w:p>
    <w:p>
      <w:pPr>
        <w:pStyle w:val="Heading6"/>
        <w:numPr>
          <w:ilvl w:val="5"/>
          <w:numId w:val="1"/>
        </w:numPr>
        <w:rPr/>
      </w:pPr>
      <w:bookmarkStart w:id="467" w:name="__RefHeading___Toc3425671_3224264995"/>
      <w:bookmarkStart w:id="468" w:name="_Toc176"/>
      <w:bookmarkEnd w:id="467"/>
      <w:r>
        <w:rPr>
          <w:rtl w:val="true"/>
        </w:rPr>
        <w:t>الأمر الأوّل</w:t>
      </w:r>
      <w:r>
        <w:rPr>
          <w:rtl w:val="true"/>
        </w:rPr>
        <w:t xml:space="preserve">: </w:t>
      </w:r>
      <w:r>
        <w:rPr>
          <w:rtl w:val="true"/>
        </w:rPr>
        <w:t>حال الأقسام فیما إذا کان الحکم نفسیاً</w:t>
      </w:r>
      <w:bookmarkEnd w:id="468"/>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الحکم الوجوبی النفسی علی الموضوع علی نحو العامّ الاستغراقی فالحقّ فیه البراءة؛ فإنّ مصبّ الحکم حسب الدلیل و إن کان عنوان الکلّ و أشباهه إلّا أنّه عنوان مشیر إلی الأفراد، و قد جعله المولی وسیلة لبعث المکلّف إلی إکرام کلّ واحد واحد من الأفراد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یتعلّق الحکم بعنوان واحد حتّی نشکّ فی انطباقه علی المأتی به؛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کلّ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موضوعیة، بل واسطة لإیصال الحکم إلی الموضوعات الواقعیة، و هی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أحکاماً و موضوعات و إطاعات و عصیانات؛ فمن علم کونه من مصادیق الموضوع فقد علم تعلّق الحکم به، و من شکّ کونه عالماً أو لا فقد شکّ فی تعلّق الحکم علیه، فیقع مصبّ العقاب بلا بیان، أو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المولی بیان الکبریات لا الصغریات، فما یرجع إلیه إنّما هو بیان الحکم الکلّی، و المفروض أنّه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هذا فرد أو لا فخارج عن وظیفته، فلا بدّ من الاحتیاط؛ خروجاً عن مخالفته فی الأفراد الواقعیة التی تمّ بیانه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للمکلّف من الخروج عن عهدة تلک الکبری المعلومة یقیناً، و هو لا یحصل إلّا بالاحتیاط</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تامّ؛ فإنّ الکبری الکلّیة لیست بیاناً للفرد المشکوک بالضرورة، و تعلّقها علی الأفراد الواقعیة غیر کونها بیاناً للفرد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وظیفة المولی إنّما هو بیان الکبریات لا المصادیق و إن کان صحیحاً إلّا أنّ العقاب لا یصحّ إلّا مع تمام الحجّة علی العبد، و الکبری لا تصیر حجّة علی الصغری، بل لا بدّ من عثوره علیها بطریق عقلائی أو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موضوع حکمه هو قبح العقاب بلا حجّة، و هی مؤلّفة من صغری و کبری، فلا بدّ من قیام الحجّة علی الصغری و الکبری؛ و إن قامت الحجّة علیها، إلّا أنّ الصغری مشکوکة لم تقم الحجّة علیها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قیاس المقام بصورة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الکبری فیه حجّة علی الصغری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باطل؛ فإنّ العلم الإجمالی قد تعلّق بالصغری، و لکنّه</w:t>
      </w:r>
    </w:p>
    <w:p>
      <w:pPr>
        <w:pStyle w:val="BookText"/>
        <w:rPr/>
      </w:pPr>
      <w:r>
        <w:rPr>
          <w:rFonts w:ascii="IRNazanin" w:hAnsi="IRNazanin" w:eastAsia="IRNazanin"/>
          <w:color w:val="111111"/>
          <w:sz w:val="28"/>
          <w:sz w:val="28"/>
          <w:szCs w:val="28"/>
          <w:rtl w:val="true"/>
          <w:lang w:bidi="fa-IR"/>
        </w:rPr>
        <w:t>مردّدة بین أمرین أو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بالنسبة إلی الصغری تامّة، و عروض الإجمال لا تأثیر له فی تمامیة الحجّة، بخلاف المقام؛ فإنّ الصغری غیر معلومة؛ لا تفصیلًا و 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المقام شکّ فی التکلیف، بخلافه 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أنّه یحتاج إلی بیان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مع کون العامّ مأخوذاً علی نحو العامّ المجموعی؛ بأن أوجب إکرام مجموع العلماء؛ بحیث یتعلّق الحکم علی ذلک العنوان لا علی ذات الأفراد؛ و لو بتوسیط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الاشتغال؛ لأنّ ترک إکرام من یشکّ کونه عالماً، و الاکتفاء علی إکرام من علم کونه عالماً یوجب الشکّ فی تحقّق هذا العنوان الذی تعلّق به الأمر و قامت علیه الحجّة، نظیر الشکّ فی المحصِّل؛ و إن کان بینهما فرق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الاجتماع مأخوذ فی موضوع الحکم، فیکون ما هو الموضوع أمراً وحدانیاً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فی الموضوع یکون الشکّ فی انطباق المأمور به علی المأتی 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مثّله الشیخ الأعظم رحمه الله للمقام، و حکم فیه بالاحتیاط فیما إذا امر بالصوم بین الهلالین</w:t>
      </w:r>
      <w:r>
        <w:rPr>
          <w:rStyle w:val="FootnoteAnchor"/>
          <w:rtl w:val="true"/>
        </w:rPr>
        <w:footnoteReference w:id="449"/>
      </w:r>
      <w:r>
        <w:rPr>
          <w:rFonts w:ascii="IRNazanin" w:hAnsi="IRNazanin" w:eastAsia="IRNazanin"/>
          <w:color w:val="111111"/>
          <w:sz w:val="28"/>
          <w:sz w:val="28"/>
          <w:szCs w:val="28"/>
          <w:rtl w:val="true"/>
          <w:lang w:bidi="fa-IR"/>
        </w:rPr>
        <w:t>فی غایة الصحّة بناءً علی هذا الفرض؛ فإنّ ترک صوم یوم الشکّ من رمضان یوجب الشکّ فی تحقّق هذا العنوان، و معه لا مناص من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أعاظم العصر رحمه الله من الرجوع إلی البراءة عند تعلّق الحکم بالعامّ المجموعی ففی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 عالمیة بعض إلی الشکّ بین الأقلّ و الأکثر الارتباطی؛ فإنّه لم یتعلّق التکلیف الاستقلالی بإکرام ما یشکّ فی کونه من أفراد العلماء، علی تقدیر أن یکون من أفراد العلماء واقعاً؛ لأنّه لیس هناک إلّا تکلیف واحد تعلّق بإکرام مجموع العلماء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إکرام فرد من العلماء بمنزلة الجزء لإکرام سائر العلماء، کجزئیة السورة للصلاة، فیرجع إلی الشکّ بین الأقلّ و الأکثر الارتباطی،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بالسورة لیس له تعلّق بالموضوع الخارجی، فلا یمکن أن یتحقّق الشبهة الموضوعیة فیها، بل لا بدّ و أن تکون حکمیة، بخلاف المقام</w:t>
      </w:r>
      <w:r>
        <w:rPr>
          <w:rStyle w:val="FootnoteAnchor"/>
          <w:rtl w:val="true"/>
        </w:rPr>
        <w:footnoteReference w:id="4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تصویر الشبهة الموضوعیة فی جزئیة السورة، کالشکّ فی جزئیة بعض السور التی یدّعیه الحشویة من العامّة و بعض الإمامیة أنّها من القرآن</w:t>
      </w:r>
      <w:r>
        <w:rPr>
          <w:rStyle w:val="FootnoteAnchor"/>
          <w:rtl w:val="true"/>
        </w:rPr>
        <w:footnoteReference w:id="451"/>
      </w:r>
      <w:r>
        <w:rPr>
          <w:rFonts w:ascii="IRNazanin" w:hAnsi="IRNazanin" w:eastAsia="IRNazanin"/>
          <w:color w:val="111111"/>
          <w:sz w:val="28"/>
          <w:sz w:val="28"/>
          <w:szCs w:val="28"/>
          <w:rtl w:val="true"/>
          <w:lang w:bidi="fa-IR"/>
        </w:rPr>
        <w:t>و إن کان واضح الفساد، إلّا أنّ تصویرها ممکن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وضوح الفرق بین المقامین؛ فإنّ الأمر فی الأقلّ و الأکثر الارتباطیین تعلّق بالأجزاء فی لحاظ الوحدة، و لیست الصلاة عنواناً متحصّلًا منها؛ بحیث یشکّ فی تحقّقها مع ترک الجزء أو الشرط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فالشکّ فی جزئیة السورة شکّ فی انبساط الأمر أو فی داعویته المتعلّق</w:t>
      </w:r>
    </w:p>
    <w:p>
      <w:pPr>
        <w:pStyle w:val="BookText"/>
        <w:rPr/>
      </w:pPr>
      <w:r>
        <w:rPr>
          <w:rFonts w:ascii="IRNazanin" w:hAnsi="IRNazanin" w:eastAsia="IRNazanin"/>
          <w:color w:val="111111"/>
          <w:sz w:val="28"/>
          <w:sz w:val="28"/>
          <w:szCs w:val="28"/>
          <w:rtl w:val="true"/>
          <w:lang w:bidi="fa-IR"/>
        </w:rPr>
        <w:t>بالمرکّب علی ما مرّ توضیحه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المقام فالأمر تعلّق بعنوان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المجموع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قامت الحجّة بما هو هو، و مرجع الشکّ إلی انطباق المأتی به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المقام شکّ فی تحقّق عنوان المأمور به، بخلاف الشکّ فی تقیّد الصلاة بشی‌ء أو جزئیة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تعلّق الأمر بنفس الطبیعة أو علی نحو صرف الوجود، فالاشتغال أوضح، فلا یمکن الاکتفاء بالفرد المشکوک کونه من أفرادها فی مقام إیجادها أو ناقض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الشکّ إلی تحقّق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أو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الوجوبی النفسی بأقسامه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التحریمی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یکن بعثاً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جریان البراءة بین صورها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الاستغراق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لکون مرجع الشکّ إلی تعلّق الحکم المنحلّ به، و نظیره فی الوضوح إذا تعلّق بنفس الطبیعة أو بصرف الوجود؛ فإنّ مآل الشکّ فی الجمیع إلی تحقّق الفرد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فالعقاب علیه عقاب بلا حجّة، و کذا إذا تعلّق علی نحو العامّ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مجموع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إکرام مَن علم فسقه، مع ترک إکرام المشکوک فسقه؛ للشکّ فی تحقّق المبغوض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النفسی وجوباً أو تحریماً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بیان الأوامر و النواهی الغیریة فی ضمن أمر آخر</w:t>
      </w:r>
      <w:r>
        <w:rPr>
          <w:rFonts w:eastAsia="IRNazanin" w:cs="IRNazanin"/>
          <w:color w:val="111111"/>
          <w:sz w:val="28"/>
          <w:szCs w:val="28"/>
          <w:rtl w:val="true"/>
          <w:lang w:bidi="fa-IR"/>
        </w:rPr>
        <w:t>:</w:t>
      </w:r>
      <w:bookmarkStart w:id="469" w:name="pg12912_111922"/>
    </w:p>
    <w:p>
      <w:pPr>
        <w:pStyle w:val="Heading6"/>
        <w:numPr>
          <w:ilvl w:val="5"/>
          <w:numId w:val="1"/>
        </w:numPr>
        <w:rPr/>
      </w:pPr>
      <w:bookmarkStart w:id="470" w:name="__RefHeading___Toc3425673_3224264995"/>
      <w:bookmarkStart w:id="471" w:name="_Toc177"/>
      <w:bookmarkEnd w:id="469"/>
      <w:bookmarkEnd w:id="470"/>
      <w:r>
        <w:rPr>
          <w:rtl w:val="true"/>
        </w:rPr>
        <w:t>الأمر الثانی</w:t>
      </w:r>
      <w:r>
        <w:rPr>
          <w:rtl w:val="true"/>
        </w:rPr>
        <w:t xml:space="preserve">: </w:t>
      </w:r>
      <w:r>
        <w:rPr>
          <w:rtl w:val="true"/>
        </w:rPr>
        <w:t>حال الأقسام فیما إذا کان الحکم غیریاً</w:t>
      </w:r>
      <w:bookmarkEnd w:id="471"/>
    </w:p>
    <w:p>
      <w:pPr>
        <w:pStyle w:val="BookText"/>
        <w:rPr/>
      </w:pPr>
      <w:r>
        <w:rPr>
          <w:rFonts w:ascii="IRNazanin" w:hAnsi="IRNazanin" w:eastAsia="IRNazanin"/>
          <w:color w:val="111111"/>
          <w:sz w:val="28"/>
          <w:sz w:val="28"/>
          <w:szCs w:val="28"/>
          <w:rtl w:val="true"/>
          <w:lang w:bidi="fa-IR"/>
        </w:rPr>
        <w:t>أمّا الشرطیة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فالاستغراقی منها مورد للبراءة، و المجموعی مورد للاشتغال؛ لأنّ مرجع الشکّ فی الأوّل إلی أنّه تعلّق الأمر الغیری الانحلالی به أو لا، کالشکّ فی جزئیة السورة التی تخیّلها الحشویة من العامّة و بعض الخاصّة کونها جزءًا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قراءة سور القرآن مأخوذاً علی نحو الجزئیة فلا یجب قراءة المشکوک، و یجوز الاکتفاء بالمعلوم منها، کما أنّ الشکّ فی الثانی إلی تحقّق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السورة المشکوک فیها، فلا بدّ من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القسمین من التصوّرات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الشرطیة أو الجزئیة علی نحو تعلّق الحکم بالطبیعة أو علی نحو صرف الوجود فالاشتغال محکّم، فلا یجوز الاکتفاء بسورة مع الشکّ فی کونها من القرآن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المانعیة و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القول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المانعیة إن کانت مرجعها إلی مضادّیة وجود المانع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جریان البراءة مطلقاً؛ سواء کانت علی نحو العامّ الاستغراقی؛ لکون مرجع الشکّ إلی تعلّق الحکم الغیری به مستقلًاّ علی نحو الانحلال المعقول، أم علی نحو العامّ المجموعی؛ للشکّ فی تحقّق هذا العنوان مع ترک المشکوک، و ارتکاب عامّة ما علم کونه مانعاً، کما هو الحال فی النواهی النفسیة، أم علی نحو القضیة الطبیعیة، أم علی صرف الوجود؛ للشکّ فی تحقّق المانع بارتکاب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للتأمّل فی بعضها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مرجع المانعیة إلی شرطیة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خلاف الاعتبار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حالها حال الشرط فی الانحلال و عدمه، ففی العامّ الاستغراقی یرجع إلی البراءة؛ للشکّ فی شرطیة عدم هذا اللباس المشکوک کونه ممّا لا یؤکل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الباقیة فالاشتغال هو المحکّم فی العامّ المجموعی؛ فلأنّ ما هو الشرط مجموع الأعدام، فلا بدّ من إحراز ذلک الشرط بترک المشکوک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بنحو القضیة الطبیعیة أو صرف الوجود ففی 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هو الشرط هو طبیعة العدم أو ناقضه، و هو یحصل بترک اللباس المعلوم کونها ممّا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الاشتغال تردّد؛ و إن کان الأوّل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 اعتبارها باعتبار مضادّة الشی‌ء مع الهیئة الاتّصالیة المأخوذة فی المرکّب، و مع الشکّ فی عروض القاطع تجری فیه ما قلنا فی المانع بالمعنی الأوّل؛ أعنی مضادّیة وجوده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تخلو عن إشکال لو قلنا بأنّ الهیئة الاتّصالیة مأخوذة فی المأمور به علی وجه العنوان، و سیأتی تتمیم ذلک فی استصحاب الهیئة الاتّصالیة عن قریب إن شاء اللَّه</w:t>
      </w:r>
      <w:r>
        <w:rPr>
          <w:rStyle w:val="FootnoteAnchor"/>
          <w:rtl w:val="true"/>
        </w:rPr>
        <w:footnoteReference w:id="453"/>
      </w:r>
      <w:r>
        <w:rPr>
          <w:rFonts w:ascii="IRNazanin" w:hAnsi="IRNazanin" w:eastAsia="IRNazanin"/>
          <w:color w:val="111111"/>
          <w:sz w:val="28"/>
          <w:sz w:val="28"/>
          <w:szCs w:val="28"/>
          <w:rtl w:val="true"/>
          <w:lang w:bidi="fa-IR"/>
        </w:rPr>
        <w:t>هذا تمام الکلام فی الأقلّ و الأکثر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التنبیه علی أمرین</w:t>
      </w:r>
      <w:r>
        <w:rPr>
          <w:rFonts w:eastAsia="IRNazanin" w:cs="IRNazanin"/>
          <w:color w:val="111111"/>
          <w:sz w:val="28"/>
          <w:szCs w:val="28"/>
          <w:rtl w:val="true"/>
          <w:lang w:bidi="fa-IR"/>
        </w:rPr>
        <w:t>:</w:t>
      </w:r>
      <w:bookmarkStart w:id="472" w:name="pg12912_111924"/>
    </w:p>
    <w:p>
      <w:pPr>
        <w:pStyle w:val="Heading6"/>
        <w:numPr>
          <w:ilvl w:val="5"/>
          <w:numId w:val="1"/>
        </w:numPr>
        <w:rPr/>
      </w:pPr>
      <w:bookmarkStart w:id="473" w:name="__RefHeading___Toc3425675_3224264995"/>
      <w:bookmarkStart w:id="474" w:name="_Toc178"/>
      <w:bookmarkEnd w:id="472"/>
      <w:bookmarkEnd w:id="473"/>
      <w:r>
        <w:rPr>
          <w:rtl w:val="true"/>
        </w:rPr>
        <w:t>الأمر الأوّل فی أصالة الرکنیة فی الأجزاء و الشرائط</w:t>
      </w:r>
      <w:bookmarkEnd w:id="474"/>
    </w:p>
    <w:p>
      <w:pPr>
        <w:pStyle w:val="Heading6"/>
        <w:numPr>
          <w:ilvl w:val="5"/>
          <w:numId w:val="1"/>
        </w:numPr>
        <w:rPr/>
      </w:pPr>
      <w:bookmarkStart w:id="475" w:name="__RefHeading___Toc3425677_3224264995"/>
      <w:bookmarkStart w:id="476" w:name="_Toc179"/>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إذا ثبت جزئیة شی‌ء أو شرطیته للمرکّب فی الجملة فیقع الکلام فی نقصه و زیادته عمداً أو سهواً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جزئیة شی‌ء مثلًا لمرکّبٍ فهل یوجب نقصه سهواً بطلان المرکّب أولا؟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العقلی هو الرکنیة أولا؟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الأصل الشرعی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الزیادة العمدیة و السهویة، و مقتضی الأصل العقلی 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جزئیة الشی‌ء علی وجه الإطلاق فی حالتی الذکر و السهو، و بعبارة أوضح علی القول بأصالة الرکنیة فی الأجزاء و الشرائط هل قام الدلیل علی خلافها، و أنّ الناقص فی حال النسیان یجزی عن الواقع التامّ؟</w:t>
      </w:r>
    </w:p>
    <w:p>
      <w:pPr>
        <w:pStyle w:val="BookText"/>
        <w:rPr/>
      </w:pPr>
      <w:r>
        <w:rPr>
          <w:rFonts w:ascii="IRNazanin" w:hAnsi="IRNazanin" w:eastAsia="IRNazanin"/>
          <w:color w:val="111111"/>
          <w:sz w:val="28"/>
          <w:sz w:val="28"/>
          <w:szCs w:val="28"/>
          <w:rtl w:val="true"/>
          <w:lang w:bidi="fa-IR"/>
        </w:rPr>
        <w:t>فهذه مقامات أربعة، و دونک بیانها</w:t>
      </w:r>
      <w:r>
        <w:rPr>
          <w:rFonts w:eastAsia="IRNazanin" w:cs="IRNazanin"/>
          <w:color w:val="111111"/>
          <w:sz w:val="28"/>
          <w:szCs w:val="28"/>
          <w:rtl w:val="true"/>
          <w:lang w:bidi="fa-IR"/>
        </w:rPr>
        <w:t>:</w:t>
      </w:r>
    </w:p>
    <w:p>
      <w:pPr>
        <w:pStyle w:val="Heading6"/>
        <w:numPr>
          <w:ilvl w:val="5"/>
          <w:numId w:val="1"/>
        </w:numPr>
        <w:rPr/>
      </w:pPr>
      <w:bookmarkStart w:id="477" w:name="__RefHeading___Toc3425679_3224264995"/>
      <w:bookmarkStart w:id="478" w:name="_Toc180"/>
      <w:bookmarkEnd w:id="477"/>
      <w:r>
        <w:rPr>
          <w:rtl w:val="true"/>
        </w:rPr>
        <w:t>المقام الأوّل فیما یقتضیه الأصل العقلی بالنسبة إلی النقیصة السهویة</w:t>
      </w:r>
      <w:bookmarkEnd w:id="478"/>
    </w:p>
    <w:p>
      <w:pPr>
        <w:pStyle w:val="Heading6"/>
        <w:numPr>
          <w:ilvl w:val="5"/>
          <w:numId w:val="1"/>
        </w:numPr>
        <w:rPr/>
      </w:pPr>
      <w:bookmarkStart w:id="479" w:name="__RefHeading___Toc3425681_3224264995"/>
      <w:bookmarkStart w:id="480" w:name="_Toc181"/>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إذا ثبت جزئیة شی‌ء للمرکّب فهل الأصل العقلی هو الرکنیة، فیبطل المرکّب لو أخلّ به سهواً؟</w:t>
      </w:r>
    </w:p>
    <w:p>
      <w:pPr>
        <w:pStyle w:val="BookText"/>
        <w:rPr/>
      </w:pPr>
      <w:r>
        <w:rPr>
          <w:rFonts w:ascii="IRNazanin" w:hAnsi="IRNazanin" w:eastAsia="IRNazanin"/>
          <w:color w:val="111111"/>
          <w:sz w:val="28"/>
          <w:sz w:val="28"/>
          <w:szCs w:val="28"/>
          <w:rtl w:val="true"/>
          <w:lang w:bidi="fa-IR"/>
        </w:rPr>
        <w:t>و قبل الخوض فی المقصود لا بدّ من تنقیح محطّ البحث، فنقول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محلّ النزاع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بالبراءة أو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لم یکن</w:t>
      </w:r>
    </w:p>
    <w:p>
      <w:pPr>
        <w:pStyle w:val="BookText"/>
        <w:rPr/>
      </w:pPr>
      <w:r>
        <w:rPr>
          <w:rFonts w:ascii="IRNazanin" w:hAnsi="IRNazanin" w:eastAsia="IRNazanin"/>
          <w:color w:val="111111"/>
          <w:sz w:val="28"/>
          <w:sz w:val="28"/>
          <w:szCs w:val="28"/>
          <w:rtl w:val="true"/>
          <w:lang w:bidi="fa-IR"/>
        </w:rPr>
        <w:t>لدلیل المرکّب و لا لدلیل الجزء و الشرط إطلاق؛ إذ لو کان لدلیل المرکّب إطلاق بالنسبة إلی ما عدا المنسی یقتصر فی تقییده بالجزء المنسی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لدلیل الجزء أو الشرط إطلاق بالنسبة إلی حالة النسیان یحکم بعدم سقوط وجوبه فی حال النسیان، و یکون المأتی به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هنا ضابط کلّی لبیان وجود الإطلاق و عدمه فی المرکّب و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المتضمّنة لبیان حکم المرکّبات إنّما هو فی مقام أصل التشریع، لا إطلاق لها غالباً، کما أنّ أدلّة الأجزاء و الشرائط لها إطلاق بالنسبة إلی الأحوال الطارئة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صار بعضهم إلی بیان الضابط،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إثبات الأجزاء و الشرائط، و کذا الموانع إن کانت بنحو التکلیف،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عمومها و شمولها لحال النسیان و الغفلة، فیختصّ جزئیته و شرطیته لحال الذکر؛ لامتناع انتزاع الوضع المطلق من التکلیف المختصّ بحال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بنحو الوضع،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انتزاع الوضع المطلق؛ لعدم انتزاعه من الخطاب أو التکلیف المختصّ بحالة دون غیرها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w:t>
      </w:r>
      <w:r>
        <w:rPr>
          <w:rStyle w:val="FootnoteAnchor"/>
          <w:rtl w:val="true"/>
        </w:rPr>
        <w:footnoteReference w:id="456"/>
      </w:r>
      <w:r>
        <w:rPr>
          <w:rFonts w:ascii="IRNazanin" w:hAnsi="IRNazanin" w:eastAsia="IRNazanin"/>
          <w:color w:val="111111"/>
          <w:sz w:val="28"/>
          <w:sz w:val="28"/>
          <w:szCs w:val="28"/>
          <w:rtl w:val="true"/>
          <w:lang w:bidi="fa-IR"/>
        </w:rPr>
        <w:t>فی باب الخروج عن محلّ الابتلاء، و أنّ المحذور إنّما هو فی الخطاب الشخصی دون الکلّی القانونی، و علیه فلا محذور إذا قلنا بأنّ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مطلق یعمّ حال الغفلة و النسیان،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یصار إلی ضابط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امتناع شمول التکالیف المتقدّمة لحال النسیان 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استفادة الإطلاق من هذه الأدلّة أیضاً لأجل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تلک الأدلّة فی الإرشاد إلی الحکم الوضعی، و أنّ ذلک جزء أو شرط أو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ظهورها فی المولویة، لکن لیس امتناع تکلیف الناسی و الغافل من ضروریات العقول حتّی یکون کالقرینة الحافّة بالکلام مانعة من الظهور، بل هو من النظریات المحتاجة إلی التأمّل فی مبادئها، فتکون حاله کالقرائن المنفصلة المانعة عن حجّیة الظهور لا أصل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یقتضیه العقل المنع عن حجّیة ظهورها فی الحکم التکلیفی دون الوضعی، فیؤخذ بظهورها بالنسبة إلی إثبات الجزئیة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الإغماض عنه یمکن التمسّک بإطلاق المادّة لدخل الجزء فی الملاک و المصلحة مطلقاً فی حالتی الذکر و النسیان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بعض محقّقی العصر، و فیه مقامات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تلک الأوامر إرشادات إلی الجزئیة فإن أراد أنّ الهیئة مستعملة فی إفادة الجزئیة، من دون أن یستعمل فی البعث إلی الشی‌ء فهو خلاف الوجدان؛ لأنّها غیر منسلخة عن معانیها و حقائقها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جزء المرکّب و شرطه یفهم منه العرف الإرشاد إلی کونه جزءًا أو شرطاً، کما أنّ النهی عن الصلاة فی وبر ما لا یؤکل لحمه المستعمل فی</w:t>
      </w:r>
    </w:p>
    <w:p>
      <w:pPr>
        <w:pStyle w:val="BookText"/>
        <w:rPr/>
      </w:pPr>
      <w:r>
        <w:rPr>
          <w:rFonts w:ascii="IRNazanin" w:hAnsi="IRNazanin" w:eastAsia="IRNazanin"/>
          <w:color w:val="111111"/>
          <w:sz w:val="28"/>
          <w:sz w:val="28"/>
          <w:szCs w:val="28"/>
          <w:rtl w:val="true"/>
          <w:lang w:bidi="fa-IR"/>
        </w:rPr>
        <w:t>الزجر عن إیجاد الصلاة فیه ینتقل منه العرف إلی أنّ النهی لیس لمفسدة ذاتیة، بل لأجل ما نعیته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مستعملة فی البعث و الزجر، غیر أنّا ننتقل إلی الجزئیة و الشرطیة المطلقة فهو غیر تامّ؛ لأنّ استفادة الحکم الوضعی بتبع تعلّق التکلیف علی ذات الجزء و الشرط، فحینئذٍ یکون الإرشاد بمقدار إمکان تعلّق التکلیف، و إلّا فلا دلیل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أنّه یؤخذ بأحد الظهورین و یطرح الآخر؛ لأجل کون القرینة منفصلة غیر ضروری، ساقط من رأسه؛ لأنّ الأخذ بأحدهما و طرح الآخر فرع وجود ظهورین عرضیین فیه، فیرفع الید عمّا یقتضیه العقل؛ و هو سقوط إطلاق الحکم التکلیفی دون إطلاق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الظهور الثانی فی طول الأوّل و من متفرّعاته؛ بحیث یکون وجود الوضع و إطلاقه تابعاً لوجود التکلیف و إطلاقه فلا یعقل ذلک بعد سقوط المتبوع و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قرع الأسماع من التفکیک فی حجّیته بین الملزوم و اللازم لیس المقام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یکشف من عدم الظهور من أوّل الأمر، و أنّه کان ظهوراً متخیّلًا متزلزلًا لا ثابتاً، فیکون کالقرائن المتّصلة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بإطلاق المادّة موهون جدّاً؛ فلأنّ العلم باشتمال المادّة علی مصلحة تامّة لازمة الاستیفاء یتوقّف إثباتاً و کشفاً علی ورود أمر من الشارع، و مع سقوط الأمر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مبنی القائل و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حصل العلم باشتمالها علی المصلحة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یقطع بقیام المصلحة بالمادّة الخالیة من الأمر بجهات اخر، لکنّه خارج عن المقام</w:t>
      </w:r>
      <w:r>
        <w:rPr>
          <w:rFonts w:eastAsia="IRNazanin" w:cs="IRNazanin"/>
          <w:color w:val="111111"/>
          <w:sz w:val="28"/>
          <w:szCs w:val="28"/>
          <w:rtl w:val="true"/>
          <w:lang w:bidi="fa-IR"/>
        </w:rPr>
        <w:t>.</w:t>
      </w:r>
      <w:bookmarkStart w:id="481" w:name="pg12912_111928"/>
    </w:p>
    <w:p>
      <w:pPr>
        <w:pStyle w:val="Heading6"/>
        <w:numPr>
          <w:ilvl w:val="5"/>
          <w:numId w:val="1"/>
        </w:numPr>
        <w:rPr/>
      </w:pPr>
      <w:bookmarkStart w:id="482" w:name="__RefHeading___Toc3425683_3224264995"/>
      <w:bookmarkStart w:id="483" w:name="_Toc182"/>
      <w:bookmarkEnd w:id="481"/>
      <w:bookmarkEnd w:id="482"/>
      <w:r>
        <w:rPr>
          <w:rtl w:val="true"/>
        </w:rPr>
        <w:t>إشکال الشیخ الأعظم علی جریان البراءة بعدم إمکان خطاب الناسی</w:t>
      </w:r>
      <w:bookmarkEnd w:id="483"/>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الأصل العقلی عند ترک الجزء نسیاناً هو البراءة و الاکتفاء بالناقص، أو الاشتغال و لزوم الإعادة؟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تنجّز الجزء المنسی فی حال النسیان، و إنّما الإشکال فی ما عدا الجزء المنسی، و أنّه هل یصحّ تکلیفه بالإتیان بالباقی أولا؟</w:t>
      </w:r>
    </w:p>
    <w:p>
      <w:pPr>
        <w:pStyle w:val="BookText"/>
        <w:rPr/>
      </w:pPr>
      <w:r>
        <w:rPr>
          <w:rFonts w:ascii="IRNazanin" w:hAnsi="IRNazanin" w:eastAsia="IRNazanin"/>
          <w:color w:val="111111"/>
          <w:sz w:val="28"/>
          <w:sz w:val="28"/>
          <w:szCs w:val="28"/>
          <w:rtl w:val="true"/>
          <w:lang w:bidi="fa-IR"/>
        </w:rPr>
        <w:t>اختار الشیخ الأعظم، الثانی قائلًا بأنّ ما کان جزءًا حال العمد یکون جزءًا حال الغفلة و النسیان؛ لامتناع اختصاص الغافل و الساهی بالخطاب بالنسبة إلی المرکّب الناقص؛ لأنّ الخطاب إنّما یکون للانبعاث، و یمتنع انبعاث الغافل؛ لأنّه یتوقّف علی توجّهه بالخطاب بعنوانه، و معه یخرج عن کونه غافلًا، فخطابه لغو، فالأصل العقلی هو لزوم الاحتیاط</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3425685_3224264995"/>
      <w:bookmarkStart w:id="485" w:name="_Toc183"/>
      <w:bookmarkEnd w:id="484"/>
      <w:r>
        <w:rPr>
          <w:rtl w:val="true"/>
        </w:rPr>
        <w:t>التحقیق فی الجواب و ذکر أجوبة القوم</w:t>
      </w:r>
      <w:bookmarkEnd w:id="48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القوم عن الإشکال بوجوه لا بأس بالإشارة إلیها، مع بیان ما هو المختار من الجواب عندنا، فنقول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مسلک القوم من أنّ النسیان مانع عن فعلیة التکلیف بالجزء المنسی</w:t>
      </w:r>
      <w:r>
        <w:rPr>
          <w:rStyle w:val="FootnoteAnchor"/>
          <w:rtl w:val="true"/>
        </w:rPr>
        <w:footnoteReference w:id="459"/>
      </w:r>
      <w:r>
        <w:rPr>
          <w:rFonts w:ascii="IRNazanin" w:hAnsi="IRNazanin" w:eastAsia="IRNazanin"/>
          <w:color w:val="111111"/>
          <w:sz w:val="28"/>
          <w:sz w:val="28"/>
          <w:szCs w:val="28"/>
          <w:rtl w:val="true"/>
          <w:lang w:bidi="fa-IR"/>
        </w:rPr>
        <w:t>، و المختار عندنا</w:t>
      </w:r>
    </w:p>
    <w:p>
      <w:pPr>
        <w:pStyle w:val="BookText"/>
        <w:rPr/>
      </w:pPr>
      <w:r>
        <w:rPr>
          <w:rFonts w:ascii="IRNazanin" w:hAnsi="IRNazanin" w:eastAsia="IRNazanin"/>
          <w:color w:val="111111"/>
          <w:sz w:val="28"/>
          <w:sz w:val="28"/>
          <w:szCs w:val="28"/>
          <w:rtl w:val="true"/>
          <w:lang w:bidi="fa-IR"/>
        </w:rPr>
        <w:t>غیره؛ و أنّه کالعجز و الجهل مانع عن التنجیز لا عن الفعلیة</w:t>
      </w:r>
      <w:r>
        <w:rPr>
          <w:rStyle w:val="FootnoteAnchor"/>
          <w:rtl w:val="true"/>
        </w:rPr>
        <w:footnoteReference w:id="460"/>
      </w:r>
      <w:r>
        <w:rPr>
          <w:rFonts w:ascii="Amiri" w:hAnsi="Amiri" w:eastAsia="Amiri" w:cs="Amiri"/>
          <w:color w:val="111111"/>
          <w:sz w:val="28"/>
          <w:sz w:val="28"/>
          <w:szCs w:val="28"/>
          <w:rtl w:val="true"/>
          <w:lang w:bidi="ar-SA"/>
        </w:rPr>
        <w:t>إنّ جریان البراءة لا یتوقّف علی اختصاص الناسی و الساهی بالخطاب، بل یکفی فی ذلک الخطابات العامّة القانونیة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و الخطابات الواردة علی العناوین العامّة؛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افعلوا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الغرض من الخطاب هو بعث المکلّف نحو العمل، و هذه الخطابات کافیة فی البعث نحو العمل، غیر أنّ العالم و العامد یبعث منه إلی المرکّب التامّ، و الساهی و الغافل عن الجزء إلی المرکّب الناقص؛ لأنّ المفروض هو سقوط التکلیف بالجزء عن الناسی، و أنّه فرق بینه و بین غیره فی تعلّق التکلیف، فیکون اختصاصه بالخطاب مع حصول الغرض بتلک الخطابات لغواً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فرض أنّ الصلاة التامّة ذات مصلحة فی حقّ الذاکر، و الصلاة الناقصة ذات مصلحة و ذات ملاک بالنسبة إلی غیره،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خطاب واحد باعث لهما نحو المطلوب القائم به الملاک، یکون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صغریات الأقلّ و الأکثر إذا أتی الناسی بالمرکّب ثمّ تنبّه؛ لأنّ الناسی بعد ما أتی بالمرکّب الناقص و وقف علی الجزء المنسی یشکّ فی أنّ الجزء المنسی هل کان له اقتضاء بالنسبة إلیه فی حال النسیان حتّی یحتاج إلی الإعادة أو لا اقتضاء له؛ فتجری فی حقّه البراءة، بعین ما قدّمناه فی الأقلّ و الأکثر</w:t>
      </w:r>
      <w:r>
        <w:rPr>
          <w:rStyle w:val="FootnoteAnchor"/>
          <w:rtl w:val="true"/>
        </w:rPr>
        <w:footnoteReference w:id="462"/>
      </w:r>
      <w:r>
        <w:rPr>
          <w:rFonts w:ascii="IRNazanin" w:hAnsi="IRNazanin" w:eastAsia="IRNazanin"/>
          <w:color w:val="111111"/>
          <w:sz w:val="28"/>
          <w:sz w:val="28"/>
          <w:szCs w:val="28"/>
          <w:rtl w:val="true"/>
          <w:lang w:bidi="fa-IR"/>
        </w:rPr>
        <w:t>، من غیر فرق بین النسیان المستوعب و غیره؛ لأنّ الأمر الداعی إلی المرکّب داعٍ بعین تلک الدعوة إلی</w:t>
      </w:r>
    </w:p>
    <w:p>
      <w:pPr>
        <w:pStyle w:val="BookText"/>
        <w:rPr/>
      </w:pPr>
      <w:r>
        <w:rPr>
          <w:rFonts w:ascii="IRNazanin" w:hAnsi="IRNazanin" w:eastAsia="IRNazanin"/>
          <w:color w:val="111111"/>
          <w:sz w:val="28"/>
          <w:sz w:val="28"/>
          <w:szCs w:val="28"/>
          <w:rtl w:val="true"/>
          <w:lang w:bidi="fa-IR"/>
        </w:rPr>
        <w:t>الأجزاء، و المفروض أنّ الأجزاء التی کان الأمر بالمرکّب داعیاً إلیها قد أتی بها الناسی، و بعد الإتیان بها یشکّ فی أنّ الأمر هل له دعوة اخری إلی إتیانها ثانیاً حتّی یکون داعیاً إلی إتیان الجزء المنسی أیضاً أولا؟ و مع الشکّ فالأصل البراءة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 و قد 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اللاحقة بما هذا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الممکن أن یکون الغرض المطلوب فی حقّ الذاکر قائماً بالصلاة التامّة، و فی حقّ الناسی بالناقصة منها، و هذا أمر ممکن لیس بمستحیل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التامّة فی حقّ الذاکر ما یأتی به من الأجزاء، کما أنّ الصلاة التامّة للناسی هی الأجزاء ما عدا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صلاة تامّة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المتعلّق بالمرکّب داعٍ کلّ فریق من العامد و الذاکر و الساهی و الغافل إلی العنوان الذی تعلّق به الأمر، و مقتضی الإرادة الاستعمالیة کون المأمور به أمراً واحداً فی حقّ الجمیع، غیر مختلف من حیث الکیفیة و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لمّا کانت الجدّیة علی خلافها، و کان الناسی فی افق الإرادة الجدّیة محکوماً بما عدا المنسی وجب علی المولی توضیح ما هو الواجب فی حقّ الناسی بدلیل عقلی أو نقلی، و تخصیص جزئیة المنسی بحال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سائر المواضع، فحینئذٍ ینحصر داعویة الأمر المتعلّق بالمرکّب إلی ما عدا المنسی، من دون حاجة إلی الأمرین، مع حصول الغرض بأمر واحد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أمر ممکن یکفی فی رفع الاستحالة التی ادّعاه الشیخ الأعظم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فلو فرض أنّ المکلّف الناسی أتی بما عدا المنسی ثمّ تذکّر</w:t>
      </w:r>
    </w:p>
    <w:p>
      <w:pPr>
        <w:pStyle w:val="BookText"/>
        <w:rPr/>
      </w:pPr>
      <w:r>
        <w:rPr>
          <w:rFonts w:ascii="IRNazanin" w:hAnsi="IRNazanin" w:eastAsia="IRNazanin"/>
          <w:color w:val="111111"/>
          <w:sz w:val="28"/>
          <w:sz w:val="28"/>
          <w:szCs w:val="28"/>
          <w:rtl w:val="true"/>
          <w:lang w:bidi="fa-IR"/>
        </w:rPr>
        <w:t>یشکّ بعد ذکره فی داعویة الأمر المتعلّق بالمرکّب إلی الأجزاء التامّة ثانیاً، و الأصل یقتضی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مبانی القوم، و أمّا إذا قلنا بأنّ النسیان و الغفلة کالجهل و العجز أعذار عقلیة، مع بقاء التکلیف علی ما کان علیه، فمع ترک الجزء نسیاناً یجب الإعادة إذا کان لدلیل الجزء إطلاق؛ لعدم الإتیان بالمأمور به بجمیع أجزائه، و مع عدم الإطلاق فالبراءة محکّمة؛ لرجوع الشکّ إلی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بعدم الخطاب أصلًا؛ لا بالتامّ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قادر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بالناقص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قابل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 الخطاب إلیه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ارتفع النسیان یشکّ الناسی فی أنّه هل صار مکلّفاً بالإتیان بالمرکّب التامّ أولا؛ لاحتمال وفاء الناقص بمصلحة التامّ، و مع الشکّ فالأصل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الاقتضاء بالنسبة إلی الجزء الفائت لا دلیل علیه، و الأصل البراءة عنه، کما هو الشأن فی الأقلّ و الأکثر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وجیه علی مبانی القوم من سقوط الخطاب عن الناسی و الغافل، و أمّا علی المختار فالتکلیف باقٍ؛ و إن کان الساهی معذوراً، لکنّه غیر السقوط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إمکان بعثه إلی الناقص، کما تقدّم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بعض أعاظم العصر رحمه الله عن تقریرات بعض الأجلّة لبحث الشیخ الأعظم من إمکان أخذ الناسی عنواناً للمکلّف؛ و تکلیفه بما عدا الجزء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ذلک لیس إلّا توهّم کون الناسی لا یلتفت إلی نسیانه فی ذلک الحال، فلا یمکنه امتثال الأمر؛ لأنّه فرع الالتفات إلی ما اخذ عنواناً</w:t>
      </w:r>
    </w:p>
    <w:p>
      <w:pPr>
        <w:pStyle w:val="BookText"/>
        <w:rPr/>
      </w:pPr>
      <w:r>
        <w:rPr>
          <w:rFonts w:ascii="IRNazanin" w:hAnsi="IRNazanin" w:eastAsia="IRNazanin"/>
          <w:color w:val="111111"/>
          <w:sz w:val="28"/>
          <w:sz w:val="28"/>
          <w:szCs w:val="28"/>
          <w:rtl w:val="true"/>
          <w:lang w:bidi="fa-IR"/>
        </w:rPr>
        <w:t>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الأمر لا یتوقّف علی الالتفات إلی ما اخذ عنواناً له بخصوصه، بل یمکن الامتثال بالالتفات إلی ما ینطبق علیه؛ و لو کان من باب الخطأ فی التطبیق، فیقصد الأمر المتوجّه إلیه بالعنوان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فالناسی للجزء یقصد الأمر الواقعی له؛ و إن أخطأ فی تطبیق أمر الذاکر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صحّة البعث و الطلب أن یکون قابلًا للانبعاث عنه؛ بحیث یمکن أن یصیر داعیاً لانقداح الإرادة و حرکة العضلات نحو المأمور به؛ 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التکلیف الذی یکون دائماً فی الخطأ فی التطبیق لا یمکن أن یکون داعیاً أصلًا، فهو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هذا بأمر الأداء و القضاء؛ لأنّ الخطأ فی التطبیق فیهما قد یتّفق، بخلاف المقام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تصدیق کون الأمر الواقعی المتعلّق بالناسی بعنوان أنّه ناسٍ محرّکاً واقعاً، و إنّما وقع الخطأ فی تطبیق عنوان أمر الذاکر علی الناسی لا مجال للإشکال؛ لأنّ المفروض أنّ المحرّک للناسی دائماً إنّما هو الأمر الواقعی المتعلّق به، لا الأمر المتوجّه إلی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غیر محرّک أصلًا؛ لأنّ البعث فرع الوصول، و هو بعد لم یصل، بل المحرّک له هو أمر الذاکر؛ لتوهّمه أنّه 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منبعث نحو المأمور به؛ سواء کان للناسی خطاب یخصّه أو 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الواقعی المتوجّه إلی الناسی محرّک له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الخطأ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bookmarkStart w:id="486" w:name="pg12912_111933"/>
    </w:p>
    <w:p>
      <w:pPr>
        <w:pStyle w:val="BookText"/>
        <w:rPr/>
      </w:pPr>
      <w:bookmarkEnd w:id="48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Style w:val="FootnoteAnchor"/>
          <w:rtl w:val="true"/>
        </w:rPr>
        <w:footnoteReference w:id="466"/>
      </w:r>
      <w:r>
        <w:rPr>
          <w:rFonts w:ascii="IRNazanin" w:hAnsi="IRNazanin" w:eastAsia="IRNazanin"/>
          <w:color w:val="111111"/>
          <w:sz w:val="28"/>
          <w:sz w:val="28"/>
          <w:szCs w:val="28"/>
          <w:rtl w:val="true"/>
          <w:lang w:bidi="fa-IR"/>
        </w:rPr>
        <w:t>، و اختاره بعض أعاظم العصر رحمه الله،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فی حقّ الذاکر و الناسی إنّما هو ما عدا المنسی، غیر أنّ الذاکر یختصّ بخطاب یخصّه بالجزء المنسی، و المحذور فی تخصیص الناسی بالخطاب لا الذاکر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داعی للخطابین بعد انبعاث الفریقین من الخطاب الواحد، علی ما تقدّم توضیحه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ما قیل من الأجوبة فی رفع الإشکال و تصحیح جریان البراءة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العقلی فی الجزء المنسی یقتضی البراءة إذا لم یکن لدلیل الجزء إطلاق</w:t>
      </w:r>
      <w:r>
        <w:rPr>
          <w:rFonts w:eastAsia="IRNazanin" w:cs="IRNazanin"/>
          <w:color w:val="111111"/>
          <w:sz w:val="28"/>
          <w:szCs w:val="28"/>
          <w:rtl w:val="true"/>
          <w:lang w:bidi="fa-IR"/>
        </w:rPr>
        <w:t>.</w:t>
      </w:r>
    </w:p>
    <w:p>
      <w:pPr>
        <w:pStyle w:val="Heading6"/>
        <w:numPr>
          <w:ilvl w:val="5"/>
          <w:numId w:val="1"/>
        </w:numPr>
        <w:rPr/>
      </w:pPr>
      <w:bookmarkStart w:id="487" w:name="__RefHeading___Toc3425687_3224264995"/>
      <w:bookmarkStart w:id="488" w:name="_Toc184"/>
      <w:bookmarkEnd w:id="487"/>
      <w:r>
        <w:rPr>
          <w:rtl w:val="true"/>
        </w:rPr>
        <w:t>تفصیل المحقّق النائینی بین نسیان المستوعب للوقت و عدمه</w:t>
      </w:r>
      <w:bookmarkEnd w:id="488"/>
    </w:p>
    <w:p>
      <w:pPr>
        <w:pStyle w:val="BookText"/>
        <w:rPr/>
      </w:pPr>
      <w:r>
        <w:rPr>
          <w:rFonts w:ascii="IRNazanin" w:hAnsi="IRNazanin" w:eastAsia="IRNazanin"/>
          <w:color w:val="111111"/>
          <w:sz w:val="28"/>
          <w:sz w:val="28"/>
          <w:szCs w:val="28"/>
          <w:rtl w:val="true"/>
          <w:lang w:bidi="fa-IR"/>
        </w:rPr>
        <w:t>ثمّ إنّ التدبّر الصحیح فی هذه الوجوه یعطی عدم الفرق فی الرجوع إلی البراءة بین النسیان المستوعب للوقت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یظهر من بعض أعاظم العصر التفصیل، و محصّل ما أفاده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البراءة عن الجزء المنسی فی حال النسیان لا تقتضی عدم وجوب الفرد التامّ فی ظرف التذکّر، بل مقتضی إطلاق الأدلّة وجوبه؛ لأنّ المأمور به هو صرف الطبیعة التامّة فی مجموع الوقت، و یکفی فی وجوب ذلک التمکّن من إیجادها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جزء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التمکّن فی تمامه، کما هو الحال فی سائر الأعذار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الجزئیة بأدلّة البراءة فی حال النسیان لا یلازم رفعها فی</w:t>
      </w:r>
    </w:p>
    <w:p>
      <w:pPr>
        <w:pStyle w:val="BookText"/>
        <w:rPr/>
      </w:pPr>
      <w:r>
        <w:rPr>
          <w:rFonts w:ascii="IRNazanin" w:hAnsi="IRNazanin" w:eastAsia="IRNazanin"/>
          <w:color w:val="111111"/>
          <w:sz w:val="28"/>
          <w:sz w:val="28"/>
          <w:szCs w:val="28"/>
          <w:rtl w:val="true"/>
          <w:lang w:bidi="fa-IR"/>
        </w:rPr>
        <w:t>ظرف التذکّر؛ لأنّ الشکّ فی الأوّل یرجع إلی ثبوت الجزئیة فی حال النسیان، و فی الثانی یرجع إلی سقوط التکلیف بالجزء فی 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المکلّف ذاکراً فی أوّل الوقت ثمّ عرض له النسیان فی الأثناء، و إلّا فیجری استصحاب التکلیف للشکّ فی سقوطه بسبب النسیان الطارئ الزائل فی الوقت</w:t>
      </w:r>
      <w:r>
        <w:rPr>
          <w:rStyle w:val="FootnoteAnchor"/>
          <w:rtl w:val="true"/>
        </w:rPr>
        <w:footnoteReference w:id="4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قد وافق القوم فی سقوط التکلیف بالجزء المنسی، فحینئذٍ یرجع الشکّ بعد التذکّر إلی حدوث التکلیف بالجزء، و توجد داعویة اخری للتکلیف الثابت للمرکّب بالنسبة إلی بقیة الأجزاء المأتی بها، و الأصل یقتضی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المأمور به صرف الطبیعة التامّة فی مجموع الوقت، و کفایة التمکّن فیه فی الجملة صحیح لو کان تارکاً لها من رأس، و أمّا بعد ما أتی بالمرکّب الناقص، و فرضنا سقوط التکلیف بالجزء المنسی فتوجّه التکلیف إلیه بالنسبة إلی الجزء المنسی، أو تجدّد داعویة للمرکّب بالنسبة إلی الباقی مشکوک مورد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إذا کان ذاکراً فی أوّل الوقت، ثمّ طرأ علیه النسیان و أتی بالمرکّب بما عدا الجزء المنسی ثمّ ارتفع العذر، فحینئذٍ فالتمسّک باستصحاب التکلیف الموجود أوّل الوقت غریب؛ لأنّا نعلم بانعدام الأمر الأوّل بعروض النسیان، و أنّه فات و مات به، فکیف یجوز استصحابه؟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منه التمسّک بإطلاق دلیل الجزء فهو مخالف لمفروض البحث علی ما نبّهنا علیه مراراً</w:t>
      </w:r>
      <w:r>
        <w:rPr>
          <w:rFonts w:eastAsia="IRNazanin" w:cs="IRNazanin"/>
          <w:color w:val="111111"/>
          <w:sz w:val="28"/>
          <w:szCs w:val="28"/>
          <w:rtl w:val="true"/>
          <w:lang w:bidi="fa-IR"/>
        </w:rPr>
        <w:t>.</w:t>
      </w:r>
      <w:bookmarkStart w:id="489" w:name="pg12912_111935"/>
    </w:p>
    <w:p>
      <w:pPr>
        <w:pStyle w:val="Heading6"/>
        <w:numPr>
          <w:ilvl w:val="5"/>
          <w:numId w:val="1"/>
        </w:numPr>
        <w:rPr/>
      </w:pPr>
      <w:bookmarkStart w:id="490" w:name="__RefHeading___Toc3425689_3224264995"/>
      <w:bookmarkStart w:id="491" w:name="_Toc185"/>
      <w:bookmarkEnd w:id="489"/>
      <w:bookmarkEnd w:id="490"/>
      <w:r>
        <w:rPr>
          <w:rtl w:val="true"/>
        </w:rPr>
        <w:t>المقام الثانی فیما یقتضیه الأصل الشرعی فی النقیصة السهویة</w:t>
      </w:r>
      <w:bookmarkEnd w:id="491"/>
    </w:p>
    <w:p>
      <w:pPr>
        <w:pStyle w:val="Heading6"/>
        <w:numPr>
          <w:ilvl w:val="5"/>
          <w:numId w:val="1"/>
        </w:numPr>
        <w:rPr/>
      </w:pPr>
      <w:bookmarkStart w:id="492" w:name="__RefHeading___Toc3425691_3224264995"/>
      <w:bookmarkStart w:id="493" w:name="_Toc186"/>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لو ثبت لدلیل الجزء أو الشرط إطلاق بالنسبة إلی حال النسیان فهل یجوز التمسّک بحدیث الرفع</w:t>
      </w:r>
      <w:r>
        <w:rPr>
          <w:rStyle w:val="FootnoteAnchor"/>
          <w:rtl w:val="true"/>
        </w:rPr>
        <w:footnoteReference w:id="470"/>
      </w:r>
      <w:r>
        <w:rPr>
          <w:rFonts w:ascii="IRNazanin" w:hAnsi="IRNazanin" w:eastAsia="IRNazanin"/>
          <w:color w:val="111111"/>
          <w:sz w:val="28"/>
          <w:sz w:val="28"/>
          <w:szCs w:val="28"/>
          <w:rtl w:val="true"/>
          <w:lang w:bidi="fa-IR"/>
        </w:rPr>
        <w:t>فی تقیید إطلاقه و تخصیصه بحال الذکر أو لا یجوز؟ و لو لم یجز التمسّک فإطلاق الجزء و الشرط محکّمان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المقام غیر ما فی المقام السابق؛ لأنّ البحث فیما مضی کان فی مقتضی الأصل العقلی، و موضوعه کون المورد ممّا لم یرد فیه بیان من المولی؛ و لذا اشترطنا فیه عدم وجود إطلاق لدلیل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فالحدیث حدیث حکومة و تقیید، و هو فرع وجود إطلاق لدلیلهما؛ بمعنی أنّه یلزم أن یکون للمحکوم وجود أو شأنیة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تلک الجملة فهی و البراءة العقلیة متساوقان متّحدان شرطاً و مورداً و مصبّاً، و إنّما البحث فی المقام هو التمسّک بالنسیان و غیره</w:t>
      </w:r>
      <w:r>
        <w:rPr>
          <w:rFonts w:eastAsia="IRNazanin" w:cs="IRNazanin"/>
          <w:color w:val="111111"/>
          <w:sz w:val="28"/>
          <w:szCs w:val="28"/>
          <w:rtl w:val="true"/>
          <w:lang w:bidi="fa-IR"/>
        </w:rPr>
        <w:t>.</w:t>
      </w:r>
    </w:p>
    <w:p>
      <w:pPr>
        <w:pStyle w:val="Heading6"/>
        <w:numPr>
          <w:ilvl w:val="5"/>
          <w:numId w:val="1"/>
        </w:numPr>
        <w:rPr/>
      </w:pPr>
      <w:bookmarkStart w:id="494" w:name="__RefHeading___Toc3425693_3224264995"/>
      <w:bookmarkStart w:id="495" w:name="_Toc187"/>
      <w:bookmarkEnd w:id="494"/>
      <w:r>
        <w:rPr>
          <w:rtl w:val="true"/>
        </w:rPr>
        <w:t>صحّة التمسّک بحدیث الرفع فی رفع جزئیة المنسی</w:t>
      </w:r>
      <w:bookmarkEnd w:id="49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جواز التمسّک بحدیث الرفع فی رفع جزئیة المنسی فی حال النسیان، و تخصیصه بحال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إجزاء ما أتی به من المرکّب</w:t>
      </w:r>
    </w:p>
    <w:p>
      <w:pPr>
        <w:pStyle w:val="BookText"/>
        <w:rPr/>
      </w:pPr>
      <w:r>
        <w:rPr>
          <w:rFonts w:ascii="IRNazanin" w:hAnsi="IRNazanin" w:eastAsia="IRNazanin"/>
          <w:color w:val="111111"/>
          <w:sz w:val="28"/>
          <w:sz w:val="28"/>
          <w:szCs w:val="28"/>
          <w:rtl w:val="true"/>
          <w:lang w:bidi="fa-IR"/>
        </w:rPr>
        <w:t>الناقص، و کونه تمام المأمور به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یحتاج إلی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وافاک فیما مضی</w:t>
      </w:r>
      <w:r>
        <w:rPr>
          <w:rStyle w:val="FootnoteAnchor"/>
          <w:rtl w:val="true"/>
        </w:rPr>
        <w:footnoteReference w:id="471"/>
      </w:r>
      <w:r>
        <w:rPr>
          <w:rFonts w:ascii="IRNazanin" w:hAnsi="IRNazanin" w:eastAsia="IRNazanin"/>
          <w:color w:val="111111"/>
          <w:sz w:val="28"/>
          <w:sz w:val="28"/>
          <w:szCs w:val="28"/>
          <w:rtl w:val="true"/>
          <w:lang w:bidi="fa-IR"/>
        </w:rPr>
        <w:t>أنّ متعلّق الأمر عنوان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الأجزاء لکن فی لحاظ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الأجزاء عین ذلک العنوان لکن فی لحاظ التفصیل، و قد عرفت أنّ داعویة الأمر إلی المرکّب عین داعویته إلیها، لا بدعوة اخری مستقلّة، و لا بدعوة ضمنیة و لا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الدعوة المستقلّة المغایرة للدعوة إلی المرکّب فظاهر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الضمنی أو الغیری فلا حاجة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امتثال هذا الأمر، فکلّ ما یصدر من البنّاء؛ من الحرکات و السکنات و رفع القواعد و الجدار مأمور به بذلک الأمر، و فعله امتثال له، لا امتثال لأمر ضمنی أو غیری؛ إذ بناء المسجد لیس إلّا هذا و ذاک و ذلک فی لحاظ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باقی المرکّبات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کلّ من العناوین التسعة لم یتعلّق برفع ما تعلّق به الإرادة الجدّیة؛ لاستلزامه النسخ المستحیل، بل تعلّق برفع ما تعلّق به الإرادة الاستعمالیة، علی ما هو المتعارف بین أصحاب التقنین؛ من طرح القوانین الکلّیة أوّلًا، و ذکر مخصّصاتها و قیودها فی ضمن فصول اخر، و هو یکشف عن أنّ الإرادة اللبّیة لم یتعلّق إلّا بغیر مورد التخصیص و التقیید و الحکومة، کما أنّ عدم العثور علی الدلیل یکشف عن تطابق الإرادتین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أوضحنا حال کلّ واحد من العناوین فی مبحث البراءة، فلا حاجة إلی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و إن اسند إلی النسیان إلّا أنّه غیر</w:t>
      </w:r>
    </w:p>
    <w:p>
      <w:pPr>
        <w:pStyle w:val="BookText"/>
        <w:rPr/>
      </w:pPr>
      <w:r>
        <w:rPr>
          <w:rFonts w:ascii="IRNazanin" w:hAnsi="IRNazanin" w:eastAsia="IRNazanin"/>
          <w:color w:val="111111"/>
          <w:sz w:val="28"/>
          <w:sz w:val="28"/>
          <w:szCs w:val="28"/>
          <w:rtl w:val="true"/>
          <w:lang w:bidi="fa-IR"/>
        </w:rPr>
        <w:t>مرتفع بالوجدان</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المصدر بمعنی المنسی علی نحو المجاز فی الکلمة</w:t>
      </w:r>
      <w:r>
        <w:rPr>
          <w:rStyle w:val="FootnoteAnchor"/>
          <w:rtl w:val="true"/>
        </w:rPr>
        <w:footnoteReference w:id="473"/>
      </w:r>
      <w:r>
        <w:rPr>
          <w:rFonts w:ascii="IRNazanin" w:hAnsi="IRNazanin" w:eastAsia="IRNazanin"/>
          <w:color w:val="111111"/>
          <w:sz w:val="28"/>
          <w:sz w:val="28"/>
          <w:szCs w:val="28"/>
          <w:rtl w:val="true"/>
          <w:lang w:bidi="fa-IR"/>
        </w:rPr>
        <w:t>خارج عن الذوق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الإسناد إلیه مبنی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النسیان عین المنسی؛ لعلاقة بینهما، و ادّعاء أنّ رفع المنسی باعتبار رفع ما له من الأحکام حسب الإطلاقات و العمومات؛ بحیث لو لا حدیث الرفع لکان الالتزام بمفادهما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النسیان المتعلّق بالموضوع هل هو متعلّق بوجود الطبیعة أو بعدمها؟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بل هو متعلّق بنفس الطبیعة؛ فإنّ المصلّی غفل عن نفس الطبیعة و حضورها فی الذهن؛ و لذلک قلنا</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المرفوع إنّما هو جمیع الآثار، لا المؤاخذة و الأثر المناسب؛ لأنّ رفع الطبیعة یناسبها رفع ما له من الآثار؛ من وجوب و حرمة، و شرطیة و جزئیة، و قاطعیة و مانعیة،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الرفع إلی الامور التسعة لیس علی نسق واحد؛ فإنّ منها ما اسند فیه الرفع إلی الموصول وصلته، 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اسند إلی نفس اللفظ، کما فی النسیان و الخطأ</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یکون ذلک اقتداءً بالکتاب العزیز؛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حیث غیّر سبحانه نسق الکلام؛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الوجه فی ذلک هو أنّ ما یأتی به الإنسان لأجل الاضطرار و الإکراه، أو یترکه لأجلهما ینطبق علیه ذانک العنوانان دائماً، فلو أکل المیتة و ترک الصلاة عن اضطرار، أو باع داره و أفطر الصوم عن إکراه یصدق علی کلّ من المأتی و المتروک أنّه مضطرّ إلیه و مکره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النسیان و الخطأ فإنّ الصادر عن الإنسان لأجلهما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یصدق علیه النسیان و الخطأ بالمعنی المفعولی علی الوجه الذی قدّمناه، کترک الجزء و الشرط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یصدق علیه ذلک، إلّا أنّ النسیان و الخطأ مبدأ لصدوره أو ترکه، کإیجاد الموانع و القواطع فی الصلاة من المصلّی العالم بإبطال الضحک، الغافل عن کونه فی الصلاة؛ فإنّ الضحک صادر عن الإنسان عمداً بلا إشکال، إلّا أنّ المبدأ له هو نسیان کونه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الخطأ، فالضحک و إن کان لا یصدق علیه أنّه ممّا نسی أو المنسی إلّا أنّه ممّا للنسیان فی وجوده دخالة،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باللفظ البسیط دون الموصول وصلته لأجل کون المرفوع عامّاً؛ أی سواء کان الشی‌ء منسیاً أو کان النسیان فیه مبدأ، کالقواطع و الموانع التی تصدر عن المصلّی عمداً، مع الغفلة عن کونه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لک صحّة التمسّک بحدیث الرفع لرفع الجزئیة فی حال النسیان و إن کان النسیان نسیان الموضوع، و یصیر نتیجة 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إطلاقها لحال النسیان، إذا ضمّت إلی الحدیث الحاکم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هو الباقی حال النسیان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بعد التأمّل فیما تقدّم ظاهر؛ إذ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بالمرکّب له داعویة إلی أجزائها بعین تلک الدعوة، فلو قام الدلیل علی أنّ دعوة المرکّب إلی</w:t>
      </w:r>
      <w:bookmarkStart w:id="496" w:name="pg12912_111939"/>
    </w:p>
    <w:p>
      <w:pPr>
        <w:pStyle w:val="BookText"/>
        <w:rPr/>
      </w:pPr>
      <w:bookmarkEnd w:id="496"/>
      <w:r>
        <w:rPr>
          <w:rFonts w:ascii="IRNazanin" w:hAnsi="IRNazanin" w:eastAsia="IRNazanin"/>
          <w:color w:val="111111"/>
          <w:sz w:val="28"/>
          <w:sz w:val="28"/>
          <w:szCs w:val="28"/>
          <w:rtl w:val="true"/>
          <w:lang w:bidi="fa-IR"/>
        </w:rPr>
        <w:t>هذا الجزء فی حال النسیان و إن کان ثابتاً بالدلیل الأوّل إلّا أنّه لم یتعلّق به الإرادة الجدّیة فی تلک الحالة، من دون تعرّض لباقی الأجزاء و الشرائط غیر المنسیة فلا محالة ینحصر دعوته بالباقی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76"/>
      </w:r>
      <w:r>
        <w:rPr>
          <w:rFonts w:ascii="IRNazanin" w:hAnsi="IRNazanin" w:eastAsia="IRNazanin"/>
          <w:color w:val="111111"/>
          <w:sz w:val="28"/>
          <w:sz w:val="28"/>
          <w:szCs w:val="28"/>
          <w:rtl w:val="true"/>
          <w:lang w:bidi="fa-IR"/>
        </w:rPr>
        <w:t>أنّ رفع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رفع ما له من الآثار و الأحکام عامّة، و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وجود الجزء هو الصحّة، و رفعها یناقض المطلوب</w:t>
      </w:r>
      <w:r>
        <w:rPr>
          <w:rStyle w:val="FootnoteAnchor"/>
          <w:rtl w:val="true"/>
        </w:rPr>
        <w:footnoteReference w:id="477"/>
      </w:r>
      <w:r>
        <w:rPr>
          <w:rFonts w:ascii="IRNazanin" w:hAnsi="IRNazanin" w:eastAsia="IRNazanin"/>
          <w:color w:val="111111"/>
          <w:sz w:val="28"/>
          <w:sz w:val="28"/>
          <w:szCs w:val="28"/>
          <w:rtl w:val="true"/>
          <w:lang w:bidi="fa-IR"/>
        </w:rPr>
        <w:t>لیس بشی‌ء؛ لما عرفت أنّ المنسی المرفوع هو نفس الطبیعة لا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الطبیعة فی الخارج عین الطبیعة، و الصحّة لیست أثراً جعلیاً، بل لا یمکن أن تکون مجعولة إلّا بمنشئها، و ما هو المجعول هو الجزئیة أو الشرطیة علی ما هو التحقیق من صحّة تعلّق الجعل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فالمرفوع لبّاً هو الشرطیة أو الجزئیة أو القاطعیة أو المانعیة</w:t>
      </w:r>
      <w:r>
        <w:rPr>
          <w:rFonts w:eastAsia="IRNazanin" w:cs="IRNazanin"/>
          <w:color w:val="111111"/>
          <w:sz w:val="28"/>
          <w:szCs w:val="28"/>
          <w:rtl w:val="true"/>
          <w:lang w:bidi="fa-IR"/>
        </w:rPr>
        <w:t>.</w:t>
      </w:r>
    </w:p>
    <w:p>
      <w:pPr>
        <w:pStyle w:val="Heading6"/>
        <w:numPr>
          <w:ilvl w:val="5"/>
          <w:numId w:val="1"/>
        </w:numPr>
        <w:rPr/>
      </w:pPr>
      <w:bookmarkStart w:id="497" w:name="__RefHeading___Toc3425695_3224264995"/>
      <w:bookmarkStart w:id="498" w:name="_Toc188"/>
      <w:bookmarkEnd w:id="497"/>
      <w:r>
        <w:rPr>
          <w:rtl w:val="true"/>
        </w:rPr>
        <w:t xml:space="preserve">فیما أورد المحقّق العراقی علی التمسّک بحدیث </w:t>
      </w:r>
      <w:r>
        <w:rPr>
          <w:rtl w:val="true"/>
        </w:rPr>
        <w:t>«</w:t>
      </w:r>
      <w:r>
        <w:rPr>
          <w:rtl w:val="true"/>
        </w:rPr>
        <w:t xml:space="preserve">رفع </w:t>
      </w:r>
      <w:r>
        <w:rPr>
          <w:rtl w:val="true"/>
        </w:rPr>
        <w:t xml:space="preserve">... </w:t>
      </w:r>
      <w:r>
        <w:rPr>
          <w:rtl w:val="true"/>
        </w:rPr>
        <w:t>النسیان</w:t>
      </w:r>
      <w:r>
        <w:rPr>
          <w:rtl w:val="true"/>
        </w:rPr>
        <w:t>»</w:t>
      </w:r>
      <w:bookmarkEnd w:id="498"/>
    </w:p>
    <w:p>
      <w:pPr>
        <w:pStyle w:val="BookText"/>
        <w:rPr/>
      </w:pPr>
      <w:r>
        <w:rPr>
          <w:rFonts w:ascii="IRNazanin" w:hAnsi="IRNazanin" w:eastAsia="IRNazanin"/>
          <w:color w:val="111111"/>
          <w:sz w:val="28"/>
          <w:sz w:val="28"/>
          <w:szCs w:val="28"/>
          <w:rtl w:val="true"/>
          <w:lang w:bidi="fa-IR"/>
        </w:rPr>
        <w:t>هذا توضیح المختار، و لا بدّ من دفع ما استصعبه بعضهم من الإشکالات؛ حتّی یتّضح الحقیقة بأجلی مظاهرها،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جزء للصلاة إنّما هو طبیعة الشی‌ء، و الجزئیة من أوصافها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النسیان لم یتعلّق بالطبیعة حتّی یرتفع آثارها، و إنّما تعلّق بوجودها، و هو لیس جزءًا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المنسی بالضرورة نفس الطبیعة؛ بمعنی حضورها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القائل من تعلّقه بالوجود تعلّقه بالفرد الخارجی فواضح الفساد؛ و إن کان المراد إیجاد الطبیعة فهو یرجع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رفع الجزئیة عن الجزء رفعها فی مقام الدخل فی الملاک فلا شبهة أنّه أمر تکوینی لا یقبل الرفع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رفعها بلحاظ انتزاعها عن التکلیف الضمنی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یختصّ بما لولاه لکان قابلًا للثبوت تکلیفاً أو وضعاً، و التکلیف الفعلی مرتفع عن المنسی بعروض النسیان، بملاک استحالة التکلیف بما لا یطاق، فالتکلیف مرتفع مع قطع النظر عن الحدیث</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یناقض مع ما مرّ</w:t>
      </w:r>
      <w:r>
        <w:rPr>
          <w:rStyle w:val="FootnoteAnchor"/>
          <w:rtl w:val="true"/>
        </w:rPr>
        <w:footnoteReference w:id="480"/>
      </w:r>
      <w:r>
        <w:rPr>
          <w:rFonts w:ascii="IRNazanin" w:hAnsi="IRNazanin" w:eastAsia="IRNazanin"/>
          <w:color w:val="111111"/>
          <w:sz w:val="28"/>
          <w:sz w:val="28"/>
          <w:szCs w:val="28"/>
          <w:rtl w:val="true"/>
          <w:lang w:bidi="fa-IR"/>
        </w:rPr>
        <w:t>من القائل من القول بالجزئیة المطلقة فیما إذا کان لسان الدلیل لسان وضع، أو لسان تکلیف لکن علی وجه الإرشاد إلی الجزئیة، و ما نقلناه هناک عن القائل نصّ فی إمکان جعل الجزئیة بالنسبة إلی الغافل و الجاهل، و لا یلزم منه التکلیف بما لا یطاق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 رحمه الله فی موضع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البراءة الشرعیة فی المقام فیما إذا ثبت لأدلّة الأجزاء و الشرائط إطلاق؛ بحیث لولاه لما کان للبحث عنها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زعم فی المقام أنّ ثبوت الإطلاق فی حال النسیان یوجب التکلیف بما لا یطاق</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عثرات ذهنه أو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تقریرات العلمین أنّه لیس فی المرکّب إلّا طلب واحد متعلّق بعدّة امور متباینة، و ینتزع جزئیة کلّ من انبساط ذلک الطلب إلی الکلّ، لا أنّ جزئیة کلّ مستقلّة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الجزئیة برفع منشأ انتزاعها؛ و هو رفع التکلیف عن المرکّب، فلا بدّ من القول بأنّ التکلیف مرفوع عن المرکّب بحدیث الرفع؛ لتعلّق الرفع بمنشإ انتزاع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إثبات التکلیف لبقیة الأجزاء؛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الطلب واحداً، و المفروض ارتفاعه بارتفاع جزئیة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لوجوب البقیة إلّا بقیام دلیل خاصّ</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الجزئیة فی حال النسیان لیس معناه رفع الجزئیة الثابتة بالأدلّة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حقیقیاً جدّیاً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المستحیل فی حقّه سبحانه</w:t>
      </w:r>
      <w:r>
        <w:rPr>
          <w:rStyle w:val="FootnoteAnchor"/>
          <w:rtl w:val="true"/>
        </w:rPr>
        <w:footnoteReference w:id="483"/>
      </w:r>
      <w:r>
        <w:rPr>
          <w:rFonts w:ascii="IRNazanin" w:hAnsi="IRNazanin" w:eastAsia="IRNazanin"/>
          <w:color w:val="111111"/>
          <w:sz w:val="28"/>
          <w:sz w:val="28"/>
          <w:szCs w:val="28"/>
          <w:rtl w:val="true"/>
          <w:lang w:bidi="fa-IR"/>
        </w:rPr>
        <w:t>، بل المراد هو الرفع القانونی؛ بمعنی عدم الجعل من رأس، و أنّ الإطلاق المستفاد من الدلیل إنّما کان مراداً بالإرادة الاستعمالیة لا الجدّیة، و أنّ الناسی و الخاطئ لم یسبق إلیهما التکلیف فی الأزل إلّا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فالتحدید بالبقیة لم یحصل بحدیث الرفع، و إنّما هو کاشف عن التحدید من حین تعلّق الأحکام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بالمرکّب له داعویة لکلّ جزء جزء بعین الدعوة إلی المرکّب</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الدلیل علی سقوط الجزئیة فی بعض الأحوال یفهم</w:t>
      </w:r>
    </w:p>
    <w:p>
      <w:pPr>
        <w:pStyle w:val="BookText"/>
        <w:rPr/>
      </w:pPr>
      <w:r>
        <w:rPr>
          <w:rFonts w:ascii="IRNazanin" w:hAnsi="IRNazanin" w:eastAsia="IRNazanin"/>
          <w:color w:val="111111"/>
          <w:sz w:val="28"/>
          <w:sz w:val="28"/>
          <w:szCs w:val="28"/>
          <w:rtl w:val="true"/>
          <w:lang w:bidi="fa-IR"/>
        </w:rPr>
        <w:t>العرف من ضمّهما بقاء الدعوة إلی المرکّب الناقص و الأجزاء غیر المنسیة، من غیر فرق بین الجهل بالجزئیة و نسیانها،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یقتضی الحدیث هو رفع بقاء الأمر الفعلی و الجزئیة الفعلیة حال النسیان الملازم بمقتضی الارتباطیة لسقوط التکلیف عن البقیة ما دام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اقتضاؤه لسقوط المنسی عن الجزئیة و الشرطیة فی حال النسیان لطبیعة الصلاة المأمور بها رأساً، علی نحوٍ یستتبع تحدید دائرة الطبیعة فی حال النسیان بالبقیة، و یقتضی الأمر بالإتیان بها، فلا؛ بداهة عدم تکفّل الحدیث لإثبات الوضع و التکلیف؛ لأنّ الحدیث حدیث رفع لا حدیث وضع</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أوضحنا دفعه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لیس بید الحدیث، و إنّما شأنه الکشف عن عدم تعلّق الإرادة الجدّیة بالجزء المنسی حال النسیان؛ و إن تعلّق به 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الوضع فالمتکفّل له إنّما هو نفس الأوامر الإلهیة المتعلّقة بعناوین المرکّبات، فالبقیة مأمور بها بنفس تلک الأوامر، و مع رفع الجزئیة تکون البقیة مصداقاً للمأمور به، و یسقط الأمر المتعلّق بالطبیعة، و هذا معنی الإجزاء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التمسّک بحدیث الرفع من کون المرفوع له نحو تقرّر و ثبوت، فلا یتعلّق الرفع بالمعدومات؛ و إن تنالها ید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النسیان لو تعلّق بجزئیة الجزء یکون من نسیان الحکم لا الموضوع،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المنسی نفس الجزء؛ أی الإتیان به قولًا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نسیانه خلوّ صفحة الوجود عنه،</w:t>
      </w:r>
    </w:p>
    <w:p>
      <w:pPr>
        <w:pStyle w:val="BookText"/>
        <w:rPr/>
      </w:pPr>
      <w:r>
        <w:rPr>
          <w:rFonts w:ascii="IRNazanin" w:hAnsi="IRNazanin" w:eastAsia="IRNazanin"/>
          <w:color w:val="111111"/>
          <w:sz w:val="28"/>
          <w:sz w:val="28"/>
          <w:szCs w:val="28"/>
          <w:rtl w:val="true"/>
          <w:lang w:bidi="fa-IR"/>
        </w:rPr>
        <w:t>فلا یعقل تعلّق الرفع به؛ لأنّه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محلّ البحث النسیان المستوعب و نسیان الجزء فی بعض الوقت کنسیان أصل المرکّب، فکما أنّ الثانی لا یوجب سقوط التکلیف رأساً کذلک الأوّل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الرفع أمر وجودی؛ و هو الجزئیة حال نسیان الموضوع، و لا دلیل علی اختصاص الرفع علی نسیان الحکم، بل یعمّه و نسیان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الذی ثبت جزئیته للمرکّب بالأدلّة الأوّلیة مرفوع جزئیته حال نسیان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متعلّق الرفع إنّما هو أمر وجودی؛ و هو الجزئیة حال نسیان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غیر ناسٍ للحکم و ذاکراً له لا یقتضی ثبوت الجزء؛ من حیث نسیان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الرفع یقتضی رفعه من حیث نسیانه للموضوع لا للحکم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نسیان الجزء بنسیان أصل المرکّب فمع الفارق؛ لأنّه مع عدم الإتیان بالمرکّب لا معنی للإجزاء، بخلاف ما لو أتی بما عدا المنسی؛ فإنّ الناقص یصیر مصداق المأمور به، بعد حکومة الحدیث علی الأدلّة، فالإتیان به یقتضی الإجزاء</w:t>
      </w:r>
      <w:r>
        <w:rPr>
          <w:rFonts w:eastAsia="IRNazanin" w:cs="IRNazanin"/>
          <w:color w:val="111111"/>
          <w:sz w:val="28"/>
          <w:szCs w:val="28"/>
          <w:rtl w:val="true"/>
          <w:lang w:bidi="fa-IR"/>
        </w:rPr>
        <w:t>.</w:t>
      </w:r>
      <w:bookmarkStart w:id="499" w:name="pg12912_111944"/>
    </w:p>
    <w:p>
      <w:pPr>
        <w:pStyle w:val="Heading6"/>
        <w:numPr>
          <w:ilvl w:val="5"/>
          <w:numId w:val="1"/>
        </w:numPr>
        <w:rPr/>
      </w:pPr>
      <w:bookmarkStart w:id="500" w:name="__RefHeading___Toc3425697_3224264995"/>
      <w:bookmarkStart w:id="501" w:name="_Toc189"/>
      <w:bookmarkEnd w:id="499"/>
      <w:bookmarkEnd w:id="500"/>
      <w:r>
        <w:rPr>
          <w:rtl w:val="true"/>
        </w:rPr>
        <w:t>المقام الثالث فی حال الزیادة العمدیة و السهویة</w:t>
      </w:r>
      <w:bookmarkEnd w:id="501"/>
    </w:p>
    <w:p>
      <w:pPr>
        <w:pStyle w:val="Heading6"/>
        <w:numPr>
          <w:ilvl w:val="5"/>
          <w:numId w:val="1"/>
        </w:numPr>
        <w:rPr/>
      </w:pPr>
      <w:bookmarkStart w:id="502" w:name="__RefHeading___Toc3425699_3224264995"/>
      <w:bookmarkStart w:id="503" w:name="_Toc190"/>
      <w:bookmarkEnd w:id="502"/>
      <w:r>
        <w:rPr>
          <w:rtl w:val="true"/>
        </w:rPr>
        <w:t>تصویر الزیادة فی الجزئیة و الشرطیة</w:t>
      </w:r>
      <w:bookmarkEnd w:id="503"/>
    </w:p>
    <w:p>
      <w:pPr>
        <w:pStyle w:val="BookText"/>
        <w:rPr/>
      </w:pPr>
      <w:r>
        <w:rPr>
          <w:rFonts w:ascii="IRNazanin" w:hAnsi="IRNazanin" w:eastAsia="IRNazanin"/>
          <w:color w:val="111111"/>
          <w:sz w:val="28"/>
          <w:sz w:val="28"/>
          <w:szCs w:val="28"/>
          <w:rtl w:val="true"/>
          <w:lang w:bidi="fa-IR"/>
        </w:rPr>
        <w:t>و قبل الخوض فی بیانه لا بدّ من التنبیه علی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فی المأمور به أو المکتوبة لا یتصوّر عقلًا؛ سواء اخذ المرکّب و الجزء لا بشرط أو اخذ کلاهما بشرط لا، أو اخذا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تتحقّق الزیادة فی المأمور به عرفاً، و أمّا النقیصة فهی تتحقّق فیه 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المرکّب ذات أجزاء و شرائط دخیلًا فی حصول الغرض فلا ریب أنّ المکلّف إذا أخلّ بواحد منهما یصدق أنّه نقص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فی الجزئیة أو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متحقّقة عقلًا؛ لأنّ عنوانی الکلّیة و الجزئیة إنّما تنتزعان من تعلّق الأمر بالمرکّب، فینتزع الکلّیة من تعلّقه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لحاظ الوحدة، کما ینتزع من کلّ واحدٍ الجزئیة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فالجزئیة من الامور الانتزاعیة التابعة لتعلّق الأمر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فی الجزء بالمعنی الذی عرفت لا یتصوّر؛ لأنّ الزیادة تنافی الجزئیة، فلا یعقل الإتیان بشی‌ء معتبر فی المرکّب لیصحّ انتزاع الجزئیة، و مع ذلک یکون زائداً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زیادة الجزء أشبه شی‌ء بالمتنافیین فی نظر العقل؛ لأنّ کون الشی‌ء جزءًا بالفعل منتزعاً منه الجزئیة فرع تعلّق الأمر به، و معنی الزیادة عدم تعلّق الأمر به، فکیف یجتمعان؟</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فی المکتوبة أو المأمور به لا تصدق إلّا إذا کان ظرف الزیادة هو المأمور به و المکتوبة، و لا یصدق ذلک إلّا إذا کان الجزء الزائد متعلّقاً للأمر حتّی یصدق أنّه زیادة فی المأمور به، و إلّا فهو شی‌ء أجنبی واقع بین الجزءین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الزیادة فی الجزء ممکنة بالمعنی العرفی، فإذا تکرّر الجزء یصدق علی الثانی منه أنّه زیادة فی المرکّب غیر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 من التفصیل فی تحقّق الزیادة بین ما إذا اخذ الجزء لا بشرط؛ فیتحقّق الزیادة مع أخذ المرکّب بشرط لا، و ما إذا اخذ بشرط لا؛ فإنّ مآله إلی النقیصة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بشی‌ء؛ لأنّ ما هو الجزء إنّما هو ذات الرکوع، و کونه مأخوذاً بشرط لا شرط أو وصف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أنّه زاد فی الجزء؛ و إن کان الزیادة یوجب ورود النقص لمکان الشرط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الخلط بین زیادة الجزء و نقصان الشرط، فالتکرار بذاته زیادة و باعتبار آخر منشأ للإخلال بقید الجزء و شرطه، و لا مانع من کون شی‌ء زیادةً و منشأ للنقصان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الجزء هو مجموع الشرط و المشروط، فذات الرکوع لیس بجزء، فلا یصیر تکراره زیادة فیه، مدفوع بأنّ جعل المجموع جزءًا لا یقتضی خروج ذات الرکوع عن الجزئیة؛ لأنّ جزء الجزء جزء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محقّقی العصر رحمه الله أراد تصویر الزیادة الحقیقیة، و أوضحه</w:t>
      </w:r>
    </w:p>
    <w:p>
      <w:pPr>
        <w:pStyle w:val="BookText"/>
        <w:rPr/>
      </w:pPr>
      <w:r>
        <w:rPr>
          <w:rFonts w:ascii="IRNazanin" w:hAnsi="IRNazanin" w:eastAsia="IRNazanin"/>
          <w:color w:val="111111"/>
          <w:sz w:val="28"/>
          <w:sz w:val="28"/>
          <w:szCs w:val="28"/>
          <w:rtl w:val="true"/>
          <w:lang w:bidi="fa-IR"/>
        </w:rPr>
        <w:t>بمقدّماتٍ، و لا بأس بنقل کلامه و توضیح ما فیه من الخلط،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کون الزیادة من سنخ المزید علیه، و لا تصدق علی الکلام الأجنبی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کون المزید فیه محدوداً بحدّ خاصّ؛ و لو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شی‌ء جزءًا أو شرطاً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جزءًا أو شرطاً بشرط لا من الزیادة فی مقام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لا بشرط من طرف الزیادة؛ بحیث لو زید علیه لکان الزائد خارجاً عن ماهیة المرکّب؛ لعدم تعلّق اللحاظ بالزائد عند اعتباره جزءًا، کما لو اعتبر فی الصلاة ذات الرکوع الواحد لا مقیّداً بشرط عدم الزیادة و لا طبیعة الرکوع، فیکون الرکوع الثانی خارجاً من حقیقة الصلاة؛ لعدم تعلّق اللحاظ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جزءًا لا بشرط، لکن بنحو لو زید علیه لکان الزائد من المرکّب، کما لو اعتبر طبیعة الرکوع الجامعة بین الواحد و المتعدّد، لا الرکوع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لتصویر الزیادة علی الأوّل؛ لرجوعها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الثانی؛ لأنّ الزائد علیه لیس من سنخ المزید علیه؛ لخروج الوجود الثانی عن دائرة اللحاظ، فیستحیل اتّصافه بالصلاتیة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فیتصوّر الزیادة الحقیقیة؛ سواء اخذ الجزء فی مقام الأمر بشرط لا أو لا بشرط بالمعنی الأوّل أو الثانی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علی الأوّلین ظاهر؛ لأنّ الوجود الثانی من طبیعة الجزء ممّا یصدق علیه الزیادة بالنسبة إلی ما اعتبر فی المأمور به من تحدید الجزء بالوجود الواحد؛ حیث إنّه یتعلّق الأمر بالصلاة المشتملة علی رکوع واحد یتحدّد طبیعة الصلاة بالقیاس إلی دائرة المأمور به منها بحدّ یکون الوجود الثانی بالنسبة إلی ذلک الحدّ</w:t>
      </w:r>
    </w:p>
    <w:p>
      <w:pPr>
        <w:pStyle w:val="BookText"/>
        <w:rPr/>
      </w:pPr>
      <w:r>
        <w:rPr>
          <w:rFonts w:ascii="IRNazanin" w:hAnsi="IRNazanin" w:eastAsia="IRNazanin"/>
          <w:color w:val="111111"/>
          <w:sz w:val="28"/>
          <w:sz w:val="28"/>
          <w:szCs w:val="28"/>
          <w:rtl w:val="true"/>
          <w:lang w:bidi="fa-IR"/>
        </w:rPr>
        <w:t>من الزیادة لقلب حدّه إلی حدّ آخر؛ و إن لم یصدق عنوان الزیادة بالنسبة إلی المأمور به بما هو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علی الأخیر؛ إذ بانطباق صرف الطبیعی علی الوجود الأوّل فی المتعاقبات یتحدّد دائرة المرکّب و المأمور به بحدّ قهراً یکون الوجود الثانی زیادة فی المرکّب و المأمور به، فتأمّل</w:t>
      </w:r>
      <w:r>
        <w:rPr>
          <w:rStyle w:val="FootnoteAnchor"/>
          <w:rtl w:val="true"/>
        </w:rPr>
        <w:footnoteReference w:id="488"/>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رحمه الله أشار بالتأمّل إلی بعض التأمّلات التی فی کلامه، و نحن نشیر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اللابشرط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أخذ الرکوع الواحد لا بقید الوحدة و لا بأخذه طبیعیاً جزءًا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محصّل له؛ لأنّ الوحدة إمّا قید أولا، فعلی الأوّل یرجع إلی الاعتبار الأوّل؛ أعنی أخذه بشرط لا، و علی الثانی یرجع إلی المعنی الثانی من لا بشرط؛ أعنی الاعتبار الثالث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فی الجزء الأوّل من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الحینیة التی ربّما یتخیّل أنّها متوسّطة بین المطلقة و المشروطة ممّا لا أصل له</w:t>
      </w:r>
      <w:r>
        <w:rPr>
          <w:rStyle w:val="FootnoteAnchor"/>
          <w:rtl w:val="true"/>
        </w:rPr>
        <w:footnoteReference w:id="489"/>
      </w:r>
      <w:r>
        <w:rPr>
          <w:rFonts w:ascii="IRNazanin" w:hAnsi="IRNazanin" w:eastAsia="IRNazanin"/>
          <w:color w:val="111111"/>
          <w:sz w:val="28"/>
          <w:sz w:val="28"/>
          <w:szCs w:val="28"/>
          <w:rtl w:val="true"/>
          <w:lang w:bidi="fa-IR"/>
        </w:rPr>
        <w:t>و إن اعتمد علیها القائل غیر مرّة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یشیر بالرکوع الواحد إلی الأفراد الواقعیة للرکوع الواحد التی هی متمیّزة عن الرکوعین فی نفس الأمر بلا تقیید بالوحدة غیر تامّ؛ لأنّ تمیّز أفراده الواقعیة عن غیرها إنّما هو لاشتمال کلّ فرد لقید أو قیود مفقودة فی غیر الرکوع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الآمر إذا أشار بالرکوع إلی تلک الحصّة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یشیر إلی حیثیة رکوعیة تلک الأفراد الواحدة؛ فیلزم أن یکون الجزء هو نفس الطبیعی، أو أشار إلیها مع تخصّصها بالواحدیة فی نفس الأمر؛ فیلزم أن یکون الجزء هو الرکوع المقیّدة بالوحدة؛ فهذا القسم من اللابشرط ممّا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أواخر کلامه</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یعتبر قبل تعلّق الحکم غیر ما تعلّق 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یرید تصویر الزیادة، و هو غریب جدّاً؛ ضرورة أنّ اعتبار الماهیة قبل تعلّق الحکم لا بشرط ثمّ تعلیق الحکم بها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بشرط لا أو لا بشرط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محض، لا یترتّب علی الاعتبار المتقدّم أثر، و الاعتبار قبل تعلّق الحکم مقدّمة لتعلّقه، فلا معنی للاعتبار بوجه ثمّ الرجوع عنه و تعلّق الحکم باعتبار آخر، و الجمع بین الاعتبارین غیر ممکن؛ للتنافی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تسلیم ذلک لا یتصوّر الزیادة؛ لأنّ ما یوجب البطلان هو الزیادة فی المکتوبة و الزیادة فی صلاة المکلّف، و الموضوع الذی اعتبره قبل تعلّق الحکم و لم یأمر به، فلا یکون مکتوبة و لا مرتبطة بالمکلّف حتّی تکون صلاة له و زیادة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المتخیّلة لا تکون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تکون فی الطبیعة اللابشرط؛ لفرضها علی نحو لو زید علیه لکان الزائد أیضاً من المرکّب، فأین الزیادة؟</w:t>
      </w:r>
      <w:r>
        <w:rPr>
          <w:rFonts w:eastAsia="IRNazanin" w:cs="IRNazanin"/>
          <w:color w:val="111111"/>
          <w:sz w:val="28"/>
          <w:szCs w:val="28"/>
          <w:rtl w:val="true"/>
          <w:lang w:bidi="fa-IR"/>
        </w:rPr>
        <w:t>!</w:t>
      </w:r>
      <w:bookmarkStart w:id="504" w:name="pg12912_111949"/>
    </w:p>
    <w:p>
      <w:pPr>
        <w:pStyle w:val="Heading6"/>
        <w:numPr>
          <w:ilvl w:val="5"/>
          <w:numId w:val="1"/>
        </w:numPr>
        <w:rPr/>
      </w:pPr>
      <w:bookmarkStart w:id="505" w:name="__RefHeading___Toc3425701_3224264995"/>
      <w:bookmarkStart w:id="506" w:name="_Toc191"/>
      <w:bookmarkEnd w:id="504"/>
      <w:bookmarkEnd w:id="505"/>
      <w:r>
        <w:rPr>
          <w:rtl w:val="true"/>
        </w:rPr>
        <w:t>عدم مبطلیة الزیادة مطلقاً</w:t>
      </w:r>
      <w:bookmarkEnd w:id="506"/>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العمدیة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إذا لم یؤخذ عدمها فی المرکّب أو الجزء فواضح؛ لأنّ الفساد إنّما ینتزع من عدم تطابق المأتی به مع المأمور به، و المفروض أنّ الزائد غیر دخیل فی المأمور به، و ما هو الدخیل فقد أتی به علی ما هو حقّه، و المفروض أنّ المولی لم یقیّد المأمور به أو جزئه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فیما إذا کان الزائد شریکاً فی الداعویة مع الأمر، مع عدم أخذ عدمه قیداً فی المأمور به أو جزئه؛ فإنّ البطلان لا لأجل الزیادة، بل لنقص ما هو معتبر عقلًا فی الامتثال من کون الأمر مستقلًاّ فی الداعویة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عدمها مأخوذاً فی المرکّب أو جزئه فالبطلان مستند إلی النقیصة لا إلی الزیادة؛ فإنّ القید بعد لم یحصل،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مطلقاً لا توجب البطلان؛ حتّی مع أخذ عدمها فی المرکّب أو جزئه؛ فإنّه یرجع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أخذ عدمه فی أحدهما یکون من مصادیق الأقلّ و الأکثر، فالمرجع هو البراءة</w:t>
      </w:r>
      <w:r>
        <w:rPr>
          <w:rFonts w:eastAsia="IRNazanin" w:cs="IRNazanin"/>
          <w:color w:val="111111"/>
          <w:sz w:val="28"/>
          <w:szCs w:val="28"/>
          <w:rtl w:val="true"/>
          <w:lang w:bidi="fa-IR"/>
        </w:rPr>
        <w:t>.</w:t>
      </w:r>
    </w:p>
    <w:p>
      <w:pPr>
        <w:pStyle w:val="Heading6"/>
        <w:numPr>
          <w:ilvl w:val="5"/>
          <w:numId w:val="1"/>
        </w:numPr>
        <w:rPr/>
      </w:pPr>
      <w:bookmarkStart w:id="507" w:name="__RefHeading___Toc3425703_3224264995"/>
      <w:bookmarkStart w:id="508" w:name="_Toc192"/>
      <w:bookmarkEnd w:id="507"/>
      <w:r>
        <w:rPr>
          <w:rtl w:val="true"/>
        </w:rPr>
        <w:t>التمسّک بالاستصحاب لإثبات صحّة العمل مع الزیادة</w:t>
      </w:r>
      <w:bookmarkEnd w:id="508"/>
    </w:p>
    <w:p>
      <w:pPr>
        <w:pStyle w:val="BookText"/>
        <w:rPr/>
      </w:pPr>
      <w:r>
        <w:rPr>
          <w:rFonts w:ascii="IRNazanin" w:hAnsi="IRNazanin" w:eastAsia="IRNazanin"/>
          <w:color w:val="111111"/>
          <w:sz w:val="28"/>
          <w:sz w:val="28"/>
          <w:szCs w:val="28"/>
          <w:rtl w:val="true"/>
          <w:lang w:bidi="fa-IR"/>
        </w:rPr>
        <w:t>ثمّ إنّه ربّما یتمسّک لصحة العمل مع الزیادة بالاستصحاب، و قد قرّر بوجوه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مقامات کثیرة، منها هذا</w:t>
      </w:r>
    </w:p>
    <w:p>
      <w:pPr>
        <w:pStyle w:val="BookText"/>
        <w:rPr/>
      </w:pPr>
      <w:r>
        <w:rPr>
          <w:rFonts w:ascii="IRNazanin" w:hAnsi="IRNazanin" w:eastAsia="IRNazanin"/>
          <w:color w:val="111111"/>
          <w:sz w:val="28"/>
          <w:sz w:val="28"/>
          <w:szCs w:val="28"/>
          <w:rtl w:val="true"/>
          <w:lang w:bidi="fa-IR"/>
        </w:rPr>
        <w:t>المقام،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عدم قاطعیة الزائد أو مانعیته بنحو العدم الأزلی، فیشار إلی ماهیة الزائد،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قبل تحقّقها لم تتّصف بالقاطعیة، 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w:t>
      </w:r>
      <w:r>
        <w:rPr>
          <w:rStyle w:val="FootnoteAnchor"/>
          <w:rtl w:val="true"/>
        </w:rPr>
        <w:footnoteReference w:id="492"/>
      </w:r>
      <w:r>
        <w:rPr>
          <w:rFonts w:ascii="IRNazanin" w:hAnsi="IRNazanin" w:eastAsia="IRNazanin"/>
          <w:color w:val="111111"/>
          <w:sz w:val="28"/>
          <w:sz w:val="28"/>
          <w:szCs w:val="28"/>
          <w:rtl w:val="true"/>
          <w:lang w:bidi="fa-IR"/>
        </w:rPr>
        <w:t>من عدم إمکان بقاء هذیتها؛ لأنّ الشی‌ء قبل تحقّقه لم یکن مشاراً إلیه و لا محکوماً بشی‌ء إثباتاً أو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قبل تحقّقها لا شیئیة لها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قبل وجودها کانت کذا أو لم یکن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الاستصحاب من وحدة القضیة المتیقّنة و المشکوک فیها، و لیس فی السالبة بانتفاء الموضوع علی حذو سائر القضایا موضوع و محمول و نسبة حاکیة عن الواقع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العدم الأزلی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جریانه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الاصول المثبتة؛ لأنّ إثبات صحّة المأتی به باستصحاب عدم اتّصاف الزائد بالقاطعیة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سلب قاطعیته للصلاة الموجودة بذلک الاستصحاب أیضاً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أنظار اخر یطول المقام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وقوع القاطع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علی نحو یتمیّز المثبت من غیره یتوقّف علی بیان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ربّما یترتّب علی کون الشی‌ء متّصفة بصفة خاصّة،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الرجل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موضوع للحکم کون الرجل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یترتّب الحکم علی المحمول المتقیّد بالموضوع، کعدالة زید، کما لو نذر التصدّق عند قیام الدلیل علی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 الموضوعین أثر و مقام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أراد أن یأتمّ بزید و شکّ فی کونه عادلًا وقت الائتمام أولا، مع کونه</w:t>
      </w:r>
    </w:p>
    <w:p>
      <w:pPr>
        <w:pStyle w:val="BookText"/>
        <w:rPr/>
      </w:pPr>
      <w:r>
        <w:rPr>
          <w:rFonts w:ascii="IRNazanin" w:hAnsi="IRNazanin" w:eastAsia="IRNazanin"/>
          <w:color w:val="111111"/>
          <w:sz w:val="28"/>
          <w:sz w:val="28"/>
          <w:szCs w:val="28"/>
          <w:rtl w:val="true"/>
          <w:lang w:bidi="fa-IR"/>
        </w:rPr>
        <w:t>عادلًا فیما سبق فلا بدّ من أن یستصحب کون زید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عدالة زید لا یثبت کون زید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أوضحنا فی رسالة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المفید هو استصحاب کون المرأة حائضاً، لا استصحاب حیضیة الدم، فإنّه لا یثبت کونها حائضاً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المفید من الاستصحاب استصحاب ما هو موضوع للأثر؛ و هو کون الصلاة بلا مانع أو الهیئة الاتّصالیة بلا قاطع، فیستصحب بقاؤها علی هذه الحالة عند الشکّ فی طروّهما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عدم وقوع المانع فیها أو عدم وقوع القاطع فی الهیئة الاتّصالیة لا یثبت کون الصلاة بلا مانع أو کون الهیئة بلا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احتملنا فی الدورة السابقة جریان الاستصحاب فی نفس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تحقّق المانع فی الصلاة عبارة اخری عن کونها بلا مانع</w:t>
      </w:r>
      <w:r>
        <w:rPr>
          <w:rStyle w:val="FootnoteAnchor"/>
          <w:rtl w:val="true"/>
        </w:rPr>
        <w:footnoteReference w:id="494"/>
      </w:r>
      <w:r>
        <w:rPr>
          <w:rFonts w:ascii="Amiri" w:hAnsi="Amiri" w:eastAsia="Amiri" w:cs="Amiri"/>
          <w:color w:val="111111"/>
          <w:sz w:val="28"/>
          <w:sz w:val="28"/>
          <w:szCs w:val="28"/>
          <w:rtl w:val="true"/>
          <w:lang w:bidi="ar-SA"/>
        </w:rPr>
        <w:t>، إلّا أنّه مورد تأمّل و نظر کما عرفت، و ما قوّیناه أخیراً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هذا الاستصحاب فی المانع و القاطع لا یحتاج إلی إثبات الهیئة الاتّصالیة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یجری هذا الاستصحاب فیما یقارن للصلاة من أوّل وجودها، کاللباس المشکوک فیه، و إنّما یجری فی الطارئ المحتمل أثناء الصلاة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مبنی علی أنّ معنی مانعیة الشی‌ء و قاطعیته راجع إلی أخذ عدمهما فی الصلاة؛ بحیث یکون المأمور به هو الصلاة المتقیّد بعدمهما، کما هو المعروف فی معنی الموانع و القواطع</w:t>
      </w:r>
      <w:r>
        <w:rPr>
          <w:rStyle w:val="FootnoteAnchor"/>
          <w:rtl w:val="true"/>
        </w:rPr>
        <w:footnoteReference w:id="495"/>
      </w:r>
      <w:r>
        <w:rPr>
          <w:rFonts w:ascii="IRNazanin" w:hAnsi="IRNazanin" w:eastAsia="IRNazanin"/>
          <w:color w:val="111111"/>
          <w:sz w:val="28"/>
          <w:sz w:val="28"/>
          <w:szCs w:val="28"/>
          <w:rtl w:val="true"/>
          <w:lang w:bidi="fa-IR"/>
        </w:rPr>
        <w:t>، فیجری هذا الاستصحاب،</w:t>
      </w:r>
    </w:p>
    <w:p>
      <w:pPr>
        <w:pStyle w:val="BookText"/>
        <w:rPr/>
      </w:pPr>
      <w:r>
        <w:rPr>
          <w:rFonts w:ascii="IRNazanin" w:hAnsi="IRNazanin" w:eastAsia="IRNazanin"/>
          <w:color w:val="111111"/>
          <w:sz w:val="28"/>
          <w:sz w:val="28"/>
          <w:szCs w:val="28"/>
          <w:rtl w:val="true"/>
          <w:lang w:bidi="fa-IR"/>
        </w:rPr>
        <w:t>و قد میزت الأصل النافع عن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الشی‌ء مانعاً أو قاطعاً لیس إلّا کون وجوده مخرّباً للصلاة، من دون أن یقع العدم مورداً للأمر، و من دون أن یکون مؤثّراً فی حصول الغرض، کما هو الحال فی الموانع التکوینیة؛ فإنّ المؤثّر هو النار، لا النار مع عدم الرطوبة، و إنّما الرطوبة مخرّبة و هادمة لأثرها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مجال لهذا الاستصحاب؛ لأنّ المأمور به لیس الصلاة المتّصفة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ذات الصلاة التی لا یجتمع فی نفس الأمر مع هذه القواطع و الموانع؛ و هو لا یحرز بالأصل؛ لأنّ نفی أحد الضدّین لا یلازم شرعاً ثبوت الآخر، و هذا مثل إثبات السکون بنفی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تحقیق معنی المانعیة و القاطعیة، و أنّ مرجعهما إلی أخذ العدم أو إلی مخرّبیة وجودهما، من دون أخذه فله مجال آخر، فلیکن هذا علی ذکر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الهیئة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أمر اعتباری وراء نفس الأجزاء، یکون تحقّقها من أوّل وجود المرکّب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المرکّب بهذا الاعتبار أمراً وحدانیاً متّصلًا، کالموجودات غیر القارّة، کالزمان و الحرکة؛ فإنّ کلّ واحد منهما أمر واحد ممتدّ متّصل یوجد بأوّل جزئه و ینعدم بآخر جزء منه، بلا تخلّل عدم بینهما، غیر أنّ الاتّصال هناک حقیقی و فی المقام اعتباری، کما لا یخفی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الهیئة الاتّصالیة غیر الوحدة المعتبرة فی کلّ مرکّب یقع تحت دائرة الطلب أو فی افق الإرادة، کما ذکرنا فی باب الأقلّ و الأکثر</w:t>
      </w:r>
      <w:r>
        <w:rPr>
          <w:rStyle w:val="FootnoteAnchor"/>
          <w:rtl w:val="true"/>
        </w:rPr>
        <w:footnoteReference w:id="496"/>
      </w:r>
      <w:r>
        <w:rPr>
          <w:rFonts w:ascii="Amiri" w:hAnsi="Amiri" w:eastAsia="Amiri" w:cs="Amiri"/>
          <w:color w:val="111111"/>
          <w:sz w:val="28"/>
          <w:sz w:val="28"/>
          <w:szCs w:val="28"/>
          <w:rtl w:val="true"/>
          <w:lang w:bidi="ar-SA"/>
        </w:rPr>
        <w:t>لأنّ الوحدة</w:t>
      </w:r>
    </w:p>
    <w:p>
      <w:pPr>
        <w:pStyle w:val="BookText"/>
        <w:rPr/>
      </w:pPr>
      <w:r>
        <w:rPr>
          <w:rFonts w:ascii="IRNazanin" w:hAnsi="IRNazanin" w:eastAsia="IRNazanin"/>
          <w:color w:val="111111"/>
          <w:sz w:val="28"/>
          <w:sz w:val="28"/>
          <w:szCs w:val="28"/>
          <w:rtl w:val="true"/>
          <w:lang w:bidi="fa-IR"/>
        </w:rPr>
        <w:t>تجعل تلک الامور المختلفة شیئاً واحداً یتعلّق به أمر واحد، و أمّا السکنات المتخلّلة فتکون خارجة عن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الهیئة الاتّصالیة فتجعل تلک السکونات داخلة فیه، لا علی حذو سائر الأجزاء حتّی تکون فی عرضها، بل هی کخیط ینضمّ شتات الأجزاء و یوصل بعضها ببعض، فیکون الآتی بالمرکّب داخلًا فیه من أوّله إلی آخره؛ حتّی فی السکونات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الروایات المستفیضة فی باب القواطع المعبّرة عن کثیر من المفسدات بالقواطع</w:t>
      </w:r>
      <w:r>
        <w:rPr>
          <w:rStyle w:val="FootnoteAnchor"/>
          <w:rtl w:val="true"/>
        </w:rPr>
        <w:footnoteReference w:id="497"/>
      </w:r>
      <w:r>
        <w:rPr>
          <w:rFonts w:ascii="IRNazanin" w:hAnsi="IRNazanin" w:eastAsia="IRNazanin"/>
          <w:color w:val="111111"/>
          <w:sz w:val="28"/>
          <w:sz w:val="28"/>
          <w:szCs w:val="28"/>
          <w:rtl w:val="true"/>
          <w:lang w:bidi="fa-IR"/>
        </w:rPr>
        <w:t>إذ لولاها لما کان لاستعماله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المتشرّعة، الکاشفة عن الحکم الشرعی، فتری کلّ متشرّع یصلّی یری نفسه فی الصلاة؛ من تکبیرها إلی 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السکونات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أوضح 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أعاظم العصر من الإشکال فی ثبوتها فی الصلاة لأجل وجوه ذکرها</w:t>
      </w:r>
      <w:r>
        <w:rPr>
          <w:rStyle w:val="FootnoteAnchor"/>
          <w:rtl w:val="true"/>
        </w:rPr>
        <w:footnoteReference w:id="498"/>
      </w:r>
      <w:r>
        <w:rPr>
          <w:rFonts w:ascii="IRNazanin" w:hAnsi="IRNazanin" w:eastAsia="IRNazanin"/>
          <w:color w:val="111111"/>
          <w:sz w:val="28"/>
          <w:sz w:val="28"/>
          <w:szCs w:val="28"/>
          <w:rtl w:val="true"/>
          <w:lang w:bidi="fa-IR"/>
        </w:rPr>
        <w:t>لیس فی محلّه، و قد أوضحنا حال تلک الوجوه فی الدورة السابقة و أطلنا المقال؛ حتّی بحثنا عن صحّة شرطیة أحد الضدّین و مانعیة الآخر و عدم صحّتها</w:t>
      </w:r>
      <w:r>
        <w:rPr>
          <w:rStyle w:val="FootnoteAnchor"/>
          <w:rtl w:val="true"/>
        </w:rPr>
        <w:footnoteReference w:id="499"/>
      </w:r>
      <w:r>
        <w:rPr>
          <w:rFonts w:ascii="IRNazanin" w:hAnsi="IRNazanin" w:eastAsia="IRNazanin"/>
          <w:color w:val="111111"/>
          <w:sz w:val="28"/>
          <w:sz w:val="28"/>
          <w:szCs w:val="28"/>
          <w:rtl w:val="true"/>
          <w:lang w:bidi="fa-IR"/>
        </w:rPr>
        <w:t>، غیر أنّا نکتفی بما عرفت، و التفصیل موکول إلی محلّه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بأنّ مآل المانعیة أو القاطعیة إلی شرطیة عدمهما فی</w:t>
      </w:r>
    </w:p>
    <w:p>
      <w:pPr>
        <w:pStyle w:val="BookText"/>
        <w:rPr/>
      </w:pPr>
      <w:r>
        <w:rPr>
          <w:rFonts w:ascii="IRNazanin" w:hAnsi="IRNazanin" w:eastAsia="IRNazanin"/>
          <w:color w:val="111111"/>
          <w:sz w:val="28"/>
          <w:sz w:val="28"/>
          <w:szCs w:val="28"/>
          <w:rtl w:val="true"/>
          <w:lang w:bidi="fa-IR"/>
        </w:rPr>
        <w:t>المأمور به فلا ینفع بقاء الهیئة الاتّصالیة؛ لأنّ بقائها لا یثبت تحقّق هذا العدم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و ما سبقه متعاکسان فی الجریان و عدمه،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الصحّة التأهّلیة للأجزاء بعد وقوع ما یشکّ فی قاطعیته أو مانعیته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الصحّة التأهّلیة هو أنّ الأجزاء السالفة قبل حدوث ما یشکّ فی قاطعیته و مانعیته کانت مستعدّة للحوق الأجزاء الباقیة علیها، و الأصل بقاء ذلک الاستعداد و عدم بطلانه لأجل تخلّل ما یشکّ فی قاطعیته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أعاظم العصر من أنّه استصحاب تعلیقی، و أنّ معنی الصحّة التأهّلیة هو أنّه لو انضمّ إلیها البقیة تکون الصلاة صحیحة، و هذا المعنی فرع وقوع الأجزاء السالفة صحیحة، و هذا ممّا یقطع به، فلا شکّ حتّی یجری الاستصحاب</w:t>
      </w:r>
      <w:r>
        <w:rPr>
          <w:rStyle w:val="FootnoteAnchor"/>
          <w:rtl w:val="true"/>
        </w:rPr>
        <w:footnoteReference w:id="500"/>
      </w:r>
      <w:r>
        <w:rPr>
          <w:rFonts w:ascii="IRNazanin" w:hAnsi="IRNazanin" w:eastAsia="IRNazanin"/>
          <w:color w:val="111111"/>
          <w:sz w:val="28"/>
          <w:sz w:val="28"/>
          <w:szCs w:val="28"/>
          <w:rtl w:val="true"/>
          <w:lang w:bidi="fa-IR"/>
        </w:rPr>
        <w:t>، غیر تامّ؛ إذ أیّ تعلیق فیما ذکرناه؟</w:t>
      </w:r>
    </w:p>
    <w:p>
      <w:pPr>
        <w:pStyle w:val="BookText"/>
        <w:rPr/>
      </w:pPr>
      <w:r>
        <w:rPr>
          <w:rFonts w:ascii="IRNazanin" w:hAnsi="IRNazanin" w:eastAsia="IRNazanin"/>
          <w:color w:val="111111"/>
          <w:sz w:val="28"/>
          <w:sz w:val="28"/>
          <w:szCs w:val="28"/>
          <w:rtl w:val="true"/>
          <w:lang w:bidi="fa-IR"/>
        </w:rPr>
        <w:t>و ما أفاده من أنّ صحّة الأجزاء السالفة مقطوعة لیس بشی‌ء؛ لأنّه لیس معنی الصحّة التأهّلیة، بل معناه هو الحیثیة الاستعدادیة المعتبرة فی الأجزاء السابقة لتأهّل لحوق البقیة، و هذا أمر مشکوک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الصحّة الفعلیة، و أنّ بقاء الاستعداد فی الأجزاء السابقة لا یثبت ربط الأجزاء اللاحقة بها، إلّا علی القول بالأصل المثبت</w:t>
      </w:r>
      <w:r>
        <w:rPr>
          <w:rFonts w:eastAsia="IRNazanin" w:cs="IRNazanin"/>
          <w:color w:val="111111"/>
          <w:sz w:val="28"/>
          <w:szCs w:val="28"/>
          <w:rtl w:val="true"/>
          <w:lang w:bidi="fa-IR"/>
        </w:rPr>
        <w:t>.</w:t>
      </w:r>
      <w:bookmarkStart w:id="509" w:name="pg12912_111955"/>
    </w:p>
    <w:p>
      <w:pPr>
        <w:pStyle w:val="Heading6"/>
        <w:numPr>
          <w:ilvl w:val="5"/>
          <w:numId w:val="1"/>
        </w:numPr>
        <w:rPr/>
      </w:pPr>
      <w:bookmarkStart w:id="510" w:name="__RefHeading___Toc3425705_3224264995"/>
      <w:bookmarkStart w:id="511" w:name="_Toc193"/>
      <w:bookmarkEnd w:id="509"/>
      <w:bookmarkEnd w:id="510"/>
      <w:r>
        <w:rPr>
          <w:rtl w:val="true"/>
        </w:rPr>
        <w:t>المقام الرابع فیما تقتضیه القواعد الثانویة فی الزیادة و النقیصة</w:t>
      </w:r>
      <w:bookmarkEnd w:id="511"/>
    </w:p>
    <w:p>
      <w:pPr>
        <w:pStyle w:val="Heading6"/>
        <w:numPr>
          <w:ilvl w:val="5"/>
          <w:numId w:val="1"/>
        </w:numPr>
        <w:rPr/>
      </w:pPr>
      <w:bookmarkStart w:id="512" w:name="__RefHeading___Toc3425707_3224264995"/>
      <w:bookmarkStart w:id="513" w:name="_Toc194"/>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و ما ذکرناه فی المقام الثانی و الثالث من حیث النقیصة و الزیادة کان مقتضی القاعدة الأوّلیة، فلا بأس بعطف عنان البحث إلی ما دلّ علی خلافها</w:t>
      </w:r>
      <w:r>
        <w:rPr>
          <w:rFonts w:eastAsia="IRNazanin" w:cs="IRNazanin"/>
          <w:color w:val="111111"/>
          <w:sz w:val="28"/>
          <w:szCs w:val="28"/>
          <w:rtl w:val="true"/>
          <w:lang w:bidi="fa-IR"/>
        </w:rPr>
        <w:t>.</w:t>
      </w:r>
    </w:p>
    <w:p>
      <w:pPr>
        <w:pStyle w:val="Heading6"/>
        <w:numPr>
          <w:ilvl w:val="5"/>
          <w:numId w:val="1"/>
        </w:numPr>
        <w:rPr/>
      </w:pPr>
      <w:bookmarkStart w:id="514" w:name="__RefHeading___Toc3425709_3224264995"/>
      <w:bookmarkStart w:id="515" w:name="_Toc195"/>
      <w:bookmarkEnd w:id="514"/>
      <w:r>
        <w:rPr>
          <w:rtl w:val="true"/>
        </w:rPr>
        <w:t>مقتضی الروایات الواردة فی الزیادة</w:t>
      </w:r>
      <w:bookmarkEnd w:id="51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علی بطلان الصلاة بالزیادة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أیضاً عن زرارة و بکیر ابنی أعین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لم یعتدّ بها، و استقبل صلاته استقبالًا إذا کان قد استیقن یقیناً</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الاختلاف فی متنه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بإزائهما القاعدة المفروضة المنصوصة،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الصدوق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سنّة و التشهّد سنّة، و لا تنقض السنّة</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المهمّ بیان مفاد الحدیثین الأوّلین، و توضیح نسبتهما مع حدیث لا تعاد،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رواه أبو بصیر فالظاهر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الزیادة فی الصلاة و الإتیان بها مبطلة، لکن بقصد أنّها منها؛ سواء کانت من سنخ الصلاة کالرکعة و الرکعتین، أو من سنخ أجزائها کالسجدة و الرکوع و القراءة، أو من غیرهما کالتکتّف و التأمین إذا أتی بها بعنوان أنّها من الصلاة؛ ضرورة صدق</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یأت بها بعنوان أنّها منها فلا یصدق أنّه زاد فی صلاته، بل أتی بشی‌ء خارجی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التعمیم المتقدّم قوله علیه السلام فیمن أتمّ فی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زاد فی فرض اللَّه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النهی عن قراءة العزیمة؛ معلّلًا بأنّ السجود زیادة فی المکتوبة</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باب التکتّف</w:t>
      </w:r>
      <w:r>
        <w:rPr>
          <w:rStyle w:val="FootnoteAnchor"/>
          <w:rtl w:val="true"/>
        </w:rPr>
        <w:footnoteReference w:id="507"/>
      </w:r>
      <w:r>
        <w:rPr>
          <w:rFonts w:ascii="Amiri" w:hAnsi="Amiri" w:eastAsia="Amiri" w:cs="Amiri"/>
          <w:color w:val="111111"/>
          <w:sz w:val="28"/>
          <w:sz w:val="28"/>
          <w:szCs w:val="28"/>
          <w:rtl w:val="true"/>
          <w:lang w:bidi="ar-SA"/>
        </w:rPr>
        <w:t>و وجوب سجدة السهو لبعض الامور الزائدة</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ثمّ إنّ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کون متعلّق الزیادة فی روایة أبی بصیر هو ما یکون من سنخ الصلاة، کالرکعة و الرکعتین؛ قائلًا بأنّ الزیادة فی المقام من قبیل الزیادة فی العمر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جعلت الصلاة ظرفاً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الصلاة، فینحصر المورد بما کان الزائد مقداراً یطلق علیه الصلاة مستقلًاّ، کالرکعة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القدر المتیقّن من بطلان الصلاة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زرارة و بکیر مشتمل علی لفظ الرکعة</w:t>
      </w:r>
      <w:r>
        <w:rPr>
          <w:rStyle w:val="FootnoteAnchor"/>
          <w:rtl w:val="true"/>
        </w:rPr>
        <w:footnoteReference w:id="50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المقام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لأنّ العمر أشبه شی‌ء بالأمر البسیط لا یقبل الزیادة من غیر سنخه، و هذا بخلاف الصلاة؛ فإنّه عمل مؤلّف من أفعال کثیرة مختلفة، تقبل الزیادة من سنخها و غیر سنخها، بشرط أن یکون الداعی هو قصد کونها من الصلاة اعتقاداً أو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فاستخبر الحال من العرف؛ فلو أمر الطبیب بعمل معجون، و قدّر لها أجزاء و شرائط، فلو زاد بعض الأجزاء من مقداره یصدق أنّه زاد فی المعجون، مع أنّ الزائد لیس من سنخ المعجون، بل من سنخ بعض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المعجون عن الصلاة بأن لو کان الزائد فیه من غیر سنخ الأجزاء لا یصدق علیه أنّه زاد فی معجونه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الصلاة؛ فلو زاد فیها أمراً من غیر سنخ أجزائها لکن بقصد أنّه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أنّه زاد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واضح؛ لأنّ باب المعجون باب التکوین لا یتقوّم بالقصد، بخلاف الصلاة؛ فإنّ کون الجزء جزءًا صلاتیاً قائم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تمسّکه رحمه الله بروایة</w:t>
      </w:r>
      <w:bookmarkStart w:id="516" w:name="pg12912_111958"/>
    </w:p>
    <w:p>
      <w:pPr>
        <w:pStyle w:val="BookText"/>
        <w:rPr/>
      </w:pPr>
      <w:bookmarkEnd w:id="516"/>
      <w:r>
        <w:rPr>
          <w:rFonts w:ascii="IRNazanin" w:hAnsi="IRNazanin" w:eastAsia="IRNazanin"/>
          <w:color w:val="111111"/>
          <w:sz w:val="28"/>
          <w:sz w:val="28"/>
          <w:szCs w:val="28"/>
          <w:rtl w:val="true"/>
          <w:lang w:bidi="fa-IR"/>
        </w:rPr>
        <w:t>زرارة فسیوافیک الحال فیها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التعمیم صحیح، إلّا أنّ ما ذکرت من الشرط فی صدق الزیادة من الإتیان بالزائد بعنوان کونه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علیه دلیل، بل الدلیل علی خلافه؛ فإنّ النهی عن قراءة العزیمة فی الصلاة؛ معلّلًا بأنّ السجود زیادة فی المکتوبة ظاهر فی عدم شرطیة القصد المذکور؛ لأنّ الآتی بالسجدة من العامّة لا یقصد کونها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عنه شیخنا العلّامة بأنّ الوجه فی ذلک هو اشتراط الصلاة بعدم السجود للعزائم فیها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إلی النقیصة لا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مثل القهقهة و غیرها من القواطع للصلاة، مع أنّ إبطالها لیس لأجل الزیادة فی الصلاة، بل لکونها ماحیة لصورة الصلاة، و مبطلة للهیئة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الاستعمال غیر مأنوس، فلا بدّ من الاقتصار علی بابه</w:t>
      </w:r>
      <w:r>
        <w:rPr>
          <w:rFonts w:eastAsia="IRNazanin" w:cs="IRNazanin"/>
          <w:color w:val="111111"/>
          <w:sz w:val="28"/>
          <w:szCs w:val="28"/>
          <w:rtl w:val="true"/>
          <w:lang w:bidi="fa-IR"/>
        </w:rPr>
        <w:t>.</w:t>
      </w:r>
    </w:p>
    <w:p>
      <w:pPr>
        <w:pStyle w:val="Heading6"/>
        <w:numPr>
          <w:ilvl w:val="5"/>
          <w:numId w:val="1"/>
        </w:numPr>
        <w:rPr/>
      </w:pPr>
      <w:bookmarkStart w:id="517" w:name="__RefHeading___Toc3425711_3224264995"/>
      <w:bookmarkStart w:id="518" w:name="_Toc196"/>
      <w:bookmarkEnd w:id="517"/>
      <w:r>
        <w:rPr>
          <w:rtl w:val="true"/>
        </w:rPr>
        <w:t xml:space="preserve">بیان مفاد قاعدة </w:t>
      </w:r>
      <w:r>
        <w:rPr>
          <w:rtl w:val="true"/>
        </w:rPr>
        <w:t>«</w:t>
      </w:r>
      <w:r>
        <w:rPr>
          <w:rtl w:val="true"/>
        </w:rPr>
        <w:t>لا تعاد</w:t>
      </w:r>
      <w:r>
        <w:rPr>
          <w:rtl w:val="true"/>
        </w:rPr>
        <w:t>»</w:t>
      </w:r>
      <w:bookmarkEnd w:id="518"/>
    </w:p>
    <w:p>
      <w:pPr>
        <w:pStyle w:val="BookText"/>
        <w:rPr/>
      </w:pPr>
      <w:r>
        <w:rPr>
          <w:rFonts w:ascii="IRNazanin" w:hAnsi="IRNazanin" w:eastAsia="IRNazanin"/>
          <w:color w:val="111111"/>
          <w:sz w:val="28"/>
          <w:sz w:val="28"/>
          <w:szCs w:val="28"/>
          <w:rtl w:val="true"/>
          <w:lang w:bidi="fa-IR"/>
        </w:rPr>
        <w:t>و قبل بیان النسبة لا بدّ من توضیح مفاد القاعدة، فنقول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أنّها منصرفة عن العمد؛ و إن لا مانع عقلًا من شموله؛ لإمکان أن یکون الإتیان بالخمسة موجباً لاستیفاء مرتبة من المصلحة ممّا لا یبقی معها</w:t>
      </w:r>
    </w:p>
    <w:p>
      <w:pPr>
        <w:pStyle w:val="BookText"/>
        <w:rPr/>
      </w:pPr>
      <w:r>
        <w:rPr>
          <w:rFonts w:ascii="IRNazanin" w:hAnsi="IRNazanin" w:eastAsia="IRNazanin"/>
          <w:color w:val="111111"/>
          <w:sz w:val="28"/>
          <w:sz w:val="28"/>
          <w:szCs w:val="28"/>
          <w:rtl w:val="true"/>
          <w:lang w:bidi="fa-IR"/>
        </w:rPr>
        <w:t>مجال لاستیفائها مع الإعادة مع سائر الأجزاء، و لا یلزم منه محذور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شموله لنسیان الموضوع و الجهل به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شمولها للموضوع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الحکم المجهول مطلقاً أو لنسیانه ففیه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الشمول، و أوضح مرامه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الصحّة الواقعیة، و کون الناقص مصداقاً واقعیاً لامتثال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الأخبار الواردة فی نسیان الحمد إلی أن رکع؛ فإنّها دالّة علی تمامیة الصلاة، و قد قرّر فی محلّه إمکان تخصیص الساهی بتکلیف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الصحیحة أنّ الحکم إنّما یکون بعد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اختصاصها بصورةٍ لا یمکن تدارک المتروک، کمن نسی القراءة و لم یذکر حتّی رکع، فتختصّ بمن یجوز له الدخول فی الصلاة ثمّ تبیّن الخلل فی شی‌ء من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فالعامد الملتفت خارج من مصبّ الروایة، کالشاکّ فی وجوب الشی‌ء، و کذلک الشاکّ فی وجود الشرط بعد الفراغ عن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للشاکّ فی وجوب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الصلاة؛ تارکاً للحمد بقصد الامتثال؛ مستدلا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اعتقد عدم وجوب الشی‌ء أو کان ناسیاً لحکم شی‌ء من الجزئیة یمکن توهّم شمول الصحیحة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المقدّمة الاولی من أنّ ظاهرها الحکم بصحّة العمل واقعاً، و مقتضاها عدم کون المتروک 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تقیید الجزئیة أو الشرطیة</w:t>
      </w:r>
    </w:p>
    <w:p>
      <w:pPr>
        <w:pStyle w:val="BookText"/>
        <w:rPr/>
      </w:pPr>
      <w:r>
        <w:rPr>
          <w:rFonts w:ascii="IRNazanin" w:hAnsi="IRNazanin" w:eastAsia="IRNazanin"/>
          <w:color w:val="111111"/>
          <w:sz w:val="28"/>
          <w:sz w:val="28"/>
          <w:szCs w:val="28"/>
          <w:rtl w:val="true"/>
          <w:lang w:bidi="fa-IR"/>
        </w:rPr>
        <w:t>بالعلم بهما؛ بحیث لو صار عالماً بعدمهما بالجهل المرکّب لما کان الجزء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علی نحو التصویب الذی ادّعی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الأقسام المتوهّم وقوعها فی الصحیحة بعضها خارج من مصبّ الروایة و بعضها خارج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الجاهل البسیط بالحکم أو الموضوع؛ فإنّ الأوّل یجب علیه التعلّم، و الثانی مرجعه إلی القواعد المقرّرة للشاکّ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الجاهل المرکّب بالنسبة إلی الحکم الشرعی، مثل الجزئیة و الشرطیة؛ فإنّ الحکم بعدم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التصویب، و القدر المتیقّن هو السهو و النسیان و الجهل المرکّب بالموضوع</w:t>
      </w:r>
      <w:r>
        <w:rPr>
          <w:rStyle w:val="FootnoteAnchor"/>
          <w:rtl w:val="true"/>
        </w:rPr>
        <w:footnoteReference w:id="512"/>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کلتا المقدّمتین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 علیه السلام فی ذیل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 الوجه فی عدم الإعادة هو أنّ الفرائض لا تنقضها السنن، و أنّ الصلاة مع کونها ناقصة الأجزاء و الشرائط مسقط للأمر؛ لاشتمالها علی الفرائض، فهی لا تدلّ علی تمامیة الصلاة حتّی یستلزم التمامیة التصویب فی بعض الموارد، بل یدلّ علی الاکتفاء بالناقص و تقبله عن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مضایقة بهذا المعنی، لکنّه لا یفیده و لا ینتج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فلخروج العامد و الشاکّ الملتفت وجه؛ لعدم مجوّز لدخولهما فی الصلاة، و أمّا غیرهما فلا وجه لخروجه مع وجود المجوّز لدخوله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تامّ؛ فإنّ التصویب بهذا</w:t>
      </w:r>
    </w:p>
    <w:p>
      <w:pPr>
        <w:pStyle w:val="BookText"/>
        <w:rPr/>
      </w:pPr>
      <w:r>
        <w:rPr>
          <w:rFonts w:ascii="IRNazanin" w:hAnsi="IRNazanin" w:eastAsia="IRNazanin"/>
          <w:color w:val="111111"/>
          <w:sz w:val="28"/>
          <w:sz w:val="28"/>
          <w:szCs w:val="28"/>
          <w:rtl w:val="true"/>
          <w:lang w:bidi="fa-IR"/>
        </w:rPr>
        <w:t>المعنی؛ بأن یختصّ فعلیة حکم الجزء و الشرط بالعالم دون من لم یقم عنده أمارة علی الجزئیة و الشرطیة، أو قامت و حصل له عذر من نسیان حکمه و غیر ذلک، مع اشتراک الکلّ فی الأحکام الواقعیة ممّا لم یقم دلیل علی بطلانه، و التصویب الباطل غیر هذا؛ إذ هو نفی الحکم فی حقّ الناسی و الجاهل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شمولها لعامّة الأقسام إلّا العامد و الجاهل الملتفت، کما أنّ الظاهر شمولها للزیادة و النقیصة؛ بمعنی أنّه لا یختلّ أمر الصلاة من جهة الزیادة أو النقیصة، إلّا من قبل الخمسة؛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تصوّر الزیادة فی بعض الأقسام لا یضرّ بالظهور، فالزیادة داخلة فی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احتمله شیخنا العلّامة رحمه الله من اختصاص القاعدة بالنقیصة أو بالنقیصة فی المستثنی دون المستثنی منه حتّی تصیر الزیادة فی الخمسة داخلة فی المستثنی منه، و لا یجب الإعادة فی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یجب فی 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الزیادة بما هی هی لیست مبطلة، بل لأجل شرطیة عدمها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زاد فی صلاته بتکرار الرکوع فقد نقص من صلاته شیئاً، و قد عرفت أنّ الصلاة لا تبطل من جهة النقیصة إلّا من خمسة، و هذه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فقدان العدم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تلک الخمس، فلا تجب الإعادة من زیادة الخمس</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خلط بین حکم العرف و العقل؛ فإنّ الزیادة فی الماهیة بشرط لا مضرّة عرفاً بما أنّها زیادة فیها؛ و إن کانت راجعة إلی النقیصة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أوّلها التکبیر و آخرها التسلیم، من غیر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w:t>
      </w:r>
      <w:bookmarkStart w:id="519" w:name="pg12912_111962"/>
    </w:p>
    <w:p>
      <w:pPr>
        <w:pStyle w:val="BookText"/>
        <w:rPr/>
      </w:pPr>
      <w:bookmarkEnd w:id="519"/>
      <w:r>
        <w:rPr>
          <w:rFonts w:ascii="IRNazanin" w:hAnsi="IRNazanin" w:eastAsia="IRNazanin"/>
          <w:color w:val="111111"/>
          <w:sz w:val="28"/>
          <w:sz w:val="28"/>
          <w:szCs w:val="28"/>
          <w:rtl w:val="true"/>
          <w:lang w:bidi="fa-IR"/>
        </w:rPr>
        <w:t>الزیادة مخلّة بها عرفاً، من غیر توجّه إلی أنّ العقل بحسب الدقّة یحکم بأنّ عدم الزیادة من قیود المأمور به، و ترجح الزیادة إلی النقصان، کما یشهد بذلک التعبیر فی الروایات بالزیادة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ظهوره العرفی أنّ الزیادة و النقیصة الواردتین علیها من قِبل غیر الخمسة لا توجبان الإعادة، بخلاف الخمسة؛ فإنّ زیادتها أو نقیصتها مخلّة، من غیر توجّه إلی الحکم العقلی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مفاد القاعدة</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425713_3224264995"/>
      <w:bookmarkStart w:id="521" w:name="_Toc197"/>
      <w:bookmarkEnd w:id="520"/>
      <w:r>
        <w:rPr>
          <w:rtl w:val="true"/>
        </w:rPr>
        <w:t xml:space="preserve">النسبة بین </w:t>
      </w:r>
      <w:r>
        <w:rPr>
          <w:rtl w:val="true"/>
        </w:rPr>
        <w:t>«</w:t>
      </w:r>
      <w:r>
        <w:rPr>
          <w:rtl w:val="true"/>
        </w:rPr>
        <w:t>لا تعاد</w:t>
      </w:r>
      <w:r>
        <w:rPr>
          <w:rtl w:val="true"/>
        </w:rPr>
        <w:t xml:space="preserve">» </w:t>
      </w:r>
      <w:r>
        <w:rPr>
          <w:rtl w:val="true"/>
        </w:rPr>
        <w:t xml:space="preserve">و حدیث </w:t>
      </w:r>
      <w:r>
        <w:rPr>
          <w:rtl w:val="true"/>
        </w:rPr>
        <w:t>«</w:t>
      </w:r>
      <w:r>
        <w:rPr>
          <w:rtl w:val="true"/>
        </w:rPr>
        <w:t>من زاد</w:t>
      </w:r>
      <w:r>
        <w:rPr>
          <w:rtl w:val="true"/>
        </w:rPr>
        <w:t>»</w:t>
      </w:r>
      <w:bookmarkEnd w:id="521"/>
    </w:p>
    <w:p>
      <w:pPr>
        <w:pStyle w:val="BookText"/>
        <w:rPr/>
      </w:pPr>
      <w:r>
        <w:rPr>
          <w:rFonts w:ascii="IRNazanin" w:hAnsi="IRNazanin" w:eastAsia="IRNazanin"/>
          <w:color w:val="111111"/>
          <w:sz w:val="28"/>
          <w:sz w:val="28"/>
          <w:szCs w:val="28"/>
          <w:rtl w:val="true"/>
          <w:lang w:bidi="fa-IR"/>
        </w:rPr>
        <w:t>و أمّا توضیح نسبة القاعدة مع روایة أبی بصیر،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نقول بأنّ کلًاّ من المستثنی و المستثنی منه جملتان مستقلّتان یقاس کلّ منهما بالنسبة إلی غیره، بعد ورود الاستثناء علی المستثنی منه، و لکلّ واحد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جملة واحدة و لها ظهور واحد؛ بأن یکون الحدیث کقضیة مردّدة المحمول، فیکون الملحوظ فیها جمیع الأجزاء و الشرائط؛ و إن اختلف حکمها، فتدبّر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مفاد القاعدة فی ناحیة المستثنی منه و حدیث أبی بصیر عموم و خصوص من وجه؛ لأنّ القاعدة تشمل الزیادة و النقیصة، و لا تشمل الأرکان؛ لورود الاستثناء علیه، و لا یشملها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المستثنی علیها أجنبی عن المستثنی منه؛ لأنّ المفروض لحاظ کلّ واحد مستقلًاّ بعد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یعمّ الأرکان و غیرها، و یختصّ بالزیادة، فیتعارضان فی زیادة ما عدا الخمسة؛ أی فی زیادة ما لیس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روایة أبی بصیر عامّ یشمل العمد و غیره فالنسبة أیضاً عموم من وجه؛ لأنّ القاعدة تشمل الزیادة و النقیصة، و لا تشمل الزیادة العمدیة، کما لا تشمل النقیصة العمدیة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یختصّ بالزیادة، و لکنّه أعمّ من العمد و غیره، فیتعارضان فی الزیادة غیر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شمول الحدیث للزیادة العمدیة، کما هو المناسب لوضع المصلّی القاصد لإفراغ ذمّته، بل یستحیل إتیانها بعنوان أنّها من الصلاة، مع العلم بأنّها لیس منها فالنسبة عموم و خصوص مطلق، فیختصّ الحدیث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القاعدة تعمّ الزیادة و النقیصة، فتخصّص بالحدیث، و ینحصر موردها بالنقیصة، و یکون الزیادة موجبة للبطلان بمقتضی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القول بأنّ النسبة بینهما عموم من وجه بأحد الطریقین فقد اختلف أنظارهم فی تقدیم أحدهما علی الآخر؛ فربّما یقال بتقدیم القاعدة علی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غیره ممّا یدلّ علی بطلان الصلاة بالزیادة؛ لحکومتها علیه کحکومتها علی سائر أدلّة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الأعظم</w:t>
      </w:r>
      <w:r>
        <w:rPr>
          <w:rStyle w:val="FootnoteAnchor"/>
          <w:rtl w:val="true"/>
        </w:rPr>
        <w:footnoteReference w:id="514"/>
      </w:r>
      <w:r>
        <w:rPr>
          <w:rFonts w:ascii="IRNazanin" w:hAnsi="IRNazanin" w:eastAsia="IRNazanin"/>
          <w:color w:val="111111"/>
          <w:sz w:val="28"/>
          <w:sz w:val="28"/>
          <w:szCs w:val="28"/>
          <w:rtl w:val="true"/>
          <w:lang w:bidi="fa-IR"/>
        </w:rPr>
        <w:t>و غیره</w:t>
      </w:r>
      <w:r>
        <w:rPr>
          <w:rStyle w:val="FootnoteAnchor"/>
          <w:rtl w:val="true"/>
        </w:rPr>
        <w:footnoteReference w:id="515"/>
      </w:r>
      <w:r>
        <w:rPr>
          <w:rFonts w:ascii="Amiri" w:hAnsi="Amiri" w:eastAsia="Amiri" w:cs="Amiri"/>
          <w:color w:val="111111"/>
          <w:sz w:val="28"/>
          <w:sz w:val="28"/>
          <w:szCs w:val="28"/>
          <w:rtl w:val="true"/>
          <w:lang w:bidi="ar-SA"/>
        </w:rPr>
        <w:t>تبعاً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قیل فی وجه حکومته علی أدلّة الأجزاء و الشرائط و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w:t>
      </w:r>
    </w:p>
    <w:p>
      <w:pPr>
        <w:pStyle w:val="BookText"/>
        <w:rPr/>
      </w:pPr>
      <w:r>
        <w:rPr>
          <w:rFonts w:ascii="IRNazanin" w:hAnsi="IRNazanin" w:eastAsia="IRNazanin"/>
          <w:color w:val="111111"/>
          <w:sz w:val="28"/>
          <w:sz w:val="28"/>
          <w:szCs w:val="28"/>
          <w:rtl w:val="true"/>
          <w:lang w:bidi="fa-IR"/>
        </w:rPr>
        <w:t>هذه الأخبار الدالّة علی مانعیة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لسان القاعدة هو قصر الجزئیة و الشرطیة و المانعیة بغیر صورة النسیان، و من المعلوم أنّه لا تلاحظ النسبة بین الحاکم و المحکوم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بصدد بیان کون الصلاة متقیّدة بعدم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فوزانه وزان سائر ما دلّ علی جزئیة شی‌ء أو شرطیته أو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فهی ناظرة إلی تحدید دائرة الأجزاء و الشرائط و الموانع؛ بأنّ الزیادة و النقیصة لا توجب الإعادة إذا کان عن سهو، فهی حاکمة علی کلّ ما دلّ علی الشرطیة و المانعیة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من الأدلّة علی لزوم الإعادة بالزیادة و إن کان یدلّ علی تقیّد الصلاة بعدم الزیادة أو مانعیة الزیادة 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معنی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الحکومة قائمة باللسان، و لسان الدلیلین واحد؛ فإنّ میزان الحکومة تعرّض أحد الدلیلین لما لم یتعرّض له الآخر، کما سیوافیک شرحه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لیس أحدهما متعرّضاً لما لم یتعرّض 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فلاحظ قول القائل فی بیان عدّ أجزاء المأمور به من أنّ الفاتحة جزء و السورة جزء، مع</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الأوّل بصدد بیان أصل الجزئیة، من غیر تعرّض لحال ترکها أو زیادتها، بخلاف الثانی فإنّه متعرّض</w:t>
      </w:r>
    </w:p>
    <w:p>
      <w:pPr>
        <w:pStyle w:val="BookText"/>
        <w:rPr/>
      </w:pPr>
      <w:r>
        <w:rPr>
          <w:rFonts w:ascii="IRNazanin" w:hAnsi="IRNazanin" w:eastAsia="IRNazanin"/>
          <w:color w:val="111111"/>
          <w:sz w:val="28"/>
          <w:sz w:val="28"/>
          <w:szCs w:val="28"/>
          <w:rtl w:val="true"/>
          <w:lang w:bidi="fa-IR"/>
        </w:rPr>
        <w:t>لحال زیادة الجزء، فهو حاکم علیه، کما أنّ لا تعاد متعرّض لحال 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فلسان الدلیلین واحد، و الدلیلان قد تعرّض کلّ منهما لما تعرّض الآخر له، و ینفی أحدهما ما یثبته الآخر، مع وحدة الموضوع و المحمول، و لا بدّ من العلاج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لتقدیم القاعدة اشتمالها علی الحصر المستفاد من الاستثناء، و هو موجب لقوّة الدلالة، و لاشتمالها علی تعلیل الحکم</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سنّة، و التشهّد سنّة، و لا ینقض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مشتمل علی ملاک الحکومة؛ و هو تعرّض أحد الدلیلین لسلسلة علل الحکم؛ أعنی الإعادة، فإنّ الإعادة بالزیادة إنّما هو لورود نقص علی الصلاة لأجل الزیادة،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الصلاة لأجل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ینهدم علّة الإعادة، فهی هادمة لما یوجب الإعادة، و معدمة لموجبها؛ أعنی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القاعدة علی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یستلزم إشکالًا آخر؛ و هو أنّ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یختصّ بالزیادة فی الخمسة، و من المعلوم أنّ الزیادة لا تتصوّر فی غیر السجود و الرکوع، و الزیادة العمدیة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شمول الحدیث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تأسیس قاعدة کلّیة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لأجل الزیادة فی الرکوع و السجود؛ لا سیّما للزیادة السهویة منهما، و هذا عین تخصیص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لا تعاد شموله للزیادة ضعیف جدّاً؛ حتّی أنکره بعض الفحول، و ادّعی ظهوره فی النقیصة</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القاعدة علی النقیصة حملًا للظاهر علی الأظهر، فتبقی الزیادة موجبة للبطلان مطلقاً؛ فی</w:t>
      </w:r>
      <w:bookmarkStart w:id="522" w:name="pg12912_111966"/>
    </w:p>
    <w:p>
      <w:pPr>
        <w:pStyle w:val="BookText"/>
        <w:rPr/>
      </w:pPr>
      <w:bookmarkEnd w:id="522"/>
      <w:r>
        <w:rPr>
          <w:rFonts w:ascii="IRNazanin" w:hAnsi="IRNazanin" w:eastAsia="IRNazanin"/>
          <w:color w:val="111111"/>
          <w:sz w:val="28"/>
          <w:sz w:val="28"/>
          <w:szCs w:val="28"/>
          <w:rtl w:val="true"/>
          <w:lang w:bidi="fa-IR"/>
        </w:rPr>
        <w:t>الرکن و غیره، عمداً کان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أخیراً من الحمل مخالف لفتاوی الأصحاب</w:t>
      </w:r>
      <w:r>
        <w:rPr>
          <w:rStyle w:val="FootnoteAnchor"/>
          <w:rtl w:val="true"/>
        </w:rPr>
        <w:footnoteReference w:id="519"/>
      </w:r>
      <w:r>
        <w:rPr>
          <w:rFonts w:ascii="IRNazanin" w:hAnsi="IRNazanin" w:eastAsia="IRNazanin"/>
          <w:color w:val="111111"/>
          <w:sz w:val="28"/>
          <w:sz w:val="28"/>
          <w:szCs w:val="28"/>
          <w:rtl w:val="true"/>
          <w:lang w:bidi="fa-IR"/>
        </w:rPr>
        <w:t>، و لا مناص فی حلّ العقدة عن الالتجاء إمّا إلی حمل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زیادة الرکن أو إلی ما ذکره شیخنا العلّامة من حمل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زیادة الرکعة</w:t>
      </w:r>
      <w:r>
        <w:rPr>
          <w:rStyle w:val="FootnoteAnchor"/>
          <w:rtl w:val="true"/>
        </w:rPr>
        <w:footnoteReference w:id="520"/>
      </w:r>
      <w:r>
        <w:rPr>
          <w:rFonts w:ascii="Amiri" w:hAnsi="Amiri" w:eastAsia="Amiri" w:cs="Amiri"/>
          <w:color w:val="111111"/>
          <w:sz w:val="28"/>
          <w:sz w:val="28"/>
          <w:szCs w:val="28"/>
          <w:rtl w:val="true"/>
          <w:lang w:bidi="ar-SA"/>
        </w:rPr>
        <w:t>و إن ضعّفناه فی حدّ نفسه سابقاً</w:t>
      </w:r>
      <w:r>
        <w:rPr>
          <w:rStyle w:val="FootnoteAnchor"/>
          <w:rtl w:val="true"/>
        </w:rPr>
        <w:footnoteReference w:id="52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523" w:name="__RefHeading___Toc3425715_3224264995"/>
      <w:bookmarkStart w:id="524" w:name="_Toc198"/>
      <w:bookmarkEnd w:id="523"/>
      <w:r>
        <w:rPr>
          <w:rtl w:val="true"/>
        </w:rPr>
        <w:t xml:space="preserve">حال النسبة بین قاعدة </w:t>
      </w:r>
      <w:r>
        <w:rPr>
          <w:rtl w:val="true"/>
        </w:rPr>
        <w:t>«</w:t>
      </w:r>
      <w:r>
        <w:rPr>
          <w:rtl w:val="true"/>
        </w:rPr>
        <w:t>لا تعاد</w:t>
      </w:r>
      <w:r>
        <w:rPr>
          <w:rtl w:val="true"/>
        </w:rPr>
        <w:t xml:space="preserve">» </w:t>
      </w:r>
      <w:r>
        <w:rPr>
          <w:rtl w:val="true"/>
        </w:rPr>
        <w:t>و حدیث</w:t>
      </w:r>
      <w:r>
        <w:rPr>
          <w:rtl w:val="true"/>
        </w:rPr>
        <w:t>: «</w:t>
      </w:r>
      <w:r>
        <w:rPr>
          <w:rtl w:val="true"/>
        </w:rPr>
        <w:t>إذا استیقن أنّه زاد فی صلاته</w:t>
      </w:r>
      <w:r>
        <w:rPr>
          <w:rtl w:val="true"/>
        </w:rPr>
        <w:t>»</w:t>
      </w:r>
      <w:bookmarkEnd w:id="524"/>
    </w:p>
    <w:p>
      <w:pPr>
        <w:pStyle w:val="BookText"/>
        <w:rPr/>
      </w:pP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بسط القول فیما سبق کافٍ عن التفصیل فی المقام؛ فإنّه یجری فیه ما أوضحناه فی السابق حرفاً بحرف، غیر أنّ هذا الحدیث یختصّ بأمر آخر، 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المستثنی منه بعد الاستثناء فی القاعدة مستقلًاّ بحیاله فالنسبة بینها و بین الحدیث عموم من وجه؛ لأنّ القاعدة لا تشمل الخمسة، و تعمّ الزیادة و النقیصة، و الحدیث یختصّ بالزیادة و یعمّ الخمسة و غیرها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اعتبر المستثنی منه و المستثنی أمراً واحداً فالنسبة بینهما عموم مطلق؛ لأنّ القاعدة متکفّلة لبیان أحکام الأجزاء و الشرائط عامّة؛ نقصاً کان أو زیادة، رکناً کان أو غیر رکن، سهواً کان أو عن جهل؛ حتّی الجهل عن تقصیر أیضاً بحسب الظاهر، مع قطع النظر عن الجهات الخارجیة، و لکن الحدیث مختصّ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فیه ما احتملناه</w:t>
      </w:r>
      <w:r>
        <w:rPr>
          <w:rStyle w:val="FootnoteAnchor"/>
          <w:rtl w:val="true"/>
        </w:rPr>
        <w:footnoteReference w:id="522"/>
      </w:r>
      <w:r>
        <w:rPr>
          <w:rFonts w:ascii="IRNazanin" w:hAnsi="IRNazanin" w:eastAsia="IRNazanin"/>
          <w:color w:val="111111"/>
          <w:sz w:val="28"/>
          <w:sz w:val="28"/>
          <w:szCs w:val="28"/>
          <w:rtl w:val="true"/>
          <w:lang w:bidi="fa-IR"/>
        </w:rPr>
        <w:t>فی حدیث أبی بصیر من عمومیته للعمد دون القاعدة؛ لظهور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استیقن أنّه زاد فی صلاته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إلی آخره فی غیر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یقع التعارض بینهما، و قد عرفت حال الحکومة، و أنّه علی فرض صحّته موجب للتخصیص الأکثر فی ناحیة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الثانی فتختصّ القاعدة بالنقیصة، و یصیر الزیادة السهویة مبطلة، دون النقیصة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الإجماع علی وجود الملازمة بین مبطلیة الزیادة السهویة و مبطلیة النقیصة السهویة، و لکن الدعوی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القاعدة بلا مورد،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اضطراب الروایة؛ فقد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التی قدّمناها</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رواه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السهو عن الرکوع بالسند المذکور، لکن بإسقاط بُکیر بن أعین، مع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و هو قدس سره رواه</w:t>
      </w:r>
      <w:bookmarkStart w:id="525" w:name="pg12912_111968"/>
    </w:p>
    <w:p>
      <w:pPr>
        <w:pStyle w:val="BookText"/>
        <w:rPr/>
      </w:pPr>
      <w:bookmarkEnd w:id="525"/>
      <w:r>
        <w:rPr>
          <w:rFonts w:ascii="IRNazanin" w:hAnsi="IRNazanin" w:eastAsia="IRNazanin"/>
          <w:color w:val="111111"/>
          <w:sz w:val="28"/>
          <w:sz w:val="28"/>
          <w:szCs w:val="28"/>
          <w:rtl w:val="true"/>
          <w:lang w:bidi="fa-IR"/>
        </w:rPr>
        <w:t>بلا زیادة فی باب من سها فی الأربع و الخمس عن زرارة و بکیر مع تفاوت یسیر فی المتن أیضاً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الاختلاف لا یبقی معه وثوق بالنسبة إلی الروایة، و احتمال أنّهما روایتان بعید جدّاً، و القدر المتیقّن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زیادة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المراد منها هو الرکوع، کما اطلقت علیه فی روایات اخر</w:t>
      </w:r>
      <w:r>
        <w:rPr>
          <w:rStyle w:val="FootnoteAnchor"/>
          <w:rtl w:val="true"/>
        </w:rPr>
        <w:footnoteReference w:id="529"/>
      </w:r>
      <w:r>
        <w:rPr>
          <w:rFonts w:ascii="IRNazanin" w:hAnsi="IRNazanin" w:eastAsia="IRNazanin"/>
          <w:color w:val="111111"/>
          <w:sz w:val="28"/>
          <w:sz w:val="28"/>
          <w:szCs w:val="28"/>
          <w:rtl w:val="true"/>
          <w:lang w:bidi="fa-IR"/>
        </w:rPr>
        <w:t>، و الأصل المسلّم عندهم عند دوران الأمر بین الزیادة و النقیصة هو أصالة عدم الزیادة، و علیه فلا معارضة بین الحدیث و القاعدة</w:t>
      </w:r>
      <w:r>
        <w:rPr>
          <w:rFonts w:eastAsia="IRNazanin" w:cs="IRNazanin"/>
          <w:color w:val="111111"/>
          <w:sz w:val="28"/>
          <w:szCs w:val="28"/>
          <w:rtl w:val="true"/>
          <w:lang w:bidi="fa-IR"/>
        </w:rPr>
        <w:t>.</w:t>
      </w:r>
    </w:p>
    <w:p>
      <w:pPr>
        <w:pStyle w:val="Heading6"/>
        <w:numPr>
          <w:ilvl w:val="5"/>
          <w:numId w:val="1"/>
        </w:numPr>
        <w:rPr/>
      </w:pPr>
      <w:bookmarkStart w:id="526" w:name="__RefHeading___Toc3425717_3224264995"/>
      <w:bookmarkStart w:id="527" w:name="_Toc199"/>
      <w:bookmarkEnd w:id="526"/>
      <w:r>
        <w:rPr>
          <w:rtl w:val="true"/>
        </w:rPr>
        <w:t>کلام المحقّق النائینی فیما تحقّق به الزیادة</w:t>
      </w:r>
      <w:bookmarkEnd w:id="527"/>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الحلّ هو حمل روایة أبی بصیر المتقدّمة و هذه الروایة لأجل هاتیک القرائن أو بعض العویصات علی زیادة الرکعة أو الرکوع، فتدبّر، و راجع کلام بعض أعاظم العصر؛ فقد أتی بأمر غریب عند بیان النسبة بینه و بین القاعدة، و لا نطیل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نتعرّض لما أفاده فی تکملة البحث؛ حیث إنّه بعد ما بیّن ما یصدق علیه الزیادة و ما لا یصدق قال ما هذا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الظاهر من التعلیل فی بعض الأخبار الناهیة عن قراءة العزیمة فی الصلاة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السجود زیادة فی المکتوبة</w:t>
      </w:r>
      <w:r>
        <w:rPr>
          <w:rFonts w:eastAsia="IRNazanin" w:cs="IRNazanin"/>
          <w:color w:val="111111"/>
          <w:sz w:val="28"/>
          <w:szCs w:val="28"/>
          <w:rtl w:val="true"/>
          <w:lang w:bidi="fa-IR"/>
        </w:rPr>
        <w:t>»</w:t>
      </w:r>
      <w:r>
        <w:rPr>
          <w:rStyle w:val="FootnoteAnchor"/>
          <w:rtl w:val="true"/>
        </w:rPr>
        <w:footnoteReference w:id="53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صدقها عدم قصد الخلاف،</w:t>
      </w:r>
    </w:p>
    <w:p>
      <w:pPr>
        <w:pStyle w:val="BookText"/>
        <w:rPr/>
      </w:pPr>
      <w:r>
        <w:rPr>
          <w:rFonts w:ascii="IRNazanin" w:hAnsi="IRNazanin" w:eastAsia="IRNazanin"/>
          <w:color w:val="111111"/>
          <w:sz w:val="28"/>
          <w:sz w:val="28"/>
          <w:szCs w:val="28"/>
          <w:rtl w:val="true"/>
          <w:lang w:bidi="fa-IR"/>
        </w:rPr>
        <w:t>بل الإتیان بمطلق مسانخ أفعال الصلاة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المستفاد منه صدق الزیادة علی ما لا یکون له حافظ وحدة، و لم یکن بنفسه من العناوین المستقلّة، و أمّا 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کإتیان صلاة فی أثناء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اندراجه فیه؛ لأنّ السجود و الرکوع المأتی بهما لصلاة اخری لا دخل لهما بصلاة الظهر، و لا تصدق علیهما الزیادة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ضاق وقت صلاة الآیات و خاف المکلّف أنّه لو أخّرها إلی الفراغ عن الیومیة یفوت وقتها، صلّاها فی أثناء الصلاة الیومیة، و یبنی علیها بعد الفراغ من الآیات من غیر 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لعدم صدق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التعدّی إلی عکس المسألة بإتیان الصلاة الیومیة فی أثناء الآیات فی ضیق الوقت؛ فإنّ بطلان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للزیادة فالمفروض عدم الصدق، و إمّا لفوات الموالاة فلا ضیر فیه إذا کان لأجل واجب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یبتنی جواز الإتیان بسجدتی السهو من صلاة فی أثناء صلاة اخری</w:t>
      </w:r>
      <w:r>
        <w:rPr>
          <w:rStyle w:val="FootnoteAnchor"/>
          <w:rtl w:val="true"/>
        </w:rPr>
        <w:footnoteReference w:id="5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الشی‌ء ذا عنوان مستقلّ لا دخل له فی صدق الزیادة؛ ضرورة أنّ العرف یفهم بعد الوقوف علی التعلیل الوارد فی النهی عن السجود لأجل قراءة العزیمة من أنّه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بصلاة تامّة مشتملة علی التکبیر و السجود و الرکوع و التشهّد و التسلیم أیضاً لا یجوز؛ لأنّها زیادة فی المکتوبة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قدّمناه</w:t>
      </w:r>
      <w:r>
        <w:rPr>
          <w:rStyle w:val="FootnoteAnchor"/>
          <w:rtl w:val="true"/>
        </w:rPr>
        <w:footnoteReference w:id="532"/>
      </w:r>
      <w:r>
        <w:rPr>
          <w:rFonts w:ascii="IRNazanin" w:hAnsi="IRNazanin" w:eastAsia="IRNazanin"/>
          <w:color w:val="111111"/>
          <w:sz w:val="28"/>
          <w:sz w:val="28"/>
          <w:szCs w:val="28"/>
          <w:rtl w:val="true"/>
          <w:lang w:bidi="fa-IR"/>
        </w:rPr>
        <w:t>من أنّه یشترط فی الزائد الإتیان بها بقصد کونه من الصلاة فلا تشمل ما إذا أتی به بغیر هذا القصد؛ فإنّما هو مع قطع النظر عن هذا التعلیل، و أمّا بناءً علی الأخذ بهذا التعلیل فهو عامّ شامل لما أتی به بقصد کونها من الصلاة أولا، کان له عنوان مستقلّ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الفرق بین الصلاة و سجدة العزیمة، مع أنّ الثانی له أیضاً عنوان مستقلّ، و له حافظ وحدة، و کلاهما مسبّبان عن سبب خاصّ؛ فإنّ السجدة مسبّبة عن تلاوة آیتها کالصلاة المسبّبة عن سببها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التفریق بین سجدة العزیمة و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 عدم إبطال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مع أنّ الثانی أولی بالإبطال؛ لأنّهما أشبه شی‌ء بعدم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غضّ البصر فهما و سجدة العزیمة سیّان فی الاستقلال و عدمه، و لکلّ واحد سببه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التمسّک ببعض الروایات من إقحام الآیات فی الیومیة إذا ضاق وقتها غیر صحیح؛ فإنّ الأخبار قد وردت فی عکس ما ذکره من إقحام الیومیة فی الآیات إذا ضاق وقتها</w:t>
      </w:r>
      <w:r>
        <w:rPr>
          <w:rStyle w:val="FootnoteAnchor"/>
          <w:rtl w:val="true"/>
        </w:rPr>
        <w:footnoteReference w:id="533"/>
      </w:r>
      <w:r>
        <w:rPr>
          <w:rFonts w:ascii="IRNazanin" w:hAnsi="IRNazanin" w:eastAsia="IRNazanin"/>
          <w:color w:val="111111"/>
          <w:sz w:val="28"/>
          <w:sz w:val="28"/>
          <w:szCs w:val="28"/>
          <w:rtl w:val="true"/>
          <w:lang w:bidi="fa-IR"/>
        </w:rPr>
        <w:t>، و لا یجوز قیاس الآیات بها؛ لجواز أن یکون للآیات خصوصیة یجوز معها إقحام الیومیة فیها، دون العکس</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التعدّی إلی عکس المسألة حسب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بأنّ البطلان إمّا للزیادة فلا تصدق بالفرض، و إمّا لفوات الموالاة فلا ضیر؛ لأهمّیة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أهمّیة الفریضة لا توجب سقوط الموالاة إذا دلّ الدلیل علی اعتبارها</w:t>
      </w:r>
    </w:p>
    <w:p>
      <w:pPr>
        <w:pStyle w:val="BookText"/>
        <w:rPr/>
      </w:pPr>
      <w:r>
        <w:rPr>
          <w:rFonts w:ascii="IRNazanin" w:hAnsi="IRNazanin" w:eastAsia="IRNazanin"/>
          <w:color w:val="111111"/>
          <w:sz w:val="28"/>
          <w:sz w:val="28"/>
          <w:szCs w:val="28"/>
          <w:rtl w:val="true"/>
          <w:lang w:bidi="fa-IR"/>
        </w:rPr>
        <w:t>مطلقاً، بل غایة ذلک أنّها توجب تقدیم الأهمّ علی المهمّ، و الإتیان به بعد الفراغ من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فرض ورود الدلیل علی طبق ما زعمه لا یبعد إلغاء الخصوصیة عرفاً بالنسبة إلی سائر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الباعث لهذه الاشتباهات هو الاعتماد علی الحافظة فی نقل الروایات و الاستدلال بها من غیر مراجعة الاصول و الجوامع، و کم وقفنا علی نظائر هذه الاشتباهات من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الباعث ما ذکر من الاعتماد علی الحافظة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فلازم علی روّاد الحقیقة و طلّابها أن یراجعوا فی کلّ ما ینقلونه و یستدلّون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جلیل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المصادر الأوّلیة المؤلّفة بید الأعلام، بل جدیر أن لا یکتفی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إذا أمکن الرجوع إلی الجوامع الأربعة</w:t>
      </w:r>
      <w:r>
        <w:rPr>
          <w:rFonts w:eastAsia="IRNazanin" w:cs="IRNazanin"/>
          <w:color w:val="111111"/>
          <w:sz w:val="28"/>
          <w:szCs w:val="28"/>
          <w:rtl w:val="true"/>
          <w:lang w:bidi="fa-IR"/>
        </w:rPr>
        <w:t>.</w:t>
      </w:r>
      <w:bookmarkStart w:id="528" w:name="pg12912_111972"/>
    </w:p>
    <w:p>
      <w:pPr>
        <w:pStyle w:val="Heading6"/>
        <w:numPr>
          <w:ilvl w:val="5"/>
          <w:numId w:val="1"/>
        </w:numPr>
        <w:rPr/>
      </w:pPr>
      <w:bookmarkStart w:id="529" w:name="__RefHeading___Toc3425719_3224264995"/>
      <w:bookmarkStart w:id="530" w:name="_Toc200"/>
      <w:bookmarkEnd w:id="528"/>
      <w:bookmarkEnd w:id="529"/>
      <w:r>
        <w:rPr>
          <w:rtl w:val="true"/>
        </w:rPr>
        <w:t>الأمر الثانی فی تعذّر أحد قیود المأمور به</w:t>
      </w:r>
      <w:bookmarkEnd w:id="530"/>
    </w:p>
    <w:p>
      <w:pPr>
        <w:pStyle w:val="Heading6"/>
        <w:numPr>
          <w:ilvl w:val="5"/>
          <w:numId w:val="1"/>
        </w:numPr>
        <w:rPr/>
      </w:pPr>
      <w:bookmarkStart w:id="531" w:name="__RefHeading___Toc3425721_3224264995"/>
      <w:bookmarkStart w:id="532" w:name="_Toc201"/>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لو تعذّر أحد قیود المأمور به ففی سقوط التکلیف عن المرکّب قولان مبنیان علی ثبوت التقیّد مطلقاً فیسقط، أو فی حال التمکّن فقط فلا یسقط</w:t>
      </w:r>
      <w:r>
        <w:rPr>
          <w:rFonts w:eastAsia="IRNazanin" w:cs="IRNazanin"/>
          <w:color w:val="111111"/>
          <w:sz w:val="28"/>
          <w:szCs w:val="28"/>
          <w:rtl w:val="true"/>
          <w:lang w:bidi="fa-IR"/>
        </w:rPr>
        <w:t>.</w:t>
      </w:r>
    </w:p>
    <w:p>
      <w:pPr>
        <w:pStyle w:val="Heading6"/>
        <w:numPr>
          <w:ilvl w:val="5"/>
          <w:numId w:val="1"/>
        </w:numPr>
        <w:rPr/>
      </w:pPr>
      <w:bookmarkStart w:id="533" w:name="__RefHeading___Toc3425723_3224264995"/>
      <w:bookmarkStart w:id="534" w:name="_Toc202"/>
      <w:bookmarkEnd w:id="533"/>
      <w:r>
        <w:rPr>
          <w:rtl w:val="true"/>
        </w:rPr>
        <w:t>تحریر محلّ النزاع</w:t>
      </w:r>
      <w:bookmarkEnd w:id="534"/>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یکون لدلیل المرکّب إطلاق دون دلیل اعتبار الجزء، و إمّا أن یکون بالعکس، و إمّا أن یکون لکلاهما إطلاق، أولا یکون لواحد منهما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یجب الإتیان بالمرکّب المتعذّر قیده، کما أنّه علی الثانی یسقط الأمر بالمرکّب؛ لتعذّر قیده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لأحد الإطلاقین تقدّم علی الآخر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التقدّم لدلیل المرکّب؛ فیجب الإتیان به، و یصیر حاله حال ما إذا کان لدلیله إطلاق دون دلیل الجزء، و إمّا أن یکون التقدّم لدلیل القید، فینعکس الحکم، فیسقط الأمر بالمرکّب، و یصیر حاله حال ما إذا کان لدلیل القید إطلاق دون دلیل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القید حاکم علی إطلاق دلیل المقیّد، کحکومة إطلاق القرینة علی ذیها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تقدّم القرائن علی ذیها لیس من باب الحکومة، بل من باب تقدیم الأظهر علی الظاهر، و هو غیر الحکومة، و سیوافیک</w:t>
      </w:r>
    </w:p>
    <w:p>
      <w:pPr>
        <w:pStyle w:val="BookText"/>
        <w:rPr/>
      </w:pPr>
      <w:r>
        <w:rPr>
          <w:rFonts w:ascii="IRNazanin" w:hAnsi="IRNazanin" w:eastAsia="IRNazanin"/>
          <w:color w:val="111111"/>
          <w:sz w:val="28"/>
          <w:sz w:val="28"/>
          <w:szCs w:val="28"/>
          <w:rtl w:val="true"/>
          <w:lang w:bidi="fa-IR"/>
        </w:rPr>
        <w:t>بیانه</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المرکّب قد یکون حاکماً علی دلیل اعتبار الجزء أو الشرط،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 إلی أدلّة اعتبار الأجزاء و الشرائط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حاکم علی أدلّة القیود؛ لأنّه تعرّض لما لم یتعرّض له تلک الأدلّة؛ و هو مقام الترک المتأخّر عن اعتبارها، و هذا أیضاً نحو من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لسان دلیل الجزء أو الشرط حاکماً علی دلیل المرکّب، کما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فإنّهما حاکمان علی ما ذکر و علی غیره من الأدلّة العامّة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لأنّها بعث إلی ماهیة الصلاة أو زجر عن ترکها المفروض کونها صلاة، و هذان ینفیان کون المرکّب الفاقد للطهور أو الفاتحة داخلًا فی ماهیة الصلاة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یبعد أن یکون ما ذکرنا راجعاً إلی ما نسب إلی الوحید البهبهانی</w:t>
      </w:r>
    </w:p>
    <w:p>
      <w:pPr>
        <w:pStyle w:val="BookText"/>
        <w:rPr/>
      </w:pPr>
      <w:r>
        <w:rPr>
          <w:rFonts w:ascii="IRNazanin" w:hAnsi="IRNazanin" w:eastAsia="IRNazanin"/>
          <w:color w:val="111111"/>
          <w:sz w:val="28"/>
          <w:sz w:val="28"/>
          <w:szCs w:val="28"/>
          <w:rtl w:val="true"/>
          <w:lang w:bidi="fa-IR"/>
        </w:rPr>
        <w:t>من التفصیل، علی ما حکاه بعض أعاظم العصر، و لا بأس بنقل کلامه و ما ذکره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دلیل القید سقوط الأمر بالمقیّد عند تعذّر القید مطلقاً، من غیر فرق بین القیود المستفادة من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القیود المستفادة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الأوامر و النواهی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التفصیل بینهما إلی الوحید البهبهانی؛ فذهب إلی سقوط الأمر بالمقیّد عند تعذّر القید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مقصور بالتمکّن من متعلّقه؛ لاشتراط کلّ خطاب بالقدرة علیه، فلا بدّ من سقوط الأمر بالقید عند عدم التمکّن منه، و یبقی الأمر بالباقی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القیدیة المستفادة من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یفید القیدیة بلسان الوضع لا التکلیف، فلا یشترط فیه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لأنّ القدرة معتبرة فی متعلّقات التکالیف النفسیة؛ لکونها طلباً مولویاً و بعثاً فعلیاً، بخلاف الخطابات الغیریة فی باب الوضع و الأسباب و المسبّبات؛ حیث إنّ مفادها لیس إلّا دخل المتعلّق فی حصول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الخطابات الغیریة مطلقاً بمنزلة الإخبار، من دون بعث و تحریک حتّی تقتضی القدرة علی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الفرق بین الوضعیات و التکلیفیات، و أنّ الخطاب فی الثانیة یتضمّن البعث فلا إشکال فی أنّه لیس فی آحاد الخطابات ملاک البعث المولوی، و إلّا لخرجت عن کونها غیریة، بل ملاک البعث المولوی قائم بالمجموع، فالقدرة معتبرة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القیدیة المستفادة من مثل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المستفادة من الأمر و النهی الغیری</w:t>
      </w:r>
      <w:r>
        <w:rPr>
          <w:rStyle w:val="FootnoteAnchor"/>
          <w:rtl w:val="true"/>
        </w:rPr>
        <w:footnoteReference w:id="539"/>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ما ذکره الوحید إلی ما ذکرنا أولی ممّا ذکره من التوجیه، مع ضعفه فی نفسه، کما سیوافیک بیانه مع بیان ضعف ما أورده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رجوعه إلی ما ذکرنا فواضح؛ فلأنّه إذا کان لدلیل اعتبار الجزء إطلاق حاکم علی دلیل المرکّب یصیر المرکّب متعذّر الإتیان؛ لعدم القدرة علیه بشراشر ما له دخل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لدلیل الجزء إطلاق حاکم علی دلیل المرکّب یکون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الصلاة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محکّماً و مرجعاً، فیجب الإتیان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أفاده من التوجیه و النقد ففی کلیهما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غرض الوحید لیس هو التفصیل بین الوضعیات و التکلیفیات، و لو کان غرضه هذا لکان الألیق التمثیل بالوضعیات بمثال غیرهما ممّا لیس فیه خصوصیة سوی کونه متضمّناً حکماً وضعیاً، لا بما فیه خصوصیة اخری غیر الوضع ممّا یتضمّن نفی الموضوع عند انتفاء الجزء الذی هو من أظهر وجوه الحکومة علی دلیل المرکّب،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ردّ التوجیه فهو أیضاً مثل ما سبق؛ لأنّ ما ذکره من أنّ الخطابات الغیریة تکون بمنزلة الإخبار بالجزئیة أو الشرطیة، و لا بعث فیها بوجه، ضعیف غایته؛ فإنّ الأمر مطلقاً للبعث و التحریک نحو المتعلّق؛ نفسیاً کان أو غیریاً، مولویاً کان أو إرشادیاً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المولویة ملاک البعث، و إنّما الفرق بینهما من جهة اخری؛ و هو أنّ الغرض من البعث فی النفسی هو الوصول إلی المطلوب الذاتی الذی هو المتعلّق،</w:t>
      </w:r>
    </w:p>
    <w:p>
      <w:pPr>
        <w:pStyle w:val="BookText"/>
        <w:rPr/>
      </w:pPr>
      <w:r>
        <w:rPr>
          <w:rFonts w:ascii="IRNazanin" w:hAnsi="IRNazanin" w:eastAsia="IRNazanin"/>
          <w:color w:val="111111"/>
          <w:sz w:val="28"/>
          <w:sz w:val="28"/>
          <w:szCs w:val="28"/>
          <w:rtl w:val="true"/>
          <w:lang w:bidi="fa-IR"/>
        </w:rPr>
        <w:t>و من البعث الغیری هو دخالته فی المطلوب الذاتی بنحو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مطلقاً للبعث و التحریک نحو المتعلّق و إنکاره خلاف الوجدان؛ و إن کانت الأغراض مختلفة حسب اختلاف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فیشترط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نفسیاً کان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بالإتیان به، من غیر فرق بین أنحاء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أخیراً من أنّه لا إشکال فی أنّه لیس فی آحاد الخطابات الغیریة ملاک البعث المولوی، و إلّا لخرجت عن کونها غیریة، غیر تامّ؛ لأنّ الملاک فی اعتبار القدرة فی الأوامر لیس کونها أوامر مولویة، بل لأجل اشتمالها علی البعث و التحریک، و المفروض أنّه موجود فی أنحاء الأوامر عامّة، فیجب اعتبارها فی الجمیع بلا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محطّ البحث موردان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لکلّ من دلیل المرکّب و دلیل الجزء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لکلّ واحد منهما إطلاق، و لم یکن فی أحد الإطلاقین ملاک التقدّم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مقتضی القواعد الأوّلیة و الأصل العقلی، و اخری فی مقتضی القواعد الثانویة ممّا دلّ علی خلاف الاولی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فانحصر الکلام فی المقامین، و إلیک بیانهما</w:t>
      </w:r>
      <w:r>
        <w:rPr>
          <w:rFonts w:eastAsia="IRNazanin" w:cs="IRNazanin"/>
          <w:color w:val="111111"/>
          <w:sz w:val="28"/>
          <w:szCs w:val="28"/>
          <w:rtl w:val="true"/>
          <w:lang w:bidi="fa-IR"/>
        </w:rPr>
        <w:t>:</w:t>
      </w:r>
      <w:bookmarkStart w:id="535" w:name="pg12912_111977"/>
    </w:p>
    <w:p>
      <w:pPr>
        <w:pStyle w:val="Heading6"/>
        <w:numPr>
          <w:ilvl w:val="5"/>
          <w:numId w:val="1"/>
        </w:numPr>
        <w:rPr/>
      </w:pPr>
      <w:bookmarkStart w:id="536" w:name="__RefHeading___Toc3425725_3224264995"/>
      <w:bookmarkStart w:id="537" w:name="_Toc203"/>
      <w:bookmarkEnd w:id="535"/>
      <w:bookmarkEnd w:id="536"/>
      <w:r>
        <w:rPr>
          <w:rtl w:val="true"/>
        </w:rPr>
        <w:t>المقام الأوّل فی مقتضی القواعد الأوّلیة</w:t>
      </w:r>
      <w:bookmarkEnd w:id="537"/>
    </w:p>
    <w:p>
      <w:pPr>
        <w:pStyle w:val="Heading6"/>
        <w:numPr>
          <w:ilvl w:val="5"/>
          <w:numId w:val="1"/>
        </w:numPr>
        <w:rPr/>
      </w:pPr>
      <w:bookmarkStart w:id="538" w:name="__RefHeading___Toc3425727_3224264995"/>
      <w:bookmarkStart w:id="539" w:name="_Toc204"/>
      <w:bookmarkEnd w:id="538"/>
      <w:r>
        <w:rPr>
          <w:rtl w:val="true"/>
        </w:rPr>
        <w:t>فی جریان البراءة العقلیة</w:t>
      </w:r>
      <w:bookmarkEnd w:id="539"/>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غیر فرق بین أن یکون العجز من القید ثابتاً قبل زمان التکلیف، کمن بلغ و هو لا یقدر علی القراءة، أو کان طارئاً علیه، کمن کان قادراً أوّل الوقت علی الإتیان بالجزء لکن طرأ علیه العجز أثناء الوقت، أو کان القدرة و العجز فی واقعتین، کمن کان قادراً فی الأیّام السالفة و طرء العجز فی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جریانها فی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جدّاً؛ لأنّ مرجع الشکّ فیه إلی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الشخص کان قاطعاً بعدم التکلیف قبل البلوغ، و یشکّ بعد ما أصبح مکلّفاً مع العجز عن الإتیان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الحکم 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الثالث؛ فلأنّ تمامیة الحجّة فی الأیّام الخالیة لا تصیر حجّة للأیّام الفعلیة، فهو فی یومه هذا شاکّ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أوّل الوقت و إن کان مکلّفاً بالإتیان بالمرکّب تامّاً، لکنّه قد ارتفع بارتفاع حکم الجزء و تعذّره عقلًا بعد العجز، و التکلیف بالفاقد مشکوک فیه من رأس، فیکون المرجع إلی البراءة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 الشکّ فی القدرة؛ حیث إنّهما مشترکان فی الشکّ فی أصل ثبوت التکلیف لا فی سقوطه، مع أنّ الظاهر من</w:t>
      </w:r>
      <w:bookmarkStart w:id="540" w:name="pg12912_111978"/>
    </w:p>
    <w:p>
      <w:pPr>
        <w:pStyle w:val="BookText"/>
        <w:rPr/>
      </w:pPr>
      <w:bookmarkEnd w:id="540"/>
      <w:r>
        <w:rPr>
          <w:rFonts w:ascii="IRNazanin" w:hAnsi="IRNazanin" w:eastAsia="IRNazanin"/>
          <w:color w:val="111111"/>
          <w:sz w:val="28"/>
          <w:sz w:val="28"/>
          <w:szCs w:val="28"/>
          <w:rtl w:val="true"/>
          <w:lang w:bidi="fa-IR"/>
        </w:rPr>
        <w:t>الأکابر</w:t>
      </w:r>
      <w:r>
        <w:rPr>
          <w:rStyle w:val="FootnoteAnchor"/>
          <w:rtl w:val="true"/>
        </w:rPr>
        <w:footnoteReference w:id="540"/>
      </w:r>
      <w:r>
        <w:rPr>
          <w:rFonts w:ascii="IRNazanin" w:hAnsi="IRNazanin" w:eastAsia="IRNazanin"/>
          <w:color w:val="111111"/>
          <w:sz w:val="28"/>
          <w:sz w:val="28"/>
          <w:szCs w:val="28"/>
          <w:rtl w:val="true"/>
          <w:lang w:bidi="fa-IR"/>
        </w:rPr>
        <w:t>هو الاحتیاط عقلًا فی الثانی، مع کون الشکّ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لیست من الشرائط الشرعیة، بل هی شرط و قید عقلی، فحینئذٍ فمع الشکّ فی القدرة فالتکلیف ثابت من قبل المولی؛ لعدم تقیّده بشی‌ء، و الشکّ فی سقوطه لأجل الشکّ فی کونه عاجزاً أولا، و معه لا مناص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فالمتیقّن منه هو ثبوت الجزئیة فی حال التمکّن، و أمّا حالة العجز فهو یشکّ فی جزئیته، فالعجز عن القید معلوم و التکلیف بالفاقد مشکوک فیه من رأس مع القدرة علیه، و هذا هو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 ما إذا اضطرّ إلی ارتکاب بعض الأطراف من المعلوم إجمالًا؟ حیث إنّه یجب الاجتناب عن الطرف الآخر؛ لحکم العقل بحرمة المخالفة القطعیة مع عدم إمکان الموافقة القطعیة، فلیکن المقام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قیاس مع الفارق؛ لعدم العلم الإجمالی فی المقام، بل الموجود علم تفصیلی بوجوب الصلاة تامّة، و شکّ بدوی فی وجوب الفاقدة لبعض قیودها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حال البراءة العقلیة</w:t>
      </w:r>
      <w:r>
        <w:rPr>
          <w:rFonts w:eastAsia="IRNazanin" w:cs="IRNazanin"/>
          <w:color w:val="111111"/>
          <w:sz w:val="28"/>
          <w:szCs w:val="28"/>
          <w:rtl w:val="true"/>
          <w:lang w:bidi="fa-IR"/>
        </w:rPr>
        <w:t>.</w:t>
      </w:r>
    </w:p>
    <w:p>
      <w:pPr>
        <w:pStyle w:val="Heading6"/>
        <w:numPr>
          <w:ilvl w:val="5"/>
          <w:numId w:val="1"/>
        </w:numPr>
        <w:rPr/>
      </w:pPr>
      <w:bookmarkStart w:id="541" w:name="__RefHeading___Toc3425729_3224264995"/>
      <w:bookmarkStart w:id="542" w:name="_Toc205"/>
      <w:bookmarkEnd w:id="541"/>
      <w:r>
        <w:rPr>
          <w:rtl w:val="true"/>
        </w:rPr>
        <w:t>فی جریان البراءة الشرعیة</w:t>
      </w:r>
      <w:bookmarkEnd w:id="54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 حدیث الرفع</w:t>
      </w:r>
      <w:r>
        <w:rPr>
          <w:rStyle w:val="FootnoteAnchor"/>
          <w:rtl w:val="true"/>
        </w:rPr>
        <w:footnoteReference w:id="541"/>
      </w:r>
      <w:r>
        <w:rPr>
          <w:rFonts w:ascii="IRNazanin" w:hAnsi="IRNazanin" w:eastAsia="IRNazanin"/>
          <w:color w:val="111111"/>
          <w:sz w:val="28"/>
          <w:sz w:val="28"/>
          <w:szCs w:val="28"/>
          <w:rtl w:val="true"/>
          <w:lang w:bidi="fa-IR"/>
        </w:rPr>
        <w:t>لا یثبت وجوب الفاقدة لبعض القیود إذا لم یکن لدلیل المرکّب و لا لدلیل اعتبار الجزء و الشرط إطلاق؛ لأنّه</w:t>
      </w:r>
    </w:p>
    <w:p>
      <w:pPr>
        <w:pStyle w:val="BookText"/>
        <w:rPr/>
      </w:pPr>
      <w:r>
        <w:rPr>
          <w:rFonts w:ascii="IRNazanin" w:hAnsi="IRNazanin" w:eastAsia="IRNazanin"/>
          <w:color w:val="111111"/>
          <w:sz w:val="28"/>
          <w:sz w:val="28"/>
          <w:szCs w:val="28"/>
          <w:rtl w:val="true"/>
          <w:lang w:bidi="fa-IR"/>
        </w:rPr>
        <w:t>حدیث رفع لا حدیث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لکلّ من الدلیلین إطلاق أمکن رفع إطلاق الجزئیة و الشرطیة فی حال الاضطرار، و التمسّک بإطلاق دلیل المرکّب فی وجوب الباقی من الأجزاء، و قد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الباقی و إجزائه عن الکامل إنّما هو بنفس الأدلّة الأوّلیة</w:t>
      </w:r>
      <w:r>
        <w:rPr>
          <w:rStyle w:val="FootnoteAnchor"/>
          <w:rtl w:val="true"/>
        </w:rPr>
        <w:footnoteReference w:id="542"/>
      </w:r>
      <w:r>
        <w:rPr>
          <w:rFonts w:ascii="IRNazanin" w:hAnsi="IRNazanin" w:eastAsia="IRNazanin"/>
          <w:color w:val="111111"/>
          <w:sz w:val="28"/>
          <w:sz w:val="28"/>
          <w:szCs w:val="28"/>
          <w:rtl w:val="true"/>
          <w:lang w:bidi="fa-IR"/>
        </w:rPr>
        <w:t>و لذا اشترطنا وجود الإطلاق لدلیل المرکّب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الفاقدة بنفس 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ما ربّما یتوهّم من أنّ رفع الجزئیة فی حال الاضطرار منّة، و إیجاب الباقی یعدّ خلاف المنّة، و الحدیث حدیث امتنان لا خلافه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الامتنان و خلافه إنّما تلاحظان فی مجری الحدیث فقط، و رفع الجزئیة لیس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إیجاب الباقی فلیس مجری الرفع، بل و لا من لوازمه العقلیة و العادیة و الشرعیة، بل لازم رفع الجزئیة هو رفع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الدلیل المتکفّل لإیجاب الباقی فإنّما هو نفس الإطلاقات الأوّلیة لأدلّة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الاضطرار العرفی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الاضطرار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إنّه لا یکون مجری الحدیث؛ لسقوط التکلیف عن الکلّ بحکم العقل، غیر أنّک قد عرفت حکایة ذلک عن بعضهم؛ حیث منع عن التمسّک بحدیث الرفع عند نسیان بعض الأجزاء؛ قائلًا بأنّ التکلیف الفعلی مرتفع عن المنسی بعروض النسیان بملاک استحالة التکلیف بما لا یطاق، فالتکلیف مرتفع مع قطع النظر عن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ضعفه هناک فلا نعید</w:t>
      </w:r>
      <w:r>
        <w:rPr>
          <w:rStyle w:val="FootnoteAnchor"/>
          <w:rtl w:val="true"/>
        </w:rPr>
        <w:footnoteReference w:id="545"/>
      </w:r>
      <w:bookmarkStart w:id="543" w:name="pg12912_111980"/>
    </w:p>
    <w:p>
      <w:pPr>
        <w:pStyle w:val="BookText"/>
        <w:rPr/>
      </w:pPr>
      <w:bookmarkEnd w:id="543"/>
      <w:r>
        <w:rPr>
          <w:rFonts w:ascii="IRNazanin" w:hAnsi="IRNazanin" w:eastAsia="IRNazanin"/>
          <w:color w:val="111111"/>
          <w:sz w:val="28"/>
          <w:sz w:val="28"/>
          <w:szCs w:val="28"/>
          <w:rtl w:val="true"/>
          <w:lang w:bidi="fa-IR"/>
        </w:rPr>
        <w:t>هذا کلّه علی القول بجریان حدیث الرفع فی الاضطرار علی الترک، و أمّا علی فرض عدم جریانه فلا، و قد تقدّم الحقّ فی ذلک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4" w:name="__RefHeading___Toc3425731_3224264995"/>
      <w:bookmarkStart w:id="545" w:name="_Toc206"/>
      <w:bookmarkEnd w:id="544"/>
      <w:r>
        <w:rPr>
          <w:rtl w:val="true"/>
        </w:rPr>
        <w:t>المقام الثانی فی مقتضی القواعد الثانویة</w:t>
      </w:r>
      <w:bookmarkEnd w:id="545"/>
    </w:p>
    <w:p>
      <w:pPr>
        <w:pStyle w:val="Heading6"/>
        <w:numPr>
          <w:ilvl w:val="5"/>
          <w:numId w:val="1"/>
        </w:numPr>
        <w:rPr/>
      </w:pPr>
      <w:bookmarkStart w:id="546" w:name="__RefHeading___Toc3425733_3224264995"/>
      <w:bookmarkStart w:id="547" w:name="_Toc207"/>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فالبحث یقع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وجوب باقی الأجزاء، و اخری فی إثبات الوجوب له ببرکة قاعدة المیسور و نظیره کما سیوافیک</w:t>
      </w:r>
      <w:r>
        <w:rPr>
          <w:rFonts w:eastAsia="IRNazanin" w:cs="IRNazanin"/>
          <w:color w:val="111111"/>
          <w:sz w:val="28"/>
          <w:szCs w:val="28"/>
          <w:rtl w:val="true"/>
          <w:lang w:bidi="fa-IR"/>
        </w:rPr>
        <w:t>.</w:t>
      </w:r>
    </w:p>
    <w:p>
      <w:pPr>
        <w:pStyle w:val="Heading6"/>
        <w:numPr>
          <w:ilvl w:val="5"/>
          <w:numId w:val="1"/>
        </w:numPr>
        <w:rPr/>
      </w:pPr>
      <w:bookmarkStart w:id="548" w:name="__RefHeading___Toc3425735_3224264995"/>
      <w:bookmarkStart w:id="549" w:name="_Toc208"/>
      <w:bookmarkEnd w:id="548"/>
      <w:r>
        <w:rPr>
          <w:rtl w:val="true"/>
        </w:rPr>
        <w:t>التمسّک بالاستصحاب لإثبات وجوب باقی الأجزاء</w:t>
      </w:r>
      <w:bookmarkEnd w:id="549"/>
    </w:p>
    <w:p>
      <w:pPr>
        <w:pStyle w:val="BookText"/>
        <w:rPr/>
      </w:pPr>
      <w:r>
        <w:rPr>
          <w:rFonts w:ascii="IRNazanin" w:hAnsi="IRNazanin" w:eastAsia="IRNazanin"/>
          <w:color w:val="111111"/>
          <w:sz w:val="28"/>
          <w:sz w:val="28"/>
          <w:szCs w:val="28"/>
          <w:rtl w:val="true"/>
          <w:lang w:bidi="fa-IR"/>
        </w:rPr>
        <w:t>و یقرّر الاستصحاب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وجوبه علی نحو القسم الثالث من استصحاب الکلّی</w:t>
      </w:r>
      <w:r>
        <w:rPr>
          <w:rStyle w:val="FootnoteAnchor"/>
          <w:rtl w:val="true"/>
        </w:rPr>
        <w:footnoteReference w:id="547"/>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الفاقدة لبعض القیود کانت واجبة بالوجوب الغیری حال وجوب الکلّ، و قد علمنا بارتفاعه، إلّا أنّا نشکّ فی حدوث الوجوب النفسی للباقی مقارناً لزوال الوجوب الغیری، فیستصحب الجامع بین الوجوبین؛ بأنّه کان متیقّناً و شکّ فی بقائه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فبدّل الوجوب الغیری بالضمنی؛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الباقی من المرکّب کان واجباً بالوجوب الضمنی حال وجوب الکلّ، و قد وقفنا علی ارتفاعهما قطعاً لکن نشکّ فی حدوث الوجوب النفسی للباقی مقارناً لزوال وجوبه الضمنی،</w:t>
      </w:r>
    </w:p>
    <w:p>
      <w:pPr>
        <w:pStyle w:val="BookText"/>
        <w:rPr/>
      </w:pPr>
      <w:r>
        <w:rPr>
          <w:rFonts w:ascii="IRNazanin" w:hAnsi="IRNazanin" w:eastAsia="IRNazanin"/>
          <w:color w:val="111111"/>
          <w:sz w:val="28"/>
          <w:sz w:val="28"/>
          <w:szCs w:val="28"/>
          <w:rtl w:val="true"/>
          <w:lang w:bidi="fa-IR"/>
        </w:rPr>
        <w:t>فالجامع بینهما متیقّن، فیستصحب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جریانه أن یکون المستصحب حکماً شرعیاً أو موضوعاً ذا أثر شرعی، و الجامع بین الوجوبین لیس موضوعاً لحکم شرعی کما هو واضح، و لا هو حکم شرعی مجعول؛ لأنّ المجعول إنّما هو کلّ واحد من الوجوبین؛ أی ما هو فرد للوجوب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بینهما فهو أمر انتزاعی غیر مجعول أصلًا؛ فلو حکم الشارع بوجوب الصلاة و وجوب الصوم فالجامع بینهما غیر مجعول، و ما هو المجعول إنّما هو مصداق الجامع الذی یعبّر عنه بالفرد، و ما هو الحکم إنّما هو مصداق الجامع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بنعت الکثرة حکم شرعی و بنعت الوحدة لم یکن حکماً و لا مجعولًا، فلا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الأجزاء بالوجوب الغیری ممّا لا معنی له</w:t>
      </w:r>
      <w:r>
        <w:rPr>
          <w:rStyle w:val="FootnoteAnchor"/>
          <w:rtl w:val="true"/>
        </w:rPr>
        <w:footnoteReference w:id="548"/>
      </w:r>
      <w:r>
        <w:rPr>
          <w:rFonts w:ascii="IRNazanin" w:hAnsi="IRNazanin" w:eastAsia="IRNazanin"/>
          <w:color w:val="111111"/>
          <w:sz w:val="28"/>
          <w:sz w:val="28"/>
          <w:szCs w:val="28"/>
          <w:rtl w:val="true"/>
          <w:lang w:bidi="fa-IR"/>
        </w:rPr>
        <w:t>، و أمّا اتّصافها بالنفسی فسیوافیک ضعفه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وجوه تقریر الاستصحاب هو استصحاب الوجوب النفسی الشخصی، بادّعاء أنّ تعذّر بعض الأجزاء ممّا یتسامح فیه عرفاً، و لا یصیر القضیة المتیقّنة غیر القضیة المشکوک فیها، و هذا مثل ما إذا وجب إکرام زید، ثمّ قطع بعض أعضائه، فشککنا فی بقاء وجوبه؛ فلا شکّ أنّ عدم الإکرام یعدّ نقضاً عند العرف لما علم سابقاً</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العناوین الکلّیة بالجزئیات الخارجیة قیاس مع الفارق؛ لأنّ العنوان الکلّی إذا اضیف إلیه جزء أو قید یعدّ مغایراً للکلّی الفاقد لهما؛ فالإنسان العالم مباین لمطلق الإنسان، و الصلاة مع السورة غیر الصلاة بدونها، و الماء المتغیّر غیر الماء الذی لیس متغیّراً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الخارجیة فتلک الزیادة و النقیصة لا تصیر مبدءً لحصول التباین بین الفاقد و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البقاء فی الموجودات الخارجیة هو بقاء الشخصیة و الهذیة، و هو حاصل لدی العرف بزیادة وصف أو ارتفاعه، فإذا تغیّر الکرّ ثمّ ذهب تغیّره بنفسه فلا شکّ فی صحّة استصحاب نجاسته؛ لأنّ الموضوع إنّما هو الماء، و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المتیقّنة هی نجاسة ذلک الماء، و هی عین القضیة المشکوک فیها؛ لبقاء الهوهویة عرفاً، و هذا بخلاف العناوین الکلّیة غیر المتحقّقة فی الخارج؛ فإنّ ضمّ جزء أو قید به موجب لتبدّل الموضوع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یقال من أنّ تغیّر بعض الحالات لا یضرّ بالاستصحاب إنّما هو فی الحالات التی علم دخالتها فی الحکم فی الجملة، و لم یعلم کونها دخیلًا فیه حدوثاً و بقاءً، أو حدوثاً فقط،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کونها دخیلًا علی نحو الواسطة فی العروض حتّی لا یجری الاستصحاب، أو واسطة فی الثبوت حتّی یجری؛ فلو کان حال القید المرتفع ممّا ذکرنا فلا إشکال فی أنّه یستصحب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کونه دخیلًا فی الحکم علی نحو القطع و البتّ، إلّا أنّه تعذّر الإتیان به فلا شکّ أنّه لا یجری الاستصحاب؛ لأنّ المفروض دخالته فی الحکم الشخصی، و مع انتفاء جزء من أجزاء المرکّب ینتفی الحکم المتعلّق به بالضرورة،</w:t>
      </w:r>
    </w:p>
    <w:p>
      <w:pPr>
        <w:pStyle w:val="BookText"/>
        <w:rPr/>
      </w:pPr>
      <w:r>
        <w:rPr>
          <w:rFonts w:ascii="IRNazanin" w:hAnsi="IRNazanin" w:eastAsia="IRNazanin"/>
          <w:color w:val="111111"/>
          <w:sz w:val="28"/>
          <w:sz w:val="28"/>
          <w:szCs w:val="28"/>
          <w:rtl w:val="true"/>
          <w:lang w:bidi="fa-IR"/>
        </w:rPr>
        <w:t>فلا معنی للتعبیر عنه بالشکّ فی بقاء شخص الحکم؛ لأنّ المتیقّن مرفوع، و غیره مشکوک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تعذّر بعض الأجزاء و ما إذا نقص مقدار من الماء الکرّ؛ حیث یجری فی الثانی دون الأوّل، و یعدّ المنقوص من الحالات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بینهما؛ فإنّ دخالة المقدار المفقود فی الکرّیة مشکوک من أوّل الأمر؛ لاحتمال کون الکرّ هو الباقی، فإذا صدق کون هذا ذاک فلا مانع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ببرکة أدلّة الجزء دخالته فی الحکم الشخصی من أوّل الأمر، و مع فقدانه لا یمکن القول ببقاء الحکم الشخصی الذی کان قائماً بالموضوع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ارتفاع المرکّب بارتفاع بعض أجزائه أو کلّها، کما أنّ ارتفاع حکمه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الشخصی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الباقیة غیر المتعذّرة کانت واجبة بالوجوب النفسی، و نشکّ فی بقائه؛ لاحتمال اختصاص جزئیة المتعذّر بحال التمکّن، فیبقی وجوب الباقی بحاله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قیام الوجوب الواحد الشخصی أو الإرادة الواحدة الشخصیة بأمرین متغایرین؛ تارة بالموضوع التامّ و اخری بالمرکّب الناقص</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بأنّه من قبیل تعدّد المطلوب غیر مفید؛ فإنّ تعدّد المطلوب یستلزم تعدّد الطلب و الإرادة، فعلی فرض تعدّد المطلوب هنا طلب مستقلّ و إرادة مستقلّة متعلّقة بالمطلوب التامّ لمن یقدر علیه، و طلب مستقلّ و إرادة اخری متعلّقة</w:t>
      </w:r>
    </w:p>
    <w:p>
      <w:pPr>
        <w:pStyle w:val="BookText"/>
        <w:rPr/>
      </w:pPr>
      <w:r>
        <w:rPr>
          <w:rFonts w:ascii="IRNazanin" w:hAnsi="IRNazanin" w:eastAsia="IRNazanin"/>
          <w:color w:val="111111"/>
          <w:sz w:val="28"/>
          <w:sz w:val="28"/>
          <w:szCs w:val="28"/>
          <w:rtl w:val="true"/>
          <w:lang w:bidi="fa-IR"/>
        </w:rPr>
        <w:t>بالمطلوب الناقص لمن لا یقدر علی التامّ منه، و لا یعقل بقاء الطلب المتعلّق بالتامّ مع فقد جزئه؛ فلا مجال لاستصحاب الحکم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الشخصی النفسی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و إن کان أمراً واحداً إلّا أنّه ینبسط علی الأجزاء حسب کثرتها و تعدّدها، فالأمر المتعلّق بالأجزاء له نحو انبساط علی الأجزاء، و لأجل هذا الانبساط یکون کلّ واحد من الأجزاء واجباً بعین الوجوب المتعلّق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انبساطه عن الجزء المتعذّر یشکّ فی زواله عن الأجزاء الباقیة؛ فیستصحب بلا مسامحة فی الموضوع و لا فی المستصحب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هو الحقّ فی المقام عند البحث عن الأقلّ و الأکثر، و قد أوضحنا هناک</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الواحد و الإرادة الواحدة لیس إلّا أمراً وحدانیاً، و أنّ الأجزاء بنعت الکثرة لا یعقل أن تقع مصبّاً للطلب الواحد، إلّا أن یصیر الواحد کثیراً أو الکثیر واحداً، و کلاهما خلف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المتعلّق للبعث الواحد إنّما هی نفس الأجزاء فی لحاظ الوحدة و الإجمال، و فی حالة اضمحلالها و فنائها فی صورتها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کون الأجزاء من قبیل المحصّلات لما هو متعلّق الأمر، بل الأجزاء عین المرکّب لکن فی حالة التفصیل، کما أنّ المرکّب عین الأجزاء لکن فی لباس الوحدة و صورة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إرادة أو بعث بالمرکّب لیس من قبیل تعلّق الواحد بالکثیر، بل من قبیل تعلّق واحد بواحد</w:t>
      </w:r>
      <w:r>
        <w:rPr>
          <w:rFonts w:eastAsia="IRNazanin" w:cs="IRNazanin"/>
          <w:color w:val="111111"/>
          <w:sz w:val="28"/>
          <w:szCs w:val="28"/>
          <w:rtl w:val="true"/>
          <w:lang w:bidi="fa-IR"/>
        </w:rPr>
        <w:t>.</w:t>
      </w:r>
      <w:bookmarkStart w:id="550" w:name="pg12912_111985"/>
    </w:p>
    <w:p>
      <w:pPr>
        <w:pStyle w:val="BookText"/>
        <w:rPr/>
      </w:pPr>
      <w:bookmarkEnd w:id="550"/>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بانبساط الإرادة أو البعث الوحدانی علی موضوعهما ممّا لا محصّل له؛ لأنّ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کالمتعلِّق لیس إلّا أمراً وحدانیاً؛ و إن کانت ذات أجزاء عند التحلیل و لحاظه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علم زوال انبساطه عن المتعذّر و شکّ فی زواله عن غیره؛ إذ کلّ ذلک فرع أن یکون المتعلّق ذات أبعاض و أجزاء عند تعلّق الأمر، و المفروض أنّ الأمر لا یتعلّق بالکثیر بما هو کثیر، ما لم یتّخذ لنفسه صورة وحدانیة یضمحلّ فیها الکثرات و الأبعاض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الاضمحلال لا مجال للتفوّه بالانبساط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یبطل القول بالعلم بارتفاع الوجوب عن جزء، و الشکّ فی ارتفاعه عن الأجزاء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کون الوجوب منبسطاً علی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العرض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الوجوب المتعلّق علی الأجزاء تابع لوجوب المرکّب،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المتعلّق به أمر واحد شخصی ینتفی بانتفاء بعض أجزائه، و بانتفائه ینتفی الوجوب الضمنی التبعی المتعلّق بالأجزاء، فلا یصیر من قبیل الشکّ فی البقاء، کما لا یخفی</w:t>
      </w:r>
      <w:r>
        <w:rPr>
          <w:rFonts w:eastAsia="IRNazanin" w:cs="IRNazanin"/>
          <w:color w:val="111111"/>
          <w:sz w:val="28"/>
          <w:szCs w:val="28"/>
          <w:rtl w:val="true"/>
          <w:lang w:bidi="fa-IR"/>
        </w:rPr>
        <w:t>.</w:t>
      </w:r>
    </w:p>
    <w:p>
      <w:pPr>
        <w:pStyle w:val="Heading6"/>
        <w:numPr>
          <w:ilvl w:val="5"/>
          <w:numId w:val="1"/>
        </w:numPr>
        <w:rPr/>
      </w:pPr>
      <w:bookmarkStart w:id="551" w:name="__RefHeading___Toc3425737_3224264995"/>
      <w:bookmarkStart w:id="552" w:name="_Toc209"/>
      <w:bookmarkEnd w:id="551"/>
      <w:r>
        <w:rPr>
          <w:rtl w:val="true"/>
        </w:rPr>
        <w:t>التمسّک بقاعدة المیسور لإثبات وجوب باقی الأجزاء</w:t>
      </w:r>
      <w:bookmarkEnd w:id="552"/>
    </w:p>
    <w:p>
      <w:pPr>
        <w:pStyle w:val="BookText"/>
        <w:rPr/>
      </w:pPr>
      <w:r>
        <w:rPr>
          <w:rFonts w:ascii="Amiri" w:hAnsi="Amiri" w:eastAsia="Amiri" w:cs="Amiri"/>
          <w:color w:val="111111"/>
          <w:sz w:val="28"/>
          <w:sz w:val="28"/>
          <w:szCs w:val="28"/>
          <w:rtl w:val="true"/>
          <w:lang w:bidi="ar-SA"/>
        </w:rPr>
        <w:t>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w:t>
      </w:r>
    </w:p>
    <w:p>
      <w:pPr>
        <w:pStyle w:val="BookText"/>
        <w:rPr/>
      </w:pPr>
      <w:r>
        <w:rPr>
          <w:rFonts w:ascii="IRNazanin" w:hAnsi="IRNazanin" w:eastAsia="IRNazanin"/>
          <w:color w:val="111111"/>
          <w:sz w:val="28"/>
          <w:sz w:val="28"/>
          <w:szCs w:val="28"/>
          <w:rtl w:val="true"/>
          <w:lang w:bidi="fa-IR"/>
        </w:rPr>
        <w:t>ما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53" w:name="pg12912_111986"/>
    </w:p>
    <w:p>
      <w:pPr>
        <w:pStyle w:val="BookText"/>
        <w:rPr/>
      </w:pPr>
      <w:bookmarkEnd w:id="553"/>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هو الإتیان بالبقیة</w:t>
      </w:r>
      <w:r>
        <w:rPr>
          <w:rStyle w:val="FootnoteAnchor"/>
          <w:rtl w:val="true"/>
        </w:rPr>
        <w:footnoteReference w:id="556"/>
      </w:r>
      <w:r>
        <w:rPr>
          <w:rFonts w:ascii="IRNazanin" w:hAnsi="IRNazanin" w:eastAsia="IRNazanin"/>
          <w:color w:val="111111"/>
          <w:sz w:val="28"/>
          <w:sz w:val="28"/>
          <w:szCs w:val="28"/>
          <w:rtl w:val="true"/>
          <w:lang w:bidi="fa-IR"/>
        </w:rPr>
        <w:t>، غیر أنّا نعطف نظر القارئ إلی بیان مفادها، مع الغضّ عن ضعف أسنادها؛ فإنّ اشتهارها بین المتأخّرین لا یجبر ضعف أسنادها؛ خصوصاً العلویین؛ فإنّک لا تجد عنهما ذکراً فی کلام المتقدّمین</w:t>
      </w:r>
      <w:r>
        <w:rPr>
          <w:rFonts w:eastAsia="IRNazanin" w:cs="IRNazanin"/>
          <w:color w:val="111111"/>
          <w:sz w:val="28"/>
          <w:szCs w:val="28"/>
          <w:rtl w:val="true"/>
          <w:lang w:bidi="fa-IR"/>
        </w:rPr>
        <w:t>.</w:t>
      </w:r>
    </w:p>
    <w:p>
      <w:pPr>
        <w:pStyle w:val="Heading6"/>
        <w:numPr>
          <w:ilvl w:val="5"/>
          <w:numId w:val="1"/>
        </w:numPr>
        <w:rPr/>
      </w:pPr>
      <w:bookmarkStart w:id="554" w:name="__RefHeading___Toc3425739_3224264995"/>
      <w:bookmarkStart w:id="555" w:name="_Toc210"/>
      <w:bookmarkEnd w:id="554"/>
      <w:r>
        <w:rPr>
          <w:rtl w:val="true"/>
        </w:rPr>
        <w:t>الکلام فی مفاد النبوی</w:t>
      </w:r>
      <w:bookmarkEnd w:id="55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قطع النظر عن صدره الوارد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وجوهاً و احتمالات،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ذا أجزاء أو ذا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منه کلّ ما کان فی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إرادة الأعمّ توجب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الأکثر؛ لعدم الجامع بین الأجزاء و الأفراد، و لحاظ الأجزاء یباین لحاظ الأفراد، و لا یصحّ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 و إن صحّ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 من الکلّی و الکلّ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لأنّ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لیس معناه کونها بمعنی البعض؛ فإنّه باطل بالضرورة، بل الحرف مستعمل فی معناها الحرفی، غیر أنّ المدخول ینطبق علیه أنّه بعض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من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أکلت بعضها، بل المراد أنّ السمک ملحوظ أمراً وحدانیاً، یکون المأکول ممّا ینطبق علیه أنّه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یتوقّف علیه صحّة ذلک الاستعمال ملاحظة الشی‌ء أمراً واحداً یکون المدخول بالحمل الشائع بعضاً منه، و هو کما یصحّ فی الأجزاء کذلک یصحّ فی الطبیعی الذی له أفراد؛ فإنّ کلّ فرد من الطبیعی و إن لم یکن بعضاً منه بل عینه و هکذا الفرد الآخر، إلّا أنّه مقتضی حکم العقل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نظر العرف الساذج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الطبیعی عندهم بمنزلة مخزن یخرج منه الأفراد، یکون کلّ فرد بعضاً منه؛ فیکون منطبقاً علی التبعیض بالحمل الشائع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فالعرف ببابک؛ فإنّ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فی الکلّی الذی له أفراد شائع فی العربیة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بطبیعة الصلاة فأتوا منها کلّ فرد یکون فی استطاعتکم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قولًا صحیحاً، من دون استلزامه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لیس مانعاً من حمل الروایة علی الأعمّ، و أنّ غایة ما یقتضیه التبعیض کون المدخول متقطّعاً ممّا قبلها بنحو من الاقتطاع، أو یکون ما قبلها کالمخزن لما بعدها، کالکلّی بالنسبة إلی أفراده، و هو حاصل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ملاحظة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إرادة الأفراد، لا الأجزاء و لا الأعمّ منهما؛ فإنّ الحدیث وارد فی حجّة الوداع؛</w:t>
      </w:r>
    </w:p>
    <w:p>
      <w:pPr>
        <w:pStyle w:val="BookText"/>
        <w:rPr/>
      </w:pPr>
      <w:r>
        <w:rPr>
          <w:rFonts w:ascii="IRNazanin" w:hAnsi="IRNazanin" w:eastAsia="IRNazanin"/>
          <w:color w:val="111111"/>
          <w:sz w:val="28"/>
          <w:sz w:val="28"/>
          <w:szCs w:val="28"/>
          <w:rtl w:val="true"/>
          <w:lang w:bidi="fa-IR"/>
        </w:rPr>
        <w:t>حیث إنّه صلی الله علیه و آله و سلم قام خطیباً،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علیکم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 عنه حتّی أعاد مرّتین أو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 ما یؤمنک أن أقول نعم؟ و اللَّه لو قلت نعم لوجب، و لو وجب ما استطعتم، و لو ترکتم لکفرتم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فاترکونی ممّا ترکتکم، و إنّما هلک من کان قبلکم بکثرة سؤالهم و اختلافهم إلی أنبیائهم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أمرتکم بشی‌ء فأتوا منه ما استطعتم، و إذا نهیتکم عن شی‌ء فاجتنبوه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إعراضه صلی الله علیه و آله و سلم عن الراوی لأجل أنّه إنّما سئل عمّا هو واضح لدی العقل، و هو أنّه إذا أوجب المولی شیئاً یسقط أمره بالإتیان بأوّل مصداق منه، و مع هذا لا مجال للإصرار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یوضحه</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ما یؤمنک أن أقول نعم؟ و اللَّه لو قلت نعم لوجب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لوجب کلّ سنة؛ فهو ظاهر فی أنّ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الاکتفاء بأوّل مصداق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ما لم یرد منه خلافه، و أمّا مع الورود فیتّبع مقدار دلالة الدلیل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فحینئذٍ</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تقدّمه من السؤال و الجواب ظاهر فی إعطاء الضابطة الکلّیة المطابقة لما یحکم به العقل من السقوط بالإتیان بأوّل مصداق من الطبیعة إلی أن یأتی بیان ینقضها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مصدریة زمانیة؛ أی إذا أمرتکم بشی‌ء فأتوا منه زمن استطاعتکم، لا موصولة حتّی یجب کلّ فرد مستطاع؛ لأنّه خلاف سیاق الحدیث علی ما عرفت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إرادة المرکّب؛ لأنّه إذا وجب علینا المرکّب وجب علینا الإتیان بها بکلّ أجزائه لا بعض أجزائه، فتأمّل</w:t>
      </w:r>
      <w:r>
        <w:rPr>
          <w:rFonts w:eastAsia="IRNazanin" w:cs="IRNazanin"/>
          <w:color w:val="111111"/>
          <w:sz w:val="28"/>
          <w:szCs w:val="28"/>
          <w:rtl w:val="true"/>
          <w:lang w:bidi="fa-IR"/>
        </w:rPr>
        <w:t>.</w:t>
      </w:r>
      <w:bookmarkStart w:id="556" w:name="pg12912_111989"/>
    </w:p>
    <w:p>
      <w:pPr>
        <w:pStyle w:val="Heading6"/>
        <w:numPr>
          <w:ilvl w:val="5"/>
          <w:numId w:val="1"/>
        </w:numPr>
        <w:rPr/>
      </w:pPr>
      <w:bookmarkStart w:id="557" w:name="__RefHeading___Toc3425741_3224264995"/>
      <w:bookmarkStart w:id="558" w:name="_Toc211"/>
      <w:bookmarkEnd w:id="556"/>
      <w:bookmarkEnd w:id="557"/>
      <w:r>
        <w:rPr>
          <w:rtl w:val="true"/>
        </w:rPr>
        <w:t>الکلام فی مفاد العلوی الأوّل</w:t>
      </w:r>
      <w:bookmarkEnd w:id="558"/>
    </w:p>
    <w:p>
      <w:pPr>
        <w:pStyle w:val="BookText"/>
        <w:rPr/>
      </w:pP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المیسور لا یسقط عن عهدته، أو أنّ حکمه لا یسقط عن موضوعه، أو أنّ المیسور لا یسقط عن موضوعیته للحکم فکلّها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قلنا إنّ کون الأوّل أظهر لأنّ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ثبوت ما یسقط بنحو من الأنحاء فی محلّ عالٍ حقیقة أو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الطبائع ثابتاً بواسطة الأمر فی عهدة المکلّف و ذمّته التی هی أمر عالٍ فی عالم الاعتبار کانت الأجزاء ثابتة فی ذلک المحلّ بعین ثبوت الطبیعة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سقوط الجزء و تعذّره موجباً لتعذّر المرکّب و سقوطه حسب القاعدة الأوّلیة جاء الحدیث نافیاً لتلک القاعدة؛ قائلًا بأنّ سقوط المعسور لا یوجب سقوط المیسور؛ و إن کان ملاک عدم السقوط مختلفاً؛ فإنّ الملاک لعدم سقوطه قبل التعذّر إنّما هو الأمر المتعلّق بالطبیعة الموجب لثبوتها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ثبوت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الملاک لعدم سقوطه بعد التعذّر فإنّما هو لأجل أمر آخر مستفاد من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قادح أصلًا؛ فإنّ الاختلاف إنّما هو فی جهة الثبوت لا فی أصله، نظیر السقف المحفوظ بالدعائم المختلفة المتبدّلة؛ فالسقف ثابت و إن کان ما به الثبوت یختلف، کما أنّ الأجزاء المیسورة ثابتة و إن کان ما به الثبوت مختلفاً؛ فتارة یکون ما به الثبوت هو الأمر المتعلّق بالطبیعة التامّة، و اخری یکون الأمر المستفاد من ذلک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أردأ الاحتمالات هو الأخیر؛ و إن کان الجمیع غیر الأوّل مشترکاً فی کونه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الأردئیة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 السقوط لا یلائم هذا الاحتمال؛ لما عرفت من أنّ تحقّق مفهوم السقوط یتوقّف علی کون الساقط فی محلّ عالٍ، ککون الحکم بالنسبة إلی الموضوع، و هو بالنسبة إلی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سقوط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الموضوعیة فلا یتحقّق فیه الشرط المذکور؛ لأنّ الحکم یسقط عن الموضوع لا الموضوع عن الموضوعیة، إلّا بتبع سقوط الحکم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ارتفاع الموضوع لأجل موضوعیته لصحّ ذلک فیه،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الآمر عن الإمارة، و المقام لیس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الکلّ مشترکاً فی کونه خلاف الظاهر؛ فلأنّ الحکم الذی کان متعلّقاً بالمیسور قبل تعذّر بعض الأجزاء فهو یسقط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إنّه وجوب غیری أو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الثابت له بعد تعذّر بعض أجزائه إنّما هو أمر آخر بملاک آخر، فنسبة عدم السقوط إلیه مسامحة موجودة فی الاحتمالات الثلاثة، و هذا بخلاف الأوّل؛ فإنّ عدم السقوط مستند فیه إلی نفس المیسور، و هو لا یستلزم شیئاً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عدم السقوط عدم سقوطه بما له من الحکم الوجوبی أو الاستحبابی؛ لظهور الحدیث فی ثبوت ما ثبت سابقاً بعین ثبوته أوّلًا، الراجع إلی بقاء الأمر السابق، نظیر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الشامل للوجوب و الاستحباب</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فضعیف؛ لأنّ الحکم الوحدانی المتعلّق بالمرکّب الثابت بثبوته کیف یتصوّر بقاؤه مع زواله، و الإرادة الشخصیة المتعلّقة بالمراد، المتشخّصة به کیف تبقی بحالها مع زوال ما هو ملاک تشخّصه؟</w:t>
      </w:r>
    </w:p>
    <w:p>
      <w:pPr>
        <w:pStyle w:val="BookText"/>
        <w:rPr/>
      </w:pPr>
      <w:r>
        <w:rPr>
          <w:rFonts w:ascii="IRNazanin" w:hAnsi="IRNazanin" w:eastAsia="IRNazanin"/>
          <w:color w:val="111111"/>
          <w:sz w:val="28"/>
          <w:sz w:val="28"/>
          <w:szCs w:val="28"/>
          <w:rtl w:val="true"/>
          <w:lang w:bidi="fa-IR"/>
        </w:rPr>
        <w:t>و قیاس المقام بأدلّة الاستصحاب مع الفارق؛ فإنّ مفادها التعبّد بإبقاء الیقین عند الشکّ فی بقاء المتیقّن، و أمّا المقام فلا شکّ فی سقوط ما ثبت و زوال ما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فی المقام وجود ملاک آخر یوجب ثبوت البقیة فی الذمّة، لکن بأمر آخر و حکم مستقلّ و ملاک مغایر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 العلّامة</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الأعظم</w:t>
      </w:r>
      <w:r>
        <w:rPr>
          <w:rStyle w:val="FootnoteAnchor"/>
          <w:rtl w:val="true"/>
        </w:rPr>
        <w:footnoteReference w:id="561"/>
      </w:r>
      <w:r>
        <w:rPr>
          <w:rFonts w:ascii="IRNazanin" w:hAnsi="IRNazanin" w:eastAsia="IRNazanin"/>
          <w:color w:val="111111"/>
          <w:sz w:val="28"/>
          <w:sz w:val="28"/>
          <w:szCs w:val="28"/>
          <w:rtl w:val="true"/>
          <w:lang w:bidi="fa-IR"/>
        </w:rPr>
        <w:t>من التمسّک بالمسامحة العرفیة فغیر وجیه؛ لأنّ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متسامحاً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أن یقول بأنّ الوجوب الغیری الثابت سابقاً عین الوجوب النفسی الحادث لاحقاً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تسامحه إلی هذه المنزلة فسیوافیک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المسامحات العرفیة غیر مقبول، و إنّما المیزان فی المقام هو العرف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عبرة بالدقّة العقلیة، کما لا عبرة بالمسامحة العرفیة، فانتظر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العلوی بالواجبات؛ إذ لا ثبوت و لا عهدة فی المستحبّات إلّا بوجه آخر، و أمّا تنقیح المناط أو إلغاء الخصوصیة مع الاعتراف بظهورها فی الواجبات فلا وجه له</w:t>
      </w:r>
      <w:r>
        <w:rPr>
          <w:rFonts w:eastAsia="IRNazanin" w:cs="IRNazanin"/>
          <w:color w:val="111111"/>
          <w:sz w:val="28"/>
          <w:szCs w:val="28"/>
          <w:rtl w:val="true"/>
          <w:lang w:bidi="fa-IR"/>
        </w:rPr>
        <w:t>.</w:t>
      </w:r>
      <w:bookmarkStart w:id="559" w:name="pg12912_111992"/>
    </w:p>
    <w:p>
      <w:pPr>
        <w:pStyle w:val="Heading6"/>
        <w:numPr>
          <w:ilvl w:val="5"/>
          <w:numId w:val="1"/>
        </w:numPr>
        <w:rPr/>
      </w:pPr>
      <w:bookmarkStart w:id="560" w:name="__RefHeading___Toc3425743_3224264995"/>
      <w:bookmarkStart w:id="561" w:name="_Toc212"/>
      <w:bookmarkEnd w:id="559"/>
      <w:bookmarkEnd w:id="560"/>
      <w:r>
        <w:rPr>
          <w:rtl w:val="true"/>
        </w:rPr>
        <w:t>الکلام فی مفاد العلوی الثانی</w:t>
      </w:r>
      <w:bookmarkEnd w:id="561"/>
    </w:p>
    <w:p>
      <w:pPr>
        <w:pStyle w:val="BookText"/>
        <w:rPr/>
      </w:pPr>
      <w:r>
        <w:rPr>
          <w:rFonts w:ascii="IRNazanin" w:hAnsi="IRNazanin" w:eastAsia="IRNazanin"/>
          <w:color w:val="111111"/>
          <w:sz w:val="28"/>
          <w:sz w:val="28"/>
          <w:szCs w:val="28"/>
          <w:rtl w:val="true"/>
          <w:lang w:bidi="fa-IR"/>
        </w:rPr>
        <w:t>و أمّا العلوی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أنّه ظاهر فی الکلّ المجموعی، و هل یمکن استفادة حرمة ترک البقیة أولا؟ وجهان مبنیان علی تقدیم أحد الظهورین من الصدر و الذیل علی الآخر؛ فإنّ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الأعمّ من الواجب و المستحبّ، کما أنّ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فی حرمة الترک، فلا وجه لتقدیم الذیل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بأنّ الراجح هو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فیتصرّف فی الذیل، و یحمل علی مطلق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 الذهن إلی الصدر یمنع عن انعقاد ظهور للذیل، إلّا إذا کان أقوی ظهوراً منه؛ حتّی ینصرف الذهن عمّا 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فلا أقلّ من 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الشیخ الأعظم من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قرینة علی تخصیص الموصول بغیر المباحات و المحرّمات هکذا قرینة علی اختصاصه بالواجبات</w:t>
      </w:r>
      <w:r>
        <w:rPr>
          <w:rStyle w:val="FootnoteAnchor"/>
          <w:rtl w:val="true"/>
        </w:rPr>
        <w:footnoteReference w:id="562"/>
      </w:r>
      <w:r>
        <w:rPr>
          <w:rFonts w:ascii="IRNazanin" w:hAnsi="IRNazanin" w:eastAsia="IRNazanin"/>
          <w:color w:val="111111"/>
          <w:sz w:val="28"/>
          <w:sz w:val="28"/>
          <w:szCs w:val="28"/>
          <w:rtl w:val="true"/>
          <w:lang w:bidi="fa-IR"/>
        </w:rPr>
        <w:t>، لا یخلو من ضعف؛ فإنّ القرینة علی تخصیصه بغیرهما إنّما هو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الدرک و عدم الدرک إنّما یستعمل فی المواضع التی یکون للآمر و المکلّف داعٍ إلی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الآمر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منه ما یلیق أن یدرک کلّه، فیکون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 راجح یکون للمکلّف و الآمر داعٍ إلی إتیانه و لم یدرک کلّه فعندئذٍ لا یترک کلّه</w:t>
      </w:r>
      <w:r>
        <w:rPr>
          <w:rFonts w:eastAsia="IRNazanin" w:cs="IRNazanin"/>
          <w:color w:val="111111"/>
          <w:sz w:val="28"/>
          <w:szCs w:val="28"/>
          <w:rtl w:val="true"/>
          <w:lang w:bidi="fa-IR"/>
        </w:rPr>
        <w:t>.</w:t>
      </w:r>
      <w:bookmarkStart w:id="562" w:name="pg12912_111993"/>
    </w:p>
    <w:p>
      <w:pPr>
        <w:pStyle w:val="Heading6"/>
        <w:numPr>
          <w:ilvl w:val="5"/>
          <w:numId w:val="1"/>
        </w:numPr>
        <w:rPr/>
      </w:pPr>
      <w:bookmarkStart w:id="563" w:name="__RefHeading___Toc3425745_3224264995"/>
      <w:bookmarkStart w:id="564" w:name="_Toc213"/>
      <w:bookmarkEnd w:id="562"/>
      <w:bookmarkEnd w:id="563"/>
      <w:r>
        <w:rPr>
          <w:rtl w:val="true"/>
        </w:rPr>
        <w:t>توضیح محتملات الحدیث</w:t>
      </w:r>
      <w:bookmarkEnd w:id="5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الجملتین المجموع، لکنّه احتمال بدوی لا یلائم مع مرمی الحدیث؛ فإنّ درک المجموع بدرک جمیع أجزائه و عدم درکه یحصل بعدم درک بعض أجزائه، کما أنّ ترک المجموع بترک بعض منه و عدم ترکه هو الإتیان به بما له من الأجزاء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فی الموضعین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جمیع أجزائه لا یترک جمیع أجزائه، و 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کلّ جزء منه،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 جزء منه لا یترک کلّ جزء منه، فهو صحیح؛ و إن لم یکن الحدیث متعیّناً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مقابل درک کلّ جزء هو عدم درکه، و هو یحصل بدرک البعض أیضاً، کما أنّ مقابل ترک کلّ جزء عدم ترک کلّ جزء، الذی یحصل بعدم ترک البعض؛ فیصیر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 جزء منه لا یترک کلّ جزئه، و یفهم منه لزوم الإتیان بالبقیة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الاحتمالین؛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مجموعه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إتیان جمیع أجزائه؛ لأنّ ترک المجموع بترک البعض، و الإتیان به بإتیان جمیع أجزائه، و هذا بخلاف الاحتمال الثانی،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یترک کلّ جزء منه فالنهی یدلّ علی حرمة ترک کلّ جزء منه علی نحو سلب العموم، و هو یحصل بالإتیان بالبعض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الشیخ الأعظم من أنّ لفظ الکلّ مجموعی لا أفرادی؛ إذ لو حمل</w:t>
      </w:r>
    </w:p>
    <w:p>
      <w:pPr>
        <w:pStyle w:val="BookText"/>
        <w:rPr/>
      </w:pPr>
      <w:r>
        <w:rPr>
          <w:rFonts w:ascii="IRNazanin" w:hAnsi="IRNazanin" w:eastAsia="IRNazanin"/>
          <w:color w:val="111111"/>
          <w:sz w:val="28"/>
          <w:sz w:val="28"/>
          <w:szCs w:val="28"/>
          <w:rtl w:val="true"/>
          <w:lang w:bidi="fa-IR"/>
        </w:rPr>
        <w:t>علی الأفرادی کان المراد ما لا یدرک شی‌ء منه لا یترک شی‌ء منه</w:t>
      </w:r>
      <w:r>
        <w:rPr>
          <w:rStyle w:val="FootnoteAnchor"/>
          <w:rtl w:val="true"/>
        </w:rPr>
        <w:footnoteReference w:id="563"/>
      </w:r>
      <w:r>
        <w:rPr>
          <w:rFonts w:ascii="IRNazanin" w:hAnsi="IRNazanin" w:eastAsia="IRNazanin"/>
          <w:color w:val="111111"/>
          <w:sz w:val="28"/>
          <w:sz w:val="28"/>
          <w:szCs w:val="28"/>
          <w:rtl w:val="true"/>
          <w:lang w:bidi="fa-IR"/>
        </w:rPr>
        <w:t>ضعیف؛ فإنّ الکلّ إذا ورد علیه النفی إنّما هو یفید سلب العموم، لا عموم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المعنی مبنی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فلاحظ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إنسان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 فرقاً بینه 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واحد منه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الثانی یفید عموم السلب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المنطقیون بأنّ نقیض السالبة الکلّیة هو الموجبة الجزئیة</w:t>
      </w:r>
      <w:r>
        <w:rPr>
          <w:rStyle w:val="FootnoteAnchor"/>
          <w:rtl w:val="true"/>
        </w:rPr>
        <w:footnoteReference w:id="564"/>
      </w:r>
      <w:r>
        <w:rPr>
          <w:rFonts w:ascii="IRNazanin" w:hAnsi="IRNazanin" w:eastAsia="IRNazanin"/>
          <w:color w:val="111111"/>
          <w:sz w:val="28"/>
          <w:sz w:val="28"/>
          <w:szCs w:val="28"/>
          <w:rtl w:val="true"/>
          <w:lang w:bidi="fa-IR"/>
        </w:rPr>
        <w:t>فنقیض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إنسان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یتوقّف علی کون بعض الإنسان لیس بحیوان، لا کلّ فرد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المسلوب لمّا کان متعدّداً فالسلب الوارد علیه متعدّد أیضاً؛ لمکان التضایف الواقع بینهما</w:t>
      </w:r>
      <w:r>
        <w:rPr>
          <w:rStyle w:val="FootnoteAnchor"/>
          <w:rtl w:val="true"/>
        </w:rPr>
        <w:footnoteReference w:id="565"/>
      </w:r>
      <w:r>
        <w:rPr>
          <w:rFonts w:ascii="IRNazanin" w:hAnsi="IRNazanin" w:eastAsia="IRNazanin"/>
          <w:color w:val="111111"/>
          <w:sz w:val="28"/>
          <w:sz w:val="28"/>
          <w:szCs w:val="28"/>
          <w:rtl w:val="true"/>
          <w:lang w:bidi="fa-IR"/>
        </w:rPr>
        <w:t>غیر صحیح؛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إنسان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قضایا متعدّدة و أسالیب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یبتنی النزاع المعروف بین الشیخ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الشیخ الأعظم</w:t>
      </w:r>
      <w:r>
        <w:rPr>
          <w:rStyle w:val="FootnoteAnchor"/>
          <w:rtl w:val="true"/>
        </w:rPr>
        <w:footnoteReference w:id="567"/>
      </w:r>
      <w:r>
        <w:rPr>
          <w:rFonts w:ascii="IRNazanin" w:hAnsi="IRNazanin" w:eastAsia="IRNazanin"/>
          <w:color w:val="111111"/>
          <w:sz w:val="28"/>
          <w:sz w:val="28"/>
          <w:szCs w:val="28"/>
          <w:rtl w:val="true"/>
          <w:lang w:bidi="fa-IR"/>
        </w:rPr>
        <w:t>فی تعیین المفهوم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56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مفهومه علی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یبلغ کرّاً لیس لا ینجّسه</w:t>
      </w:r>
      <w:bookmarkStart w:id="565" w:name="pg12912_111995"/>
    </w:p>
    <w:p>
      <w:pPr>
        <w:pStyle w:val="BookText"/>
        <w:rPr/>
      </w:pPr>
      <w:bookmarkEnd w:id="565"/>
      <w:r>
        <w:rPr>
          <w:rFonts w:ascii="IRNazanin" w:hAnsi="IRNazanin" w:eastAsia="IRNazanin"/>
          <w:color w:val="111111"/>
          <w:sz w:val="28"/>
          <w:sz w:val="28"/>
          <w:szCs w:val="28"/>
          <w:rtl w:val="true"/>
          <w:lang w:bidi="fa-IR"/>
        </w:rPr>
        <w:t>شی‌ء، و لازمه سلب تلک القضیة السالبة الکلّیة، و هو یتحقّق بالإثبات الجزئی، و قد أوضحنا حاله فی محلّه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الاولی المجموع و من الثانی کلّ جزء منها، و هو صحیح بعین ما ذکرناه فی الثانی،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و یتعذّر مجموعه لا یترک کلّ جزء منه؛ أی لا یترک بکلّیته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أظهر الاحتمالات، و یساعده الذوق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و هو ظاهر الفساد بعین ما ذکرنا فی الأوّل</w:t>
      </w:r>
      <w:r>
        <w:rPr>
          <w:rFonts w:eastAsia="IRNazanin" w:cs="IRNazanin"/>
          <w:color w:val="111111"/>
          <w:sz w:val="28"/>
          <w:szCs w:val="28"/>
          <w:rtl w:val="true"/>
          <w:lang w:bidi="fa-IR"/>
        </w:rPr>
        <w:t>.</w:t>
      </w:r>
    </w:p>
    <w:p>
      <w:pPr>
        <w:pStyle w:val="Heading6"/>
        <w:numPr>
          <w:ilvl w:val="5"/>
          <w:numId w:val="1"/>
        </w:numPr>
        <w:rPr/>
      </w:pPr>
      <w:bookmarkStart w:id="566" w:name="__RefHeading___Toc3425747_3224264995"/>
      <w:bookmarkStart w:id="567" w:name="_Toc214"/>
      <w:bookmarkEnd w:id="566"/>
      <w:r>
        <w:rPr>
          <w:rtl w:val="true"/>
        </w:rPr>
        <w:t>فی اعتبار صدق المیسور فی جریان القاعدة</w:t>
      </w:r>
      <w:bookmarkEnd w:id="567"/>
    </w:p>
    <w:p>
      <w:pPr>
        <w:pStyle w:val="BookText"/>
        <w:rPr/>
      </w:pPr>
      <w:r>
        <w:rPr>
          <w:rFonts w:ascii="IRNazanin" w:hAnsi="IRNazanin" w:eastAsia="IRNazanin"/>
          <w:color w:val="111111"/>
          <w:sz w:val="28"/>
          <w:sz w:val="28"/>
          <w:szCs w:val="28"/>
          <w:rtl w:val="true"/>
          <w:lang w:bidi="fa-IR"/>
        </w:rPr>
        <w:t>قد تداول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قاعدة المیسور یتوقّف علی أن یصدق میسور الطبیعة علی الباقی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تعذّرت الأجزاء الکثیرة؛ بحیث لا یصدق علی الباقی أنّه میسورها، و لا یراه العرف من مصادیقها الناقصة فلا تجری تلک القاعدة، و لا بدّ من استفادة ذلک من الأدلّة الدالّة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الطبیعة، کما أنّ المراد من الموصول هو الأفراد؛ سواء کان الفرد فرداً عرضیاً أو طولیاً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بطبیعة ذات أفراد فأتوا منها ما یکون فی</w:t>
      </w:r>
    </w:p>
    <w:p>
      <w:pPr>
        <w:pStyle w:val="BookText"/>
        <w:rPr/>
      </w:pPr>
      <w:r>
        <w:rPr>
          <w:rFonts w:ascii="IRNazanin" w:hAnsi="IRNazanin" w:eastAsia="IRNazanin"/>
          <w:color w:val="111111"/>
          <w:sz w:val="28"/>
          <w:sz w:val="28"/>
          <w:szCs w:val="28"/>
          <w:rtl w:val="true"/>
          <w:lang w:bidi="fa-IR"/>
        </w:rPr>
        <w:t>استطاعتکم، و هو دالّ بظاهره علی أنّه یشترط أن یکون المأتی به فرد الطبیعة؛ و إن کان فردها الناقص بالنسبة إلی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المفقود معظم الأجزاء أو أجزائها الرکنیة فلا یصدق علی المأتی به فی نظر العرف أنّه فرد الطبیعة؛ لا کاملها و لا ناقصها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لا موصولة</w:t>
      </w:r>
      <w:r>
        <w:rPr>
          <w:rStyle w:val="FootnoteAnchor"/>
          <w:rtl w:val="true"/>
        </w:rPr>
        <w:footnoteReference w:id="571"/>
      </w:r>
      <w:r>
        <w:rPr>
          <w:rFonts w:ascii="IRNazanin" w:hAnsi="IRNazanin" w:eastAsia="IRNazanin"/>
          <w:color w:val="111111"/>
          <w:sz w:val="28"/>
          <w:sz w:val="28"/>
          <w:szCs w:val="28"/>
          <w:rtl w:val="true"/>
          <w:lang w:bidi="fa-IR"/>
        </w:rPr>
        <w:t>، فیسقط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فإنّ المراد من الموصول هو المرکّب؛ 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یدرک کلّ جزء من ذلک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حکم علی الموصول الذی ارید منه المرکّب بأنّه لا یترک ذلک المرکّب بکلّیته، و هو یعطی أنّه لا بدّ من الإتیان بالمرکّب الناقص إذا تعذّر الکامل، و هو عین ما یدّعیه المشهور بأنّه لا بدّ من صدق الطبیعة علی الباقی المیسور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الأظهر فی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مرکّب لا یدرک مجموعه أو کلّ جزء من أجزائه أنّه لا یترک جمیع أجزائه، بل لا بدّ من الإتیان بما تیسّر من تلک الأجزاء، لا ما تیسّر من ذلک المرکّب حتّی یتوقّف علی صدق المرکّب علی الباقی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المعنیین واضح؛ فإنّ النهی عن الترک قد تعلّق علی المعنی الأوّل بالمرکّب المیسور، و بالأجزاء المیسورة علی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w:t>
      </w:r>
      <w:bookmarkStart w:id="568" w:name="pg12912_111997"/>
    </w:p>
    <w:p>
      <w:pPr>
        <w:pStyle w:val="BookText"/>
        <w:rPr/>
      </w:pPr>
      <w:bookmarkEnd w:id="568"/>
      <w:r>
        <w:rPr>
          <w:rFonts w:ascii="IRNazanin" w:hAnsi="IRNazanin" w:eastAsia="IRNazanin"/>
          <w:color w:val="111111"/>
          <w:sz w:val="28"/>
          <w:sz w:val="28"/>
          <w:szCs w:val="28"/>
          <w:rtl w:val="true"/>
          <w:lang w:bidi="fa-IR"/>
        </w:rPr>
        <w:t>علی الأوّل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علی المرکّب، و علی الثانی علی أجزاء المرکّب، و لا ریب أنّه یصدق جزء المرکّب علی کلّ جزء منه؛ و إن 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یحتمل فی بادئ النظر 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میسور الطبیعة لا یسقط بمعسورها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المیسورة من الطبیعة لا یسقط بالمعسور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المیسورة لا یسقط بالمعسور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و الثالث یدلّ علی المقصود، و أنّه لا بدّ أن یکون المأتی به صادقاً علیه الطبیعة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أظهریة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من الحدیث هو میسور الطبیعة المأمور بها</w:t>
      </w:r>
      <w:r>
        <w:rPr>
          <w:rFonts w:eastAsia="IRNazanin" w:cs="IRNazanin"/>
          <w:color w:val="111111"/>
          <w:sz w:val="28"/>
          <w:szCs w:val="28"/>
          <w:rtl w:val="true"/>
          <w:lang w:bidi="fa-IR"/>
        </w:rPr>
        <w:t>.</w:t>
      </w:r>
    </w:p>
    <w:p>
      <w:pPr>
        <w:pStyle w:val="Heading6"/>
        <w:numPr>
          <w:ilvl w:val="5"/>
          <w:numId w:val="1"/>
        </w:numPr>
        <w:rPr/>
      </w:pPr>
      <w:bookmarkStart w:id="569" w:name="__RefHeading___Toc3425749_3224264995"/>
      <w:bookmarkStart w:id="570" w:name="_Toc215"/>
      <w:bookmarkEnd w:id="569"/>
      <w:r>
        <w:rPr>
          <w:rtl w:val="true"/>
        </w:rPr>
        <w:t>المرجع فی تعیین المیسور</w:t>
      </w:r>
      <w:bookmarkEnd w:id="570"/>
    </w:p>
    <w:p>
      <w:pPr>
        <w:pStyle w:val="BookText"/>
        <w:rPr/>
      </w:pPr>
      <w:r>
        <w:rPr>
          <w:rFonts w:ascii="IRNazanin" w:hAnsi="IRNazanin" w:eastAsia="IRNazanin"/>
          <w:color w:val="111111"/>
          <w:sz w:val="28"/>
          <w:sz w:val="28"/>
          <w:szCs w:val="28"/>
          <w:rtl w:val="true"/>
          <w:lang w:bidi="fa-IR"/>
        </w:rPr>
        <w:t>ثمّ إنّ المرجع فی تعیین المیسور هو العرف بلا إشکال؛ فإنّه المحکّم فی عامّة الموضوعات؛ سواء کان الموضوع عرفیاً أو شرعیاً، فإنّ الموضوع للقاعدة هو الطبائع المأمور بها، و لا إشکال أنّ العرف واقف علی حقیقة الأمر فی هذه المیادین؛ حیث یشخّص أنّه المیسور من الطبیعة عن غیره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قد تصدق بنظر العرف علی الناقص لشرط أو جزء و قد لا تصدق فیعدّ الجبیرة فی بعض الأجزاء میسورها، کما أنّه لا یعدّ</w:t>
      </w:r>
    </w:p>
    <w:p>
      <w:pPr>
        <w:pStyle w:val="BookText"/>
        <w:rPr/>
      </w:pPr>
      <w:r>
        <w:rPr>
          <w:rFonts w:ascii="IRNazanin" w:hAnsi="IRNazanin" w:eastAsia="IRNazanin"/>
          <w:color w:val="111111"/>
          <w:sz w:val="28"/>
          <w:sz w:val="28"/>
          <w:szCs w:val="28"/>
          <w:rtl w:val="true"/>
          <w:lang w:bidi="fa-IR"/>
        </w:rPr>
        <w:t>الجبیرة فی معظم الأجزاء میسورها، من غیر فرق بین الموضوعات العرفیة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البعض من التفصیل بینهما</w:t>
      </w:r>
      <w:r>
        <w:rPr>
          <w:rStyle w:val="FootnoteAnchor"/>
          <w:rtl w:val="true"/>
        </w:rPr>
        <w:footnoteReference w:id="574"/>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المیسور ما یکون وافیاً بالغرض أو ببعضه، و هذا لا یقف علیه العرف</w:t>
      </w:r>
      <w:r>
        <w:rPr>
          <w:rStyle w:val="FootnoteAnchor"/>
          <w:rtl w:val="true"/>
        </w:rPr>
        <w:footnoteReference w:id="575"/>
      </w:r>
      <w:r>
        <w:rPr>
          <w:rFonts w:ascii="IRNazanin" w:hAnsi="IRNazanin" w:eastAsia="IRNazanin"/>
          <w:color w:val="111111"/>
          <w:sz w:val="28"/>
          <w:sz w:val="28"/>
          <w:szCs w:val="28"/>
          <w:rtl w:val="true"/>
          <w:lang w:bidi="fa-IR"/>
        </w:rPr>
        <w:t>ضعیف، مثل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یجوز الاتّکاء علی القاعدة؛ لکثرة التخصیصات الواردة علیها، فلا بدّ أن یضمّ إلیه عمل المشهور حتّی یکون جابراً لضعف دلالته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دلالة فی الحدیث علی ما ذکر، و إطلاقه حاکم علی خلافه، و لا وجه للمصیر إلیه بلا داعٍ، فیکون کلّ ما ورد علی خلافه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إنّما یصحّ لو قلنا بعمومیة الحدیث للواجب و غیره، و أمّا علی ما اخترناه من اختصاصه بالواجبات بقرینة عدم تحقّق العهدة فی غیرها و اختصاصه بما إذا کان الباقی لدی العرف میسور الطبیعة لا مطلقاً فلا أظنّ ورود التخصیصات الکثیرة علیه؛ إذ لم یرد علیه تخصیص فی الحجّ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فلا یتحقّق فیه المیسور و المعسور؛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بسیط وضعی، تکون المفطرات مفسداته؛ فلا یعدّ من الطبیعة إذا اجتنب عن مفسداته مع شرب الماء القلیل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بعمومیته للواجب و غیره، و ما هو میسور الطبیعة و ما لیس کذلک، بل اکتفینا بمیسور الأجزاء لکان لما توهّم مجال</w:t>
      </w:r>
      <w:r>
        <w:rPr>
          <w:rFonts w:eastAsia="IRNazanin" w:cs="IRNazanin"/>
          <w:color w:val="111111"/>
          <w:sz w:val="28"/>
          <w:szCs w:val="28"/>
          <w:rtl w:val="true"/>
          <w:lang w:bidi="fa-IR"/>
        </w:rPr>
        <w:t>.</w:t>
      </w:r>
      <w:bookmarkStart w:id="571" w:name="pg12912_111999"/>
    </w:p>
    <w:p>
      <w:pPr>
        <w:pStyle w:val="Heading5"/>
        <w:numPr>
          <w:ilvl w:val="4"/>
          <w:numId w:val="1"/>
        </w:numPr>
        <w:rPr/>
      </w:pPr>
      <w:bookmarkStart w:id="572" w:name="__RefHeading___Toc3425751_3224264995"/>
      <w:bookmarkStart w:id="573" w:name="_Toc216"/>
      <w:bookmarkEnd w:id="571"/>
      <w:bookmarkEnd w:id="572"/>
      <w:r>
        <w:rPr>
          <w:rtl w:val="true"/>
        </w:rPr>
        <w:t>خاتمة فی شرائط جریان الاصول</w:t>
      </w:r>
      <w:bookmarkEnd w:id="573"/>
    </w:p>
    <w:p>
      <w:pPr>
        <w:pStyle w:val="Heading6"/>
        <w:numPr>
          <w:ilvl w:val="5"/>
          <w:numId w:val="1"/>
        </w:numPr>
        <w:rPr/>
      </w:pPr>
      <w:bookmarkStart w:id="574" w:name="__RefHeading___Toc3425753_3224264995"/>
      <w:bookmarkStart w:id="575" w:name="_Toc217"/>
      <w:bookmarkEnd w:id="574"/>
      <w:r>
        <w:rPr>
          <w:rtl w:val="true"/>
        </w:rPr>
        <w:t>فی حسن الاحتیاط مطلقاً</w:t>
      </w:r>
      <w:bookmarkEnd w:id="575"/>
    </w:p>
    <w:p>
      <w:pPr>
        <w:pStyle w:val="BookText"/>
        <w:rPr/>
      </w:pPr>
      <w:r>
        <w:rPr>
          <w:rFonts w:ascii="IRNazanin" w:hAnsi="IRNazanin" w:eastAsia="IRNazanin"/>
          <w:color w:val="111111"/>
          <w:sz w:val="28"/>
          <w:sz w:val="28"/>
          <w:szCs w:val="28"/>
          <w:rtl w:val="true"/>
          <w:lang w:bidi="fa-IR"/>
        </w:rPr>
        <w:t>أمّا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حُسنه شی‌ء، بل هو حَسَن علی کلّ حال، إلّا أن یستلزم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 من الإشکالات فی صحّة العمل بالاحتیاط فقد فرغنا عن بعضها فی مبحث القطع</w:t>
      </w:r>
      <w:r>
        <w:rPr>
          <w:rStyle w:val="FootnoteAnchor"/>
          <w:rtl w:val="true"/>
        </w:rPr>
        <w:footnoteReference w:id="577"/>
      </w:r>
      <w:r>
        <w:rPr>
          <w:rFonts w:ascii="IRNazanin" w:hAnsi="IRNazanin" w:eastAsia="IRNazanin"/>
          <w:color w:val="111111"/>
          <w:sz w:val="28"/>
          <w:sz w:val="28"/>
          <w:szCs w:val="28"/>
          <w:rtl w:val="true"/>
          <w:lang w:bidi="fa-IR"/>
        </w:rPr>
        <w:t>، فلا بأس بالإعادة علی وجه الاختصار؛ لما فیه من الإفادة، فنقول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مرجع بعض الإشکالات إلی مطلق الاحتیاط، و بعضها إلی الاحتیاط فی أطراف العلم الإجمالی، و بعضها إلی الاحتیاط فیما قامت الأمارة علی خلافه، کأن قامت الأمارة علی وجوب الجمعة؛ فالمکلّف یأتی بها و بالظهر أیضاً</w:t>
      </w:r>
      <w:r>
        <w:rPr>
          <w:rFonts w:eastAsia="IRNazanin" w:cs="IRNazanin"/>
          <w:color w:val="111111"/>
          <w:sz w:val="28"/>
          <w:szCs w:val="28"/>
          <w:rtl w:val="true"/>
          <w:lang w:bidi="fa-IR"/>
        </w:rPr>
        <w:t>.</w:t>
      </w:r>
      <w:bookmarkStart w:id="576" w:name="pg12912_112000"/>
    </w:p>
    <w:p>
      <w:pPr>
        <w:pStyle w:val="Heading6"/>
        <w:numPr>
          <w:ilvl w:val="5"/>
          <w:numId w:val="1"/>
        </w:numPr>
        <w:rPr/>
      </w:pPr>
      <w:bookmarkStart w:id="577" w:name="__RefHeading___Toc3425755_3224264995"/>
      <w:bookmarkStart w:id="578" w:name="_Toc218"/>
      <w:bookmarkEnd w:id="576"/>
      <w:bookmarkEnd w:id="577"/>
      <w:r>
        <w:rPr>
          <w:rtl w:val="true"/>
        </w:rPr>
        <w:t>الإشکال فی مطلق الاحتیاط</w:t>
      </w:r>
      <w:bookmarkEnd w:id="578"/>
    </w:p>
    <w:p>
      <w:pPr>
        <w:pStyle w:val="BookText"/>
        <w:rPr/>
      </w:pPr>
      <w:r>
        <w:rPr>
          <w:rFonts w:ascii="IRNazanin" w:hAnsi="IRNazanin" w:eastAsia="IRNazanin"/>
          <w:color w:val="111111"/>
          <w:sz w:val="28"/>
          <w:sz w:val="28"/>
          <w:szCs w:val="28"/>
          <w:rtl w:val="true"/>
          <w:lang w:bidi="fa-IR"/>
        </w:rPr>
        <w:t>أمّا الإشکال علی مطلق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إنّ الإطاعة عبارة عن انبعاث العبد ببعث المولی؛ لعدم صدق الإطاعة علی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عبارة عن کون أمره داعیاً إلی الإتیان بالمأمور به، و صیرورة العبد متحرّکاً بتحریکه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المحرّک فی الشبهة البدویة لیس أمره و بعثه، بل احتمال أمره و بعثه؛ سواء کان فی الواقع أمر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الموضوع لانبعاثه لیس إلّا نفس الاحتمال، من غیر دخالة لمحتمله فی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انبعاثه؛ و إن لم یکن فی نفس الأمر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إنّما هو الصورة الذهنیة من الأمر القائم بالنفس، من غیر دخالة لوجودها الواقعی فی الانبعاث، و هذا لا یکفی فی تحقّق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الإیعاز إلی هذا الإشکال فی مبحث القطع، و أوضحنا حاله هناک</w:t>
      </w:r>
      <w:r>
        <w:rPr>
          <w:rStyle w:val="FootnoteAnchor"/>
          <w:rtl w:val="true"/>
        </w:rPr>
        <w:footnoteReference w:id="578"/>
      </w:r>
      <w:r>
        <w:rPr>
          <w:rFonts w:ascii="IRNazanin" w:hAnsi="IRNazanin" w:eastAsia="IRNazanin"/>
          <w:color w:val="111111"/>
          <w:sz w:val="28"/>
          <w:sz w:val="28"/>
          <w:szCs w:val="28"/>
          <w:rtl w:val="true"/>
          <w:lang w:bidi="fa-IR"/>
        </w:rPr>
        <w:t>، و قد فصّلنا الکلام فی دفعه فی الدورة السابقة</w:t>
      </w:r>
      <w:r>
        <w:rPr>
          <w:rStyle w:val="FootnoteAnchor"/>
          <w:rtl w:val="true"/>
        </w:rPr>
        <w:footnoteReference w:id="579"/>
      </w:r>
      <w:r>
        <w:rPr>
          <w:rFonts w:ascii="IRNazanin" w:hAnsi="IRNazanin" w:eastAsia="IRNazanin"/>
          <w:color w:val="111111"/>
          <w:sz w:val="28"/>
          <w:sz w:val="28"/>
          <w:szCs w:val="28"/>
          <w:rtl w:val="true"/>
          <w:lang w:bidi="fa-IR"/>
        </w:rPr>
        <w:t>، و لأجل ذلک نکتفی فی المقام بما یلی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الإطاعة و العصیان من الامور العقلائیة، و لا یتوقّف تحقّق الإطاعة علی کون انبعاثه عن أمره و بعثه، بل یکفی فی ذلک أن یکون العبد آتیاً بالشی‌ء لأجله تعالی؛ متقرّباً بعمله راجیاً الوصول إلی أغراضه، و هو محقّق مطلقاً؛ سواء کان عالماً بالأمر أو محتملًا</w:t>
      </w:r>
      <w:r>
        <w:rPr>
          <w:rFonts w:eastAsia="IRNazanin" w:cs="IRNazanin"/>
          <w:color w:val="111111"/>
          <w:sz w:val="28"/>
          <w:szCs w:val="28"/>
          <w:rtl w:val="true"/>
          <w:lang w:bidi="fa-IR"/>
        </w:rPr>
        <w:t>.</w:t>
      </w:r>
      <w:bookmarkStart w:id="579" w:name="pg12912_112001"/>
    </w:p>
    <w:p>
      <w:pPr>
        <w:pStyle w:val="BookText"/>
        <w:rPr/>
      </w:pPr>
      <w:bookmarkEnd w:id="579"/>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العبادة لا یتوقّف علی ما ذکره، بل یکفی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الانبعاث مطلقاً لیس من أمره؛ فإنّ علّة الانبعاث إنّما هو المبادئ الموجودة فی نفس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الطمع فی رضوانه و الخوف من ناره و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فلیس له شأن سوی أنّه محقّق لموضوع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المنبعث عن احتمال الأمر أولی بکونه مطیعاً ممّن لا ینبعث إلّا عن الأمر القطعی؛ فإنّ الانبعاث عن احتماله کاشف عن قوّة المبادئ الباعثة إلی الإطاعة فی نفس المطیع؛ من الإقرار بعظمته و الخضوع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أظنّ أنّ المقام یحتاج إلی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مساق الإشکال کونه وارداً علی مطلق الاحتیاط؛ بحیث یعمّ أطراف العلم الإجمالی، و لکنّک عرفت فی مبحث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إلی الإتیان بالأطراف إنّما هو البعث القطعی التفصیلی المردّد بین تعلّقه لهذا أو ذاک، و الإجمال إنّما هو فی المتعلّق، فراجع</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3425757_3224264995"/>
      <w:bookmarkStart w:id="581" w:name="_Toc219"/>
      <w:bookmarkEnd w:id="580"/>
      <w:r>
        <w:rPr>
          <w:rtl w:val="true"/>
        </w:rPr>
        <w:t>الإشکال المختصّ بالاحتیاط فی أطراف العلم الإجمالی</w:t>
      </w:r>
      <w:bookmarkEnd w:id="581"/>
    </w:p>
    <w:p>
      <w:pPr>
        <w:pStyle w:val="BookText"/>
        <w:rPr/>
      </w:pPr>
      <w:r>
        <w:rPr>
          <w:rFonts w:ascii="IRNazanin" w:hAnsi="IRNazanin" w:eastAsia="IRNazanin"/>
          <w:color w:val="111111"/>
          <w:sz w:val="28"/>
          <w:sz w:val="28"/>
          <w:szCs w:val="28"/>
          <w:rtl w:val="true"/>
          <w:lang w:bidi="fa-IR"/>
        </w:rPr>
        <w:t>أمّا ما یختصّ بالاحتیاط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یختصّ بصورة التکرار، و منه ما یعمّ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الاحتیاط بتکرار العبادة مع التمکّن عن العلم التفصیلی فهو لعب بأمر المولی و تلاعب بتکالیفه و دستوراته، و معه کیف یتحقّق الإطاعة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البحث حول هذا الإشکال فی مبحث القطع</w:t>
      </w:r>
      <w:r>
        <w:rPr>
          <w:rStyle w:val="FootnoteAnchor"/>
          <w:rtl w:val="true"/>
        </w:rPr>
        <w:footnoteReference w:id="581"/>
      </w:r>
      <w:r>
        <w:rPr>
          <w:rFonts w:ascii="IRNazanin" w:hAnsi="IRNazanin" w:eastAsia="IRNazanin"/>
          <w:color w:val="111111"/>
          <w:sz w:val="28"/>
          <w:sz w:val="28"/>
          <w:szCs w:val="28"/>
          <w:rtl w:val="true"/>
          <w:lang w:bidi="fa-IR"/>
        </w:rPr>
        <w:t>، و نعید الجواب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المکلّف من الاحتیاط بالتکرار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سخریة المولی و التلاعب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الجمع بین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البحث؛ فإنّ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من غیر فرق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فرضنا أنّ غرضه الامتثال و إطاعة مولاه، غیر أنّه یترتّب علی تکرار العبادة غرض عقلائی فنمنع کونه موجباً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قلنا فی محلّه</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قاصداً للإطاعة فی الإتیان بأصل العمل و لاعباً فی کیفیته فیصحّ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صلّی فی رأس المنارة أو فی مکان عالٍ؛ قاصداً الإطاعة فی أصل العمل و لاعباً فی کیفیته فهو محکوم بالصحّة؛ لکونه من الضمائم المباحة غیر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الضمائم المباحة موجباً للبطلان یلزم بطلان أکثر العبادات؛ إذ قلّما یتّفق أن یکون العبد آتیاً بجمیع الخصوصیات لأجل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الصحّة أن یکون المحرّک فی الإتیان بأصل العمل الداعی الإلهی، و أمّا الخصوصیات و الضمائم الخارجة عن مصبّ الأحکام فلا یجب أن یکون آتیاً بها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إذا کان آتیاً بها لأغراض عقلائیة أو غیر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التکرار لیس من الضمائم، کما هو واضح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الضمائم المحرّمة فالبحث عنها و عن بیان حکمها فی محلّ آخر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یعمّ صورة التکرار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یعتبر فی صحّة</w:t>
      </w:r>
    </w:p>
    <w:p>
      <w:pPr>
        <w:pStyle w:val="BookText"/>
        <w:rPr/>
      </w:pPr>
      <w:r>
        <w:rPr>
          <w:rFonts w:ascii="IRNazanin" w:hAnsi="IRNazanin" w:eastAsia="IRNazanin"/>
          <w:color w:val="111111"/>
          <w:sz w:val="28"/>
          <w:sz w:val="28"/>
          <w:szCs w:val="28"/>
          <w:rtl w:val="true"/>
          <w:lang w:bidi="fa-IR"/>
        </w:rPr>
        <w:t>العبادة قصد الوجه و الجزم فی النیة، و هو لا یحصل إلّا مع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عقلًا و لا شرعاً علی اعتبار قصد الوجه أو الجزم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لا یدعو المکلّف إلّا إلی ما تعلّق به؛ أعنی ما وقع تحت دائرة الطلب، فلو أتی المکلّف به کالصلاة بعامّة أجزائها من التکبیر إلی التسلیم یسقط الأمر بها، و المفروض أنّ قصد الوجه أو الجزم فی النیة لیسا ممّا تعلّق بهما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الإجماع علی لزوم قصد التقرّب و الإخلاص</w:t>
      </w:r>
      <w:r>
        <w:rPr>
          <w:rStyle w:val="FootnoteAnchor"/>
          <w:rtl w:val="true"/>
        </w:rPr>
        <w:footnoteReference w:id="584"/>
      </w:r>
      <w:r>
        <w:rPr>
          <w:rFonts w:ascii="IRNazanin" w:hAnsi="IRNazanin" w:eastAsia="IRNazanin"/>
          <w:color w:val="111111"/>
          <w:sz w:val="28"/>
          <w:sz w:val="28"/>
          <w:szCs w:val="28"/>
          <w:rtl w:val="true"/>
          <w:lang w:bidi="fa-IR"/>
        </w:rPr>
        <w:t>، فلا بدّ من مراعاته، و أمّا 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دلیل علی عدم اعتباره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لا یفرّقون بین من ینبعث بالأمر القطعی و من ینبعث باحتماله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فالمتتبّع فی مظانّ الأدلّة لا یجد أثراً منها فی محالّها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الإجماع المدّعی من أهل المعقول و المنقول</w:t>
      </w:r>
      <w:r>
        <w:rPr>
          <w:rStyle w:val="FootnoteAnchor"/>
          <w:rtl w:val="true"/>
        </w:rPr>
        <w:footnoteReference w:id="585"/>
      </w:r>
      <w:r>
        <w:rPr>
          <w:rFonts w:ascii="IRNazanin" w:hAnsi="IRNazanin" w:eastAsia="IRNazanin"/>
          <w:color w:val="111111"/>
          <w:sz w:val="28"/>
          <w:sz w:val="28"/>
          <w:szCs w:val="28"/>
          <w:rtl w:val="true"/>
          <w:lang w:bidi="fa-IR"/>
        </w:rPr>
        <w:t>، المؤیّد بالشهرة المحقّقة، المعتضدة بما عن الرضی من أنّه اتّفقت الإمامیة علی بطلان صلاة من لا یعلم أحکامها</w:t>
      </w:r>
      <w:r>
        <w:rPr>
          <w:rStyle w:val="FootnoteAnchor"/>
          <w:rtl w:val="true"/>
        </w:rPr>
        <w:footnoteReference w:id="586"/>
      </w:r>
      <w:r>
        <w:rPr>
          <w:rFonts w:ascii="IRNazanin" w:hAnsi="IRNazanin" w:eastAsia="IRNazanin"/>
          <w:color w:val="111111"/>
          <w:sz w:val="28"/>
          <w:sz w:val="28"/>
          <w:szCs w:val="28"/>
          <w:rtl w:val="true"/>
          <w:lang w:bidi="fa-IR"/>
        </w:rPr>
        <w:t>، لا یرجع إلی شی‌ء؛ لأنّ من المحتمل جدّاً أن یکون الإجماع مستنداً إلی حکم العقل الواضح عندهم من لزوم اعتبار قصد الوجه و الجزم فی النیة؛ لأنّ تحصیل الإجماع فی هذه المسألة ممّا للعقل إلیها سبیل صعب؛ لو لم یکن بمستحیل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المحقّق الطوسی من الإجماع علی أنّ استحقاق الثواب</w:t>
      </w:r>
      <w:bookmarkStart w:id="582" w:name="pg12912_112004"/>
    </w:p>
    <w:p>
      <w:pPr>
        <w:pStyle w:val="BookText"/>
        <w:rPr/>
      </w:pPr>
      <w:bookmarkEnd w:id="582"/>
      <w:r>
        <w:rPr>
          <w:rFonts w:ascii="IRNazanin" w:hAnsi="IRNazanin" w:eastAsia="IRNazanin"/>
          <w:color w:val="111111"/>
          <w:sz w:val="28"/>
          <w:sz w:val="28"/>
          <w:szCs w:val="28"/>
          <w:rtl w:val="true"/>
          <w:lang w:bidi="fa-IR"/>
        </w:rPr>
        <w:t>فی العبادة موقوف علی نیة الوجه</w:t>
      </w:r>
      <w:r>
        <w:rPr>
          <w:rStyle w:val="FootnoteAnchor"/>
          <w:rtl w:val="true"/>
        </w:rPr>
        <w:footnoteReference w:id="587"/>
      </w:r>
      <w:r>
        <w:rPr>
          <w:rFonts w:ascii="IRNazanin" w:hAnsi="IRNazanin" w:eastAsia="IRNazanin"/>
          <w:color w:val="111111"/>
          <w:sz w:val="28"/>
          <w:sz w:val="28"/>
          <w:szCs w:val="28"/>
          <w:rtl w:val="true"/>
          <w:lang w:bidi="fa-IR"/>
        </w:rPr>
        <w:t>، مع وضوح أنّ کون استحقاق الثواب مسألة عقلیة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قصد الوجه فی الشکّ البدوی و المقرون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الجزم فی النیة غیر ممکن إلّا مع العلم التفصیلی</w:t>
      </w:r>
      <w:r>
        <w:rPr>
          <w:rFonts w:eastAsia="IRNazanin" w:cs="IRNazanin"/>
          <w:color w:val="111111"/>
          <w:sz w:val="28"/>
          <w:szCs w:val="28"/>
          <w:rtl w:val="true"/>
          <w:lang w:bidi="fa-IR"/>
        </w:rPr>
        <w:t>.</w:t>
      </w:r>
    </w:p>
    <w:p>
      <w:pPr>
        <w:pStyle w:val="Heading6"/>
        <w:numPr>
          <w:ilvl w:val="5"/>
          <w:numId w:val="1"/>
        </w:numPr>
        <w:rPr/>
      </w:pPr>
      <w:bookmarkStart w:id="583" w:name="__RefHeading___Toc3425759_3224264995"/>
      <w:bookmarkStart w:id="584" w:name="_Toc220"/>
      <w:bookmarkEnd w:id="583"/>
      <w:r>
        <w:rPr>
          <w:rtl w:val="true"/>
        </w:rPr>
        <w:t>الإشکال فی الاحتیاط فیما قامت الأمارة علی خلافه</w:t>
      </w:r>
      <w:bookmarkEnd w:id="584"/>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الاحتیاط فیما إذا قامت الحجّة الشرعیة علی أحد الطرفین أن یعمل المکلّف بمؤدّی الحجّة، ثمّ یعقّبه بالعمل علی خلاف مقتضاه؛ إحرازاً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لم یستلزم التکرار له أن یأتی بالواجب بعامّة أجزائه الواجبة و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الطریق هو إلغاء احتمال کون مؤدّاه مخالفاً للواقع، فلو قدّم فی مقام العمل علی ما قامت الحجّة علی خلافه فهو اعتناء لاحتمال المخالفة لا 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أنّه یعتبر فی حسن الإطاعة الاحتمالیة عدم التمکّن من الإطاعة التفصیلیة؛ فإنّ للإطاعة مراتب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الاحتمالی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الانتقال من المرتبة السابقة إلی اللاحقة إلّا بعد التعذّر عن السابقة؛ لأنّ حقیقة الإطاعة هی أن تکون إرادة العبد تبعاً لإرادة المولی؛ بانبعاثه</w:t>
      </w:r>
    </w:p>
    <w:p>
      <w:pPr>
        <w:pStyle w:val="BookText"/>
        <w:rPr/>
      </w:pPr>
      <w:r>
        <w:rPr>
          <w:rFonts w:ascii="IRNazanin" w:hAnsi="IRNazanin" w:eastAsia="IRNazanin"/>
          <w:color w:val="111111"/>
          <w:sz w:val="28"/>
          <w:sz w:val="28"/>
          <w:szCs w:val="28"/>
          <w:rtl w:val="true"/>
          <w:lang w:bidi="fa-IR"/>
        </w:rPr>
        <w:t>عن بعثه و تحرّکه عن تحریکه، و هذا یتوقّف علی العلم بالبعث، و لا یمکن الانبعاث بلا بعث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الانبعاث عن البعث المحتمل لیس فی الحقیقة انبعاثاً، فلا تتحقّق معه الإطاعة، إلّا أنّه یتوقّف حسن ذلک علی عدم التمکّن من الانبعاث عن البعث المعلوم الذی هو حقیقة العبادة و الطاعة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ذکر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إلغاء احتمال الخلاف عدم جواز العمل علی الاحتمال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الکلام، و إن ارید لزوم العمل علی طبقها و فرض مؤدّاه مؤدّی الواقع فهو أمر مسلّم، و لکن لا یفید ما استنتج منه القائل،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الاکتفاء بالاحتمال المخالف فلیس ذلک لأجل عدم جواز العمل بالاحتمال المخالف، بل لأجل کونه طرداً للأمارة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معنی إلغاء احتمال الخلاف عدم جواز العمل علی طبق الاحتمال المخالف فالعمل علی طبقه عین الاعتناء بهذا الاحتمال؛ سواء عمل به قبل العمل بمؤدّی الأمارة أم بعده، لزم منه التکرار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 الأدلّة الدالّة علی لزوم إلغاء احتمال الخلاف منصرف عن الموردین، و هو کما تری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یستقلّ بحسن الاحتیاط بعد العمل بالوظیفة</w:t>
      </w:r>
      <w:r>
        <w:rPr>
          <w:rStyle w:val="FootnoteAnchor"/>
          <w:rtl w:val="true"/>
        </w:rPr>
        <w:footnoteReference w:id="589"/>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لکنّه مستقلّ مطلقاً لأجل إحراز الواقع، من غیر فرق بین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حدیث المراتب فی الإطاعة ممّا لا دلیل علیه؛ فإنّ العقل إنّما یستقلّ بوجوب الإتیان بتمام ما وقع تحت دائرة الطلب، مع جمیع قیوده و شروطه؛ سواء أتی به بالأمر القطعی أو باحتماله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احتمل وجوب الجمعة مع التمکّن عن العلم التفصیلی و أتی بها باحتمال الأمر صحّ لو وافق المأتی مع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الإطاعة هو انبعاث العبد عن بعث المولی، و هو لا یحصل إلّا بالعلم التفصیلی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 إذ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w:t>
      </w:r>
      <w:r>
        <w:rPr>
          <w:rStyle w:val="FootnoteAnchor"/>
          <w:rtl w:val="true"/>
        </w:rPr>
        <w:footnoteReference w:id="590"/>
      </w:r>
      <w:r>
        <w:rPr>
          <w:rFonts w:ascii="IRNazanin" w:hAnsi="IRNazanin" w:eastAsia="IRNazanin"/>
          <w:color w:val="111111"/>
          <w:sz w:val="28"/>
          <w:sz w:val="28"/>
          <w:szCs w:val="28"/>
          <w:rtl w:val="true"/>
          <w:lang w:bidi="fa-IR"/>
        </w:rPr>
        <w:t>من أنّ الباعث حقیقة هو المبادئ الموجودة فی نفس المکلّف؛ من الخوف و الرجاء، و أمّا الأمر فلیس له شأن سوی کونه محقّقاً لموضوع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عبادیة الشی‌ء علی الأمر؛ فضلًا عن باعثیته؛ إذ لیست الغایة إطاعة أمر المولی حتّی یتوقّف علی ما ذکر، بل الغایة کون المأتی به موافقاً لغرضه بما له من القیود و الشروط؛ سواء أمر به أم لم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لم یأمر لغفلة لکن لو توجّه لأمر به، کإنقاذ ولده الغریق؛ فإنّ القیام بهذا الأمر مقرّب و مستوجب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لو سقط أمر الضدّ لابتلائه بالمزاحم الأقوی، علی القول بامتناع الترتّب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الآتی بالشی‌ء لاحتمال أمره یصدق علیه الإطاعة عرفاً؛ لأنّ 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الأمر کما تقدّم، و المبادئ الباعثة موجودة فی عامّة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واضحة</w:t>
      </w:r>
      <w:r>
        <w:rPr>
          <w:rFonts w:eastAsia="IRNazanin" w:cs="IRNazanin"/>
          <w:color w:val="111111"/>
          <w:sz w:val="28"/>
          <w:szCs w:val="28"/>
          <w:rtl w:val="true"/>
          <w:lang w:bidi="fa-IR"/>
        </w:rPr>
        <w:t>.</w:t>
      </w:r>
      <w:bookmarkStart w:id="585" w:name="pg12912_112007"/>
    </w:p>
    <w:p>
      <w:pPr>
        <w:pStyle w:val="Heading6"/>
        <w:numPr>
          <w:ilvl w:val="5"/>
          <w:numId w:val="1"/>
        </w:numPr>
        <w:rPr/>
      </w:pPr>
      <w:bookmarkStart w:id="586" w:name="__RefHeading___Toc3425761_3224264995"/>
      <w:bookmarkStart w:id="587" w:name="_Toc221"/>
      <w:bookmarkEnd w:id="585"/>
      <w:bookmarkEnd w:id="586"/>
      <w:r>
        <w:rPr>
          <w:rtl w:val="true"/>
        </w:rPr>
        <w:t>شرائط جریان البراءة العقلیة اعتبار الفحص فی الشبهات الحکمیة</w:t>
      </w:r>
      <w:bookmarkEnd w:id="587"/>
    </w:p>
    <w:p>
      <w:pPr>
        <w:pStyle w:val="BookText"/>
        <w:rPr/>
      </w:pPr>
      <w:r>
        <w:rPr>
          <w:rFonts w:ascii="IRNazanin" w:hAnsi="IRNazanin" w:eastAsia="IRNazanin"/>
          <w:color w:val="111111"/>
          <w:sz w:val="28"/>
          <w:sz w:val="28"/>
          <w:szCs w:val="28"/>
          <w:rtl w:val="true"/>
          <w:lang w:bidi="fa-IR"/>
        </w:rPr>
        <w:t>أمّا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جریانها فیها هو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علیه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یقرّر حکمه فی المقام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لحکمه فی قبح العقاب بلا بیان و إن کان هو البیان الواصل إلی المکلّف؛ إذ نفس وجوده فی نفس الأمر بلا وصول منه إلیه لا یرفع قبحه، إلّا أنّ المراد من الإیصال لیس إلّا الإیصال المتعارف بین الموالی و العبید، و رئیس الدولة و تابعیها؛ أعنی الرجوع إلی المواضع و المحالّ المعدّة لبیان القوانین و الأحکام، التی شرّعها صاحبها لمن یجب له اتّباعها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یختلف حسب اختلاف الرسوم و العادات و الأمکنة و الأزمنة، و لیس هو الیوم إلّا الکتب و الزبر الحاویة لبیان المولی و أمره و نهیه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جری رسم المولی سبحانه علی إبلاغ أحکامه إلی نبیّه صلی الله علیه و آله و سلم، و هو قد بلّغ إلی أوصیائه، و هم قد بلّغوا ما امروا به حسب 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ضبطها ثلّة جلیلة من أصحابهم و ملازمیهم و من یعدّ بطانة لعلومهم و أسرارهم، و قد بلغ تلک الزبر الکریمة و الصحف المبارکة عن السلف إلی الخلف حتّی وصل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الواجب علینا الرجوع إلیها للوقوف علی وظائفنا، فلو ترکنا الفحص و التفتیش لسنا معذورین فی ترک التکالیف، فلو عاقبنا المولی لا یعدّ عقابه عقاباً بلا بیان</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الواقعیة إنّما یتّصف بالمنجّزیة إذا کانت متّصفة بالباعثیة و المحرّکیة، و هی لا تتّصف بالباعثیة بوجودها الواقعی، بل بوجودها العلمی لا الاحتمالی؛ لأنّه لیس کاشفاً عن الواقع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توقّفت باعثیة الأحکام علی کونها منکشفاً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توقّفت منجّزیتها علیه؛ إذ الواقع بنفسه لیس بمنجّز و لا باعث، بل هو باعث و کاشف لدی العلم و انکشافه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التکلیف لیس باعثاً و لا منجّزاً، کما أنّ احتماله لیس مساوقاً لاحتمال الباعث و المنجّز؛ لما عرفت أنّ الباعثیة و المنجّزیة إنّما یعرضان له عند الوقوف علی التکلیف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وجود التکلیف فی المواضع المعدّة للبیان لیس بباعث و لا منجّز، و معه کیف یجب الفحص؟ فإنّ وجوبه فرع الباعث و المنجّز، و احتماله لیس مساوقاً لاحتمال المنجّز</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مغالطة محضة؛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أنّ الباعث و المحرّک لیس إلّا مبادئ الحاصلة فی نفوس المکلّف؛ حتّی فی صورة العلم، کما وافاک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المقام فرقاً بین المنجّزیة و الباعثیة؛ فإنّ تنجّز الحکم کفعلیته لا یتوقّف علی العلم به؛ فإنّ معنی التنجّز لیس إلّا کون الحکم تامّاً من قِبَل المولی قابلًا للإجراء، و کون مخالفتها موجباً للعقاب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حصول هذه الامور من قبله؛ سواء اتّصفت بالباعثیة أم لا، و العقل یحکم بأنّ العبد لیس معذوراً فی مخالفة المولی إذا بیّن تکالیفه فی صحیفة واقعة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الاعتذار بأنّ التکلیف لیس بوجوده الواقعی</w:t>
      </w:r>
    </w:p>
    <w:p>
      <w:pPr>
        <w:pStyle w:val="BookText"/>
        <w:rPr/>
      </w:pPr>
      <w:r>
        <w:rPr>
          <w:rFonts w:ascii="IRNazanin" w:hAnsi="IRNazanin" w:eastAsia="IRNazanin"/>
          <w:color w:val="111111"/>
          <w:sz w:val="28"/>
          <w:sz w:val="28"/>
          <w:szCs w:val="28"/>
          <w:rtl w:val="true"/>
          <w:lang w:bidi="fa-IR"/>
        </w:rPr>
        <w:t>باعثاً و منجّزاً، و لا داعی لی إلی تحصیل الکلفة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الاحتمال منجّز لدی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ذلک عدم اتّصافه بالتنجّز إذا بلغه التکلیف عن طریق معتبر غیر العلم؛ فإنّ التکلیف الواقعی لیس بباعث، فلیس بمنجّز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معلومیة الأمارة لا یوجب انکشاف التکلیف عقلًا حتّی یتّصف لأجله بهما، مع أنّه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وجوه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الأعیان من المحقّقین قدس سره و هو أنّ الاقتحام قبل الفحص خروج عن رسم العبودیة و زیّ الرقّیة فیما إذا کان التکلیف لا یعلم عادة إلّا بالفحص، فالاقتحام بلا فحص ظلم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الوجه و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العقوبة علی الوجه السابق إنّما هی علی مخالفة التکلیف الواقعی المنجّز، و علی الثانی علی الإقدام بلا فحص؛ لأنّه بنفسه ظلم و ملاک لاستحقاق العقوبة؛ سواء خالف الواقع أولا، کما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فمناط صحّة العقوبة هو تحقّق عنوان الظلم، لا مخالفة التکلیف الواقعی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قبیحة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فعقاب المولی عبده علی مخالفة التکلیف الواقعی قبیح و ظلم، کما أنّ إقدام العبد أو ترکه بلا فحص ظلم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 لا ینطبق علی الإقدام، بل علی ترک الفحص عن التکلیف الذی لا یعلم عادة إلّا به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الظلم لا ینطبق علی عنوان ترک الفحص بالذات، و لو انطبق علیه فإنّما هو بلحاظ احتمال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p>
    <w:p>
      <w:pPr>
        <w:pStyle w:val="BookText"/>
        <w:rPr/>
      </w:pPr>
      <w:r>
        <w:rPr>
          <w:rFonts w:ascii="IRNazanin" w:hAnsi="IRNazanin" w:eastAsia="IRNazanin"/>
          <w:color w:val="111111"/>
          <w:sz w:val="28"/>
          <w:sz w:val="28"/>
          <w:szCs w:val="28"/>
          <w:rtl w:val="true"/>
          <w:lang w:bidi="fa-IR"/>
        </w:rPr>
        <w:t>قبح العقاب بلا بیان، و أنّ التکلیف الواقعی علی فرض وجوده غیر مؤثّر، و أنّ العبد فی سعة منه فلا معنی لانطباق عنوان الظلم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بعد ما حکم بعدم القبح فی مخالفة التکلیف الواقعی علی فرض وجوده فلا یصیر ترک الفحص منشئاً لانطباق عنوان الظلم علیه؛ إذ لا معنی لأن یصیر التکلیف الذی لا قبح فی مخالفته منشئاً لتحقّق عنوان الظلم 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لکلّ من مخالفة التکلیف الواقعی و ترک الفحص حکمه ممنوع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عنوان الظلم متفرّع علی کون الواقع منجّزاً، و ما لیس منجّزاً لا قبح فی مخالفته، فلیس فی ترک فحصه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الظلم لا ینطبق علی الإقدام، بل علی ترک الفحص؛ لأنّ ترک الفحص لیس ظلماً مع الاحتیاط فی مقام العمل؛ فإنّ الفحص و عدمه لا موضوعیة لهما، و إنّما الفحص لأجل التحفّظ علی الواقع، بل الظلم ینطبق علی الإقدام المحتمل کونه مخالفة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وجوه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الواقف الملتفت یعلم إجمالًا بالضرورة بأنّ للمولی سبحانه تکالیف و واجبات و محرّمات یطلبها منه و لا یرضی بترکه، و مع هذا العلم الإجمالی یصیر المقام من الشکّ فی المکلّف به، و هو لیس مجریً للبراءة، و إنّما مجراه هو الشکّ فی التکلیف</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شرائط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المقام مجری لها، و تسلیم أنّ الشکّ فیه شکّ فی التکلیف لا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بما ذکر خروج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نوقش فیه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فإنّ المدّعی وجوب الاستعلام عن المسائل؛ کان هنا علم إجمالی أم لا، و الدلیل یوجب الفحص قبل استعلام جملة من الأحکام بمقدار یحتمل انحصار المعلوم بالإجمال فیه؛ لانحلال العلم الإجمالی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أعمّ منه؛ لأنّه هو الفحص عن الأحکام فی خصوص ما بأیدینا من الکتب، و المعلوم بالإجمال هو الأحکام الثابتة فی الشریعة مطلقاً، و الفحص عن تلک الکتب لا یرفع أثر العلم الإجمالی</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ناقش بعض أعاظم العصر فی الوجهین،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استعلام مقدار من الأحکام یحتمل انحصار المعلوم فیها لا یوجب الانحلال؛ إذ متعلّق العلم تارة یتردّد من أوّل الأمر بین الأقلّ و الأکثر، کما لو علم بأنّ ما فی هذا القطیع من الغنم موطوء، و تردّد بین العشرة و العشرین، و اخری یکون المتعلّق عنواناً لیس بنفسه مردّداً بین الأقلّ و الأکثر من أوّل الأمر، بل المعلوم هو العنوان بما له من الأفراد الواقعیة، کما لو علم بموطوئیة البیض من هذا القطیع، و تردّدت بین العشرة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ینحلّ العلم الإجمالی دون الثانی؛ فإنّه لا ینحلّ بالعلم التفصیلی بمقدار یحتمل انحصار المعلوم بالإجمال فیه، بل لا بدّ من الفحص التامّ عن کلّ محتمل؛ لأنّ العلم یوجب تنجّز متعلّقه بما له من العنوان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لأنّ المعلوم بالإجمال هی الأحکام الموجودة فیما بأیدینا من الکتب، و لازم ذلک هو الفحص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لیس للمکلّف الأخذ بالأقلّ لو علم اشتغاله لزید بما فی الطومار، و تردّد بین الأقلّ و الأکثر، بل لا بدّ له من الفحص من الطومار، کما علیه بناء العقلاء،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علم إجمالًا بوجود أحکام فی الشریعة أعمّ ممّا بأیدینا من الکتب إلّا أنّه یعلم إجمالًا أنّ فیما بأیدینا أدلّة مثبتة للأحکام مصادفة للواقع بمقدار یحتمل انطباق ما فی الشریعة علیها؛ فینحلّ العلم الإجمالی العامّ بالعلم الإجمالی الخاصّ و یرتفع الإشکال و یتمّ الاستدلال بالعلم الإجمالی بوجوب الفحص</w:t>
      </w:r>
      <w:r>
        <w:rPr>
          <w:rStyle w:val="FootnoteAnchor"/>
          <w:rtl w:val="true"/>
        </w:rPr>
        <w:footnoteReference w:id="596"/>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الانحلال بین تعلّق العلم بشی‌ء یتردّد من أوّل الأمر بین الأقلّ و الأکثر، و ما إذا تعلّق العلم بعنوان لیس بنفسه مردّداً بینهما من أوّل الأمر، بل المعلوم هو العنوان بما له من الأفراد الواقعیة، لکن الأفراد تردّدت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یصحّ لو لم یکن العنوان ممّا ینحلّ بواسطة انحلال تکلیفه، و أمّا المنحلّ بانحلاله، کالعالم إذا تعلّق به وجوب الإکرام بما له من الأفراد الواقعیة، و تردّدت الأفراد بین الأقلّ و الأکثر فلا محالة ینحلّ العلم الإجمالی بالعلم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البیض من الغنم إذا کان مصبّ التکلیف، و تردّد أفراده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نسبة العنوان إلی المعنون نسبة المحصّل إلی المحصّل لوجب الاحتیاط بلا إشکال، لکن المفروض عدمه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ما ذکره من الفرق فإنّما هو فیما إذا کان متعلّق التکلیف</w:t>
      </w:r>
    </w:p>
    <w:p>
      <w:pPr>
        <w:pStyle w:val="BookText"/>
        <w:rPr/>
      </w:pPr>
      <w:r>
        <w:rPr>
          <w:rFonts w:ascii="IRNazanin" w:hAnsi="IRNazanin" w:eastAsia="IRNazanin"/>
          <w:color w:val="111111"/>
          <w:sz w:val="28"/>
          <w:sz w:val="28"/>
          <w:szCs w:val="28"/>
          <w:rtl w:val="true"/>
          <w:lang w:bidi="fa-IR"/>
        </w:rPr>
        <w:t>بالذات هو العنوان؛ بحیث یکون العنوان بنفسه ذا أثر شرعی، و أمّا إذا تعلّق العلم بما لیس بذی أثر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فإنّ العلم و إن تعلّق بأحکام موجودة فی الکتب التی بأیدینا إلّا أنّه من العناوین المشیرة إلی ذوات الأحکام الواقعیة، و أمّا ما ذکر من العنوان فلیس إلّا محلًّا لها، من غیر دخالة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یتنجّز الواقع علینا بهذا العنوان، و لا یکون الأحکام بذلک العنوان مورداً للتکلیف، و لا یکون مانعاً عن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الإجمالی المؤثّر متعلّق بنفس الأحکام بوجودها الواقعی، و یتردّد من أوّل الأمر بین الأقلّ و الأکثر، و ینحلّ إلی التفصیلی و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تنجّز علینا الواقع بما له من العنوان؛ بحیث یکون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المقیّد بعنوانه المتعلّق للعلم لکان ذلک مانعاً عن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حال المثالین؛ فإنّ عنوان البیض لیس ممّا یتعلّق به التکلیف، و لیس الواقع منجّزاً علینا بهذا العنوان حتّی یکون العلم المتعلّق به منجّزاً له بهذا العنوان، و یکون مانعاً عن الانحلال، و إنّما هو عنوان عرضی و من الامور الاتّفاقیة المقارنة لما هو متعلّق التکلیف لبّاً؛ أعنی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تعلّق بعنوان بما له من الأفراد الواقعیة، و أغمضنا عمّا ذکرنا من انحلاله لانحلال التکلیف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فی کلا المثالین؛ لتعلّق الحکم بالموطوء، لا لتعلّقه بعنوان البیض من الغنم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الوجه من انحلال العلم الإجمالی العامّ بالعلم الإجمالی الخاصّ غیر صحیح علی مختاره؛ فإنّ العلم تعلّق بالأحکام الواقعیة بما فی الکتب مطلقاً، أو الأحکام الصادرة عن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العلم بالعنوان منجّز لعامّة الأفراد الواقعیة لما صحّ جعل العلم الثانی موجباً لانحلال العلم</w:t>
      </w:r>
    </w:p>
    <w:p>
      <w:pPr>
        <w:pStyle w:val="BookText"/>
        <w:rPr/>
      </w:pPr>
      <w:r>
        <w:rPr>
          <w:rFonts w:ascii="IRNazanin" w:hAnsi="IRNazanin" w:eastAsia="IRNazanin"/>
          <w:color w:val="111111"/>
          <w:sz w:val="28"/>
          <w:sz w:val="28"/>
          <w:szCs w:val="28"/>
          <w:rtl w:val="true"/>
          <w:lang w:bidi="fa-IR"/>
        </w:rPr>
        <w:t>العامّ، بعد تنجیزه کلّ ما له فرد واقعی، إلّا أن یحصل القطع بالإحاطة بتمام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أنّه إذا تعلّق العلم باشتغال الذمّة بما فی الطومار لیس للمکلّف الأخذ بالأقلّ خارج من مصبّ البحث؛ فإنّه من الشبهات الموضوعیة التی تعرّض قدس سره له فیما بعد، و اختار وجوب الفحص</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سیوافیک لزوم الفحص فی الشبهات الموضوعیة فی الموارد التی لا یحتاج حصول العلم بالموضوع إلی مقدّمات کثیرة، بل یحصل بأدنی إمعان النظر، و إن لم یکن علم إجمالی،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محقّقی العصر أجاب عن أخصّیة الدلیل بأنّه یتّجه لو کان متعلّق العلم الإجمالی مطلقاً، أو کان مقیّداً بالظفر به علی تقدیر الفحص، و لکن کان تقریب العلم الإجمالی هو کونه بمقدار من الأحکام علی وجه لو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مقدار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تقریبه بما ذکرناه من العلم بمقدار من الأحکام فی مجموع المسائل المحرّرة علی وجه لو تفحّص فی کل مسألةٍ تکون مظانّ وجود محتمله لظفر به فلا یرد إشکال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فرض لا یمسّ الواقع؛ فإنّ ادّعاء العلم بأنّ فی کلّ مسألة دلیلًا إلزامیاً لو تفحّصنا لظفرنا به ممّا هو مخالف للوجدان، و کأنّه بصدد دفع الإشکال بأیّ وجه ممکن؛ طابق الواقع أولا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w:t>
      </w:r>
      <w:r>
        <w:rPr>
          <w:rStyle w:val="FootnoteAnchor"/>
          <w:rtl w:val="true"/>
        </w:rPr>
        <w:footnoteReference w:id="599"/>
      </w:r>
      <w:r>
        <w:rPr>
          <w:rFonts w:ascii="IRNazanin" w:hAnsi="IRNazanin" w:eastAsia="IRNazanin"/>
          <w:color w:val="111111"/>
          <w:sz w:val="28"/>
          <w:sz w:val="28"/>
          <w:szCs w:val="28"/>
          <w:rtl w:val="true"/>
          <w:lang w:bidi="fa-IR"/>
        </w:rPr>
        <w:t>من أنّ الاستناد فی لزوم الفحص إلی العلم الإجمالی خروج عمّا هو موضوع للبحث؛ فإنّ البحث إنّما هو بعد صلاحیة المقام للبراءة،</w:t>
      </w:r>
      <w:bookmarkStart w:id="588" w:name="pg12912_112015"/>
    </w:p>
    <w:p>
      <w:pPr>
        <w:pStyle w:val="BookText"/>
        <w:rPr/>
      </w:pPr>
      <w:bookmarkEnd w:id="588"/>
      <w:r>
        <w:rPr>
          <w:rFonts w:ascii="IRNazanin" w:hAnsi="IRNazanin" w:eastAsia="IRNazanin"/>
          <w:color w:val="111111"/>
          <w:sz w:val="28"/>
          <w:sz w:val="28"/>
          <w:szCs w:val="28"/>
          <w:rtl w:val="true"/>
          <w:lang w:bidi="fa-IR"/>
        </w:rPr>
        <w:t>و البحث فی شرائط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الاستناد إلی العلم الإجمالی کون المقام غیر صالح للبراءة، و أنّ المجری مجری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العلم ینحلّ مع التفحّص فی أبواب الفقه؛ إذ لا علم إجمالی إلّا بأحکام بنحو الإجمال، و هو ینحلّ بالتفحّص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قد استدلّوا علیه بالإجماع</w:t>
      </w:r>
      <w:r>
        <w:rPr>
          <w:rStyle w:val="FootnoteAnchor"/>
          <w:rtl w:val="true"/>
        </w:rPr>
        <w:footnoteReference w:id="600"/>
      </w:r>
      <w:r>
        <w:rPr>
          <w:rFonts w:ascii="IRNazanin" w:hAnsi="IRNazanin" w:eastAsia="IRNazanin"/>
          <w:color w:val="111111"/>
          <w:sz w:val="28"/>
          <w:sz w:val="28"/>
          <w:szCs w:val="28"/>
          <w:rtl w:val="true"/>
          <w:lang w:bidi="fa-IR"/>
        </w:rPr>
        <w:t>، و لکنّه لا یفید فی المقام شیئاً؛ إذ المسألة عقلیة واضحة؛ إذ من المحتمل جدّاً أن یکون مستند المجمعین حکم العقل الواضح الباتّ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بالآیات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فسیوافیک لبّ القول فیهما عن قریب إن شاء اللَّه</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الشبهات الحکمیة</w:t>
      </w:r>
      <w:r>
        <w:rPr>
          <w:rFonts w:eastAsia="IRNazanin" w:cs="IRNazanin"/>
          <w:color w:val="111111"/>
          <w:sz w:val="28"/>
          <w:szCs w:val="28"/>
          <w:rtl w:val="true"/>
          <w:lang w:bidi="fa-IR"/>
        </w:rPr>
        <w:t>.</w:t>
      </w:r>
    </w:p>
    <w:p>
      <w:pPr>
        <w:pStyle w:val="Heading6"/>
        <w:numPr>
          <w:ilvl w:val="5"/>
          <w:numId w:val="1"/>
        </w:numPr>
        <w:rPr/>
      </w:pPr>
      <w:bookmarkStart w:id="589" w:name="__RefHeading___Toc3425763_3224264995"/>
      <w:bookmarkStart w:id="590" w:name="_Toc222"/>
      <w:bookmarkEnd w:id="589"/>
      <w:r>
        <w:rPr>
          <w:rtl w:val="true"/>
        </w:rPr>
        <w:t>اعتبار الفحص فی الشبهات الموضوعیة</w:t>
      </w:r>
      <w:bookmarkEnd w:id="590"/>
    </w:p>
    <w:p>
      <w:pPr>
        <w:pStyle w:val="BookText"/>
        <w:rPr/>
      </w:pPr>
      <w:r>
        <w:rPr>
          <w:rFonts w:ascii="IRNazanin" w:hAnsi="IRNazanin" w:eastAsia="IRNazanin"/>
          <w:color w:val="111111"/>
          <w:sz w:val="28"/>
          <w:sz w:val="28"/>
          <w:szCs w:val="28"/>
          <w:rtl w:val="true"/>
          <w:lang w:bidi="fa-IR"/>
        </w:rPr>
        <w:t>و أمّا الموضوعیة فالحقّ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معذوریة الجاهل قبل الفحص عند العقل و العقلاء و الوجدان؛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العبد فی أنّ زیداً ضیفه أولا فلا یجوز له المساهلة بترک الفحص مع إمکانه؛ خصوصاً إذا کان رفع الشبهة سهلًا و المشتبه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قرع سمعک من معذوریة الجاهل و قبح عقابه بلا سبب و حجّة فإنّما هو فیما إذا لم یکن الجهل فی معرض الزوال، أو لم یکن العبد مقصّراً فی تحصیل أغراض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ما استفرغ وسعه لکان لما ذکر من القاعدة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فملاک صحّة العقوبة هو عدم جریان الکبری العقلیة قبل الفحص و البحث</w:t>
      </w:r>
      <w:r>
        <w:rPr>
          <w:rFonts w:eastAsia="IRNazanin" w:cs="IRNazanin"/>
          <w:color w:val="111111"/>
          <w:sz w:val="28"/>
          <w:szCs w:val="28"/>
          <w:rtl w:val="true"/>
          <w:lang w:bidi="fa-IR"/>
        </w:rPr>
        <w:t>.</w:t>
      </w:r>
      <w:bookmarkStart w:id="591" w:name="pg12912_112016"/>
    </w:p>
    <w:p>
      <w:pPr>
        <w:pStyle w:val="Heading6"/>
        <w:numPr>
          <w:ilvl w:val="5"/>
          <w:numId w:val="1"/>
        </w:numPr>
        <w:rPr/>
      </w:pPr>
      <w:bookmarkStart w:id="592" w:name="__RefHeading___Toc3425765_3224264995"/>
      <w:bookmarkStart w:id="593" w:name="_Toc223"/>
      <w:bookmarkEnd w:id="591"/>
      <w:bookmarkEnd w:id="592"/>
      <w:r>
        <w:rPr>
          <w:rtl w:val="true"/>
        </w:rPr>
        <w:t>کیفیة وجوب التعلّم و مناط استحقاق عقاب التارک للفحص</w:t>
      </w:r>
      <w:bookmarkEnd w:id="593"/>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التعلّم وجوب مقدّمی، فیتّضح أنّ العقاب علی ترک الواقع، لا علی ترک الفحص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تبعاً لأُستاذه المحقّق الأردبیلی</w:t>
      </w:r>
      <w:r>
        <w:rPr>
          <w:rStyle w:val="FootnoteAnchor"/>
          <w:rtl w:val="true"/>
        </w:rPr>
        <w:footnoteReference w:id="603"/>
      </w:r>
      <w:r>
        <w:rPr>
          <w:rFonts w:ascii="IRNazanin" w:hAnsi="IRNazanin" w:eastAsia="IRNazanin"/>
          <w:color w:val="111111"/>
          <w:sz w:val="28"/>
          <w:sz w:val="28"/>
          <w:szCs w:val="28"/>
          <w:rtl w:val="true"/>
          <w:lang w:bidi="fa-IR"/>
        </w:rPr>
        <w:t>، و لا علی ترک الفحص و التعلّم المؤدّیین إلی ترک الواقع کما أختاره بعض أعاظم العصر رحمه الله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أنّ العقاب علی ترک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الواقع منجّز قبل الفحص إذا احتمل تکلیفاً جدّیاً للمولی، و معنی تنجّزه هو صحّة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لا یتوقّف علی العلم بالتکلیف</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مقالة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فسیوافیک ضعفه عند البحث عن ترک التعلّم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اختاره بعض أعاظم العصر؛ قائلًا بأنّ العقاب علی ترک الفحص المؤدّی إلی ترک الواقع؛ مستدلا بأنّ العقاب علی ترک الفحص ینافی وجوبه الطریقی الذی لا نفسیة له، و لا یجوز علی ترک الواقع للجهل به، فلا بدّ و أن یکون لترک الفحص المؤدّی إلی ترک الواقع</w:t>
      </w:r>
      <w:r>
        <w:rPr>
          <w:rFonts w:eastAsia="IRNazanin" w:cs="IRNazanin"/>
          <w:color w:val="111111"/>
          <w:sz w:val="28"/>
          <w:szCs w:val="28"/>
          <w:rtl w:val="true"/>
          <w:lang w:bidi="fa-IR"/>
        </w:rPr>
        <w:t>.</w:t>
      </w:r>
      <w:bookmarkStart w:id="594" w:name="pg12912_112017"/>
    </w:p>
    <w:p>
      <w:pPr>
        <w:pStyle w:val="BookText"/>
        <w:rPr/>
      </w:pPr>
      <w:bookmarkEnd w:id="594"/>
      <w:r>
        <w:rPr>
          <w:rFonts w:ascii="IRNazanin" w:hAnsi="IRNazanin" w:eastAsia="IRNazanin"/>
          <w:color w:val="111111"/>
          <w:sz w:val="28"/>
          <w:sz w:val="28"/>
          <w:szCs w:val="28"/>
          <w:rtl w:val="true"/>
          <w:lang w:bidi="fa-IR"/>
        </w:rPr>
        <w:t>فضعیف غایته؛ فإنّه إذا کان ترک الواقع ممّا لا عقاب له؛ للجهل به، و ترک الفحص بما هو ممّا لا عقاب له أیضاً؛ لکون وجوبه طریقیاً فکیف یصحّ العقاب علی ترک الفحص المؤدّی إلی ترک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یمتنع أن ینقلب الحکم الطریقی إلی النفسی، فإذا کان وجوب الفحص طریقیاً فکیف صار نفسیاً عند أدائه إلی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إنکار صحّة العقاب علی ترک الواقع قبل الفحص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یدور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فلو کان البیان موجوداً لاستحقّ العقاب، و مع عدمه لا یستحقّ بل یقبح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مرکز البیان هو الکتاب و السنّة یحکم العقل بلزوم الفحص للوصول إلی البیان، فلیس الفحص واجباً نفسیاً، و لا ترکه قبیحاً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ترکه ظلم علی المولی قد عرفت ضعفه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3425767_3224264995"/>
      <w:bookmarkStart w:id="596" w:name="_Toc224"/>
      <w:bookmarkEnd w:id="595"/>
      <w:r>
        <w:rPr>
          <w:rtl w:val="true"/>
        </w:rPr>
        <w:t>بحث و تنقیح</w:t>
      </w:r>
      <w:bookmarkEnd w:id="596"/>
    </w:p>
    <w:p>
      <w:pPr>
        <w:pStyle w:val="BookText"/>
        <w:rPr/>
      </w:pPr>
      <w:r>
        <w:rPr>
          <w:rFonts w:ascii="IRNazanin" w:hAnsi="IRNazanin" w:eastAsia="IRNazanin"/>
          <w:color w:val="111111"/>
          <w:sz w:val="28"/>
          <w:sz w:val="28"/>
          <w:szCs w:val="28"/>
          <w:rtl w:val="true"/>
          <w:lang w:bidi="fa-IR"/>
        </w:rPr>
        <w:t>لو ترک الفحص فهل یستحقّ العقاب عند المخالفة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بیان؛ بحیث لو تفحّص عنه لوقف علیه،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کان هنا طریق علی ضدّ الواقع؛ بحیث لو تفحّص لوصل إلی هذا الطریق المضادّ للواقع، أو أنّه یستحقّ العقاب إذا ترک الفحص و خالف الواقع، و لکنّه لو کان باحثاً عنه لوصل إلی البیان؟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الأوّل؛ إمّا لأنّه خالف الواقع بلا عذر و حجّة، و مجرّد وجود الطریق الموصل إلی ضدّ الواقع لا یصیر عذراً إذا لم یستند العبد إلیه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العقل یحکم بلزوم الاحتیاط عند ترک الفحص، فهذا الحکم منه یمکن أن یکون بیاناً 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علی سبیل التخییر بین الفحص و الاحتیاط عند ترکه، فلو فحص عن مظانّ البیان یجری البراءة العقلیة؛ لتحقّق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ترک الفحص یحکم بالاحتیاط فی المقام؛ للتحفّظ علی الواقع، فمخالفته مع حکمه بالاحتیاط یوجب صحّة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بلزوم الاحتیاط قبل الفحص لیس لأجل التحفّظ علی الواقع مستقلًاّ، بل لأجل احتمال ورود البیان فی الکتاب و السنّة، و المفروض أنّه لم یرد بیان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الاحتیاط فی هذه الموارد لا یوجب استحقاق العقاب؛ لأنّ المفروض عدم البیان فی مظانّ وجوده الذی لأجله کان العقل یحکم بالاحتیاط؛ فضلًا عن وجود الطریق المضادّ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فاستحقاقه للعقوبة مع ترک الفحص و حکم العقل بلزوم الاحتیاط تابع لوجود بیان واصل من المولی؛ بحیث لو تفحّص لوصل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ذکرناه من أنّه ترک الواقع بلا حجّة فیمکن أن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ترک الواقع مع وجود عذر واقعی مغفول عنه، و معه لا یکون عاصیاً؛ و إن کان متجرّیاً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 الواقعی المغفول عنه غیر الملتفت إلیه لیس بعذر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شرب التتن کان حراماً واقعاً، و قام به طریق، لکنّه لو تفحّص عنه لوقف علی دلیل أرجح منه یدلّ علی حلّیته؛ بحیث کان له الأخذ بالأرجح حسب القواعد الاجتهادیة، و معه لم یتفحّص و شربه و خالفه فلا یمکن أن یعدّ وجود الدلیل الراجح عذراً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یحتاج إلی التأمّل و إمعان النظر فی مجال واسع</w:t>
      </w:r>
      <w:r>
        <w:rPr>
          <w:rFonts w:eastAsia="IRNazanin" w:cs="IRNazanin"/>
          <w:color w:val="111111"/>
          <w:sz w:val="28"/>
          <w:szCs w:val="28"/>
          <w:rtl w:val="true"/>
          <w:lang w:bidi="fa-IR"/>
        </w:rPr>
        <w:t>.</w:t>
      </w:r>
      <w:bookmarkStart w:id="597" w:name="pg12912_112019"/>
    </w:p>
    <w:p>
      <w:pPr>
        <w:pStyle w:val="BookText"/>
        <w:rPr/>
      </w:pPr>
      <w:bookmarkEnd w:id="597"/>
      <w:r>
        <w:rPr>
          <w:rFonts w:ascii="IRNazanin" w:hAnsi="IRNazanin" w:eastAsia="IRNazanin"/>
          <w:color w:val="111111"/>
          <w:sz w:val="28"/>
          <w:sz w:val="28"/>
          <w:szCs w:val="28"/>
          <w:rtl w:val="true"/>
          <w:lang w:bidi="fa-IR"/>
        </w:rPr>
        <w:t>ثمّ إنّه یظهر ممّا ذکرنا من حکم العقل علی استحقاق العقاب علی ترک الواقع الذی ورد البیان له؛ بحیث لو تفحّص 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و المنجّز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تنجیز الواقع هو صحّة العقوبة علیه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افید فی المقام من أنّ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الطریق؛ قائلًا بأنّ الواقع غیر فعلی مع عدم وصوله، و إنّما یصیر فعلیاً بوصوله حقیقة قد تقدّم جوابه؛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الفعلیة لا تتوقّف علی علم المکلّف و قدرته، فالواقع منجّز باحتماله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منجّزیة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محصّل له؛ لعدم العقاب علی التکالیف الطریقیة</w:t>
      </w:r>
      <w:r>
        <w:rPr>
          <w:rFonts w:eastAsia="IRNazanin" w:cs="IRNazanin"/>
          <w:color w:val="111111"/>
          <w:sz w:val="28"/>
          <w:szCs w:val="28"/>
          <w:rtl w:val="true"/>
          <w:lang w:bidi="fa-IR"/>
        </w:rPr>
        <w:t>.</w:t>
      </w:r>
    </w:p>
    <w:p>
      <w:pPr>
        <w:pStyle w:val="Heading6"/>
        <w:numPr>
          <w:ilvl w:val="5"/>
          <w:numId w:val="1"/>
        </w:numPr>
        <w:rPr/>
      </w:pPr>
      <w:bookmarkStart w:id="598" w:name="__RefHeading___Toc3425769_3224264995"/>
      <w:bookmarkStart w:id="599" w:name="_Toc225"/>
      <w:bookmarkEnd w:id="598"/>
      <w:r>
        <w:rPr>
          <w:rtl w:val="true"/>
        </w:rPr>
        <w:t>تنبیه</w:t>
      </w:r>
      <w:r>
        <w:rPr>
          <w:rtl w:val="true"/>
        </w:rPr>
        <w:t xml:space="preserve">: </w:t>
      </w:r>
      <w:r>
        <w:rPr>
          <w:rtl w:val="true"/>
        </w:rPr>
        <w:t>فیما أفاده المحقّق الخراسانی فی المقام</w:t>
      </w:r>
      <w:bookmarkEnd w:id="599"/>
    </w:p>
    <w:p>
      <w:pPr>
        <w:pStyle w:val="BookText"/>
        <w:rPr/>
      </w:pPr>
      <w:r>
        <w:rPr>
          <w:rFonts w:ascii="IRNazanin" w:hAnsi="IRNazanin" w:eastAsia="IRNazanin"/>
          <w:color w:val="111111"/>
          <w:sz w:val="28"/>
          <w:sz w:val="28"/>
          <w:szCs w:val="28"/>
          <w:rtl w:val="true"/>
          <w:lang w:bidi="fa-IR"/>
        </w:rPr>
        <w:t>قد أفاد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فی المقام مغفول عنها، و لکن لمّا کانت منتهیة إلی الاختیار یستحقّ العقوبة علیها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خلط واضح؛ فإنّ البحث إنّما هو فی شرائط جریان البراءة، فلا محالة یکون المورد ملتفتاً إلیه، و هو یستلزم کون احتمال المخالفة ملتفتاً إلیه أیضاً؛ و إن کانت المخالفة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فرق بین کون المخالفة غیر معلومة و کونها مغفولًا عنها، فهی غیر معلومة لکنّها لیست مغفولًا عنها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 کون ترک الفحص موجباً لبقاء الغفلة عن التکلیف، کما لو</w:t>
      </w:r>
    </w:p>
    <w:p>
      <w:pPr>
        <w:pStyle w:val="BookText"/>
        <w:rPr/>
      </w:pPr>
      <w:r>
        <w:rPr>
          <w:rFonts w:ascii="IRNazanin" w:hAnsi="IRNazanin" w:eastAsia="IRNazanin"/>
          <w:color w:val="111111"/>
          <w:sz w:val="28"/>
          <w:sz w:val="28"/>
          <w:szCs w:val="28"/>
          <w:rtl w:val="true"/>
          <w:lang w:bidi="fa-IR"/>
        </w:rPr>
        <w:t>ترک الفحص عن حکم شرب التتن، و فرضنا أنّه لو تفحّص عن حکمه لظفر علی الدلیل الدالّ علی لزوم الدعاء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غافل عنه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یستحقّ العقاب علی ترک الدعاء؛ لأنّه خالف المولی بلا عذر، و أنّ هذه الغفلة الباقیة مستندة إلیه باعتبار أنّه ترک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 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یستحقّ؛ لأنّ الغفلة عذر، و مجرّد ترک الفحص عن تکلیف آخر لا یکون قاطعاً له؟</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أنّ مثل تلک الغفلة لا تعدّ عذراً؛ فإنّ معذوریته إن کان لأجل عدم فعلیة الأحکام فی حال غفلة المکلّف عنها فقد عرفت ضعفه منّا مراراً، و أنّ الغفلة و الجهل و العجز و ما شابهها لا تصیر سبباً لعدم فعلیتها و رجوعها إلی الإنشائیة، و قد عرّفناک لبّ القول فی معنی فعلیة الأحکام و إنشائیتها، فراجع بحث الترتّب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للمکلّف تعجیز نفسه و سلب قدرته عن نفسه اختیاراً؛ فلو کانت القدرة شرطاً و العجز مانعاً عن الفعلیة لجاز له ذلک؛ لعدم لزوم إبقاء شرط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من التمسّک بإطلاق المادّة فقد عرّفناک ضعفه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معذوریته لأجل کون الغفلة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سبب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عند العقل، مع تسلیم فعلیة الأحکام ففیه منع ظاهر؛ فإنّ المکلّف لو شرب دواءً موجباً لغفلته عن الواجب لا یعدّ ذلک عذراً عنده، بل یستحقّ العقوبة، و لا یقصر المقام عنه؛ فإنّ المکلّف و إن ترک الواجب غفلةً إلّا أنّ سبب الغفلة هو ترکه</w:t>
      </w:r>
      <w:bookmarkStart w:id="600" w:name="pg12912_112021"/>
    </w:p>
    <w:p>
      <w:pPr>
        <w:pStyle w:val="BookText"/>
        <w:rPr/>
      </w:pPr>
      <w:bookmarkEnd w:id="600"/>
      <w:r>
        <w:rPr>
          <w:rFonts w:ascii="IRNazanin" w:hAnsi="IRNazanin" w:eastAsia="IRNazanin"/>
          <w:color w:val="111111"/>
          <w:sz w:val="28"/>
          <w:sz w:val="28"/>
          <w:szCs w:val="28"/>
          <w:rtl w:val="true"/>
          <w:lang w:bidi="fa-IR"/>
        </w:rPr>
        <w:t>الفحص طغیاناً و بلا عذر، و فی مثله لا یکون المأمور به متروکاً مع العذر، و لا یکون العقاب عقاباً بلا بیان</w:t>
      </w:r>
      <w:r>
        <w:rPr>
          <w:rFonts w:eastAsia="IRNazanin" w:cs="IRNazanin"/>
          <w:color w:val="111111"/>
          <w:sz w:val="28"/>
          <w:szCs w:val="28"/>
          <w:rtl w:val="true"/>
          <w:lang w:bidi="fa-IR"/>
        </w:rPr>
        <w:t>.</w:t>
      </w:r>
    </w:p>
    <w:p>
      <w:pPr>
        <w:pStyle w:val="Heading6"/>
        <w:numPr>
          <w:ilvl w:val="5"/>
          <w:numId w:val="1"/>
        </w:numPr>
        <w:rPr/>
      </w:pPr>
      <w:bookmarkStart w:id="601" w:name="__RefHeading___Toc3425771_3224264995"/>
      <w:bookmarkStart w:id="602" w:name="_Toc226"/>
      <w:bookmarkEnd w:id="601"/>
      <w:r>
        <w:rPr>
          <w:rtl w:val="true"/>
        </w:rPr>
        <w:t>تتمّة</w:t>
      </w:r>
      <w:r>
        <w:rPr>
          <w:rtl w:val="true"/>
        </w:rPr>
        <w:t xml:space="preserve">: </w:t>
      </w:r>
      <w:r>
        <w:rPr>
          <w:rtl w:val="true"/>
        </w:rPr>
        <w:t>فیما إذا انجرّ ترک الفحص إلی ترک واجب مشروط</w:t>
      </w:r>
      <w:bookmarkEnd w:id="602"/>
    </w:p>
    <w:p>
      <w:pPr>
        <w:pStyle w:val="BookText"/>
        <w:rPr/>
      </w:pPr>
      <w:r>
        <w:rPr>
          <w:rFonts w:ascii="IRNazanin" w:hAnsi="IRNazanin" w:eastAsia="IRNazanin"/>
          <w:color w:val="111111"/>
          <w:sz w:val="28"/>
          <w:sz w:val="28"/>
          <w:szCs w:val="28"/>
          <w:rtl w:val="true"/>
          <w:lang w:bidi="fa-IR"/>
        </w:rPr>
        <w:t>لو صار ترک الفحص موجباً لترک واجب مشروط أو موقّت فی زمان تحقّق الشرط و الوقت؛ بمعنی أنّه ترک الفحص قبل تحقّق الشرط و الوقت، مع احتمال کون ترکه موجباً لترک المشروط و الموقّت فی زمان تحقّق الشرط و الوقت، فصار کذلک فهل یستحقّ العقوبة، کما فی ترک الفحص عن الواجب المطلق أولا؟</w:t>
      </w:r>
    </w:p>
    <w:p>
      <w:pPr>
        <w:pStyle w:val="BookText"/>
        <w:rPr/>
      </w:pPr>
      <w:r>
        <w:rPr>
          <w:rFonts w:ascii="IRNazanin" w:hAnsi="IRNazanin" w:eastAsia="IRNazanin"/>
          <w:color w:val="111111"/>
          <w:sz w:val="28"/>
          <w:sz w:val="28"/>
          <w:szCs w:val="28"/>
          <w:rtl w:val="true"/>
          <w:lang w:bidi="fa-IR"/>
        </w:rPr>
        <w:t>و قد فصّل بعض محقّقی العصر رحمه الله بینما إذا قلنا بکون الوجوب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الواجب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الوجهین اللذین أوضحهما فی کلامه، فیستحقّ العقاب حینئذٍ، مثل ترکه فی الواجب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فعلیة الوجوب إلّا عند حصول المعلّق علیه؛ خصوصاً إذا قلنا بأنّ وجوب الفحص غیری مقدّمی، و من المعلوم تبعیة وجوب المقدّمة لذیها فکیف یجب الفحص مع عدم وجوب ذیها</w:t>
      </w:r>
      <w:r>
        <w:rPr>
          <w:rStyle w:val="FootnoteAnchor"/>
          <w:rtl w:val="true"/>
        </w:rPr>
        <w:footnoteReference w:id="6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التفصیل المذکور؛ فإنّا لو قلنا بوجوب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وجوب المقدّمة ناشئاً من وجوب ذیها، أو إرادتها مترشّحة من إرادة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یوهمه ظواهر 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ترشّح إرادة من اخری و تولّد حکم من آخر غیر صحیح جدّاً، کما أوضحناه فی محلّه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لکلّ من الوجوبین و الإرادتین مبادٍ و مقدّمات، بها یتکوّن وجوبها و إرادتها</w:t>
      </w:r>
    </w:p>
    <w:p>
      <w:pPr>
        <w:pStyle w:val="BookText"/>
        <w:rPr/>
      </w:pPr>
      <w:r>
        <w:rPr>
          <w:rFonts w:ascii="IRNazanin" w:hAnsi="IRNazanin" w:eastAsia="IRNazanin"/>
          <w:color w:val="111111"/>
          <w:sz w:val="28"/>
          <w:sz w:val="28"/>
          <w:szCs w:val="28"/>
          <w:rtl w:val="true"/>
          <w:lang w:bidi="fa-IR"/>
        </w:rPr>
        <w:t>علی القول بوجوبها؛ بحیث لو وجدت تلک المبادئ فی المقدّمة لعرضها الوجوب؛ سواء اتّصفت ذوها بالوجوب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 الفحص بالوجوب علی القول بوجوب المقدّمة، و أنّ مناط وجوبه هو المقدّمیة لحصول ما یعدّ مبادئاً لوجوبه؛ فإنّ المولی لمّا وقف علی توقّف الواجب المشروط الذی سیتحقّق شرطه بعد علی الفحص قبل حصول الشرط، و أنّ ترکه یوجب سلب القدرة عنه فی حال تحقّق الشرط فلا محالة تنقدح فی نفسه إرادتها و إیجابها؛ لحصول عامّة المبادئ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التصوّر و التصدیق بالفائدة و غیرهما من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فیتّصف بالوجوب لا محالة؛ و إن لم یتّصف الواجب بعد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ترک الفحص الموجب لفوت الواجب فی محلّه بلا عذر موجباً لاستحقاق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بما هو الظاهر من کلامهم من نشوء إرادة من اخری لکان لما ذکره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بوجوب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وجوبها، أو قلنا بوجوب الفحص لکن لا من باب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أیضاً فی استحقاقه للعقوبة؛ لحکم العقل و العقلاء بأنّ تفویت الواجب المشروط الذی سیتحقّق شرطه تفویت بلا عذر و موجب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لمن هو واقف علی حصول الشرط أن یتسامح فی الإتیان بما یفوت الواجب بترکه؛ فإنّ العقل و العقلاء لا یفرّقون بین الواجب المشروط المعلوم تحقّق شرطه و الواجب المطلق فی عدم معذوریة العبد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فی إثبات العقاب فی هذه الصورة إلی</w:t>
      </w:r>
    </w:p>
    <w:p>
      <w:pPr>
        <w:pStyle w:val="BookText"/>
        <w:rPr/>
      </w:pPr>
      <w:r>
        <w:rPr>
          <w:rFonts w:ascii="IRNazanin" w:hAnsi="IRNazanin" w:eastAsia="IRNazanin"/>
          <w:color w:val="111111"/>
          <w:sz w:val="28"/>
          <w:sz w:val="28"/>
          <w:szCs w:val="28"/>
          <w:rtl w:val="true"/>
          <w:lang w:bidi="fa-IR"/>
        </w:rPr>
        <w:t>التمسّک بالقاعدة المعروفة من أنّ الامتناع بالاختیار لا ینافی الاختیار</w:t>
      </w:r>
      <w:r>
        <w:rPr>
          <w:rStyle w:val="FootnoteAnchor"/>
          <w:rtl w:val="true"/>
        </w:rPr>
        <w:footnoteReference w:id="614"/>
      </w:r>
      <w:r>
        <w:rPr>
          <w:rFonts w:ascii="IRNazanin" w:hAnsi="IRNazanin" w:eastAsia="IRNazanin"/>
          <w:color w:val="111111"/>
          <w:sz w:val="28"/>
          <w:sz w:val="28"/>
          <w:szCs w:val="28"/>
          <w:rtl w:val="true"/>
          <w:lang w:bidi="fa-IR"/>
        </w:rPr>
        <w:t>فإنّ القاعدة أجنبیة عن المقام؛ فإنّها وردت عند أهلها؛ ردّاً لأوهام بعض المتکلّمین؛ حیث زعم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الحکماء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لأن یکون الواجب فاعلًا موجباً</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الحکماء علیه بالقاعدة المعروفة من أنّ الامتناع بالاختیار لا ینافی الاختیار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بالاختیار ینافی الاختیار فی المقام؛ لأنّ من ترک السیر حتّی ضاق الوقت خرج الإتیان بالحجّ عن اختیاره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یصیر الامتناع فی المقام عذراً عند العقل و العقلاء، و لکنّه قاعدة اخری غیر القاعدة الدارجة، فکم فرق بین أن نقول بعدم کون هذا الامتناع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نقول باتّصاف هذا الترک فی حاله بالاختیار؟</w:t>
      </w:r>
    </w:p>
    <w:p>
      <w:pPr>
        <w:pStyle w:val="BookText"/>
        <w:rPr/>
      </w:pPr>
      <w:r>
        <w:rPr>
          <w:rFonts w:ascii="IRNazanin" w:hAnsi="IRNazanin" w:eastAsia="IRNazanin"/>
          <w:color w:val="111111"/>
          <w:sz w:val="28"/>
          <w:sz w:val="28"/>
          <w:szCs w:val="28"/>
          <w:rtl w:val="true"/>
          <w:lang w:bidi="fa-IR"/>
        </w:rPr>
        <w:t>ثمّ إنّ بعض محقّقی العصر أجاب عن الاستدلال بالقاعدة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القاعدة ما إذا کان الامتناع ناشئاً عن سوء اختیار المکلّف، و لا یکون ذلک إلّا إذا تحقّق التکلیف الفعلی بالواجب فی حقّه، و قد تساهل فی تحصیل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یتحقّق التکلیف الفعلی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العقل و العقلاء لا یفرّقون بین المطلق و المشروط الذی سیتحقّق شرطه فی عدم جواز المساهلة فیما ینجرّ إلی ترک المطلوب، فراجع إلی المتعارف بینهم</w:t>
      </w:r>
      <w:r>
        <w:rPr>
          <w:rFonts w:eastAsia="IRNazanin" w:cs="IRNazanin"/>
          <w:color w:val="111111"/>
          <w:sz w:val="28"/>
          <w:szCs w:val="28"/>
          <w:rtl w:val="true"/>
          <w:lang w:bidi="fa-IR"/>
        </w:rPr>
        <w:t>.</w:t>
      </w:r>
      <w:bookmarkStart w:id="603" w:name="pg12912_112024"/>
    </w:p>
    <w:p>
      <w:pPr>
        <w:pStyle w:val="Heading6"/>
        <w:numPr>
          <w:ilvl w:val="5"/>
          <w:numId w:val="1"/>
        </w:numPr>
        <w:rPr/>
      </w:pPr>
      <w:bookmarkStart w:id="604" w:name="__RefHeading___Toc3425773_3224264995"/>
      <w:bookmarkStart w:id="605" w:name="_Toc227"/>
      <w:bookmarkEnd w:id="603"/>
      <w:bookmarkEnd w:id="604"/>
      <w:r>
        <w:rPr>
          <w:rtl w:val="true"/>
        </w:rPr>
        <w:t>حول کلام المحقّق الأردبیلی و صاحب المدارک فی وجوب التعلّم</w:t>
      </w:r>
      <w:bookmarkEnd w:id="605"/>
    </w:p>
    <w:p>
      <w:pPr>
        <w:pStyle w:val="BookText"/>
        <w:rPr/>
      </w:pPr>
      <w:r>
        <w:rPr>
          <w:rFonts w:ascii="IRNazanin" w:hAnsi="IRNazanin" w:eastAsia="IRNazanin"/>
          <w:color w:val="111111"/>
          <w:sz w:val="28"/>
          <w:sz w:val="28"/>
          <w:szCs w:val="28"/>
          <w:rtl w:val="true"/>
          <w:lang w:bidi="fa-IR"/>
        </w:rPr>
        <w:t xml:space="preserve">ثمّ إنّ المحکی عن الأردبیلی و تلمیذه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بالوجوب النفسی التهیّئی للتعلّم و استحقاق العقوبة علی ترک نفسه لا علی ما أدّی إلیه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منه وجوب المقدّمة قبل وجوب ذیها، و أنّ تبعیة وجوبها لوجوبه کالنار علی المنار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التعلّم بالوجوب النفسی التهیّئی لیس بمناط المقدّمیة؛ لعدم توقّف وجود ذیها علی التعلّم، بل الوجه فی اتّصافه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المولی لمّا رأی أنّ ترک التعلّم موجب لترک الواجب و ارتکاب الحرام أحیاناً، و لیس فیه مناط المقدّمیة حتّی یجب بهذا المناط علی القول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صحّة اتّصاف المقدّمة بالوجوب إذا کان فیه مناط المقدّمیة؛ و إن لم یتّصف ذوها بالوجوب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مناص عن الأمر به نفسیاً؛ لسدّ الاحتمال، کالأمر بالاحتیاط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المحقّق الأردبیلی و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ذهبا إلیه لم یدلّ علیه دلیل؛ لا من العقل کما هو واضح، و لا من النقل کما سیوافیک بیان مفاد الأدلّة النقلیة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النفسی التهیّئی لا یوجب عقوبة؛ لعدم ملاکها فیه؛ فإنّ العقوبة إنّما یصحّ علی ترک ما هو مأمور به نفساً و لذاته، و الواجب</w:t>
      </w:r>
    </w:p>
    <w:p>
      <w:pPr>
        <w:pStyle w:val="BookText"/>
        <w:rPr/>
      </w:pPr>
      <w:r>
        <w:rPr>
          <w:rFonts w:ascii="IRNazanin" w:hAnsi="IRNazanin" w:eastAsia="IRNazanin"/>
          <w:color w:val="111111"/>
          <w:sz w:val="28"/>
          <w:sz w:val="28"/>
          <w:szCs w:val="28"/>
          <w:rtl w:val="true"/>
          <w:lang w:bidi="fa-IR"/>
        </w:rPr>
        <w:t>بالوجوب النفسی التهیّئی إنّما وجب لأجل التحفّظ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تعلّق الأمر به لأجله حتّی یکون مولویاً ذاتیاً موجباً لاستحقاق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إنکار استحقاق العقوبة علی مخالفة نفس الواقع خلاف الإنصاف، کما مرّ</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الآیات و الأخبار، فخلاصة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یستفاد من أخبار کثیرة متفرّقة فی أبواب متفرّقة أنّ الاجتهاد فی الأحکام و تحصیل مرتبة التفقّه مستحبّ نفسی مؤکّد أو واجب کفائی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المطلوبیة النفسیة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العلم و العلماء،</w:t>
      </w:r>
    </w:p>
    <w:p>
      <w:pPr>
        <w:pStyle w:val="BookText"/>
        <w:rPr/>
      </w:pPr>
      <w:r>
        <w:rPr>
          <w:rFonts w:ascii="IRNazanin" w:hAnsi="IRNazanin" w:eastAsia="IRNazanin"/>
          <w:color w:val="111111"/>
          <w:sz w:val="28"/>
          <w:sz w:val="28"/>
          <w:szCs w:val="28"/>
          <w:rtl w:val="true"/>
          <w:lang w:bidi="fa-IR"/>
        </w:rPr>
        <w:t>کما فی مرسلة الربعی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 الصبر علی النائبة، و تقدیر المعیشة</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امناء اللَّه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 سلک اللَّه به طریقاً إلی الجنّة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فضل العالم علی العابد کفضل القمر علی سائر النجوم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ممّا لا تعدّ، و هذه الروایات تعطی کون التفقّه مطلوباً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البعید لو قلنا بدلالة طائفة منها علی الوجوب الکفائی، کما لا یبعد استفادته من آیة النفر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طائفة اخری یدلّ علی أنّ الجهل و ترک السؤال و التعلّم لا یعدّ عذراً، کما یدلّ علیه</w:t>
      </w:r>
    </w:p>
    <w:p>
      <w:pPr>
        <w:pStyle w:val="BookText"/>
        <w:rPr/>
      </w:pPr>
      <w:r>
        <w:rPr>
          <w:rFonts w:ascii="IRNazanin" w:hAnsi="IRNazanin" w:eastAsia="IRNazanin"/>
          <w:color w:val="111111"/>
          <w:sz w:val="28"/>
          <w:sz w:val="28"/>
          <w:szCs w:val="28"/>
          <w:rtl w:val="true"/>
          <w:lang w:bidi="fa-IR"/>
        </w:rPr>
        <w:t>مرسلة یونس عن بعض أصحابه قال سئل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عمّا یحتاجون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الفضلاء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المجدور الذی غسلوه و لم یمّموه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یقال للعبد یوم القیامة هل علمت، فإن قال 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عملت، و إن قال 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حتّی تعمل</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هو ظاهر فی أنّ العلم للعمل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إرشاد إلی حکم العقل من لزوم السؤال و التعلّم لتمامیة الحجّة علی العبد علی فرض ورود البیان من المولی، و لا یدلّ علی الوجوب النفسی،</w:t>
      </w:r>
      <w:bookmarkStart w:id="606" w:name="pg12912_112027"/>
    </w:p>
    <w:p>
      <w:pPr>
        <w:pStyle w:val="BookText"/>
        <w:rPr/>
      </w:pPr>
      <w:bookmarkEnd w:id="606"/>
      <w:r>
        <w:rPr>
          <w:rFonts w:ascii="IRNazanin" w:hAnsi="IRNazanin" w:eastAsia="IRNazanin"/>
          <w:color w:val="111111"/>
          <w:sz w:val="28"/>
          <w:sz w:val="28"/>
          <w:szCs w:val="28"/>
          <w:rtl w:val="true"/>
          <w:lang w:bidi="fa-IR"/>
        </w:rPr>
        <w:t>و لا النفسی التهیّئی؛ لأنّ مفادها تابع لحکم المرشد إلیه، و هو حاکم بعدم وجوبه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روایات کثیرة لا یسع المقام لإیرادها و توضیح مقاصدها، و فیما ذکرنا کفایة إن شاء اللَّه تعالی</w:t>
      </w:r>
      <w:r>
        <w:rPr>
          <w:rFonts w:eastAsia="IRNazanin" w:cs="IRNazanin"/>
          <w:color w:val="111111"/>
          <w:sz w:val="28"/>
          <w:szCs w:val="28"/>
          <w:rtl w:val="true"/>
          <w:lang w:bidi="fa-IR"/>
        </w:rPr>
        <w:t>.</w:t>
      </w:r>
    </w:p>
    <w:p>
      <w:pPr>
        <w:pStyle w:val="Heading6"/>
        <w:numPr>
          <w:ilvl w:val="5"/>
          <w:numId w:val="1"/>
        </w:numPr>
        <w:rPr/>
      </w:pPr>
      <w:bookmarkStart w:id="607" w:name="__RefHeading___Toc3425775_3224264995"/>
      <w:bookmarkStart w:id="608" w:name="_Toc228"/>
      <w:bookmarkEnd w:id="607"/>
      <w:r>
        <w:rPr>
          <w:rtl w:val="true"/>
        </w:rPr>
        <w:t>إشکال تنافی الصحّة و استحقاق العقوبة فی مسألتی الجهر و الإخفات و القصر و التمام</w:t>
      </w:r>
      <w:bookmarkEnd w:id="608"/>
    </w:p>
    <w:p>
      <w:pPr>
        <w:pStyle w:val="Heading6"/>
        <w:numPr>
          <w:ilvl w:val="5"/>
          <w:numId w:val="1"/>
        </w:numPr>
        <w:rPr/>
      </w:pPr>
      <w:bookmarkStart w:id="609" w:name="__RefHeading___Toc3425777_3224264995"/>
      <w:bookmarkStart w:id="610" w:name="_Toc229"/>
      <w:bookmarkEnd w:id="609"/>
      <w:r>
        <w:rPr>
          <w:rtl w:val="true"/>
        </w:rPr>
        <w:t>مناط صحّة عمل الجاهل و بطلانه</w:t>
      </w:r>
      <w:bookmarkEnd w:id="610"/>
    </w:p>
    <w:p>
      <w:pPr>
        <w:pStyle w:val="BookText"/>
        <w:rPr/>
      </w:pPr>
      <w:r>
        <w:rPr>
          <w:rFonts w:ascii="IRNazanin" w:hAnsi="IRNazanin" w:eastAsia="IRNazanin"/>
          <w:color w:val="111111"/>
          <w:sz w:val="28"/>
          <w:sz w:val="28"/>
          <w:szCs w:val="28"/>
          <w:rtl w:val="true"/>
          <w:lang w:bidi="fa-IR"/>
        </w:rPr>
        <w:t>قد اتّضح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لصحّة عمله و بطلانه هو الإتیان بکلّ ما یعتبر فی المأمور به من الأجزاء و الشرائط و عدمه، و هذا هو المراد من قولهم من وجود الملازمة بین بطلان العمل و استحقاق العقاب، و صحّته و عدم استحقاقه، غیر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انتقض هذه القاعدة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بالقراءة فی موضع الإخفات و بالعکس، جهلًا بالحکم؛ و لو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فی موضع وجوب القصر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الأصحاب قد أفتوا فی هذین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للنصوص</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الصلاة مع الجهل بالحکم؛ و لو عن تقصیر</w:t>
      </w:r>
      <w:r>
        <w:rPr>
          <w:rStyle w:val="FootnoteAnchor"/>
          <w:rtl w:val="true"/>
        </w:rPr>
        <w:footnoteReference w:id="633"/>
      </w:r>
      <w:r>
        <w:rPr>
          <w:rFonts w:ascii="IRNazanin" w:hAnsi="IRNazanin" w:eastAsia="IRNazanin"/>
          <w:color w:val="111111"/>
          <w:sz w:val="28"/>
          <w:sz w:val="28"/>
          <w:szCs w:val="28"/>
          <w:rtl w:val="true"/>
          <w:lang w:bidi="fa-IR"/>
        </w:rPr>
        <w:t>، مع التسالم علی استحقاق العقاب علی</w:t>
      </w:r>
      <w:bookmarkStart w:id="611" w:name="pg12912_112028"/>
    </w:p>
    <w:p>
      <w:pPr>
        <w:pStyle w:val="BookText"/>
        <w:rPr/>
      </w:pPr>
      <w:bookmarkEnd w:id="611"/>
      <w:r>
        <w:rPr>
          <w:rFonts w:ascii="IRNazanin" w:hAnsi="IRNazanin" w:eastAsia="IRNazanin"/>
          <w:color w:val="111111"/>
          <w:sz w:val="28"/>
          <w:sz w:val="28"/>
          <w:szCs w:val="28"/>
          <w:rtl w:val="true"/>
          <w:lang w:bidi="fa-IR"/>
        </w:rPr>
        <w:t>ما هو مقتضی إطلاق کلامهم من عدم معذوریة الجاهل المقصّر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فأوجب ذلک إشکالًا فی المقام؛ لأنّه لو کان المأتی به هو المأمور به فلا وجه لاستحقاق العقاب، و إلّا فلا وجه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الجهر و الإخفات، و کذا القصر إن توقّف علی العلم به فهو یستلزم الدور المعروف، و إن کان غیر متوقّف علیه فیلزم عدم صحّة الصلاة؛ لعدم الإتیان بالمأمور به، و إن کان من باب تقبّل العمل الناقص بعد وجوده بدلًا عن الکامل و سقوط ما کان واجباً من قبل فهو ممّا یأباه العقل من سقوط الواجب مع بقاء وقته مع المؤاخذة علی ترکه،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استحقاقه العقوبة فهو ینافی مع ما تسالموا علیه من عدم معذوریة الجاهل و استحقاقه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یجتمع الصحّة و العقوبة مع بقاء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الناقص لو کان وافیاً لمصلحة التامّ فیصحّ العمل و لا یستحقّ العقاب، و إلّا فلا وجه للصحّة، إلّا إذا کان الناقص مأموراً به، و هو خلاف الواقع؛ للإجماع علی عدم وجوب صلاتین فی یوم واحد</w:t>
      </w:r>
      <w:r>
        <w:rPr>
          <w:rFonts w:eastAsia="IRNazanin" w:cs="IRNazanin"/>
          <w:color w:val="111111"/>
          <w:sz w:val="28"/>
          <w:szCs w:val="28"/>
          <w:rtl w:val="true"/>
          <w:lang w:bidi="fa-IR"/>
        </w:rPr>
        <w:t>.</w:t>
      </w:r>
    </w:p>
    <w:p>
      <w:pPr>
        <w:pStyle w:val="Heading6"/>
        <w:numPr>
          <w:ilvl w:val="5"/>
          <w:numId w:val="1"/>
        </w:numPr>
        <w:rPr/>
      </w:pPr>
      <w:bookmarkStart w:id="612" w:name="__RefHeading___Toc3425779_3224264995"/>
      <w:bookmarkStart w:id="613" w:name="_Toc230"/>
      <w:bookmarkEnd w:id="612"/>
      <w:r>
        <w:rPr>
          <w:rtl w:val="true"/>
        </w:rPr>
        <w:t>أجوبة المحقّقین عن إشکال التنافی</w:t>
      </w:r>
      <w:bookmarkEnd w:id="613"/>
    </w:p>
    <w:p>
      <w:pPr>
        <w:pStyle w:val="BookText"/>
        <w:rPr/>
      </w:pPr>
      <w:r>
        <w:rPr>
          <w:rFonts w:ascii="IRNazanin" w:hAnsi="IRNazanin" w:eastAsia="IRNazanin"/>
          <w:color w:val="111111"/>
          <w:sz w:val="28"/>
          <w:sz w:val="28"/>
          <w:szCs w:val="28"/>
          <w:rtl w:val="true"/>
          <w:lang w:bidi="fa-IR"/>
        </w:rPr>
        <w:t>و لقد أجاب عن هذه العویصة ثلّة من المحقّقین لا بأس بالإشارة إلی تلک الأجوبة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 الناقص واجداً لمصلحة ملزمة مضادّة فی مقام الاستیفاء مع المصلحة القائمة بالتامّ، و التامّ بما هو تامّ مشتمل علی مصلحة ملزمة، و یکون مأموراً به لا الناقص، لکن مع الإتیان بالناقص</w:t>
      </w:r>
    </w:p>
    <w:p>
      <w:pPr>
        <w:pStyle w:val="BookText"/>
        <w:rPr/>
      </w:pPr>
      <w:r>
        <w:rPr>
          <w:rFonts w:ascii="IRNazanin" w:hAnsi="IRNazanin" w:eastAsia="IRNazanin"/>
          <w:color w:val="111111"/>
          <w:sz w:val="28"/>
          <w:sz w:val="28"/>
          <w:szCs w:val="28"/>
          <w:rtl w:val="true"/>
          <w:lang w:bidi="fa-IR"/>
        </w:rPr>
        <w:t>یستوفی مقدار من المصلحة المضادّة لمصلحة التامّ، فیسقط أمر التامّ لأجله، و یکون الصلاة صحیحة لأجل استیفاء تلک المصلحة</w:t>
      </w:r>
      <w:r>
        <w:rPr>
          <w:rStyle w:val="FootnoteAnchor"/>
          <w:rtl w:val="true"/>
        </w:rPr>
        <w:footnoteReference w:id="6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یدفع الإشکال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الصلاة المأتی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توقّفها علی الأمر و اشتمالها علی المصلحة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ترک المأمور به عن تقصیر و الإتیان بالناقص أوجب سقوط أمره قهراً، و عدمَ إمکان استیفاء الفائت من المصلحة؛ لأجل عدم اجتماعها مع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الخصوصیة الزائدة من المصلحة القائمة بالفعل المأتی به فی حال الجهل إن کان لها دخل فی حصول الغرض من الواجب فلا یعقل سقوطه بالفاقد لها؛ خصوصاً مع إمکان استیفائها فی الوقت، کما لو علم بالحکم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إمکان اجتماع المصلحتین فی الاستیفاء؛ لأنّ استیفاء إحداهما یوجب سلب القدرة عن استیفاء الاخری واضحة الفساد؛ لأنّ القدرة علی الصلاة المقصورة القائمة بها المصلحة التامّة حاصلة، و لا یعتبر فی استیفاء المصلحة سوی القدرة علی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لها دخل فاللازم هو الحکم بالتخییر بین القصر و الإتمام، غایته أن یکون القصر أفضل فردی التخییر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الزائدة لازمة الاستیفاء، إلّا أنّها لا دخالة لها فی حصول المصلحة القائمة بالناقص، فهی ممکنة الاستیفاء؛ و إن لم ینضمّ إلیه الخصوصیة الزائدة التی لها دخل فی استیفاء الغرض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الأمر باستیفائها بعد الإتیان بالفرد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فللتضادّ بین المصلحتین و عدم إمکان استیفائها إلّا فی ضمن المجموع، و لا یمکن استیفاؤها بالإتیان بها مستقلًاّ أو فی ضمن الناقص الذی لیس فیه مصلحة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قول المحقّق الخراسانی من عدم إمکان استیفاء المصلحتین؛ فإنّ للاستیفاء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بالإتیان بها مستقلًاّ، أو فی ضمن الناقص غیر القائم به المصلحة، و کلاهما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القدرة علی الإتیان بالصلاة المقصورة حاصلة غیر صحیحة؛ فإنّه خلط بین القدرة علی الصلاة القائم بها لمصلحة و صورة الصلاة، فهو قادر بعد الإتیان بالناقص علی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محقّقی العصر قدس سره من الالتزام بتعدّد المطلوب؛ بأن یکون الجامع بین القصر و التمام و الجهر و الإخفات مشتملًا علی مرتبة من المصلحة الملزمة، و یکون لخصوصیة القصریة و کذا الجهریة مصلحة زائدة ملزمة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المأتی به الفاقد لتلک الخصوصیة من جهة وفائه بمصلحة الجامع المتحقّق فی ضمنه مقوّماً للمصلحة الزائدة القائمة بالخصوصیة القصریة أو الجهریة؛ بحیث لا یبقی مع استیفائها به مجال لتحصیل الزائدة القائمة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أمّا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فلوفائه بمرتبة من المصلحة الملزمة القائمة بالجامع و صیرورته بذلک مأموراً به بمرتبة من الأمر المتعلّق بالجامع ضمناً، و أمّا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فلتفویته المصلحة اللازمة القائمة بالخصوصیة القصریة</w:t>
      </w:r>
      <w:r>
        <w:rPr>
          <w:rStyle w:val="FootnoteAnchor"/>
          <w:rtl w:val="true"/>
        </w:rPr>
        <w:footnoteReference w:id="6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أمر بالجامع، و أمر آخر بالواجد للخصوصیة، و هو</w:t>
      </w:r>
    </w:p>
    <w:p>
      <w:pPr>
        <w:pStyle w:val="BookText"/>
        <w:rPr/>
      </w:pPr>
      <w:r>
        <w:rPr>
          <w:rFonts w:ascii="IRNazanin" w:hAnsi="IRNazanin" w:eastAsia="IRNazanin"/>
          <w:color w:val="111111"/>
          <w:sz w:val="28"/>
          <w:sz w:val="28"/>
          <w:szCs w:val="28"/>
          <w:rtl w:val="true"/>
          <w:lang w:bidi="fa-IR"/>
        </w:rPr>
        <w:t>مبنی علی أن یکون المطلق و المقیّد عنوانین مختلفین؛ بحیث یدفعان التضادّ بین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 مبحث الاجتماع ما هو حقیقة الحال، و رجّحنا خلافه</w:t>
      </w:r>
      <w:r>
        <w:rPr>
          <w:rStyle w:val="FootnoteAnchor"/>
          <w:rtl w:val="true"/>
        </w:rPr>
        <w:footnoteReference w:id="638"/>
      </w:r>
      <w:r>
        <w:rPr>
          <w:rFonts w:ascii="IRNazanin" w:hAnsi="IRNazanin" w:eastAsia="IRNazanin"/>
          <w:color w:val="111111"/>
          <w:sz w:val="28"/>
          <w:sz w:val="28"/>
          <w:szCs w:val="28"/>
          <w:rtl w:val="true"/>
          <w:lang w:bidi="fa-IR"/>
        </w:rPr>
        <w:t>قائلًا بأنّ المقیّد عین المطلق مع قید آخر؛ عینیة اللابشرط مع بشرط شی‌ء، و مثله غیر کافٍ فی دفع التضادّ بین الأمر و النهی، و التضادّ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یفرّق بین المقامین؛ بدعوی أنّ امتناع تعلّق الأمر و النهی بهما لیس لأجل التضادّ بینهما؛ لعدم التضادّ بین الأحکام، بل لأمر آخر راجع إلی عدم الجمع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فلا مانع یمنع عن تعلّق بعثین إلیه، و کون المطلق محبوباً و المقیّد محبوباً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فالعطشان المشرف للموت، الذی یندفع هلاکه بمطلق الماء و بالماء البارد فهو بنحو الإطلاق محبوب، و بقید أنّه بارد محبوب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الإرادة بالمراد؛ فلو صحّ ما حُرّر فی مبحث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عینیة المطلق مع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تتشخّص الإرادتان بشی‌ء؟ فلو قیل بالمغایرة فهو کما یصحّح اجتماع البعثین یصحّح اجتماع الأمر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یکفی فی تشخّصهما اختلاف هویة المتعلّقین، و لا یکفی ذلک فی جواز تعلّق الإرادة المضادّة للُاخری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الشیخ الأکبر کاشف الغطاء من الالتزام بالترتّب، و أنّ المأمور به أوّلًا و بالذات هو القصر مثلًا، فلو عصی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الإتمام</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أورد علیه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ذکره الشیخ الأعظم من عدم إمکان الترتّب</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أجنبی عن الترتّب؛ لأنّه یعتبر فی الخطاب الترتّبی أن یکون کلّ من المتعلّقین واجداً لتمام ما هو ملاک الحکم، و یکون المانع من تعلّق الأمر بکلّ منهما هو عدم القدرة علی الجمع؛ للتضادّ بینهما، و المقام لیس کذلک؛ لعدم ثبوت الملاک فیهما، و إلّا لتعلّق الأمر بکلّ منهما؛ لإمکان الجمع بینهما، و لیسا کالضدّین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تعلّق الأمر بهما یکشف عن عدم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یعتبر فی الخطاب الترتّبی أن یکون خطاب المهمّ مشروطاً بعصیان الأهمّ، و فی المقام لا یعقل أن یخاطب التارک للقصر بعنوان العاصی؛ فإنّه لا یلتفت إلیه، و إلّا یخرج من عنوان الجاهل، و لا تصحّ منه حینئذٍ الصلاة التامّة، فلا یندرج فی صغری الترتّب</w:t>
      </w:r>
      <w:r>
        <w:rPr>
          <w:rStyle w:val="FootnoteAnchor"/>
          <w:rtl w:val="true"/>
        </w:rPr>
        <w:footnoteReference w:id="6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مبنی علی صحّة 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یقال بإمکانه فی المقام؛ و إن لم یکن ممکناً فی غیره؛ لأنّ الشرط فی المقام للأمر بالتمام یحتمل أن یکون أمراً انتزاعیاً؛ و هو کونه ممّن لا یأتی بالقصر جهلًا قبل التمام، و هو حاصل من أوّل الأمر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الشرط ممّا یمتنع أن یکون شرطاً للأمر بالمهمّ؛ لاستلزامه وجود أمرین فعلیین متوجّهین إلیه فی زمان واحد مع عجزه، بخلاف المقام؛ فإنّه یصحّ أن یجعل شرطاً للأمر بالتمام؛ لأنّه لا یکون فی المقام عاجزاً عن الإتیان بالقصر</w:t>
      </w:r>
    </w:p>
    <w:p>
      <w:pPr>
        <w:pStyle w:val="BookText"/>
        <w:rPr/>
      </w:pPr>
      <w:r>
        <w:rPr>
          <w:rFonts w:ascii="IRNazanin" w:hAnsi="IRNazanin" w:eastAsia="IRNazanin"/>
          <w:color w:val="111111"/>
          <w:sz w:val="28"/>
          <w:sz w:val="28"/>
          <w:szCs w:val="28"/>
          <w:rtl w:val="true"/>
          <w:lang w:bidi="fa-IR"/>
        </w:rPr>
        <w:t>و التمام، إنّما الکلام فی الملاک، و هو حاصل عند حصول العنوان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ذکره استحقاق عقابین إذا ترک کلتا الصلاتین، و لا أظنّ القائل یلتزم به؛ و إن التزمنا به فی باب الترتّب علی وجه آخر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خلط بین القدرة علی صورة الصلاة، و حقیقتها بما لها من الملاک، و المقدور هو الأوّل لا الثانی، فهو أیضاً عاجز عن الإتیان بالصلاتین بالمعنی الذی عرفت،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یشترط أن یکون الضدّ واجداً للملاک من أوّل الأمر، بل یکفی حدوث الملاک عند الجهل بحکم القصر أو عند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إشکال فی أنّ الصلاتین واجدتان للملاک؛ أمّا القصر فواضح، و أمّا التمام فهو أیضاً صحیح عند عدم الإتیان بالقصر عند الجهل بالحکم؛ نصّاً و إجماعاً، و قد وافاک معنی کونهما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لا یشترط فی الخطاب الترتّبی أن یکون المخاطب متوجّهاً إلی الشرط المأخوذ موضوعاً للأمر الثانوی، بل یکفی وجوده الواقعی؛ و إن لم یلتفت کما فی المقام، فتأمّل</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خطاب الناسی ما یفید فی المقام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المقام أجوبة شتّی، و فیما ذکرنا غنیً و کفایة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البراءة العقلیة</w:t>
      </w:r>
      <w:r>
        <w:rPr>
          <w:rFonts w:eastAsia="IRNazanin" w:cs="IRNazanin"/>
          <w:color w:val="111111"/>
          <w:sz w:val="28"/>
          <w:szCs w:val="28"/>
          <w:rtl w:val="true"/>
          <w:lang w:bidi="fa-IR"/>
        </w:rPr>
        <w:t>.</w:t>
      </w:r>
      <w:bookmarkStart w:id="614" w:name="pg12912_112034"/>
    </w:p>
    <w:p>
      <w:pPr>
        <w:pStyle w:val="Heading6"/>
        <w:numPr>
          <w:ilvl w:val="5"/>
          <w:numId w:val="1"/>
        </w:numPr>
        <w:rPr/>
      </w:pPr>
      <w:bookmarkStart w:id="615" w:name="__RefHeading___Toc3425781_3224264995"/>
      <w:bookmarkStart w:id="616" w:name="_Toc231"/>
      <w:bookmarkEnd w:id="614"/>
      <w:bookmarkEnd w:id="615"/>
      <w:r>
        <w:rPr>
          <w:rtl w:val="true"/>
        </w:rPr>
        <w:t>شرائط جریان البراءة الشرعیة</w:t>
      </w:r>
      <w:bookmarkEnd w:id="616"/>
    </w:p>
    <w:p>
      <w:pPr>
        <w:pStyle w:val="BookText"/>
        <w:rPr/>
      </w:pPr>
      <w:r>
        <w:rPr>
          <w:rFonts w:ascii="Amiri" w:hAnsi="Amiri" w:eastAsia="Amiri" w:cs="Amiri"/>
          <w:color w:val="111111"/>
          <w:sz w:val="28"/>
          <w:sz w:val="28"/>
          <w:szCs w:val="28"/>
          <w:rtl w:val="true"/>
          <w:lang w:bidi="ar-SA"/>
        </w:rPr>
        <w:t>أمّا البراءة الشرعیة فربّما یتوهّم إطلاق أدلّتها؛ قائلًا بأنّه ظاهر</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سعة ما لا یعلمون</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هو الرفع و التوسعة؛ کان قبل الفحص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بالتقیید بالإجماع</w:t>
      </w:r>
      <w:r>
        <w:rPr>
          <w:rStyle w:val="FootnoteAnchor"/>
          <w:rtl w:val="true"/>
        </w:rPr>
        <w:footnoteReference w:id="647"/>
      </w:r>
      <w:r>
        <w:rPr>
          <w:rFonts w:ascii="IRNazanin" w:hAnsi="IRNazanin" w:eastAsia="IRNazanin"/>
          <w:color w:val="111111"/>
          <w:sz w:val="28"/>
          <w:sz w:val="28"/>
          <w:szCs w:val="28"/>
          <w:rtl w:val="true"/>
          <w:lang w:bidi="fa-IR"/>
        </w:rPr>
        <w:t>،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یتمسّک بالعلم الإجمالی</w:t>
      </w:r>
      <w:r>
        <w:rPr>
          <w:rStyle w:val="FootnoteAnchor"/>
          <w:rtl w:val="true"/>
        </w:rPr>
        <w:footnoteReference w:id="648"/>
      </w:r>
      <w:r>
        <w:rPr>
          <w:rFonts w:ascii="IRNazanin" w:hAnsi="IRNazanin" w:eastAsia="IRNazanin"/>
          <w:color w:val="111111"/>
          <w:sz w:val="28"/>
          <w:sz w:val="28"/>
          <w:szCs w:val="28"/>
          <w:rtl w:val="true"/>
          <w:lang w:bidi="fa-IR"/>
        </w:rPr>
        <w:t>،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به خروج عن موضوع البحث؛ لأنّ البحث فی شرائط الجریان بعد الفراغ عن کون المقام مجری لها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إطلاقها لما قبل الفحص، و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بوجوب اللطف علی اللَّه ببعث الرسل و إنزال الکتب حتّی ینتفع الناس بأحکامه تعالی عاجلًا و آجلًا، و یصلح حالهم فی الدنیا و الآخرة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الحکم الباتّ هل یمکن أن یحتمل العقل أنّ من أحکامه تعالی هو</w:t>
      </w:r>
    </w:p>
    <w:p>
      <w:pPr>
        <w:pStyle w:val="BookText"/>
        <w:rPr/>
      </w:pPr>
      <w:r>
        <w:rPr>
          <w:rFonts w:ascii="IRNazanin" w:hAnsi="IRNazanin" w:eastAsia="IRNazanin"/>
          <w:color w:val="111111"/>
          <w:sz w:val="28"/>
          <w:sz w:val="28"/>
          <w:szCs w:val="28"/>
          <w:rtl w:val="true"/>
          <w:lang w:bidi="fa-IR"/>
        </w:rPr>
        <w:t>الرفع بقول مطلق؛ بأن یجوز لهم الإعراض عن سماع قول الأنبیاء و ترک التعلّم و التفحّص عن أحکامه و شریعته؛ حتّی یتنزّلوا منزلة البهائم و المجانین؟ حاشا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وضوح کثیر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البراءة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انصراف أدلّتها عمّا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الموافق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عدم العلم المأخوذ موضوعاً فی لسان أدلّتها لیس العلم الوجدانی حتّی یکون تقدیم أدلّة الأمارات و الاصول الحاکمة علیها من باب التخصیص؛ لاستهجان ذلک التخصیص الکثیر، بل لا یخلو عن استهجان؛ و لو کان بنحو الحکومة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العلم هو الحجّة، و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عمّا لا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فی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العلم و الیقین بهذا المعنی کثیر فی الأخبار</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موجودة فی الکتاب و السنّة، و قد قامت الحجّة علی کثیر من الأحکام، و وصلت إلینا وصولًا متعارفاً، فمع عدم الفحص یشکّ فی تحقّق ما هو موضوع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لسان أدلّتها؛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من أدلّة البراءة، و أوضحنا مفاده</w:t>
      </w:r>
      <w:r>
        <w:rPr>
          <w:rStyle w:val="FootnoteAnchor"/>
          <w:rtl w:val="true"/>
        </w:rPr>
        <w:footnoteReference w:id="652"/>
      </w:r>
      <w:r>
        <w:rPr>
          <w:rFonts w:ascii="IRNazanin" w:hAnsi="IRNazanin" w:eastAsia="IRNazanin"/>
          <w:color w:val="111111"/>
          <w:sz w:val="28"/>
          <w:sz w:val="28"/>
          <w:szCs w:val="28"/>
          <w:rtl w:val="true"/>
          <w:lang w:bidi="fa-IR"/>
        </w:rPr>
        <w:t>، و هو کما تری جعل بعث الرسول غایةً لرفع التعذیب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بمعونة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بعثه هو تبلیغ أحکامه و إیصال شریعته علی النحو الدائر بین العقلاء، فیدلّ أنّه</w:t>
      </w:r>
    </w:p>
    <w:p>
      <w:pPr>
        <w:pStyle w:val="BookText"/>
        <w:rPr/>
      </w:pPr>
      <w:r>
        <w:rPr>
          <w:rFonts w:ascii="IRNazanin" w:hAnsi="IRNazanin" w:eastAsia="IRNazanin"/>
          <w:color w:val="111111"/>
          <w:sz w:val="28"/>
          <w:sz w:val="28"/>
          <w:szCs w:val="28"/>
          <w:rtl w:val="true"/>
          <w:lang w:bidi="fa-IR"/>
        </w:rPr>
        <w:t>لو بلّغ الرسول و أتمّ الحجّة لوقع التعذیب علی فرض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مفاد الآیة، و المفروض أنّ الرسول قد بلّغ و أتمّ البیان بالکتاب و السنّة، فلا یجوز الصفح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بناءً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الروایات المذکورة فی بابها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یحتجّ علی العباد بما آتاهم و عرّفهم</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الأدلّة صریحة فی تقیّد البراءة بورود النهی و ما فی معناه، و المفروض ورود النهی فی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هنا إطلاق یقیّد بهذه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ما یدلّ علی وجوب التعلّم و التفقّه فی الدین حاکم علی إطلاق أدلّة البراءة، و إلیک نماذج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طلب العلم أوجب علیکم من طلب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مخزون عند أهله، و قد أمرتم بطلبه من أهله، فاطلبوه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 فإنّه من لم یتفقّه</w:t>
      </w:r>
    </w:p>
    <w:p>
      <w:pPr>
        <w:pStyle w:val="BookText"/>
        <w:rPr/>
      </w:pPr>
      <w:r>
        <w:rPr>
          <w:rFonts w:ascii="IRNazanin" w:hAnsi="IRNazanin" w:eastAsia="IRNazanin"/>
          <w:color w:val="111111"/>
          <w:sz w:val="28"/>
          <w:sz w:val="28"/>
          <w:szCs w:val="28"/>
          <w:rtl w:val="true"/>
          <w:lang w:bidi="fa-IR"/>
        </w:rPr>
        <w:t>منکم فی الدین فهو أعرابی</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هل یسع الناس ترک مسألة عمّا یحتاجون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قال أبو عبد اللَّه علیه السلام 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فیمن أطال الجلوس فی بیت الخلاء</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غسل المجدور</w:t>
      </w:r>
      <w:r>
        <w:rPr>
          <w:rStyle w:val="FootnoteAnchor"/>
          <w:rtl w:val="true"/>
        </w:rPr>
        <w:footnoteReference w:id="663"/>
      </w:r>
      <w:r>
        <w:rPr>
          <w:rFonts w:ascii="IRNazanin" w:hAnsi="IRNazanin" w:eastAsia="IRNazanin"/>
          <w:color w:val="111111"/>
          <w:sz w:val="28"/>
          <w:sz w:val="28"/>
          <w:szCs w:val="28"/>
          <w:rtl w:val="true"/>
          <w:lang w:bidi="fa-IR"/>
        </w:rPr>
        <w:t>، 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حکومة تلک الطائفة علی إطلاقات الباب؛ فإنّها متعرّضة لما هو موضوع دلیل البراءة، و تتعرّض لما لم یتعرّض له أدلّة البراءة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محقّقی العصر رحمه الله قد استشکل فی صلاحیة تلک الأدلّة لتقیید مطلقات الباب؛ قائلًا بأنّها ظاهرة فی الإرشاد إلی حکم العقل بلزوم الفحص لأجل استقرار الجهل الموجب لعذره، فعموم أدلّة البراءة واردة علیها؛ لأنّه بقیام الترخیص الشرعی قبل الفحص یرتفع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دعوی اختصاصها بصورة العلم الإجمالی، فتکون إرشادیة أیضاً، مع أنّها قاصرة عن إفادة تمام المطلوب؛ لأنّها ظاهرة فی الاختصاص بصورةٍ یکون الفحص مؤدّیاً إلی العلم بالواقع، و المطلوب أعمّ من ذلک</w:t>
      </w:r>
      <w:r>
        <w:rPr>
          <w:rStyle w:val="FootnoteAnchor"/>
          <w:rtl w:val="true"/>
        </w:rPr>
        <w:footnoteReference w:id="664"/>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هذه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کانت أدلّة البراءة واردة علیها فالتعییر علی عدم العلم بما ذا؟ و ما معنی الهلکة فی ترک السؤال؟ و لما ذا دعا علیه السلام علی القوم الذین غسّلوا المجدور بأنّه قاتلهم اللَّه</w:t>
      </w:r>
      <w:r>
        <w:rPr>
          <w:rStyle w:val="FootnoteAnchor"/>
          <w:rtl w:val="true"/>
        </w:rPr>
        <w:footnoteReference w:id="665"/>
      </w:r>
      <w:r>
        <w:rPr>
          <w:rFonts w:ascii="IRNazanin" w:hAnsi="IRNazanin" w:eastAsia="IRNazanin"/>
          <w:color w:val="111111"/>
          <w:sz w:val="28"/>
          <w:sz w:val="28"/>
          <w:szCs w:val="28"/>
          <w:rtl w:val="true"/>
          <w:lang w:bidi="fa-IR"/>
        </w:rPr>
        <w:t>؟ فهل بعد ذلک التعبیرات یصحّ لنا أن نقول بورود إطلاق أدلّتها علی هذه الطائفة من الأخبار؟ بل یکشف ذلک أنّه لا إطلاق لها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اختصاصها بصورة العلم الإجمالی، و أیّ شاهد علی هذا الاختصاص مع شمولها علی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إطلاقها، فهی عامّة تشمل صور العلم بالوصول إلی الحکم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بأنّه لا یصل إلی الواقع فلا شکّ فی عدم وجوب التعلّم و الفحص؛ لأنّ إیجاب التعلّم لأجل العلم بالواقع، و مع الیأس عن الوصول لا معنی لإیجابه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بالوصول أو الشکّ فیه فلا ریب فی أنّ إطلاقها محکّم و حاکمة علی إطلاق أدلّة البراءة، لو قلنا بوجود الإطلاق فیها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لجریان البراءة شرطین آخرین</w:t>
      </w:r>
      <w:r>
        <w:rPr>
          <w:rStyle w:val="FootnoteAnchor"/>
          <w:rtl w:val="true"/>
        </w:rPr>
        <w:footnoteReference w:id="666"/>
      </w:r>
      <w:r>
        <w:rPr>
          <w:rFonts w:ascii="IRNazanin" w:hAnsi="IRNazanin" w:eastAsia="IRNazanin"/>
          <w:color w:val="111111"/>
          <w:sz w:val="28"/>
          <w:sz w:val="28"/>
          <w:szCs w:val="28"/>
          <w:rtl w:val="true"/>
          <w:lang w:bidi="fa-IR"/>
        </w:rPr>
        <w:t>، و بما أنّهما بمکان من الضعف فقد ضربنا عنهما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جمعاً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الأعظم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استطرفوا المقام بالبحث عن قاعدة لا ضرر؛ استطراداً لما فیها عظیم فائدة، و قد آثرناهم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مباحث القاعدة طویلة الذیل أفردنا لها رسالة مستقلّة، و إلی المولی سبحانه نبتهل و منه نستمدّ، 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فرغنا عن تسوید هذه المباحث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شعبان المعظّم فی مدینة قم و حوزتها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صانها اللَّه عن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بید مؤلّفه الحقیر محمّد جعفر السبحانی، ابن الفقیه الحاجّ میرزا محمّد حسین التبریزی، عاملهما اللَّه بلطفه الخفی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فرغنا عن تبییضه عصر یوم السبت فی الرابع و العشرین من رمضان المبارک من شهور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مصائف کرمان، و اللَّه ولیّ التوفیق، نِعم المولی و نِعم النصیر</w:t>
      </w:r>
      <w:r>
        <w:rPr>
          <w:rFonts w:eastAsia="IRNazanin" w:cs="IRNazanin"/>
          <w:color w:val="111111"/>
          <w:sz w:val="28"/>
          <w:szCs w:val="28"/>
          <w:rtl w:val="true"/>
          <w:lang w:bidi="fa-IR"/>
        </w:rPr>
        <w:t>.</w:t>
      </w:r>
      <w:bookmarkStart w:id="617" w:name="pg12912_112041"/>
    </w:p>
    <w:p>
      <w:pPr>
        <w:pStyle w:val="Heading3"/>
        <w:numPr>
          <w:ilvl w:val="2"/>
          <w:numId w:val="1"/>
        </w:numPr>
        <w:rPr/>
      </w:pPr>
      <w:bookmarkStart w:id="618" w:name="__RefHeading___Toc3425783_3224264995"/>
      <w:bookmarkStart w:id="619" w:name="_Toc232"/>
      <w:bookmarkEnd w:id="617"/>
      <w:bookmarkEnd w:id="618"/>
      <w:r>
        <w:rPr>
          <w:rtl w:val="true"/>
        </w:rPr>
        <w:t xml:space="preserve">نیل الأوطار فی بیان قاعدة </w:t>
      </w:r>
      <w:r>
        <w:rPr>
          <w:rtl w:val="true"/>
        </w:rPr>
        <w:t>«</w:t>
      </w:r>
      <w:r>
        <w:rPr>
          <w:rtl w:val="true"/>
        </w:rPr>
        <w:t>لا ضرر و لا ضرار</w:t>
      </w:r>
      <w:r>
        <w:rPr>
          <w:rtl w:val="true"/>
        </w:rPr>
        <w:t>»</w:t>
      </w:r>
      <w:bookmarkEnd w:id="61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0" w:name="__RefHeading___Toc3425785_3224264995"/>
      <w:bookmarkStart w:id="621" w:name="_Toc233"/>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رفع عنّا الضرر و الضرار، و جعل الکتاب و السنّة وسیلتین لنیل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عباده الذین اصطفی، محمّد و آله الأئمّة الأتقیاء الشرفاء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رسالة عملناها فی تحقیق حدیث الضرر و الضرار، و أسمیناها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 فی حدیث الضرر 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أفردناها عمّا کان یتّصل به من مباحث الاشتغال؛ لما فیها من الإشباع و الإسهاب، أوردنا فیها الجوهر و اللباب، و حذفنا القشر و الإهاب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بنصل السیف و اترک غمده‌و اعتبر فضل الفتی دون الحلل</w:t>
      </w:r>
    </w:p>
    <w:p>
      <w:pPr>
        <w:pStyle w:val="BookText"/>
        <w:rPr/>
      </w:pPr>
      <w:r>
        <w:rPr>
          <w:rFonts w:ascii="IRNazanin" w:hAnsi="IRNazanin" w:eastAsia="IRNazanin"/>
          <w:color w:val="111111"/>
          <w:sz w:val="28"/>
          <w:sz w:val="28"/>
          <w:szCs w:val="28"/>
          <w:rtl w:val="true"/>
          <w:lang w:bidi="fa-IR"/>
        </w:rPr>
        <w:t>فجاءت بحمد اللَّه صحیفة کافلة لمباحث هامّة، فشکر اللَّه مساعی سیّدنا الاستاذ، و أدام صحّة وجوده، و أنار به مدارس العلوم و محافل المعارف و أوساط الفضائل، و وفّقه لتربیة روّاد العلم و عشّاق الحقیقة و تهذیب الاصول و فروعها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ما هو المهمّ من الروایات، فنقول</w:t>
      </w:r>
      <w:r>
        <w:rPr>
          <w:rFonts w:eastAsia="IRNazanin" w:cs="IRNazanin"/>
          <w:color w:val="111111"/>
          <w:sz w:val="28"/>
          <w:szCs w:val="28"/>
          <w:rtl w:val="true"/>
          <w:lang w:bidi="fa-IR"/>
        </w:rPr>
        <w:t>:</w:t>
      </w:r>
      <w:bookmarkStart w:id="622" w:name="pg12912_112044"/>
    </w:p>
    <w:p>
      <w:pPr>
        <w:pStyle w:val="Heading4"/>
        <w:numPr>
          <w:ilvl w:val="3"/>
          <w:numId w:val="1"/>
        </w:numPr>
        <w:rPr/>
      </w:pPr>
      <w:bookmarkStart w:id="623" w:name="__RefHeading___Toc3425787_3224264995"/>
      <w:bookmarkStart w:id="624" w:name="_Toc234"/>
      <w:bookmarkEnd w:id="622"/>
      <w:bookmarkEnd w:id="623"/>
      <w:r>
        <w:rPr>
          <w:rtl w:val="true"/>
        </w:rPr>
        <w:t>تمهید فی ذکر الأحادیث المربوطة بالمقام</w:t>
      </w:r>
      <w:bookmarkEnd w:id="624"/>
    </w:p>
    <w:p>
      <w:pPr>
        <w:pStyle w:val="Heading5"/>
        <w:numPr>
          <w:ilvl w:val="4"/>
          <w:numId w:val="1"/>
        </w:numPr>
        <w:rPr/>
      </w:pPr>
      <w:bookmarkStart w:id="625" w:name="__RefHeading___Toc3425789_3224264995"/>
      <w:bookmarkStart w:id="626" w:name="_Toc235"/>
      <w:bookmarkEnd w:id="625"/>
      <w:r>
        <w:rPr>
          <w:rtl w:val="true"/>
        </w:rPr>
        <w:t>ما ورد فی جوامع الحدیث للشیعة</w:t>
      </w:r>
      <w:bookmarkEnd w:id="626"/>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ثقة الإسلام عن عدّة من أصحابنا عن أحمد بن محمّد بن خالد عن أبیه عن عبد اللَّه بن بُکیر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فی حائط لرجل من الأنصار، و کان منزل الأنصاری بباب البستان، فکان یمرّ به إلی نخلته و لا یستأذن، فکلّمه الأنصاری أن یستأذن إذا جاء، فأبی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تأبّی جاء الأنصاری إلی رسول اللَّه صلی الله علیه و آله و سلم فشکا إلیه و خبّره الخبر، فأرسل إلیه رسول اللَّه صلی الله علیه و آله و سلم و خبّره بقول الأنصاری و ما شکا،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فاستأذن، 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یمدّ لک فی الجنّة، فأبی أن یقبل، فقال رسول اللَّه صلی الله علیه و آله و سلم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 ارمِ بها إلیه؛ فإنّه لا ضرر و لا ضرار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الحرّ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بإسناده عن ابن بُکیر نحوه، و رواه الشیخ بإسناده عن أحمد بن محمّد بن خالد مثله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علی بن محمّد بن بندار عن أحمد بن أبی عبد اللَّه عن أبیه عن بعض أصحابنا عن عبد اللَّه بن مسکان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و کان طریقه إلیه فی جوف منزل رجل من الأنصار، فکان یجی‌ء و یدخل إلی عذقه بغیر إذن 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سمرة لا تزال تفجأنا علی حال لا نحبّ أن تفجأنا علیها، فإذا دخلت فاستأذن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أستأذن فی طریق؛ و هو طریقی إلی عذقی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الأنصاری إلی رسول اللَّه صلی الله علیه و آله و سلم، فأرسل إلیه رسول اللَّه صلی الله علیه و آله و سلم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شکاک و زعم أنّک تمرّ علیه و علی أهله بغیر إذنه، فاستأذن علیه إذا أردت أن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أستأذن فی طریقی إلی عذقی؟</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 خلّ عنه و لک مکانه عذق فی مکان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ارید، فلم یزل یزیده؛ حتّی بلغ عشرة أعذاق،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عشرة فی مکان کذا و کذا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 لک مکانه عذق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بها رسول اللَّه، فقلعت ثمّ رمی بها إلیه، و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بإسناده عن الحسن الصیقل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لسمرة بن</w:t>
      </w:r>
    </w:p>
    <w:p>
      <w:pPr>
        <w:pStyle w:val="BookText"/>
        <w:rPr/>
      </w:pPr>
      <w:r>
        <w:rPr>
          <w:rFonts w:ascii="IRNazanin" w:hAnsi="IRNazanin" w:eastAsia="IRNazanin"/>
          <w:color w:val="111111"/>
          <w:sz w:val="28"/>
          <w:sz w:val="28"/>
          <w:szCs w:val="28"/>
          <w:rtl w:val="true"/>
          <w:lang w:bidi="fa-IR"/>
        </w:rPr>
        <w:t>جندب نخلة فی حائط بنی فلان، فکان إذا جاء إلی نخلته ینظر إلی شی‌ء من أهل الرجل یکرهه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إلی رسول اللَّه فشکاه،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سمرة یدخل علیّ بغیر إذنی، فلو أرسلت إلیه فأمرته أن یستأذن حتّی تأخذ أهلی حذرها منه، فأرسل إلیه رسول اللَّه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ما شأن فلان یشکوک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بغیر إذنی، فتری من أهله ما یکره ذلک، یا سمرة استأذن إذا أنت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أن یکون لک عذق فی الجنّة بنخلتک؟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لک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 اذهب یا فلان فاقطعها، و اضرب بها وجهه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ثقة الإسلام عن محمّد بن یحیی عن محمّد بن الحسین عن محمّد بن عبد اللَّه بن هلال عن عقبة بن خالد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بین أهل المدینة فی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نفع</w:t>
      </w:r>
      <w:r>
        <w:rPr>
          <w:rStyle w:val="FootnoteAnchor"/>
          <w:rtl w:val="true"/>
        </w:rPr>
        <w:footnoteReference w:id="671"/>
      </w:r>
      <w:r>
        <w:rPr>
          <w:rFonts w:ascii="IRNazanin" w:hAnsi="IRNazanin" w:eastAsia="IRNazanin"/>
          <w:color w:val="111111"/>
          <w:sz w:val="28"/>
          <w:sz w:val="28"/>
          <w:szCs w:val="28"/>
          <w:rtl w:val="true"/>
          <w:lang w:bidi="fa-IR"/>
        </w:rPr>
        <w:t>الشی‌ء، و قضی بین أهل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فضل ماءٍ لیمنع فضل کلاء،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رواه بلفظة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لا ضرر و لا ضرار</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بالسند المتقدّم فی الروایة الرابعة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بالشفعة بین الشرکاء فی الأرضین و المساکین،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ارّفت الارف و حُدّت الحدود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بإسناده عن محمّد بن یحیی مثله و رواه الصدوق بإسناده عن عقبة بن خالد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شفعة إلّا لشریک غیر مقاسم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بإسناده عن أبی الأسود الدُئلی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معاذ بن جبل کان بالیمن، فاجتمعوا إلیه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مات و ترک أخاً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 و لا ینقص، فورث المسلم من أخیه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 و 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 فالإسلام یزید المسلم خیراً و لا یزیده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المحدّث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عبد اللَّه أنّه سئل عن جدار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سُترة بینه و بین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فامتنع من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یُجبر علی ذلک، إلّا أن یکون وجب ذلک</w:t>
      </w:r>
    </w:p>
    <w:p>
      <w:pPr>
        <w:pStyle w:val="BookText"/>
        <w:rPr/>
      </w:pPr>
      <w:r>
        <w:rPr>
          <w:rFonts w:ascii="IRNazanin" w:hAnsi="IRNazanin" w:eastAsia="IRNazanin"/>
          <w:color w:val="111111"/>
          <w:sz w:val="28"/>
          <w:sz w:val="28"/>
          <w:szCs w:val="28"/>
          <w:rtl w:val="true"/>
          <w:lang w:bidi="fa-IR"/>
        </w:rPr>
        <w:t>لصاحب الدار الاخری بحقٍّ أو بشرط فی أصل الملک، و لکن یقال لصاحب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علی نفسک فی حقّک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الجدار لم یسقط، و لکنّه هدمه أو أراد هدمه؛ إضراراً بجاره لغیر حاجة منه إلی هدمه؟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 ذلک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هدمه کُلّف أن یبنیه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روینا عن أبی عبد اللَّه عن أبیه عن آبائه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ما وقفت علیه فی جوامع الحدیث للشیعة، و سیوافیک ما فی جوامع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نردف ما رویناه عن جوامع أصحابنا بما وقفنا علیه فی الکتب الاستدلالیة لهم، و نکتفی بالقلیل من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الغبن فی المسألة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روی عن النبی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زهرة فی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یحتجّ علی المخالف بقوله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627" w:name="pg12912_112049"/>
    </w:p>
    <w:p>
      <w:pPr>
        <w:pStyle w:val="BookText"/>
        <w:rPr/>
      </w:pPr>
      <w:bookmarkEnd w:id="627"/>
      <w:r>
        <w:rPr>
          <w:rFonts w:ascii="IRNazanin" w:hAnsi="IRNazanin" w:eastAsia="IRNazanin"/>
          <w:color w:val="111111"/>
          <w:sz w:val="28"/>
          <w:sz w:val="28"/>
          <w:szCs w:val="28"/>
          <w:rtl w:val="true"/>
          <w:lang w:bidi="fa-IR"/>
        </w:rPr>
        <w:t xml:space="preserve">و استدلّ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فی باب خیار الغبن، فراجع المسألة الاولی</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بالشفعة بین الشرکاء فی الأرضین و المساکن،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غلط</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3425791_3224264995"/>
      <w:bookmarkStart w:id="629" w:name="_Toc236"/>
      <w:bookmarkEnd w:id="628"/>
      <w:r>
        <w:rPr>
          <w:rtl w:val="true"/>
        </w:rPr>
        <w:t>ما ورد فی جوامع الحدیث للعامّة</w:t>
      </w:r>
      <w:bookmarkEnd w:id="629"/>
    </w:p>
    <w:p>
      <w:pPr>
        <w:pStyle w:val="BookText"/>
        <w:rPr/>
      </w:pPr>
      <w:r>
        <w:rPr>
          <w:rFonts w:ascii="IRNazanin" w:hAnsi="IRNazanin" w:eastAsia="IRNazanin"/>
          <w:color w:val="111111"/>
          <w:sz w:val="28"/>
          <w:sz w:val="28"/>
          <w:szCs w:val="28"/>
          <w:rtl w:val="true"/>
          <w:lang w:bidi="fa-IR"/>
        </w:rPr>
        <w:t>و أمّا ما وقفنا علیه فی معاجم العامّة و جوامعهم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حدّثنا أبو کامل الجحدری، حدّثنا الفضیل بن سلیمان، حدّثنا موسی بن عقبة عن إسحاق بن یحیی بن الولید ابن عبادة بن الصامت عن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قضاء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المعدن جبار و البئر جبار و 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البهیمة من الأنعام و غیرها، و الجبار هو الهدر الذی لا یغرم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تمر النخل لمن أبرها، إلّا أن یشترط المبتاع، و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مال المملوک لمن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للجدّتین من المیراث بالسدس بینهما بالسواء، و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أعتق شرکاً فی مملوک فعلیه جواز عتقه إن کان له مال،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ضرر و لا ضرار،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لعرق ظالم حقّ، و قضی بین أهل المدینة فی النخل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یمنع نقع بئرٍ، و قضی بین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فضل ماء لیمنع به فضل</w:t>
      </w:r>
      <w:bookmarkStart w:id="630" w:name="pg12912_112050"/>
    </w:p>
    <w:p>
      <w:pPr>
        <w:pStyle w:val="BookText"/>
        <w:rPr/>
      </w:pPr>
      <w:bookmarkEnd w:id="630"/>
      <w:r>
        <w:rPr>
          <w:rFonts w:ascii="IRNazanin" w:hAnsi="IRNazanin" w:eastAsia="IRNazanin"/>
          <w:color w:val="111111"/>
          <w:sz w:val="28"/>
          <w:sz w:val="28"/>
          <w:szCs w:val="28"/>
          <w:rtl w:val="true"/>
          <w:lang w:bidi="fa-IR"/>
        </w:rPr>
        <w:t xml:space="preserve">الکلاء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ماجة القزوینی فی جامعه</w:t>
      </w:r>
      <w:r>
        <w:rPr>
          <w:rStyle w:val="FootnoteAnchor"/>
          <w:rtl w:val="true"/>
        </w:rPr>
        <w:footnoteReference w:id="68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الروایات التی وقفنا علیها، و لعلّ فی طیّات أبواب الفقه و جوامع الحدیث روایات یقف علیها المتتبّع</w:t>
      </w:r>
      <w:r>
        <w:rPr>
          <w:rFonts w:eastAsia="IRNazanin" w:cs="IRNazanin"/>
          <w:color w:val="111111"/>
          <w:sz w:val="28"/>
          <w:szCs w:val="28"/>
          <w:rtl w:val="true"/>
          <w:lang w:bidi="fa-IR"/>
        </w:rPr>
        <w:t>.</w:t>
      </w:r>
    </w:p>
    <w:p>
      <w:pPr>
        <w:pStyle w:val="Heading5"/>
        <w:numPr>
          <w:ilvl w:val="4"/>
          <w:numId w:val="1"/>
        </w:numPr>
        <w:rPr/>
      </w:pPr>
      <w:bookmarkStart w:id="631" w:name="__RefHeading___Toc3425793_3224264995"/>
      <w:bookmarkStart w:id="632" w:name="_Toc237"/>
      <w:bookmarkEnd w:id="631"/>
      <w:r>
        <w:rPr>
          <w:rtl w:val="true"/>
        </w:rPr>
        <w:t xml:space="preserve">الروایات المتحدة المضمون مع حدیث </w:t>
      </w:r>
      <w:r>
        <w:rPr>
          <w:rtl w:val="true"/>
        </w:rPr>
        <w:t>«</w:t>
      </w:r>
      <w:r>
        <w:rPr>
          <w:rtl w:val="true"/>
        </w:rPr>
        <w:t>لا ضرر</w:t>
      </w:r>
      <w:r>
        <w:rPr>
          <w:rtl w:val="true"/>
        </w:rPr>
        <w:t>»</w:t>
      </w:r>
      <w:bookmarkEnd w:id="632"/>
    </w:p>
    <w:p>
      <w:pPr>
        <w:pStyle w:val="BookText"/>
        <w:rPr/>
      </w:pPr>
      <w:r>
        <w:rPr>
          <w:rFonts w:ascii="IRNazanin" w:hAnsi="IRNazanin" w:eastAsia="IRNazanin"/>
          <w:color w:val="111111"/>
          <w:sz w:val="28"/>
          <w:sz w:val="28"/>
          <w:szCs w:val="28"/>
          <w:rtl w:val="true"/>
          <w:lang w:bidi="fa-IR"/>
        </w:rPr>
        <w:t>نعم، هاهنا روایات اخر تؤکّد مضمون الروایة و عمومیتها؛ و إن کانت مغایرة مع ما سبق فی اللفظ، إلّا أنّ بینهما اتّحاداً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جملة منها تحت أرقام ریاضیة؛ لئلّا یختلط بما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الضرار عن محمّد بن یحیی عن محمّد بن الحسین عن یزید بن إسحاق عن هارون بن حمزة الغنوی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شهد بعیراً مریضاً، و هو یباع، فاشتراه رجل بعشرة دراهم، فجاء و أشرک فیه رجلًا بدرهمین بالرأس و الجلد، فقضی أنّ البعیر برئ، فبلغ ثمنه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الدرهمین خمس ما بلغ،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الرأس و الجلد فلیس له ذلک، هذا الضرار، و قد اعطی حقّه إذا اعطی الخمس</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بإسناده عن محمّد بن یحیی</w:t>
      </w:r>
      <w:r>
        <w:rPr>
          <w:rStyle w:val="FootnoteAnchor"/>
          <w:rtl w:val="true"/>
        </w:rPr>
        <w:footnoteReference w:id="6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محمّد بن یحیی عن محمّد بن الحسین عن محمّد بن عبد اللَّه بن هلال عن عقبة بن خالد عن أبی عبد اللَّه فی رجل أتی جبلًا، فشقّ فیه قناة، فذهبت قناة الآخر بماء قناة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یتقاسمان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بحقائب البئر لیلة لیلة، فینظر أیّتهما أضرّت بصاحبتها، فإن رأیت الأخیرة أضرّت بالأُولی فلتعوّر</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بإسناده عن عقبة بن خالد نحوه،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رسول اللَّه بذلک،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الاولی أخذت ماء الأخیرة لم یکن لصاحب الأخیرة علی الأوّل سبیل</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الحسن بإسناده عن أبی عبد اللَّه قریب منه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محمّد بن یحیی عن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قناة فی قریة فأراد رجل أن یحفر قناة اخری إلی قریة له، کم یکون بینهما فی البعد؛ حتّی لا یضرّ بالأخری فی الأرض إذا کانت صلبة أو رخوة؟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حسب أن لا یضرّ إحداهما بالاخری إن شاء اللَّه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أله ذلک أم لا؟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اللَّه، و یعمل فی ذلک بالمعروف، و لا یضرّ أخاه المؤمن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محمّد بن یحیی عن طلحة بن زید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کتب کتاباً بین المهاجرین و الأنصار و من لحق بهم من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غازیة غزت بما یعقّب بعضها بعضاً بالمعروف و القسط بین المسلمین؛ فإنّه لا یجوز حرب إلّا بإذن أهلها، و إنّ الجار کالنفس غیر مضارّ و لا آثم، و حرمة الجار علی الجار کحرمة امّه و أبیه، لا یسالم مؤمن دون مؤمن فی قتال فی سبیل اللَّه إلّا علی عدل و سواء</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أضرّ بامرأة؛ حتّی تفتدی منه نفسها لم یرض اللَّه له بعقوبة دون النار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ضارّ مسلماً فلیس منّا، و لسنا منه فی الدنیا و الآخرة</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ما وقفنا علیه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الأعلام</w:t>
      </w:r>
      <w:r>
        <w:rPr>
          <w:rStyle w:val="FootnoteAnchor"/>
          <w:rtl w:val="true"/>
        </w:rPr>
        <w:footnoteReference w:id="694"/>
      </w:r>
      <w:r>
        <w:rPr>
          <w:rFonts w:ascii="IRNazanin" w:hAnsi="IRNazanin" w:eastAsia="IRNazanin"/>
          <w:color w:val="111111"/>
          <w:sz w:val="28"/>
          <w:sz w:val="28"/>
          <w:szCs w:val="28"/>
          <w:rtl w:val="true"/>
          <w:lang w:bidi="fa-IR"/>
        </w:rPr>
        <w:t>عن فخر الدین</w:t>
      </w:r>
      <w:r>
        <w:rPr>
          <w:rStyle w:val="FootnoteAnchor"/>
          <w:rtl w:val="true"/>
        </w:rPr>
        <w:footnoteReference w:id="695"/>
      </w:r>
      <w:r>
        <w:rPr>
          <w:rFonts w:ascii="IRNazanin" w:hAnsi="IRNazanin" w:eastAsia="IRNazanin"/>
          <w:color w:val="111111"/>
          <w:sz w:val="28"/>
          <w:sz w:val="28"/>
          <w:szCs w:val="28"/>
          <w:rtl w:val="true"/>
          <w:lang w:bidi="fa-IR"/>
        </w:rPr>
        <w:t>ادّعائه تواتر حدیث نفی الضرر و الضرار</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الضرار فی الوصیة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الحلبی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أن یضارّ بالصبی أو تضارّ بأُمّه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أبی بصیر عن أبی عبد اللَّه علیه السلام قال 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الحبلی ینفق علیها؛ حتّی تضع حملها، و هی أحقّ بولدها أن ترضعه بما تقبله امرأة اخری، یقول اللَّه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لا یضارّ بالصبی و لا یضارّ بأُمّه فی إرضاعه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حفص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کانت لهم عیون فی أرض، قریبة بعضها من بعض، فأراد رجل أن یجعل عینه أسفل من موضعها الذی کانت علیه، و بعض العیون إذا فعل بها ذلک أضرّ بالبقیة، و بعضها لا یضرّ من شدّة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مکان شدید فلا یضرّ، و ما کان فی أرض رخوة بطحاء فإنّه یضرّ، و إن عرض رجل علی جاره أن یضع عینه کما وضعها، و هو علی مقدار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تراضیا فلا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مرسلًا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بطریق المسلمین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یطلّق امرأته ثمّ یراجعها، و لیس فیها حاجة، ثمّ یطلّقها، فهذا الضرار الذی نهی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و لم یحفِ و لم یضارّ کان کمن تصدّق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633" w:name="pg12912_112054"/>
    </w:p>
    <w:p>
      <w:pPr>
        <w:pStyle w:val="Heading4"/>
        <w:numPr>
          <w:ilvl w:val="3"/>
          <w:numId w:val="1"/>
        </w:numPr>
        <w:rPr/>
      </w:pPr>
      <w:bookmarkStart w:id="634" w:name="__RefHeading___Toc3425795_3224264995"/>
      <w:bookmarkStart w:id="635" w:name="_Toc238"/>
      <w:bookmarkEnd w:id="633"/>
      <w:bookmarkEnd w:id="634"/>
      <w:r>
        <w:rPr>
          <w:rtl w:val="true"/>
        </w:rPr>
        <w:t xml:space="preserve">التحقیق فی حال ورود </w:t>
      </w:r>
      <w:r>
        <w:rPr>
          <w:rtl w:val="true"/>
        </w:rPr>
        <w:t>«</w:t>
      </w:r>
      <w:r>
        <w:rPr>
          <w:rtl w:val="true"/>
        </w:rPr>
        <w:t>لا ضرر</w:t>
      </w:r>
      <w:r>
        <w:rPr>
          <w:rtl w:val="true"/>
        </w:rPr>
        <w:t xml:space="preserve">» </w:t>
      </w:r>
      <w:r>
        <w:rPr>
          <w:rtl w:val="true"/>
        </w:rPr>
        <w:t>مستقلًاّ</w:t>
      </w:r>
      <w:bookmarkEnd w:id="635"/>
    </w:p>
    <w:p>
      <w:pPr>
        <w:pStyle w:val="Heading5"/>
        <w:numPr>
          <w:ilvl w:val="4"/>
          <w:numId w:val="1"/>
        </w:numPr>
        <w:rPr/>
      </w:pPr>
      <w:bookmarkStart w:id="636" w:name="__RefHeading___Toc3425797_3224264995"/>
      <w:bookmarkStart w:id="637" w:name="_Toc239"/>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و أنت إذا أحطت خُبراً بما سردناه تقف علی استفاضة</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روته المشایخ الثلاثة بأسانید مختلفة، و هو یفید الاطمئنان بصدور</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تجده من الاختلاف فی المتون و اشتمال بعض الروایات علی فقرات لا توجد فی الاخری غیر ضارّ؛ لکون الاختلاف صوریاً غیر جوهری، ناشئاً من نقل الحدیث بالمعنی، و اختلاف الدواعی فی نقل الحدیث؛ فربّما یتعلّق الداعی بنقل الحدیث بعامّة خصوصیاته، و ربّما یتعلّق بنقل ما هو الغرض منه مع حذف ما لیس مهمّاً فی نظر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تجد مرسلة زرارة</w:t>
      </w:r>
      <w:r>
        <w:rPr>
          <w:rStyle w:val="FootnoteAnchor"/>
          <w:rtl w:val="true"/>
        </w:rPr>
        <w:footnoteReference w:id="697"/>
      </w:r>
      <w:r>
        <w:rPr>
          <w:rFonts w:ascii="IRNazanin" w:hAnsi="IRNazanin" w:eastAsia="IRNazanin"/>
          <w:color w:val="111111"/>
          <w:sz w:val="28"/>
          <w:sz w:val="28"/>
          <w:szCs w:val="28"/>
          <w:rtl w:val="true"/>
          <w:lang w:bidi="fa-IR"/>
        </w:rPr>
        <w:t>مشتملة علی فقرات لا توجد فی موثّقته</w:t>
      </w:r>
      <w:r>
        <w:rPr>
          <w:rStyle w:val="FootnoteAnchor"/>
          <w:rtl w:val="true"/>
        </w:rPr>
        <w:footnoteReference w:id="698"/>
      </w:r>
      <w:r>
        <w:rPr>
          <w:rFonts w:ascii="IRNazanin" w:hAnsi="IRNazanin" w:eastAsia="IRNazanin"/>
          <w:color w:val="111111"/>
          <w:sz w:val="28"/>
          <w:sz w:val="28"/>
          <w:szCs w:val="28"/>
          <w:rtl w:val="true"/>
          <w:lang w:bidi="fa-IR"/>
        </w:rPr>
        <w:t>فقد ضمّ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w:t>
      </w:r>
    </w:p>
    <w:p>
      <w:pPr>
        <w:pStyle w:val="BookText"/>
        <w:rPr/>
      </w:pP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ذیّل القاعدة بکلمة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الخصوصیات ممّا لا توجد فی موثّقته، کما لا توجد فی روایة الحذّاء</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أراک یا سمرة إلّا مضارّاً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أعاظم العصر نفی الإشکال عن ورود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 فی موارد اخر، غیر ما عرفت من واقعة سمرة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اشتمال حدیث الشفعة</w:t>
      </w:r>
      <w:r>
        <w:rPr>
          <w:rStyle w:val="FootnoteAnchor"/>
          <w:rtl w:val="true"/>
        </w:rPr>
        <w:footnoteReference w:id="701"/>
      </w:r>
      <w:r>
        <w:rPr>
          <w:rFonts w:ascii="IRNazanin" w:hAnsi="IRNazanin" w:eastAsia="IRNazanin"/>
          <w:color w:val="111111"/>
          <w:sz w:val="28"/>
          <w:sz w:val="28"/>
          <w:szCs w:val="28"/>
          <w:rtl w:val="true"/>
          <w:lang w:bidi="fa-IR"/>
        </w:rPr>
        <w:t>و حدیث منع فضل الماء</w:t>
      </w:r>
      <w:r>
        <w:rPr>
          <w:rStyle w:val="FootnoteAnchor"/>
          <w:rtl w:val="true"/>
        </w:rPr>
        <w:footnoteReference w:id="702"/>
      </w:r>
      <w:r>
        <w:rPr>
          <w:rFonts w:ascii="IRNazanin" w:hAnsi="IRNazanin" w:eastAsia="IRNazanin"/>
          <w:color w:val="111111"/>
          <w:sz w:val="28"/>
          <w:sz w:val="28"/>
          <w:szCs w:val="28"/>
          <w:rtl w:val="true"/>
          <w:lang w:bidi="fa-IR"/>
        </w:rPr>
        <w:t>فسیوافیک الکلام فیه، و یظهر لک الحقّ فی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هدم الجدار لإضرار الجار</w:t>
      </w:r>
      <w:r>
        <w:rPr>
          <w:rStyle w:val="FootnoteAnchor"/>
          <w:rtl w:val="true"/>
        </w:rPr>
        <w:footnoteReference w:id="703"/>
      </w:r>
      <w:r>
        <w:rPr>
          <w:rFonts w:ascii="IRNazanin" w:hAnsi="IRNazanin" w:eastAsia="IRNazanin"/>
          <w:color w:val="111111"/>
          <w:sz w:val="28"/>
          <w:sz w:val="28"/>
          <w:szCs w:val="28"/>
          <w:rtl w:val="true"/>
          <w:lang w:bidi="fa-IR"/>
        </w:rPr>
        <w:t>فهو و إن کان ظاهراً فی وروده مستقلًاّ، و أنّه قضیة من أقضیة رسول اللَّه صلی الله علیه و آله و سلم؛ حیث إنّ الإمام استدلّ علی عدم جواز هدمه لإضرار جاره بأنّ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ظهوراً لفظیاً حتّی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استشهاده علیه السلام لا یدلّ علی وروده و صدوره مستقلًاّ من رسول اللَّه صلی الله علیه و آله و سلم، بل یدلّ علی کونه قاعدة کلّیة؛ و إن لم یصدر من رسول اللَّه فی غیر واقعة سمرة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ما یدلّ علی صدوره من رسول اللَّه مستقلًاّ غیر المراسیل التی لا یجوز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مراسیل الصدوق و الشیخ</w:t>
      </w:r>
      <w:bookmarkStart w:id="638" w:name="pg12912_112056"/>
    </w:p>
    <w:p>
      <w:pPr>
        <w:pStyle w:val="BookText"/>
        <w:rPr/>
      </w:pPr>
      <w:bookmarkEnd w:id="638"/>
      <w:r>
        <w:rPr>
          <w:rFonts w:ascii="Amiri" w:hAnsi="Amiri" w:eastAsia="Amiri" w:cs="Amiri"/>
          <w:color w:val="111111"/>
          <w:sz w:val="28"/>
          <w:sz w:val="28"/>
          <w:szCs w:val="28"/>
          <w:rtl w:val="true"/>
          <w:lang w:bidi="ar-SA"/>
        </w:rPr>
        <w:t>و ابن زهرة و العلّامة</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تلک المراسیل لیست ظاهرة فی صدوره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الکلّ أخذوا من ذیل واقعة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مسند الحنابلة</w:t>
      </w:r>
      <w:r>
        <w:rPr>
          <w:rStyle w:val="FootnoteAnchor"/>
          <w:rtl w:val="true"/>
        </w:rPr>
        <w:footnoteReference w:id="705"/>
      </w:r>
      <w:r>
        <w:rPr>
          <w:rFonts w:ascii="IRNazanin" w:hAnsi="IRNazanin" w:eastAsia="IRNazanin"/>
          <w:color w:val="111111"/>
          <w:sz w:val="28"/>
          <w:sz w:val="28"/>
          <w:szCs w:val="28"/>
          <w:rtl w:val="true"/>
          <w:lang w:bidi="fa-IR"/>
        </w:rPr>
        <w:t>فلیست حجّة عندنا حتّی نعتمد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من وروده مستقلًاّ الأعمّ ممّا یحتجّ به أوّلًا فله وجه؛ لوروده فی مسند أحمد، و إن أراد وروده علی نحو یصحّ الاحتجاج به فقد عرفت عدم الدلیل علیه</w:t>
      </w:r>
      <w:r>
        <w:rPr>
          <w:rFonts w:eastAsia="IRNazanin" w:cs="IRNazanin"/>
          <w:color w:val="111111"/>
          <w:sz w:val="28"/>
          <w:szCs w:val="28"/>
          <w:rtl w:val="true"/>
          <w:lang w:bidi="fa-IR"/>
        </w:rPr>
        <w:t>.</w:t>
      </w:r>
    </w:p>
    <w:p>
      <w:pPr>
        <w:pStyle w:val="Heading5"/>
        <w:numPr>
          <w:ilvl w:val="4"/>
          <w:numId w:val="1"/>
        </w:numPr>
        <w:rPr/>
      </w:pPr>
      <w:bookmarkStart w:id="639" w:name="__RefHeading___Toc3425799_3224264995"/>
      <w:bookmarkStart w:id="640" w:name="_Toc240"/>
      <w:bookmarkEnd w:id="639"/>
      <w:r>
        <w:rPr>
          <w:rtl w:val="true"/>
        </w:rPr>
        <w:t xml:space="preserve">إشکالات تذییل حدیث الشفعة و منع فضل الماء ب </w:t>
      </w:r>
      <w:r>
        <w:rPr>
          <w:rtl w:val="true"/>
        </w:rPr>
        <w:t>«</w:t>
      </w:r>
      <w:r>
        <w:rPr>
          <w:rtl w:val="true"/>
        </w:rPr>
        <w:t>لا ضرر</w:t>
      </w:r>
      <w:r>
        <w:rPr>
          <w:rtl w:val="true"/>
        </w:rPr>
        <w:t>»</w:t>
      </w:r>
      <w:bookmarkEnd w:id="640"/>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الحدیثین وردا مذیّلین</w:t>
      </w:r>
    </w:p>
    <w:p>
      <w:pPr>
        <w:pStyle w:val="BookText"/>
        <w:rPr/>
      </w:pPr>
      <w:r>
        <w:rPr>
          <w:rFonts w:ascii="IRNazanin" w:hAnsi="IRNazanin" w:eastAsia="IRNazanin"/>
          <w:color w:val="111111"/>
          <w:sz w:val="28"/>
          <w:sz w:val="28"/>
          <w:szCs w:val="28"/>
          <w:rtl w:val="true"/>
          <w:lang w:bidi="fa-IR"/>
        </w:rPr>
        <w:t xml:space="preserve">بقوله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یعرب عن أنّه کبری کلّیة، و أنّ المورد من صغریاته، کما فی روایة الأنصاری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استشکل</w:t>
      </w:r>
      <w:r>
        <w:rPr>
          <w:rStyle w:val="FootnoteAnchor"/>
          <w:rtl w:val="true"/>
        </w:rPr>
        <w:footnoteReference w:id="707"/>
      </w:r>
      <w:r>
        <w:rPr>
          <w:rFonts w:ascii="IRNazanin" w:hAnsi="IRNazanin" w:eastAsia="IRNazanin"/>
          <w:color w:val="111111"/>
          <w:sz w:val="28"/>
          <w:sz w:val="28"/>
          <w:szCs w:val="28"/>
          <w:rtl w:val="true"/>
          <w:lang w:bidi="fa-IR"/>
        </w:rPr>
        <w:t>علی کونه کبری فی ذینک الموردین بوجوهٍ نشیر إلیها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کبری کلّیة و علّة للحکم لزم کونها معمّمة و مخصّصة، و اللازم منه فی باب الشفعة أن یخصّص حقّ الشفعة بموارد لزم من الشرکة الثانیة ضرر دون غیرها؛ ضرورة أنّ الضرر لیس لازماً لمطلق الشرکة مع غیر الشریک الأوّل؛ فربّما تکون الشرکة مع الثانی أنفع له من الأوّل، و ربّما لا یکون ضرر أصلًا، مع عدم التزامهم بذلک</w:t>
      </w:r>
      <w:r>
        <w:rPr>
          <w:rFonts w:eastAsia="IRNazanin" w:cs="IRNazanin"/>
          <w:color w:val="111111"/>
          <w:sz w:val="28"/>
          <w:szCs w:val="28"/>
          <w:rtl w:val="true"/>
          <w:lang w:bidi="fa-IR"/>
        </w:rPr>
        <w:t>.</w:t>
      </w:r>
      <w:bookmarkStart w:id="641" w:name="pg12912_112057"/>
    </w:p>
    <w:p>
      <w:pPr>
        <w:pStyle w:val="BookText"/>
        <w:rPr/>
      </w:pPr>
      <w:bookmarkEnd w:id="641"/>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ثبوت الشفعة فی غیر البیع من سائر المعاوضات إذا لزم منها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العلّیة دوران الحکم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لا ضرر مشرّعاً للحکم الثبوتی؛ فإنّ جواز أخذ الشفعة حکم ثبوتی زائد علی نفی اللزوم فی البیع من الغیر، اللازم منه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ترفع بالضرر الأحکام التی یلزم منها عدم النفع؛ فإنّ فی منع فضل الماء عدم وصول النفع إلی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منع فضل الماء، فیلزم منه سدّ باب الاستدلال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الإشکالات</w:t>
      </w:r>
      <w:r>
        <w:rPr>
          <w:rFonts w:eastAsia="IRNazanin" w:cs="IRNazanin"/>
          <w:color w:val="111111"/>
          <w:sz w:val="28"/>
          <w:szCs w:val="28"/>
          <w:rtl w:val="true"/>
          <w:lang w:bidi="fa-IR"/>
        </w:rPr>
        <w:t>.</w:t>
      </w:r>
    </w:p>
    <w:p>
      <w:pPr>
        <w:pStyle w:val="Heading5"/>
        <w:numPr>
          <w:ilvl w:val="4"/>
          <w:numId w:val="1"/>
        </w:numPr>
        <w:rPr/>
      </w:pPr>
      <w:bookmarkStart w:id="642" w:name="__RefHeading___Toc3425801_3224264995"/>
      <w:bookmarkStart w:id="643" w:name="_Toc241"/>
      <w:bookmarkEnd w:id="642"/>
      <w:r>
        <w:rPr>
          <w:rtl w:val="true"/>
        </w:rPr>
        <w:t>مقالة شیخ الشریعة فی المقام</w:t>
      </w:r>
      <w:bookmarkEnd w:id="643"/>
    </w:p>
    <w:p>
      <w:pPr>
        <w:pStyle w:val="BookText"/>
        <w:rPr/>
      </w:pPr>
      <w:r>
        <w:rPr>
          <w:rFonts w:ascii="IRNazanin" w:hAnsi="IRNazanin" w:eastAsia="IRNazanin"/>
          <w:color w:val="111111"/>
          <w:sz w:val="28"/>
          <w:sz w:val="28"/>
          <w:szCs w:val="28"/>
          <w:rtl w:val="true"/>
          <w:lang w:bidi="fa-IR"/>
        </w:rPr>
        <w:t>ثمّ إنّ العلّامة المتبحّر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أسهب فی المقال؛ فأفاد فی توطید ما ذکره وجهاً آخر، و إلیک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رسالته التی ألّفها فی مفاد القاعدة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الحدیثین لم یکونا حال صدورهما عن النبی صلی الله علیه و آله و سلم مذیّلین بحدیث الضرر، و إنّ الجمع بینهما و بینه وقع من الراوی بعد صدور کلّ فی وقت خاصّ 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یظهر بعد التأمّل التامّ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الجامع لأقضیة رسول اللَّه فی مواضع مختلفة کان معروفاً بین الفریقین؛ أمّا من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فبروایة عقبة بن خالد عن الصادق علیه السلام</w:t>
      </w:r>
      <w:r>
        <w:rPr>
          <w:rStyle w:val="FootnoteAnchor"/>
          <w:rtl w:val="true"/>
        </w:rPr>
        <w:footnoteReference w:id="708"/>
      </w:r>
      <w:r>
        <w:rPr>
          <w:rFonts w:ascii="IRNazanin" w:hAnsi="IRNazanin" w:eastAsia="IRNazanin"/>
          <w:color w:val="111111"/>
          <w:sz w:val="28"/>
          <w:sz w:val="28"/>
          <w:szCs w:val="28"/>
          <w:rtl w:val="true"/>
          <w:lang w:bidi="fa-IR"/>
        </w:rPr>
        <w:t>، و أمّا من طرق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فبروایة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قضاء رسول اللَّه أنّ المعدن جبار، و البئر جبار، و 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الرکاز الخمس، و قضی أنّ ثمر النخل لمن أبرها إلّا أن یشترط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أنّ مال المملوک لمن باعه، إلّا أن یشترط 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بالشفعة بین الشرکاء فی الأرضین 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الرحبة تکون بین الطریقین ثمّ یرید أهلها البنیان فیها، فقضی أن یترک للطریق فیها سبع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النخلة أو النخلتین أو الثلاث فیختلفون فی حقوق ذلک فقضی أنّ لکلّ نخلة من اولئک مبلغ جریدتها حیز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شرب النخل من السیل أنّ الأعلی یشرب قبل الأسفل و یترک الماء إلی الکعبین، ثمّ یرسل الماء إلی الأسفل الذی یلیه، فکذلک تنقضی حوائط أو یفنی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تعطی من مالها شیئاً إلّا بإذن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للجدّتین من المیراث بالسدس بینهما بالسواء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من أعتق شرکاً فی مملوک فعلیه جواز عتقه إن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أن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أنّه لیس لعرق ظالم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بین أهل المدینة فی النخل لا یمنع نقع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 أهل البادیة أنّه لا یمنع فضل ماء؛ لیمنع به فضل الکلاء و قضی </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بما نقلناه مطابقة ما روی من طرقنا لما روی من طرق القوم من روایة عُبادة من غیر زیادة و نقیصة، بل بعین تلک الألفاظ غالباً، إلّا الحدیثین الأخیرین المرویین عندنا بزیادة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المطابقة بین</w:t>
      </w:r>
    </w:p>
    <w:p>
      <w:pPr>
        <w:pStyle w:val="BookText"/>
        <w:rPr/>
      </w:pPr>
      <w:r>
        <w:rPr>
          <w:rFonts w:ascii="IRNazanin" w:hAnsi="IRNazanin" w:eastAsia="IRNazanin"/>
          <w:color w:val="111111"/>
          <w:sz w:val="28"/>
          <w:sz w:val="28"/>
          <w:szCs w:val="28"/>
          <w:rtl w:val="true"/>
          <w:lang w:bidi="fa-IR"/>
        </w:rPr>
        <w:t>الفقرات ممّا یؤکّد الوثوق بأنّ الأخیرین أیضاً کانا مطابقین لما رواه عبادة من عدم التذییل بحدیث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مجتمعة فی روایة عقبة بن خالد عن أبی عبد اللَّه علیه السلام، کما فی روایة عبادة بن الصامت، إلّا أنّ أئمّة الحدیث فرّقوها علی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فی بعض النسخ من عطف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قطعاً، و النُسخ الصحیحة المعتمدة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علی الواو</w:t>
      </w:r>
      <w:r>
        <w:rPr>
          <w:rStyle w:val="FootnoteAnchor"/>
          <w:rtl w:val="true"/>
        </w:rPr>
        <w:footnoteReference w:id="710"/>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أقضیة رسول اللَّه صلی الله علیه و آله و سلم مرویة فی جوامعنا بروایة عقبة بن خالد غیر واضح جدّاً؛ فإنّ المتتبّع فی غضون الجوامع یقف علی أنّ کثیراً من تلک الأقضیة غیر مروی بطریق عقبة بن خالد، بل رواه اناس آخرون، و أنّ ما رواه عقبة من القضایا قلیل من الکثیر الذی نقله الآخرون؛ حتّی أنّ ما رواه عقبة من الأقضیة غیر متفرّد فی نقل غالبها، بل شارکه فی نقله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قدس سره أورد من أقضیة النبی من طرق القوم عشرین قضاءً بروایة عبادة، و من طرقنا سبعة قضاء أو ستّة بروایة عقبة بن خالد، و هو قلیل بالنسبة إلی الکثیر الذی وقفنا علیه من أقضیة النبی صلی الله علیه و آله و سلم فی طیّات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ضیق المجال لسردنا مقداراً ممّا وقفنا علیه ممّا رواه أئمّة الحدیث فی جوامعهم بطرق اخر، و علیک بالتتبّع و المراجعة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الوثوق بقوله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قضایاه کانت مجتمعة فی روایة عقبة بن خالد، ثمّ فرّقها أئمّة الحدیث علی الأبواب</w:t>
      </w:r>
      <w:r>
        <w:rPr>
          <w:rFonts w:eastAsia="IRNazanin" w:cs="IRNazanin"/>
          <w:color w:val="111111"/>
          <w:sz w:val="28"/>
          <w:szCs w:val="28"/>
          <w:rtl w:val="true"/>
          <w:lang w:bidi="fa-IR"/>
        </w:rPr>
        <w:t>.</w:t>
      </w:r>
      <w:bookmarkStart w:id="644" w:name="pg12912_112060"/>
    </w:p>
    <w:p>
      <w:pPr>
        <w:pStyle w:val="BookText"/>
        <w:rPr/>
      </w:pPr>
      <w:bookmarkEnd w:id="644"/>
      <w:r>
        <w:rPr>
          <w:rFonts w:ascii="IRNazanin" w:hAnsi="IRNazanin" w:eastAsia="IRNazanin"/>
          <w:color w:val="111111"/>
          <w:sz w:val="28"/>
          <w:sz w:val="28"/>
          <w:szCs w:val="28"/>
          <w:rtl w:val="true"/>
          <w:lang w:bidi="fa-IR"/>
        </w:rPr>
        <w:t>و أمّا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اجتماعها فی روایة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سند الکلینی إلی عقبة فی جمیع الأقضیة المنقولة عنه واحد</w:t>
      </w:r>
      <w:r>
        <w:rPr>
          <w:rStyle w:val="FootnoteAnchor"/>
          <w:rtl w:val="true"/>
        </w:rPr>
        <w:footnoteReference w:id="711"/>
      </w:r>
      <w:r>
        <w:rPr>
          <w:rFonts w:ascii="IRNazanin" w:hAnsi="IRNazanin" w:eastAsia="IRNazanin"/>
          <w:color w:val="111111"/>
          <w:sz w:val="28"/>
          <w:sz w:val="28"/>
          <w:szCs w:val="28"/>
          <w:rtl w:val="true"/>
          <w:lang w:bidi="fa-IR"/>
        </w:rPr>
        <w:t>، فغیر تامّ؛ لأنّ کون طریقه إلی عقبة واحداً أو متعدّداً لا یدلّ علی الاجتماع و عدمه؛ إذ ربّما یکون الطریق إلی أصحاب الکتب واحداً، و قد یکون متعدّداً، و لیست الوحدة دلیلًا علی الاجتماع، و لا التعدّد دلیلًا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سلّمنا کونه مجتمعة فی روایة عقبة، و أنّ أئمّة الحدیث فرّقها علی الأبواب، لکن یبقی السؤال عن تکراره فی ذیل قضیتین؛ فإنّ عقبة لم یذکر تلک القضیة إلّا مرّة واحدة، فلما ذا أوردها الکلینی فی موردین و فی ذیل الحدیثین؟</w:t>
      </w:r>
    </w:p>
    <w:p>
      <w:pPr>
        <w:pStyle w:val="Heading5"/>
        <w:numPr>
          <w:ilvl w:val="4"/>
          <w:numId w:val="1"/>
        </w:numPr>
        <w:rPr/>
      </w:pPr>
      <w:bookmarkStart w:id="645" w:name="__RefHeading___Toc3425803_3224264995"/>
      <w:bookmarkStart w:id="646" w:name="_Toc242"/>
      <w:bookmarkEnd w:id="645"/>
      <w:r>
        <w:rPr>
          <w:rtl w:val="true"/>
        </w:rPr>
        <w:t>حلّ العقدة</w:t>
      </w:r>
      <w:bookmarkEnd w:id="646"/>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ممّا لا تفکّ به العقدة، و أنّ السیاق یقتضی تذیّل الحدیثین بالقاعدة، فیجب الأخذ به حتّی یمنع عنه مانع؛ بأن یمتنع جعله کبری کلّیة أو نکتة للتشریع، فحینئذٍ یرفع الید عن الظهور؛ تخلّصاً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أن یکون کبری کلّیة للموردین، و نکتة تشریع للحکم الموجود فیهما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الکبری الکلّیة لا بدّ و أن یندرج فی موضوعها الأصغر، و یحمل علیه حملًا شائعاً،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مسکر، و کلّ مسکر حرام؛ فالخمر</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بحرمتها لیس بما هی خمر، بل بما أنّها من مصادیق المسکر، و اندراجها فی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فلیس من هذا القبیل؛ فإنّ أخذ ملک الشریک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یترتّب علیه دفع الضرر فی مورد من الموارد؛ لأنّه علی فرض تحقّق الضرر یکون مرفوعاً دائماً بأمر متقدّم طبعاً علی الأخذ بالشفعة؛ و هو عدم لزوم بیع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فضول الماء، لا یندرجان موضوعاً و حکماً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الضرر لا یصلح أن یکون علّة لجواز الأخذ بالشفعة، و لا لحرمة منع فضول الماء؛ لعدم التناسب بینهما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کونه نکتة للتشریع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نکتة التشریع عبارة عمّا یکون لأجله التشریع ممّا لا یترتّب علی مورد التشریع علی وجه الکلّیة، کالأمر بالغُسل فی یوم الجمعة لإزالة أرواح الآباط</w:t>
      </w:r>
      <w:r>
        <w:rPr>
          <w:rStyle w:val="FootnoteAnchor"/>
          <w:rtl w:val="true"/>
        </w:rPr>
        <w:footnoteReference w:id="712"/>
      </w:r>
      <w:r>
        <w:rPr>
          <w:rFonts w:ascii="IRNazanin" w:hAnsi="IRNazanin" w:eastAsia="IRNazanin"/>
          <w:color w:val="111111"/>
          <w:sz w:val="28"/>
          <w:sz w:val="28"/>
          <w:szCs w:val="28"/>
          <w:rtl w:val="true"/>
          <w:lang w:bidi="fa-IR"/>
        </w:rPr>
        <w:t>، و العدّة لعدم اختلاط المیاه</w:t>
      </w:r>
      <w:r>
        <w:rPr>
          <w:rStyle w:val="FootnoteAnchor"/>
          <w:rtl w:val="true"/>
        </w:rPr>
        <w:footnoteReference w:id="713"/>
      </w:r>
      <w:r>
        <w:rPr>
          <w:rFonts w:ascii="IRNazanin" w:hAnsi="IRNazanin" w:eastAsia="IRNazanin"/>
          <w:color w:val="111111"/>
          <w:sz w:val="28"/>
          <w:sz w:val="28"/>
          <w:szCs w:val="28"/>
          <w:rtl w:val="true"/>
          <w:lang w:bidi="fa-IR"/>
        </w:rPr>
        <w:t>، و الحجّ للتفقّه فی الدین و معرفة الإمام</w:t>
      </w:r>
      <w:r>
        <w:rPr>
          <w:rStyle w:val="FootnoteAnchor"/>
          <w:rtl w:val="true"/>
        </w:rPr>
        <w:footnoteReference w:id="714"/>
      </w:r>
      <w:r>
        <w:rPr>
          <w:rFonts w:ascii="IRNazanin" w:hAnsi="IRNazanin" w:eastAsia="IRNazanin"/>
          <w:color w:val="111111"/>
          <w:sz w:val="28"/>
          <w:sz w:val="28"/>
          <w:szCs w:val="28"/>
          <w:rtl w:val="true"/>
          <w:lang w:bidi="fa-IR"/>
        </w:rPr>
        <w:t>، و الصوم لذوق الأغنیاء ألم الجوع</w:t>
      </w:r>
      <w:r>
        <w:rPr>
          <w:rStyle w:val="FootnoteAnchor"/>
          <w:rtl w:val="true"/>
        </w:rPr>
        <w:footnoteReference w:id="715"/>
      </w:r>
      <w:r>
        <w:rPr>
          <w:rFonts w:ascii="IRNazanin" w:hAnsi="IRNazanin" w:eastAsia="IRNazanin"/>
          <w:color w:val="111111"/>
          <w:sz w:val="28"/>
          <w:sz w:val="28"/>
          <w:szCs w:val="28"/>
          <w:rtl w:val="true"/>
          <w:lang w:bidi="fa-IR"/>
        </w:rPr>
        <w:t>، و الزکاة لاختبارهم و تحصین أموالهم</w:t>
      </w:r>
      <w:r>
        <w:rPr>
          <w:rStyle w:val="FootnoteAnchor"/>
          <w:rtl w:val="true"/>
        </w:rPr>
        <w:footnoteReference w:id="716"/>
      </w:r>
      <w:r>
        <w:rPr>
          <w:rFonts w:ascii="IRNazanin" w:hAnsi="IRNazanin" w:eastAsia="IRNazanin"/>
          <w:color w:val="111111"/>
          <w:sz w:val="28"/>
          <w:sz w:val="28"/>
          <w:szCs w:val="28"/>
          <w:rtl w:val="true"/>
          <w:lang w:bidi="fa-IR"/>
        </w:rPr>
        <w:t>، إلی غیر ذلک من الموارد،</w:t>
      </w:r>
    </w:p>
    <w:p>
      <w:pPr>
        <w:pStyle w:val="BookText"/>
        <w:rPr/>
      </w:pPr>
      <w:r>
        <w:rPr>
          <w:rFonts w:ascii="IRNazanin" w:hAnsi="IRNazanin" w:eastAsia="IRNazanin"/>
          <w:color w:val="111111"/>
          <w:sz w:val="28"/>
          <w:sz w:val="28"/>
          <w:szCs w:val="28"/>
          <w:rtl w:val="true"/>
          <w:lang w:bidi="fa-IR"/>
        </w:rPr>
        <w:t>و أمّا المقام فلیس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فضول الماء فلیس إلّا فقد المنفعة، لا الضرر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نکتة التشریع أدنی مناسبة لذکرها، أو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سلطنة الشریک علی الفسخ و إن کان یرفع الضرر عن الشریک إلّا أنّه ربّما یکون موجباً لضرر آخر؛ و هو کون مال الشریک مالًا بلا مشتری، و هو ربّما یورث الضرر و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فنکتة التشریع لیس سلب الضرر عن الشریک، بل عنه و عن صاحب المال، فلأجل دفع الضرر عنهما شرعت الشفعة بشرائطها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من عدم تناسب هذا الذیل لصدر روایتی ثبوت الشفعة و کراهة منع فضول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الالتزام بعدم کونهما مذیّلین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سائر روایات الباب عن هذا التذییل، فراجع إلی کتاب الشفعة فلا تجد فیه روایة مشتملة علیه</w:t>
      </w:r>
      <w:r>
        <w:rPr>
          <w:rStyle w:val="FootnoteAnchor"/>
          <w:rtl w:val="true"/>
        </w:rPr>
        <w:footnoteReference w:id="717"/>
      </w:r>
      <w:r>
        <w:rPr>
          <w:rFonts w:ascii="IRNazanin" w:hAnsi="IRNazanin" w:eastAsia="IRNazanin"/>
          <w:color w:val="111111"/>
          <w:sz w:val="28"/>
          <w:sz w:val="28"/>
          <w:szCs w:val="28"/>
          <w:rtl w:val="true"/>
          <w:lang w:bidi="fa-IR"/>
        </w:rPr>
        <w:t>، و مثله روایات منع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w:t>
      </w:r>
    </w:p>
    <w:p>
      <w:pPr>
        <w:pStyle w:val="BookText"/>
        <w:rPr/>
      </w:pP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و سلم فی أهل البوادی أن لا یمنعوا فضل ماء و لا یبیعوا فضل کلاء</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ابن أبی جمهور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فضل الماء لیمنع به الکلاء منعه اللَّه فضل رحمته یوم القیامة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ما رواه أحمد بن حنبل فی مسنده، فقد نقلناه سابقاً بطوله</w:t>
      </w:r>
      <w:r>
        <w:rPr>
          <w:rStyle w:val="FootnoteAnchor"/>
          <w:rtl w:val="true"/>
        </w:rPr>
        <w:footnoteReference w:id="720"/>
      </w:r>
      <w:r>
        <w:rPr>
          <w:rFonts w:ascii="IRNazanin" w:hAnsi="IRNazanin" w:eastAsia="IRNazanin"/>
          <w:color w:val="111111"/>
          <w:sz w:val="28"/>
          <w:sz w:val="28"/>
          <w:szCs w:val="28"/>
          <w:rtl w:val="true"/>
          <w:lang w:bidi="fa-IR"/>
        </w:rPr>
        <w:t>فإنّه قد نقل القضیتین غیر مذیّلتین بالقاعدة، بل نقل أوّلًا قضائه بالشفعة بین الشرکاء فی المساکن و الدور، ثمّ بعد ما أورد عدّة أقضیة منه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لا ضرر و لا ضرار، و قضی أنّه لیس لعرق ظالم حقّ، و قضی بین أهل المدینة فی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نقع بئر، و قضی بین أهل البادیة أنّه لا یمنع فضل ماء لیمنع به فضل الکلاء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السیاق هو کونه قضیة مستقلّة؛ إذ لو کان علّة للحکم أو نکتة للتشریع لکان الأنسب عدم تخلّل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التخلّل یمکن أن یکون مؤیّداً لظهور الروایتین فی کون لا ضرر و لا ضرار قضیة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بعض النسخ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علی وجه یشعر بالتفریع و التذییل فتصحیف، فقد نقل العلّامة شیخ الشریعة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المعتمدة علیها متّفقة علی الواو</w:t>
      </w:r>
      <w:r>
        <w:rPr>
          <w:rStyle w:val="FootnoteAnchor"/>
          <w:rtl w:val="true"/>
        </w:rPr>
        <w:footnoteReference w:id="722"/>
      </w:r>
      <w:r>
        <w:rPr>
          <w:rFonts w:ascii="IRNazanin" w:hAnsi="IRNazanin" w:eastAsia="IRNazanin"/>
          <w:color w:val="111111"/>
          <w:sz w:val="28"/>
          <w:sz w:val="28"/>
          <w:szCs w:val="28"/>
          <w:rtl w:val="true"/>
          <w:lang w:bidi="fa-IR"/>
        </w:rPr>
        <w:t xml:space="preserve">، و قد لاحظنا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یحضرنی، فوجدناه بالواو أیضاً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العلّامة المزبور من دعوی الوثوق من</w:t>
      </w:r>
    </w:p>
    <w:p>
      <w:pPr>
        <w:pStyle w:val="BookText"/>
        <w:rPr/>
      </w:pPr>
      <w:r>
        <w:rPr>
          <w:rFonts w:ascii="IRNazanin" w:hAnsi="IRNazanin" w:eastAsia="IRNazanin"/>
          <w:color w:val="111111"/>
          <w:sz w:val="28"/>
          <w:sz w:val="28"/>
          <w:szCs w:val="28"/>
          <w:rtl w:val="true"/>
          <w:lang w:bidi="fa-IR"/>
        </w:rPr>
        <w:t>اجتماع تلک الأقضیة فی روایة عقبة، و أنّ أئمّة الحدیث فرّقها</w:t>
      </w:r>
      <w:r>
        <w:rPr>
          <w:rStyle w:val="FootnoteAnchor"/>
          <w:rtl w:val="true"/>
        </w:rPr>
        <w:footnoteReference w:id="723"/>
      </w:r>
      <w:r>
        <w:rPr>
          <w:rFonts w:ascii="IRNazanin" w:hAnsi="IRNazanin" w:eastAsia="IRNazanin"/>
          <w:color w:val="111111"/>
          <w:sz w:val="28"/>
          <w:sz w:val="28"/>
          <w:szCs w:val="28"/>
          <w:rtl w:val="true"/>
          <w:lang w:bidi="fa-IR"/>
        </w:rPr>
        <w:t>و إن کان غیر مرضی عندنا، إلّا أنّ الحقّ معه فی عدم تذیّل الحدیثین به؛ لما عرفت من عدم المناسبة، و خلوّ باقی الروایات عنه، و ما عرفته من مسند أحمد و ما فی التذییل من إشکالات 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قد سمع من أبی عبد اللَّه أقضیة النبی صلی الله علیه و آله و سلم فی محالّ مختلفة، و لکنّه ذیّل حدیثی الشفعة و منع فضل الماء بهذا الذیل؛ زعماً منه أنّه سمع من الإمام کذلک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الروایتین بمحمّد بن عبد اللَّه بن هلال المجهول، و عقبة بن خالد الذی لم یرد فیه توثیق، فلا تصلحان لإثبات حکم</w:t>
      </w:r>
      <w:r>
        <w:rPr>
          <w:rFonts w:eastAsia="IRNazanin" w:cs="IRNazanin"/>
          <w:color w:val="111111"/>
          <w:sz w:val="28"/>
          <w:szCs w:val="28"/>
          <w:rtl w:val="true"/>
          <w:lang w:bidi="fa-IR"/>
        </w:rPr>
        <w:t>.</w:t>
      </w:r>
      <w:bookmarkStart w:id="647" w:name="pg12912_112065"/>
    </w:p>
    <w:p>
      <w:pPr>
        <w:pStyle w:val="Heading5"/>
        <w:numPr>
          <w:ilvl w:val="4"/>
          <w:numId w:val="1"/>
        </w:numPr>
        <w:rPr/>
      </w:pPr>
      <w:bookmarkStart w:id="648" w:name="__RefHeading___Toc3425805_3224264995"/>
      <w:bookmarkStart w:id="649" w:name="_Toc243"/>
      <w:bookmarkEnd w:id="647"/>
      <w:bookmarkEnd w:id="648"/>
      <w:r>
        <w:rPr>
          <w:rtl w:val="true"/>
        </w:rPr>
        <w:t xml:space="preserve">تذییل القاعدة بکلمتی </w:t>
      </w:r>
      <w:r>
        <w:rPr>
          <w:rtl w:val="true"/>
        </w:rPr>
        <w:t>«</w:t>
      </w:r>
      <w:r>
        <w:rPr>
          <w:rtl w:val="true"/>
        </w:rPr>
        <w:t>فی الإسلام</w:t>
      </w:r>
      <w:r>
        <w:rPr>
          <w:rtl w:val="true"/>
        </w:rPr>
        <w:t xml:space="preserve">» </w:t>
      </w:r>
      <w:r>
        <w:rPr>
          <w:rtl w:val="true"/>
        </w:rPr>
        <w:t xml:space="preserve">أو </w:t>
      </w:r>
      <w:r>
        <w:rPr>
          <w:rtl w:val="true"/>
        </w:rPr>
        <w:t>«</w:t>
      </w:r>
      <w:r>
        <w:rPr>
          <w:rtl w:val="true"/>
        </w:rPr>
        <w:t>علی مؤمن</w:t>
      </w:r>
      <w:r>
        <w:rPr>
          <w:rtl w:val="true"/>
        </w:rPr>
        <w:t>»</w:t>
      </w:r>
      <w:bookmarkEnd w:id="649"/>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نجده فی کتبنا إلّا فی مرسلة الصدوق و العلّامة، و لعلّه اتّبع فی نقله لروایة الصدوق، و هی ما نقلناها سابقاً عنه من أنّه</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 ضرر و لا ضرار فی الإسلام، فالإسلام یزید المسلم خیراً و لا یزیده شرّاً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الزیادة من ناحیة النسّاخ لا من الصدوق، و هو رحمه الله نقله عاریاً من هذه الکلمة، غیر أنّ الباعث لاشتباه الناسخ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یزید المسلم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متّصل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الکاتب فی الاشتباه و زاغ بصره، فکتب تلک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التکرار فی الکتابة؛ خصوصاً بالنسبة إلی کلمة واحدة ممّا یتّفق للکاتب المستنسخ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الآخرون، فرأوا الزیادة و التکرار و صاروا بصدد إصلاحه، بزعم أنّ الاولی تصحیف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جزء من الجملة، فالمتقدّمة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القاعدة مذیلة من ناحیة الناسخ و القارئ لا من المحدّث، ثمّ تتابعت النسخ علیه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أورد الطریحی حدیث الشفعة مذیّلًا بهذه الکلمة</w:t>
      </w:r>
      <w:r>
        <w:rPr>
          <w:rStyle w:val="FootnoteAnchor"/>
          <w:rtl w:val="true"/>
        </w:rPr>
        <w:footnoteReference w:id="726"/>
      </w:r>
      <w:r>
        <w:rPr>
          <w:rFonts w:ascii="IRNazanin" w:hAnsi="IRNazanin" w:eastAsia="IRNazanin"/>
          <w:color w:val="111111"/>
          <w:sz w:val="28"/>
          <w:sz w:val="28"/>
          <w:szCs w:val="28"/>
          <w:rtl w:val="true"/>
          <w:lang w:bidi="fa-IR"/>
        </w:rPr>
        <w:t>، و هو اشتباه قطعاً؛</w:t>
      </w:r>
    </w:p>
    <w:p>
      <w:pPr>
        <w:pStyle w:val="BookText"/>
        <w:rPr/>
      </w:pPr>
      <w:r>
        <w:rPr>
          <w:rFonts w:ascii="IRNazanin" w:hAnsi="IRNazanin" w:eastAsia="IRNazanin"/>
          <w:color w:val="111111"/>
          <w:sz w:val="28"/>
          <w:sz w:val="28"/>
          <w:szCs w:val="28"/>
          <w:rtl w:val="true"/>
          <w:lang w:bidi="fa-IR"/>
        </w:rPr>
        <w:t xml:space="preserve">لأنّ الحدیث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هذه الزیادة، و لعلّ قلمه الشریف سبق إلی کتابة هذه الکلمة لما ارتکزت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یمکن توجیه الزیادة الواقعة فی کلام ابن الأثیر</w:t>
      </w:r>
      <w:r>
        <w:rPr>
          <w:rStyle w:val="FootnoteAnchor"/>
          <w:rtl w:val="true"/>
        </w:rPr>
        <w:footnoteReference w:id="728"/>
      </w:r>
      <w:r>
        <w:rPr>
          <w:rFonts w:ascii="IRNazanin" w:hAnsi="IRNazanin" w:eastAsia="IRNazanin"/>
          <w:color w:val="111111"/>
          <w:sz w:val="28"/>
          <w:sz w:val="28"/>
          <w:szCs w:val="28"/>
          <w:rtl w:val="true"/>
          <w:lang w:bidi="fa-IR"/>
        </w:rPr>
        <w:t>فإنّه نقل الروایة مذیّلًا بهذه الکلمة</w:t>
      </w:r>
      <w:r>
        <w:rPr>
          <w:rStyle w:val="FootnoteAnchor"/>
          <w:rtl w:val="true"/>
        </w:rPr>
        <w:footnoteReference w:id="729"/>
      </w:r>
      <w:r>
        <w:rPr>
          <w:rFonts w:ascii="IRNazanin" w:hAnsi="IRNazanin" w:eastAsia="IRNazanin"/>
          <w:color w:val="111111"/>
          <w:sz w:val="28"/>
          <w:sz w:val="28"/>
          <w:szCs w:val="28"/>
          <w:rtl w:val="true"/>
          <w:lang w:bidi="fa-IR"/>
        </w:rPr>
        <w:t>مع أنّ الروایة فی کتب العامّة عاریة من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العلّامة 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تتبّع صحاحهم و مسانیدهم و معاجمهم و غیرها فحصاً أکیداً، فلم یجد روایته فی طرقهم إلّا عن ابن عبّاس و عُبادة بن الصامت، و کلاهما رویا من غیر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أدری من أین جاء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الزیادة</w:t>
      </w:r>
      <w:r>
        <w:rPr>
          <w:rStyle w:val="FootnoteAnchor"/>
          <w:rtl w:val="true"/>
        </w:rPr>
        <w:footnoteReference w:id="7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فالمرسلتان لم یثبت حجّیتهما حتّی تتقدّم أصالة عدم الزیادة علی النقیصة فی مقام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فی مرسلة أبی عبد اللَّه عن أبیه عن بعض أصحابنا عن عبد اللَّه بن مسکان عن زرارة عن أبی جعفر علیه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أوضحنا علیک فیما تقدّم</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المرسلة اشتملت علی أمرین، لم تشتمل علیهما موثّقة زرارة، و لا روایة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فاغرسها حیث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شارکت الروایتین فی عامّة المطالب، و هذا ممّا یورث الوثوق بصدقها و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الاختلاف صوری لا جوهری، و الباعث هو نقل الحدیث بالمعنی و الاختلاف فی الأغراض فربّما یتعلّق الغرض بنقل مفاد عامّة الخصوصیات، و ربّما یتعلّق بنقل ما هو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سمع زرارة، و أبو عبیدة الحذّاء و احتملا الروایة من أبی جعفر علیه السلام بعامّة خصوصیاتها، ثمّ جاء الاختلاف عند نقلها بالمعنی منهما أو من ناحیة غیرهما ممّن رووا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الغیر الجوهری موجود فی نفس الروایتین أیضاً؛ فقد اشتملت الموثّقة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روایة الحذّاء، کما اشتملت الثانیة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هو النقل بالمعنی و اختلاف المرمی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القول باشتمال الحدیث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القرائن علی صدور المرسلة، و صدقها علی أنّ الأصل المعتمد علیها هو تقدیم أصالة عدم الزیادة علی أصالة عدم النقیصة عند العقلاء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أصالة عدم الزیادة علی الاخری لأجل أبعدیة إحدی الغفلتین عن الاخری؛ فإنّ الغفلة بالنسبة إلی النقیصة لیس بغریب و نادر، و أمّا بالنسبة إلی الزیادة فلیس بهذه المثابة، إلّا أنّه فیما إذا لم یثبت النقیصة من جانبین و الزیادة من جانب واحد، کما فی المقام؛ فإنّ الزیادة إنّما أتی بها المرسلة، و الموثّقة و روایة الحذّاء عاریتان منها و کذا سائر الروایات، و من البعید غفلة المتعدّد و توجّه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الزیادة من الکلمات المرتکزة المأنوسة، فیحتمل أن یکون منشأها نفس الراوی؛ لمناسبة بین الحکم و موضوعه، و أنّ المؤمن الذی لا بدّ أن تحفّه العنایات الربّانیة، و ینفی عنه الضرر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أحد الأصلین علی الآخر لیس لأجل دوران الأمر بین الغفلتین و أبعدیة إحداهما بالنسبة إلی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فیما إذا لم یتوافق الرواة علی النقیصة، و تفرّد واحد منهم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الزیادة لا تقع إلّا غفلة أو کذباً و افتراءً، و أمّا النقیصة فهی مشارکة معها فی ذلک، و تختصّ بأنّها ربّما تقع لداعی الاختصار أو توهّم أنّ وجود الکلمة و عدمها سواء فی إفادة المقصود، و أنّ الکلمة ممّا لا دخالة لها فی الغرض، أو لعدم کونه بصدد بیان عامّة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الأصل فی جانب الزیادة علی الآخر؛ و إن تفرّد ناقلها و توافق الرواة فی جانب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ذکرت إنّما یکون مرجّحاً إذا کان الراویان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متوافقین فی سائر الجهات، و أمّا مع اختلافهما فی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اتّفاقهما فی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قد عرفت الاختلاف بین الموثّقة و روایة الحذّاء، و أنّ الاولی مشتملة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متعقّباً بالأمر بالقلع، دون الثانیة؛ و هی تتضمّن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أراک یا سمرة إلّا مُضارّاً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 علی الأمر بالقلع، و المرسلة مشتملة علی الجمیع، و هذه قرینة علی کونها بصدد نقل عامّة الخصوصیات دون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تشتمل المرسلة علیه من التفصیل و الإسهاب فیما دار بین الرجل و الأنصاری من الکلام، و ما تردّدت بینهما و بین رسول اللَّه من المقاولة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تلوناه یؤیّد کون المرسلة بصدد نقل تمام القضیة دونهما، و یؤکّد اشتمال الروایة فی الأصل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یوجب تقدّم أصالة عدم الزیادة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أنّه یمکن أن یکون منشأ الزیادة نفس الراوی لمناسبة بین الحکم و القید ضعیف جدّاً؛ لأنّه إن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قد أضاف القید عمداً؛ لمناسبة أدرکها بین القید و الحکم فهو أمر باطل؛ لأنّه یمسّ بعدالته و کرامته، و لم یبق الطمأنینة علی أمثال هذه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الراوی أو قلمه سبق إلی الزیادة لأجل المناسبة بین المزید و المزید فیه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فرع أن یکون الفرع من الامور المرتکزة التی لا ینفکّ تصوّر المزید فیه عن تصوّر المزید، و یکون کاللازم البیّن؛ حتّی یکون ملاکاً لسبق اللسان أو القلم، و المورد لیس من هذا القبیل جدّاً؛ ضرورة أنّه لا تسبق علی الذهن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یجری علی طبقه اللسان أو القلم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بحجّیة المرسلة لما عرفت من قرائن الصدق و الصدور أمکن إثبات الزیادة بها، و لا یضرّ عدم ورودها فی الموثّقة و قرینها</w:t>
      </w:r>
      <w:r>
        <w:rPr>
          <w:rStyle w:val="FootnoteAnchor"/>
          <w:rtl w:val="true"/>
        </w:rPr>
        <w:footnoteReference w:id="734"/>
      </w:r>
      <w:bookmarkStart w:id="650" w:name="pg12912_112070"/>
    </w:p>
    <w:p>
      <w:pPr>
        <w:pStyle w:val="Heading4"/>
        <w:numPr>
          <w:ilvl w:val="3"/>
          <w:numId w:val="1"/>
        </w:numPr>
        <w:rPr/>
      </w:pPr>
      <w:bookmarkStart w:id="651" w:name="__RefHeading___Toc3425807_3224264995"/>
      <w:bookmarkStart w:id="652" w:name="_Toc244"/>
      <w:bookmarkEnd w:id="650"/>
      <w:bookmarkEnd w:id="651"/>
      <w:r>
        <w:rPr>
          <w:rtl w:val="true"/>
        </w:rPr>
        <w:t>فصل فی فقه الحدیث الشریف</w:t>
      </w:r>
      <w:bookmarkEnd w:id="652"/>
    </w:p>
    <w:p>
      <w:pPr>
        <w:pStyle w:val="Heading5"/>
        <w:numPr>
          <w:ilvl w:val="4"/>
          <w:numId w:val="1"/>
        </w:numPr>
        <w:rPr/>
      </w:pPr>
      <w:bookmarkStart w:id="653" w:name="__RefHeading___Toc3425809_3224264995"/>
      <w:bookmarkStart w:id="654" w:name="_Toc245"/>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مفردات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البحث عن مفاد الهیئة الترکیبیة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3425811_3224264995"/>
      <w:bookmarkStart w:id="656" w:name="_Toc246"/>
      <w:bookmarkEnd w:id="655"/>
      <w:r>
        <w:rPr>
          <w:rtl w:val="true"/>
        </w:rPr>
        <w:t>المقام الأوّل</w:t>
      </w:r>
      <w:r>
        <w:rPr>
          <w:rtl w:val="true"/>
        </w:rPr>
        <w:t xml:space="preserve">: </w:t>
      </w:r>
      <w:r>
        <w:rPr>
          <w:rtl w:val="true"/>
        </w:rPr>
        <w:t>فی معنی الضرر و الضرار</w:t>
      </w:r>
      <w:bookmarkEnd w:id="656"/>
    </w:p>
    <w:p>
      <w:pPr>
        <w:pStyle w:val="Heading6"/>
        <w:numPr>
          <w:ilvl w:val="5"/>
          <w:numId w:val="1"/>
        </w:numPr>
        <w:rPr/>
      </w:pPr>
      <w:bookmarkStart w:id="657" w:name="__RefHeading___Toc3425813_3224264995"/>
      <w:bookmarkStart w:id="658" w:name="_Toc247"/>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الضرر فهو من الکلمات الشائعة الدارجة التی لا یکاد یخفی معناه علی العرف الساذج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منه عندهم هو النقص علی المال و النفس؛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ضرری، أو أضرّ به البیع، أو ضرّه الدواء و الغذاء، و یقابله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یستعمل فی هتک الحرمة و الإهانة، کما لا یستعمل النفع فی ضدّ الهتک، فلو نال الرجل من عرض جاره بأن نظر إلی امرأته نظر الریبة، أو هتکه و أهانه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أضرّ به، کما لا یقال عند تبجیله و توقیره بین الناس أنّه نفعه، و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توصیف الضرر أحیاناً بالعرضی فهو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المفهوم عرفاً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یقال مکان ذو ضرار؛ أی ضیِّق،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علیک و لا ضارورة و تَضِرَّة</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فی هذه الاستعمالات یکون الضرر بمعنی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الفیروزآبادی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الضیق</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بمعنی فعل المکروه،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فعل به مکروهاً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 و الضُرّ و الضرر ضدّ النفع؛ الشدّة، الضیق و سوء الحال، و النقصان الذی یدخل فی الشی‌ء، و لعلّ منه الضرّاء ضدّ السرّاء؛ بمعنی الشدّة و القحط</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إن شئت فراجع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علی الفارسی؛ فإنّ کتابه موضوع لتشخیص المعانی الأوّلیة و إرجاع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الضرر و الضرار و المضارّ فی الروایات إنّما هو الضیق و الشدّة و إیصال المکروه و إیجاد الضرر، فلاحظ</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ما أراک إلّا رجلًا موقعاً أخاک فی الحرج و الشدّة، و لا ترید بفعلک إلّا التضییق علی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الضرر بلحاظ الضرر العِرضی، و أنّه بدخوله فجأة کان یورث الضرر العرضی و یوجب هتکه، و أنّ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مضارّاً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هاتکاً للحرمة بدخوله منزل الأنصاری و نظره إلی أهله</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فضعیف جدّاً؛ إذ قد عرفت أنّ هذا المعنی غیر معهود؛ لا من العرف و لا من اللغة، و أنت إذا لاحظت مظانّ استعمال هذه المادّة فی الکتاب و السنّة لا تجد مورداً استعمل فیه هذه المادّة مکان هتک الحرمة و الإهانة بالعرض، و سیوافیک شطر منه فی توضیح معنی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معنی الهتک و النیل من العرض و إیراد النقص فی العرض غیر معهود، و إنّما استعماله فی الحدیث بالمعنی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بمعنی الضرر، لا بمعنی المجازاة علی الضرر، و علیه کثیر من أئمّة اللغة</w:t>
      </w:r>
      <w:r>
        <w:rPr>
          <w:rStyle w:val="FootnoteAnchor"/>
          <w:rtl w:val="true"/>
        </w:rPr>
        <w:footnoteReference w:id="742"/>
      </w:r>
      <w:r>
        <w:rPr>
          <w:rFonts w:ascii="IRNazanin" w:hAnsi="IRNazanin" w:eastAsia="IRNazanin"/>
          <w:color w:val="111111"/>
          <w:sz w:val="28"/>
          <w:sz w:val="28"/>
          <w:szCs w:val="28"/>
          <w:rtl w:val="true"/>
          <w:lang w:bidi="fa-IR"/>
        </w:rPr>
        <w:t>، و علیه جری الذکر الحکیم فقد استعمل فیه بمعنی الإضرار لا المجازاة علی الضرر، و الیک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 غَیْرَ مُضَارٍّ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إلیک شطر من الروایات التی استعملت فیه الضرار بمعنی الضرر لا المجازاة الذی هو مفاد باب المفاعلة، فلاحظ روایات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مضارّاً</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لیس إلّا بمعنی الضرر لا المجازاة؛ إذ لم یسبق من الأنصاری ضرر حتّی یجازیه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حمزة التی أوردناه عند سرد الروایات؛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له ذلک، هذا الضرار، و قد أعطی حقّه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إلی آخره بمعنی أنّ طلب الرأس و الجلد یورث الضرر علی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طلحة بن یزید فی باب إعطاء الأمان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 کالنفس غیر مضارّ و لا آثم</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فی باب کراهة الرجعة بغیر قصد الإمساک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أن یطلّق امرأته ثمّ یراجعها، و لیس فیه حاجة، ثمّ یطلّقها فهذا الضرار الذی نهی اللَّه عزّ و جلّ عنه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ولایة الجدّ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ضارّ مسلماً فلیس منّا</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کتاب الوصیة فی روایة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و لم یحف</w:t>
      </w:r>
      <w:bookmarkStart w:id="659" w:name="pg12912_112074"/>
    </w:p>
    <w:p>
      <w:pPr>
        <w:pStyle w:val="BookText"/>
        <w:rPr/>
      </w:pPr>
      <w:bookmarkEnd w:id="659"/>
      <w:r>
        <w:rPr>
          <w:rFonts w:ascii="IRNazanin" w:hAnsi="IRNazanin" w:eastAsia="IRNazanin"/>
          <w:color w:val="111111"/>
          <w:sz w:val="28"/>
          <w:sz w:val="28"/>
          <w:szCs w:val="28"/>
          <w:rtl w:val="true"/>
          <w:lang w:bidi="fa-IR"/>
        </w:rPr>
        <w:t>و لم یضارّ کان کمن تصدّق فی حیاته</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مورداً فی الکتاب و السنّة استعمل فیه الضرار بمعنی باب المفاعلة و المجازاة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3425815_3224264995"/>
      <w:bookmarkStart w:id="661" w:name="_Toc248"/>
      <w:bookmarkEnd w:id="660"/>
      <w:r>
        <w:rPr>
          <w:rtl w:val="true"/>
        </w:rPr>
        <w:t>الفرق بین الضرر و الضرار</w:t>
      </w:r>
      <w:bookmarkEnd w:id="661"/>
    </w:p>
    <w:p>
      <w:pPr>
        <w:pStyle w:val="BookText"/>
        <w:rPr/>
      </w:pPr>
      <w:r>
        <w:rPr>
          <w:rFonts w:ascii="IRNazanin" w:hAnsi="IRNazanin" w:eastAsia="IRNazanin"/>
          <w:color w:val="111111"/>
          <w:sz w:val="28"/>
          <w:sz w:val="28"/>
          <w:szCs w:val="28"/>
          <w:rtl w:val="true"/>
          <w:lang w:bidi="fa-IR"/>
        </w:rPr>
        <w:t>بعد ما عرفت أنّ الضرار بمعنی الضرر لا بمعنی المجازاة، لکن بینهما فرق من ناحیة اخری،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و الضُرّ و الإضرار و ما یشتقّ منهما إنّما یستعمل فی الضرر المالی و النفسی، بخلاف الضرار فإنّ الشائع من استعماله هو استعماله فی التضییق و الحرج و إیراد المکروه و إیقاع الکلفة،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المراد من موارده فی الذکر الحکیم، و إلیک بیانها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فقد فسّره الإمام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أن یمتنع من جماع المرأة، فیضارّ بها إذا کان لها ولد مرضع،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أقربک فإنّی أخاف علیک الحَبَل، فتقتلی ولدی، و کذلک المرأة لا یحلّ لها أن تمنّع علی الرجل،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أحبل، فأقتل ولدی، و هذه المضارّة فی الجماع علی الرجل و المرأة</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غیره</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قد فسّر الإمام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المضارّة بالأُمّ فی روایة اخری بنزع الولد عنها، و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تضارّ بنزع الرجل الولدَ عنها، و لا تضارّ الامّ الأب فلا ترضعه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الحبلی ینفق علیها حتّی تضع حملها، و هی أحقّ بولدها أن تُرضعه بما تقبله امرأة اخری،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یضارّ بالصبی و لا یضارّ بامّه فی رضاعه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المضارّة فی الآیة لیست بمعنی الضرر المالی و النفسی، بل بمعنی إیقاع کلّ من الرجل و المرأة عدیله فی الحرج و المشقّة بترک الجماع و نزع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فاللائح منه کون الضرار بهذا المعنی بتفریق شملهم، و إدخال الشکّ فی قلوبهم، و التزلزل فی عقائدهم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ما روی فی شأن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غیره</w:t>
      </w:r>
      <w:r>
        <w:rPr>
          <w:rStyle w:val="FootnoteAnchor"/>
          <w:rtl w:val="true"/>
        </w:rPr>
        <w:footnoteReference w:id="764"/>
      </w:r>
      <w:r>
        <w:rPr>
          <w:rFonts w:ascii="IRNazanin" w:hAnsi="IRNazanin" w:eastAsia="IRNazanin"/>
          <w:color w:val="111111"/>
          <w:sz w:val="28"/>
          <w:sz w:val="28"/>
          <w:szCs w:val="28"/>
          <w:rtl w:val="true"/>
          <w:lang w:bidi="fa-IR"/>
        </w:rPr>
        <w:t>، 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بنی عمرو بن عوف بنوا مسجد قُباء و صلّی فیه رسول اللَّه صلی الله علیه و آله و سلم،</w:t>
      </w:r>
    </w:p>
    <w:p>
      <w:pPr>
        <w:pStyle w:val="BookText"/>
        <w:rPr/>
      </w:pPr>
      <w:r>
        <w:rPr>
          <w:rFonts w:ascii="IRNazanin" w:hAnsi="IRNazanin" w:eastAsia="IRNazanin"/>
          <w:color w:val="111111"/>
          <w:sz w:val="28"/>
          <w:sz w:val="28"/>
          <w:szCs w:val="28"/>
          <w:rtl w:val="true"/>
          <w:lang w:bidi="fa-IR"/>
        </w:rPr>
        <w:t>فحسدتهم إخوتهم بنو غنم بن عوف، فبنوا مسجد الضرار، و أرادوا أن یحتالوا بذلک فیفرّقوا المؤمنین و یوقعوا الشکّ فی قلوبهم؛ بأن یدعوا أبا عامر الراهب من الشام لیعظهم و یذکر وَهْن دین الإسلام؛ لیشکّ المسلمون و یضطربوا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 نبیه بذلک، فأمر بإحراقه و هدمه بعد الرجوع من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المقصود ما ذکره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ضراراً؛ أی مضارّة</w:t>
      </w:r>
      <w:r>
        <w:rPr>
          <w:rStyle w:val="FootnoteAnchor"/>
          <w:rtl w:val="true"/>
        </w:rPr>
        <w:footnoteReference w:id="765"/>
      </w:r>
      <w:r>
        <w:rPr>
          <w:rFonts w:ascii="IRNazanin" w:hAnsi="IRNazanin" w:eastAsia="IRNazanin"/>
          <w:color w:val="111111"/>
          <w:sz w:val="28"/>
          <w:sz w:val="28"/>
          <w:szCs w:val="28"/>
          <w:rtl w:val="true"/>
          <w:lang w:bidi="fa-IR"/>
        </w:rPr>
        <w:t>، و هو یرید بذلک الضرر بمن بنوا مسجد قُباء؛ بتفریقهم و تمزیقهم و تشویش عقائدهم، و لیس هذا إلّا التضییق و إیقاع المکروه، لا الضرر المالی و النفسی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لما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فقد روی الصدوق بإسناده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یطلّق حتّی إذا کادت أن یخلو أجلها راجعها، ثمّ طلّقها، یفعل ذلک ثلاث مرّات، فنهی اللَّه عزّ و جلّ عن ذلک</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تراجعوهنّ لا لرغبة فیهنّ، بل لطلب الإضرار بهنّ؛ إمّا فی تطویل العدّة أو بتضییق النفقة فی العدّة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فإنّ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 xml:space="preserve">یشهد له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التضییق علیهنّ بإسکانهنّ فیما لا یناسب شأنهنّ، و ما ذکرناه یلوح من الوجهین اللذین ذکرهما الطبرسی،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الضرر بالتقصیر فی السکنی و النفقة و الکسوة، طالبین بالإضرار التضییق علیهنّ لیخرجن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أعطوهنّ من المسکن ما یکفیهنّ لجلوسهنّ و مبیتهنّ و طهارتهنّ، و لا تضایقوهنّ حتّی یتعذر علیهنّ السکنی</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قراءتان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بالإظهار و الکسر و البناء للفاعل علی قراءة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وقوع المضارّة من الکاتب؛ بأن یمتنع من الإجابة أو یحرّف بالزیادة و النقصان، و کذا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بالإدغام و الفتح و البناء للمفعول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بالکاتب و الشهید ضرر؛ بأن یکلّفا قطع مسافة بمشقّة، من غیر تکلّف بمئونتهما أو غیر ذلک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ابن مسعود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الاولی، 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الکاتب الکتابة فی حال عذر لا یتفرّغ إلیها، و لا یضیّق الأمر علی الشاهد؛ بأن یدّعی إلی إثبات الشهادة و إقامتها فی حال</w:t>
      </w:r>
    </w:p>
    <w:p>
      <w:pPr>
        <w:pStyle w:val="BookText"/>
        <w:rPr/>
      </w:pPr>
      <w:r>
        <w:rPr>
          <w:rFonts w:ascii="IRNazanin" w:hAnsi="IRNazanin" w:eastAsia="IRNazanin"/>
          <w:color w:val="111111"/>
          <w:sz w:val="28"/>
          <w:sz w:val="28"/>
          <w:szCs w:val="28"/>
          <w:rtl w:val="true"/>
          <w:lang w:bidi="fa-IR"/>
        </w:rPr>
        <w:t>عذر، و لا یعنّف علیهما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المضارّ فی آیة الوصیة</w:t>
      </w:r>
      <w:r>
        <w:rPr>
          <w:rStyle w:val="FootnoteAnchor"/>
          <w:rtl w:val="true"/>
        </w:rPr>
        <w:footnoteReference w:id="774"/>
      </w:r>
      <w:r>
        <w:rPr>
          <w:rFonts w:ascii="IRNazanin" w:hAnsi="IRNazanin" w:eastAsia="IRNazanin"/>
          <w:color w:val="111111"/>
          <w:sz w:val="28"/>
          <w:sz w:val="28"/>
          <w:szCs w:val="28"/>
          <w:rtl w:val="true"/>
          <w:lang w:bidi="fa-IR"/>
        </w:rPr>
        <w:t>هی الإضرار المالی بالورثة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هذا التطویل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شیوع استعمال الضرار و تصاریفه فی التضییق و إیصال المکروه و الحرج و التکلّف و أمثاله، کما أنّ الشائع فی الضرر و الضُرّ و الإضرار هو الاستعمال فی الضرر الوارد فی المال و النفس،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الضرار فی الحدیث هو التضییق؛ فإنّ سمرة کان بدخوله فجأة من غیر استیذان یشدّد الأمر علی الأنصاری، و یوقعه فی أمر مکروه؛ بالنظر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تداولته الألسن؛ من أنّ الضرار إنّما هو تأکید للضرر</w:t>
      </w:r>
      <w:r>
        <w:rPr>
          <w:rStyle w:val="FootnoteAnchor"/>
          <w:rtl w:val="true"/>
        </w:rPr>
        <w:footnoteReference w:id="775"/>
      </w:r>
      <w:r>
        <w:rPr>
          <w:rFonts w:ascii="IRNazanin" w:hAnsi="IRNazanin" w:eastAsia="IRNazanin"/>
          <w:color w:val="111111"/>
          <w:sz w:val="28"/>
          <w:sz w:val="28"/>
          <w:szCs w:val="28"/>
          <w:rtl w:val="true"/>
          <w:lang w:bidi="fa-IR"/>
        </w:rPr>
        <w:t>إذ لا مجال للتأکید مع ظهور التأسیس؛ فإنّ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وقفت علیه من التبادر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الضرر علی المال و النفس، و الضرار هو التضییق و التشدید، فلا مجال لهذا التأکید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مجال لما ربّما یقال من أنّ الضرار هو الإصرار علی الضرر، و لا المجازاة، مع أنّ المضارّ فی الحادثة هو نفس سمرة فقط، فکیف یکون بمعنی المفاعلة و المجازاة؟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أظنّک بعد التأمّل فیما ذکرناه، و الفحص عن موارد استعمال الکلمتین فی الکتاب و الحدیث، و التدبّر فی قضیة سمرة و إطلاق خصوص المضارّ علیه أن تتأمّل</w:t>
      </w:r>
    </w:p>
    <w:p>
      <w:pPr>
        <w:pStyle w:val="BookText"/>
        <w:rPr/>
      </w:pPr>
      <w:r>
        <w:rPr>
          <w:rFonts w:ascii="IRNazanin" w:hAnsi="IRNazanin" w:eastAsia="IRNazanin"/>
          <w:color w:val="111111"/>
          <w:sz w:val="28"/>
          <w:sz w:val="28"/>
          <w:szCs w:val="28"/>
          <w:rtl w:val="true"/>
          <w:lang w:bidi="fa-IR"/>
        </w:rPr>
        <w:t>فی تصدیق ما ذکرناه، و أنّ المنطبق علی المورد هو الضرار لا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الکلمات الواصلة إلینا من أساتذة اللغة و مهرتها هو أنّ الضرار بمعنی المفاعلة؛ أی المجازاة، و إلیک نقل عبائرهم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یضرّ الرجل أخاه و هو ضدّ النفع،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یضارّ کلّ واحد منهما صاحبه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یضرّ الرجل أخاه، فینقصه شیئاً من 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 أی لا یجازیه علی إضراره بإدخال الضرر علیه، و الضرر فعل الواحد و الضرار فعل الاثنین، و الضرر ابتداء الفعل، و الضرار الجزاء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ما تضرّ به صاحبک و تنتفع أنت به، و الضرار أن تضرّه، من غیر أن تنتفع أنت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 و التکرار للتأکید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هذه العبارة بعینها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جلال الدین السیوطی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الرجل أخاه فینقصه شیئاً من حقّه، و لا ضرار؛ أی لا یجازیه علی إضراره بإدخال الضرر علیه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الإذعان 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فسّروه؛ أخذاً بحکم مفاد الباب؛ فإنّ الأصل فی باب المفاعلة إنّما هو المجازاة، و الضرار مصدر من هذا الباب؛ ففسّروه بما هو الأصل فی مفاد هذه المصادر، من غیر فحص</w:t>
      </w:r>
      <w:bookmarkStart w:id="662" w:name="pg12912_112080"/>
    </w:p>
    <w:p>
      <w:pPr>
        <w:pStyle w:val="BookText"/>
        <w:rPr/>
      </w:pPr>
      <w:bookmarkEnd w:id="662"/>
      <w:r>
        <w:rPr>
          <w:rFonts w:ascii="IRNazanin" w:hAnsi="IRNazanin" w:eastAsia="IRNazanin"/>
          <w:color w:val="111111"/>
          <w:sz w:val="28"/>
          <w:sz w:val="28"/>
          <w:szCs w:val="28"/>
          <w:rtl w:val="true"/>
          <w:lang w:bidi="fa-IR"/>
        </w:rPr>
        <w:t>و لا تتبّع عن مظانّ استعماله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عبائرهم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نقله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بنقل ما أفاده ابن أثیر، و لعلّ الأساس هو ابن 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تبعهما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لضعف ما أفاداه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سمرة؛ فإنّ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بمعنی المجازاة علی الضرر، أو بمعنی إضرار کلّ علی صاحبه، و هذه الجملة صغری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اتّحاد الکلمتین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فیما مرّ</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ورود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 و لم یثبت عندنا صدوره إلّا فی ذیل حدیث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تلوناه من الشواهد؛ فإنّک لا تجد فیها مورداً استعمل فیما یدّعیه الأساتذة و مهرة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فی المقام ما هو المفهوم عرفاً منه؛ من النقص فی الأموال و الأنفس، و الضرار بمعنی الحرج و التضییق، و لیس من حدیث التأکید و المجازاة عین و لا أثر</w:t>
      </w:r>
      <w:r>
        <w:rPr>
          <w:rFonts w:eastAsia="IRNazanin" w:cs="IRNazanin"/>
          <w:color w:val="111111"/>
          <w:sz w:val="28"/>
          <w:szCs w:val="28"/>
          <w:rtl w:val="true"/>
          <w:lang w:bidi="fa-IR"/>
        </w:rPr>
        <w:t>.</w:t>
      </w:r>
    </w:p>
    <w:p>
      <w:pPr>
        <w:pStyle w:val="Heading5"/>
        <w:numPr>
          <w:ilvl w:val="4"/>
          <w:numId w:val="1"/>
        </w:numPr>
        <w:rPr/>
      </w:pPr>
      <w:bookmarkStart w:id="663" w:name="__RefHeading___Toc3425817_3224264995"/>
      <w:bookmarkStart w:id="664" w:name="_Toc249"/>
      <w:bookmarkEnd w:id="663"/>
      <w:r>
        <w:rPr>
          <w:rtl w:val="true"/>
        </w:rPr>
        <w:t>المقام الثانی</w:t>
      </w:r>
      <w:r>
        <w:rPr>
          <w:rtl w:val="true"/>
        </w:rPr>
        <w:t xml:space="preserve">: </w:t>
      </w:r>
      <w:r>
        <w:rPr>
          <w:rtl w:val="true"/>
        </w:rPr>
        <w:t>فی مفاد الهیئة الترکیبیة</w:t>
      </w:r>
      <w:bookmarkEnd w:id="664"/>
    </w:p>
    <w:p>
      <w:pPr>
        <w:pStyle w:val="Heading6"/>
        <w:numPr>
          <w:ilvl w:val="5"/>
          <w:numId w:val="1"/>
        </w:numPr>
        <w:rPr/>
      </w:pPr>
      <w:bookmarkStart w:id="665" w:name="__RefHeading___Toc3425819_3224264995"/>
      <w:bookmarkStart w:id="666" w:name="_Toc250"/>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و قد وقع مثاراً للبحث، و اختار کلٌّ مذهباً، و إلیک نقل ما اختاره الأعلام و توضیح ما فیه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الشیخ الأعظم، و 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إبقاء النفی</w:t>
      </w:r>
    </w:p>
    <w:p>
      <w:pPr>
        <w:pStyle w:val="BookText"/>
        <w:rPr/>
      </w:pPr>
      <w:r>
        <w:rPr>
          <w:rFonts w:ascii="IRNazanin" w:hAnsi="IRNazanin" w:eastAsia="IRNazanin"/>
          <w:color w:val="111111"/>
          <w:sz w:val="28"/>
          <w:sz w:val="28"/>
          <w:szCs w:val="28"/>
          <w:rtl w:val="true"/>
          <w:lang w:bidi="fa-IR"/>
        </w:rPr>
        <w:t>علی حاله، و أنّ المنفی هو الحکم الشرعی الذی یلزم منه الضرر علی العباد، و یکون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الإسلام مجعول ضرری،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یلزم من العمل به الضرر علی العباد، کلزوم البیع مع الغبن و وجوب الوضوء إذا استلزم ضرراً مالیاً، و إباحة الإضرار بالغیر؛ فإنّ الکلّ أحکام ضرریة منتفیة فی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إذا کان الحدیث مطلقاً، أو مقیّداً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بوروده مقیّداً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فیختصّ بالحکم الضرری بالنسبة إلی الغیر، و لا یشمل نفی وجوب الوضوء و الحجّ مع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من الوجه هو الأرجح فی معنی الروایة، بل المتعیّن، بعد تعذّر حمله علی حقیقته؛ لوجود الحقیقة فی الخارج بدیهة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 الفحول؛ و هو أن یکون کنایة عن لزوم التدارک؛ أی الضرر المجرّد عن التدارک منفی</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الشیخ الأعظم أردأ الوجوه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النهی من النفی، و مرجعه إلی تحریم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یظهر من کلمات اللغویین و شرّاح الحدیث حسبما استظهر وحید عصره شیخ الشریعة الأصفهانی، و بالغ فی تشییده</w:t>
      </w:r>
      <w:r>
        <w:rPr>
          <w:rStyle w:val="FootnoteAnchor"/>
          <w:rtl w:val="true"/>
        </w:rPr>
        <w:footnoteReference w:id="784"/>
      </w:r>
      <w:r>
        <w:rPr>
          <w:rFonts w:ascii="IRNazanin" w:hAnsi="IRNazanin" w:eastAsia="IRNazanin"/>
          <w:color w:val="111111"/>
          <w:sz w:val="28"/>
          <w:sz w:val="28"/>
          <w:szCs w:val="28"/>
          <w:rtl w:val="true"/>
          <w:lang w:bidi="fa-IR"/>
        </w:rPr>
        <w:t>، و سیوافیک بیانه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نفی الحکم بلسان نفی</w:t>
      </w:r>
      <w:bookmarkStart w:id="667" w:name="pg12912_112082"/>
    </w:p>
    <w:p>
      <w:pPr>
        <w:pStyle w:val="BookText"/>
        <w:rPr/>
      </w:pPr>
      <w:bookmarkEnd w:id="667"/>
      <w:r>
        <w:rPr>
          <w:rFonts w:ascii="IRNazanin" w:hAnsi="IRNazanin" w:eastAsia="IRNazanin"/>
          <w:color w:val="111111"/>
          <w:sz w:val="28"/>
          <w:sz w:val="28"/>
          <w:szCs w:val="28"/>
          <w:rtl w:val="true"/>
          <w:lang w:bidi="fa-IR"/>
        </w:rPr>
        <w:t>موضوعه</w:t>
      </w:r>
      <w:r>
        <w:rPr>
          <w:rStyle w:val="FootnoteAnchor"/>
          <w:rtl w:val="true"/>
        </w:rPr>
        <w:footnoteReference w:id="786"/>
      </w:r>
      <w:r>
        <w:rPr>
          <w:rFonts w:ascii="IRNazanin" w:hAnsi="IRNazanin" w:eastAsia="IRNazanin"/>
          <w:color w:val="111111"/>
          <w:sz w:val="28"/>
          <w:sz w:val="28"/>
          <w:szCs w:val="28"/>
          <w:rtl w:val="true"/>
          <w:lang w:bidi="fa-IR"/>
        </w:rPr>
        <w:t>فلیس فی عرض هذه الوجوه الثلاثة، کما صدر عن بعض أعاظم العصر</w:t>
      </w:r>
      <w:r>
        <w:rPr>
          <w:rStyle w:val="FootnoteAnchor"/>
          <w:rtl w:val="true"/>
        </w:rPr>
        <w:footnoteReference w:id="787"/>
      </w:r>
      <w:r>
        <w:rPr>
          <w:rFonts w:ascii="IRNazanin" w:hAnsi="IRNazanin" w:eastAsia="IRNazanin"/>
          <w:color w:val="111111"/>
          <w:sz w:val="28"/>
          <w:sz w:val="28"/>
          <w:szCs w:val="28"/>
          <w:rtl w:val="true"/>
          <w:lang w:bidi="fa-IR"/>
        </w:rPr>
        <w:t>، بل هو راجع إلی الوجه الأوّل، غیر أنّ الفرق بینه و بین ما عن الشیخ الأعظم راجع إلی کیفیة استفادة نفی الأحکام الضرریة من الحدیث، فهو یتّحد مع ما أفاده الشیخ الأعظم لبّاً، و یفارقه فی طریق الاستفادة، و سیوافیک مزید توضیح لهذا، و أنّه لا فرق بین المختارین،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رابع، و لم أقف علیه فی کلمات القوم؛ و هو أن یکون نهیاً سلطانیاً صدر عن رسول اللَّه بما هو سائس الملّة و سلطانها، و سنوضحه حقّ التوضیح</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الوجوه التی قیلت فی المقام، و لنرجع إلی توضیح حالها</w:t>
      </w:r>
      <w:r>
        <w:rPr>
          <w:rFonts w:eastAsia="IRNazanin" w:cs="IRNazanin"/>
          <w:color w:val="111111"/>
          <w:sz w:val="28"/>
          <w:szCs w:val="28"/>
          <w:rtl w:val="true"/>
          <w:lang w:bidi="fa-IR"/>
        </w:rPr>
        <w:t>:</w:t>
      </w:r>
    </w:p>
    <w:p>
      <w:pPr>
        <w:pStyle w:val="Heading6"/>
        <w:numPr>
          <w:ilvl w:val="5"/>
          <w:numId w:val="1"/>
        </w:numPr>
        <w:rPr/>
      </w:pPr>
      <w:bookmarkStart w:id="668" w:name="__RefHeading___Toc3425821_3224264995"/>
      <w:bookmarkStart w:id="669" w:name="_Toc251"/>
      <w:bookmarkEnd w:id="668"/>
      <w:r>
        <w:rPr>
          <w:rtl w:val="true"/>
        </w:rPr>
        <w:t>الوجوه المحتملة أو المنقولة حول کلام الشیخ الأعظم</w:t>
      </w:r>
      <w:bookmarkEnd w:id="66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هو الحکم الشرعی المستلزم للضرر، و أنّ ما اختاره من المعنی لیس علی طریق الحقیقة، بل علی نحو المجاز؛ لتعذّر حمله علی الحقیقة لوجودها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لما أتعب به بعض الأعاظم نفسه الشریفة فی توضیح ما أفاده الشیخ الأعظم، و أنّه لا یستلزم تجوّزاً و لا ادّعاءً</w:t>
      </w:r>
      <w:r>
        <w:rPr>
          <w:rStyle w:val="FootnoteAnchor"/>
          <w:rtl w:val="true"/>
        </w:rPr>
        <w:footnoteReference w:id="789"/>
      </w:r>
      <w:r>
        <w:rPr>
          <w:rFonts w:ascii="IRNazanin" w:hAnsi="IRNazanin" w:eastAsia="IRNazanin"/>
          <w:color w:val="111111"/>
          <w:sz w:val="28"/>
          <w:sz w:val="28"/>
          <w:szCs w:val="28"/>
          <w:rtl w:val="true"/>
          <w:lang w:bidi="fa-IR"/>
        </w:rPr>
        <w:t>، مع أنّ صاحب المقال یصرّح بخلافه</w:t>
      </w:r>
      <w:r>
        <w:rPr>
          <w:rFonts w:eastAsia="IRNazanin" w:cs="IRNazanin"/>
          <w:color w:val="111111"/>
          <w:sz w:val="28"/>
          <w:szCs w:val="28"/>
          <w:rtl w:val="true"/>
          <w:lang w:bidi="fa-IR"/>
        </w:rPr>
        <w:t>.</w:t>
      </w:r>
      <w:bookmarkStart w:id="670" w:name="pg12912_112083"/>
    </w:p>
    <w:p>
      <w:pPr>
        <w:pStyle w:val="BookText"/>
        <w:rPr/>
      </w:pPr>
      <w:bookmarkEnd w:id="670"/>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البحث عن الوجه المصحّح للمجاز، و أنّه ما ذا؟</w:t>
      </w:r>
    </w:p>
    <w:p>
      <w:pPr>
        <w:pStyle w:val="BookText"/>
        <w:rPr/>
      </w:pPr>
      <w:r>
        <w:rPr>
          <w:rFonts w:ascii="IRNazanin" w:hAnsi="IRNazanin" w:eastAsia="IRNazanin"/>
          <w:color w:val="111111"/>
          <w:sz w:val="28"/>
          <w:sz w:val="28"/>
          <w:szCs w:val="28"/>
          <w:rtl w:val="true"/>
          <w:lang w:bidi="fa-IR"/>
        </w:rPr>
        <w:t>و الذی یمکن أن یقال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علی نحو المجاز فی الحذف؛ أی لا حکم ضرری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المختار عند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نحو المجاز فی الکلمة؛ من استعمال اللفظ فی غیر ما هو موضوع له بلا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مصطلح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لعلاقة السببیة و المسبّبیة، فاطلق المسبّب و ارید السبب؛ فإنّ تشریع الحکم الضرری سبب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أنّک وقفت</w:t>
      </w:r>
      <w:r>
        <w:rPr>
          <w:rStyle w:val="FootnoteAnchor"/>
          <w:rtl w:val="true"/>
        </w:rPr>
        <w:footnoteReference w:id="791"/>
      </w:r>
      <w:r>
        <w:rPr>
          <w:rFonts w:ascii="IRNazanin" w:hAnsi="IRNazanin" w:eastAsia="IRNazanin"/>
          <w:color w:val="111111"/>
          <w:sz w:val="28"/>
          <w:sz w:val="28"/>
          <w:szCs w:val="28"/>
          <w:rtl w:val="true"/>
          <w:lang w:bidi="fa-IR"/>
        </w:rPr>
        <w:t>علی حقیقة المجاز فی فنون البلاغة و أسالیب الفصاحة فلا وقع لهذین القولین فی تصحیح ما هو المطلوب،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یدّعیه القوم من کونه علی نحو المجاز فی الحذف، أو فی الکلمة علی الطریقة المألوفة عندهم لیس بشی‌ء؛ و إن کان یوهم بعض تعبیراته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قبیل المجاز فی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نحو الحقیقة الادّعائیة، و هو یتصوّر علی وجوه</w:t>
      </w:r>
      <w:r>
        <w:rPr>
          <w:rFonts w:eastAsia="IRNazanin" w:cs="IRNazanin"/>
          <w:color w:val="111111"/>
          <w:sz w:val="28"/>
          <w:szCs w:val="28"/>
          <w:rtl w:val="true"/>
          <w:lang w:bidi="fa-IR"/>
        </w:rPr>
        <w:t>:</w:t>
      </w:r>
    </w:p>
    <w:p>
      <w:pPr>
        <w:pStyle w:val="Heading6"/>
        <w:numPr>
          <w:ilvl w:val="5"/>
          <w:numId w:val="1"/>
        </w:numPr>
        <w:rPr/>
      </w:pPr>
      <w:bookmarkStart w:id="671" w:name="__RefHeading___Toc3425823_3224264995"/>
      <w:bookmarkStart w:id="672" w:name="_Toc252"/>
      <w:bookmarkEnd w:id="671"/>
      <w:r>
        <w:rPr>
          <w:rtl w:val="true"/>
        </w:rPr>
        <w:t>فی الوجوه المتصوّرة للحقیقة الادعائیة</w:t>
      </w:r>
      <w:bookmarkEnd w:id="67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من أنّها من قبیل نفی الموضوع کنایة عن نفی آثاره،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أنّ تمام حقیقة الرجولیة هو المروّة و الشجاعة، فإذا فقدتا فقد فقدت 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الآثار</w:t>
      </w:r>
    </w:p>
    <w:p>
      <w:pPr>
        <w:pStyle w:val="BookText"/>
        <w:rPr/>
      </w:pPr>
      <w:r>
        <w:rPr>
          <w:rFonts w:ascii="IRNazanin" w:hAnsi="IRNazanin" w:eastAsia="IRNazanin"/>
          <w:color w:val="111111"/>
          <w:sz w:val="28"/>
          <w:sz w:val="28"/>
          <w:szCs w:val="28"/>
          <w:rtl w:val="true"/>
          <w:lang w:bidi="fa-IR"/>
        </w:rPr>
        <w:t>المنفیة هی الأحکام المتعلّقة بالموضوعات بعناوینها الأوّلیة، کوجوب الوفاء بالعقد الضرری و وجوب الوضوء الضرری</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هذا إلی ما اختاره الشیخ الأعظم، و یشهد له ما ذکره الشیخ فی رسالته التی عملها فی قاعدة لا ضرر؛ حیث قال فی عداد معانیها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نفی الحکم الشرعی الذی هو ضرر علی العباد، و أنّه لیس فی الإسلام مجعول ضرری،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یلزم من العمل به الضرر علی العباد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فقد جعل نفی الحکم الذی یلزم الضرر من العمل به تفسیراً لما قبله؛ أعنی نفی الحکم الشرعی الذی هو ضرر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یتّضح معنی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یشرّع حکماً یلزم منه ضرر علی أحد</w:t>
      </w:r>
      <w:r>
        <w:rPr>
          <w:rStyle w:val="FootnoteAnchor"/>
          <w:rtl w:val="true"/>
        </w:rPr>
        <w:footnoteReference w:id="794"/>
      </w:r>
      <w:r>
        <w:rPr>
          <w:rFonts w:ascii="IRNazanin" w:hAnsi="IRNazanin" w:eastAsia="IRNazanin"/>
          <w:color w:val="111111"/>
          <w:sz w:val="28"/>
          <w:sz w:val="28"/>
          <w:szCs w:val="28"/>
          <w:rtl w:val="true"/>
          <w:lang w:bidi="fa-IR"/>
        </w:rPr>
        <w:t>فإنّ المراد لیس الحکم المستلزم للضرر و لو بوسائط عدیدة، بل المراد ما ذکره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یلزم الضرر من العمل به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المحقّق الخراسانی من الفرق بین مختاره و ما أفاده الشیخ الأعظم</w:t>
      </w:r>
      <w:r>
        <w:rPr>
          <w:rStyle w:val="FootnoteAnchor"/>
          <w:rtl w:val="true"/>
        </w:rPr>
        <w:footnoteReference w:id="795"/>
      </w:r>
      <w:r>
        <w:rPr>
          <w:rFonts w:ascii="IRNazanin" w:hAnsi="IRNazanin" w:eastAsia="IRNazanin"/>
          <w:color w:val="111111"/>
          <w:sz w:val="28"/>
          <w:sz w:val="28"/>
          <w:szCs w:val="28"/>
          <w:rtl w:val="true"/>
          <w:lang w:bidi="fa-IR"/>
        </w:rPr>
        <w:t>لیس بسدید، فراجع</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حکومة لا ضرر علی الاحتیاط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انتفاء اللزوم و ثبوت التزلزل فی العقد لا یستلزم ثبوت الخیار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المرفوع بحدیث لا ضرر الحکم الناشئ منه الضرر، و أمّا إذا کان المرفوع ما کان للضرر من الحکم، مع قطع النظر عن هذا الحدیث کان المرفوع فی المعاملة الغبنیة وجوب الوفاء بها، و هو یستلزم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یستلزم ثبوت الخیار الحقّی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ضمن تراث الشیخ الأعظم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 المحقّق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هو الحکم الضرری بلسان نفی الموضوع علی نحو الحقیقة الادّعائیة،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الشارع لم یجوّز الإضرار بالغیر، أو وجوب تحمّل الضرر عنه</w:t>
      </w:r>
      <w:r>
        <w:rPr>
          <w:rStyle w:val="FootnoteAnchor"/>
          <w:rtl w:val="true"/>
        </w:rPr>
        <w:footnoteReference w:id="797"/>
      </w:r>
      <w:r>
        <w:rPr>
          <w:rFonts w:ascii="IRNazanin" w:hAnsi="IRNazanin" w:eastAsia="IRNazanin"/>
          <w:color w:val="111111"/>
          <w:sz w:val="28"/>
          <w:sz w:val="28"/>
          <w:szCs w:val="28"/>
          <w:rtl w:val="true"/>
          <w:lang w:bidi="fa-IR"/>
        </w:rPr>
        <w:t>، و الفرق بین المختارین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 فی درسه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النفی نفی تشریعی، و أنّه بلحاظ محیط التقنین، فإذا فرض أنّ سلطان مملکة قلع أسباب الضرر برفع الأحکام الضرریة و عدم تشریعها و نهی الناس عن الإضرار و أمر بالتدارک عنده یصحّ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ضرر فی مملکتی و حوزة سلطانی و حمی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رحمه الله کان بصدد حمله علی الحقیقة دون الحقیقة الادّعائیة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غیر سدید؛ لأنّ الضرر المنفی هو الضرر الخارجی، و هو کان فی حوزة سلطنته صلی الله علیه و آله و 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نهی الناس عن الإضرار و الأمر بالتدارک لا یوجب فقدان الضرر و قلعه، و لا یستلزم الحمل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باختصاصه بنفی الأحکام الضرریة، و أنّ المرمی نفی الضرر عن محیط التشریع، و أنّه لا یشمل إضرار البعض ببعض، فلا یکون علی وجه الحقیقة أیضاً؛ لوجود الأحکام الضرریة إلی ما شاء اللَّه؛ من تشریعه الجهاد و الخمس و الزکاة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اغمض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أحکاماً ضرریة لبّاً فلا مسرح للحقیقة؛ لأنّ المنفی حقیقة هو الحکم الضرری، و المنفی حسب الظاهر هو نفس الضرر، و إطلاق نفی الضرر و إرادة نفی الحکم الضرری لا یکون حقیقة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قدس سره کان بصدد تصحیح حکومة لا ضرر علی الأحکام الواقعیة؟ فلا مسرح عن القول بأنّ المنفی هو الحکم؛ و إن کانت حرف النفی داخلة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اخترناه؛ و هو أنّ المصحّح للحقیقة الادّعائیة هی السببیة و المسبّبیة، لا بمعنی إطلاق المسبّب و إرادة السبب؛ فإنّ ذلک بمکان من 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ردّ القول بأنّها من قبیل المجاز فی الکلمة علی النحو المصطلح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إطلاق المسبّب و إرادة نفسه، لکن بادّعاء أنّها عین السبب، و أنّ نفیه عین نفیه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فی عامّة المجازاة؛ فإنّ الأساس للمجاز فی الأبواب هو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ادّعاء عینیة المعنی الحقیقی 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مصحّح الادّعاء فی الحقائق الادّعائیة مختلف؛ فربّما یکون المجاورة و السببیة و المسبّبیة و غیرهما ممّا أنهوه إلی خمسة و عشرین وجهاً؛ فإنّ الأساس هو الادّعاء؛ حتّی فیما جعلوه من قبیل المجاز فی الحذف،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بادّعاء أنّ القریة کأهلها واقفة علی القضیة؛ لکمال ظهورها و اشتهارها، و علی ذلک جری الفرزدق فی مدح الإمام الطاهر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وطأته‌و البیت یعرفه و الحلّ و الحرم</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یقال إنّ السبب لوقوع المکلّف فی الضرر إمّا إطلاق الأحکام بالنسبة إلی الحالات الضرریة، أو إضرار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نفی الشارع فی حکومة تشریعه إطلاقها، و لم یضع حکماً ضرریاً، و نهی المکلّفین عن الإضرار فقد قلع بذلک اصول الضرر و وسائله و حسم موادّه و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یصحّ له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الضرر المسبّب فی محیط تشریعه علی سبیل الحقیقة الادّعائیة، و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هو الحکم حقیقة، و أنّ نفیه عین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ما ذکره المحقّق الخراسانی أظهر من أن یخفی؛ فإنّ المصحّح للحقیقة الادّعائیة علی المختار هو علاقة السببیة و المسبّبیة و أمّا علی ما اختاره فباعتبار أنّ تمام حقیقة الموضوع عبارة عن آثاره، کما أنّ تمام حقیقة الرجل إنّما هی المروّة و الشجاعة؛ فیصحّ ادّعاء نفی الموضوع بادّعاء نفی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فالعقد الضرری إذا لم یجب الوفاء به صحّ أن یدّعی عدمه، و أنّ العقد الکذائی غیر موجود فی محیط التشریع باعتبار عدم أظهر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الفرق بینه و بین ما أفاده شیخنا العلّامة واضح جدّاً؛ فإنّ المصحّح علی ما ذکرنا هی العلاقة المذکورة، و أمّا علی ما أفاده فالمصحّح إنّما هو تنزیل الموجود منزلة المعدوم؛ لقلع أسبابه و قطع اصوله، فتدبّر تعرف</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للحقیقة الادّعائیة هو تنزیل الموجود منزلة المعدوم، لکن لا علی النحو الذی عرفت، بل باعتبار ندرة وجود الضرر و قلّته فی الخارج؛ بحیث صار الموجود منه کالمعدوم،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ضرر فی الإسلام، و یکون ذلک کنایة عن أنّه لیس فی الإسلام حکماً ضرریاً</w:t>
      </w:r>
      <w:r>
        <w:rPr>
          <w:rFonts w:eastAsia="IRNazanin" w:cs="IRNazanin"/>
          <w:color w:val="111111"/>
          <w:sz w:val="28"/>
          <w:szCs w:val="28"/>
          <w:rtl w:val="true"/>
          <w:lang w:bidi="fa-IR"/>
        </w:rPr>
        <w:t>.</w:t>
      </w:r>
      <w:bookmarkStart w:id="673" w:name="pg12912_112088"/>
    </w:p>
    <w:p>
      <w:pPr>
        <w:pStyle w:val="Heading6"/>
        <w:numPr>
          <w:ilvl w:val="5"/>
          <w:numId w:val="1"/>
        </w:numPr>
        <w:rPr/>
      </w:pPr>
      <w:bookmarkStart w:id="674" w:name="__RefHeading___Toc3425825_3224264995"/>
      <w:bookmarkStart w:id="675" w:name="_Toc253"/>
      <w:bookmarkEnd w:id="673"/>
      <w:bookmarkEnd w:id="674"/>
      <w:r>
        <w:rPr>
          <w:rtl w:val="true"/>
        </w:rPr>
        <w:t>حول کلام بعض الأعاظم فی توضیح مفاد القاعدة</w:t>
      </w:r>
      <w:bookmarkEnd w:id="675"/>
    </w:p>
    <w:p>
      <w:pPr>
        <w:pStyle w:val="BookText"/>
        <w:rPr/>
      </w:pPr>
      <w:r>
        <w:rPr>
          <w:rFonts w:ascii="IRNazanin" w:hAnsi="IRNazanin" w:eastAsia="IRNazanin"/>
          <w:color w:val="111111"/>
          <w:sz w:val="28"/>
          <w:sz w:val="28"/>
          <w:szCs w:val="28"/>
          <w:rtl w:val="true"/>
          <w:lang w:bidi="fa-IR"/>
        </w:rPr>
        <w:t>ثمّ إنّ بعض أعاظم العصر قد أطال الکلام فی توضیح مفاد القاعدة و أتی بمقدّماتٍ غیر واضحة، و زعم أنّ النفی محمول علی الحقیقة بلا ادّعاء و لا مجاز، و أنّ ما أوضحه عین ما رامه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 التعرّض لعامّة ما أفاد یورث الملال فی القرّاء الکرام فلأجله ننقل محصّل مرامه، و من أراد الوقوف علی توضیحه فعلیه بما حرّره مقرّر بحثه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بعینه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الرفع فی هذا الحدیث تعلّق بما یقبل الرفع بنفسه و ما لا یقبله إلّا بأثره، فکذلک یمکن تعلّق نفی الضرر بکلتا الطائفتین، من دون تجوّز أو ادّعاء و نحوهما من العنایات؛ لأنّه لیس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حتّی یلزم تجوّز أو إضمار؛ لئلّا یلزم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لا ضرر إلّا إنشاءً و نفیاً للضرر فی عالم التشریع فیختلف نتیجته باختلاف المنفی، کاختلاف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من الامور الاعتباریة النفس الأمریة، و وجودها التکوینی عین تشریعها؛ فإذا کانت کذلک فإثباتها أو نفیها راجعة إلی إفاضتها حقیقتها و إیجاد هویتها أو إعدامها عن قابلیة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نفیها من السلب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متعلّقات التکالیف فحیث إنّ قابلیتها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 أو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ترکیب أنفسها أو محصّلاتها دون إفاضة هویاتها و إیجاد حقائقها فلا محیص من</w:t>
      </w:r>
    </w:p>
    <w:p>
      <w:pPr>
        <w:pStyle w:val="BookText"/>
        <w:rPr/>
      </w:pPr>
      <w:r>
        <w:rPr>
          <w:rFonts w:ascii="IRNazanin" w:hAnsi="IRNazanin" w:eastAsia="IRNazanin"/>
          <w:color w:val="111111"/>
          <w:sz w:val="28"/>
          <w:sz w:val="28"/>
          <w:szCs w:val="28"/>
          <w:rtl w:val="true"/>
          <w:lang w:bidi="fa-IR"/>
        </w:rPr>
        <w:t>أن یکون النفی من السلب الترکیبی، و یکون المجعول نفس النفی دون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النوبة فیما إذا دار الأمر بین الحمل علی نفی الأحکام أو نفی الموضوعات إلی الثانی إذا کان الأوّل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هو الحکم الضرری، و الضرر عنوان ثانوی للحکم، و نفی العنوان الثانوی و إرادة العنوان الأوّلی لیس من باب المجاز، و إنّما یستلزمه لو کان من قبیل المعدّ للضرر أو إذا کان سبباً له و کانا وجودین متعلّقین؛ أحدهما مسبّب عن الآخر، و أمّا مثل القتل أو الإیلام المترتّب علی الضرب فإطلاق أحدهما علی الآخر شائع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ورود القضیة فی مقام التشریع و إنشاء نفی الضرر حقیقة یقتضی أن یکون المنفی هو الحکم الضرری، لا أنّه استعمل الضرر و ارید منه الحکم الذی هو سببه</w:t>
      </w:r>
      <w:r>
        <w:rPr>
          <w:rStyle w:val="FootnoteAnchor"/>
          <w:rtl w:val="true"/>
        </w:rPr>
        <w:footnoteReference w:id="799"/>
      </w:r>
      <w:r>
        <w:rPr>
          <w:rFonts w:ascii="Amiri" w:hAnsi="Amiri" w:eastAsia="Amiri" w:cs="Amiri"/>
          <w:color w:val="111111"/>
          <w:sz w:val="28"/>
          <w:sz w:val="28"/>
          <w:szCs w:val="28"/>
          <w:rtl w:val="true"/>
          <w:lang w:bidi="ar-SA"/>
        </w:rPr>
        <w:t>، انتهی ملخّصاً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أفاده غرائب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الواضحات أنّ الأحکام امور ضرریة لا نفس الضرر، و أنّ الحکم له نحو مبدئیة للضرر، کما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لفظ موضوع لمعنی نعبّر عنه بالضرر و إرادة أحکام هی امور ضرریة، و یتّصف بوجه بالضرر، لا یکون علی سبیل الحقیقة جدّاً؛ و إن بالغ القائل فی إثباته ما بالغ؛ فإنّ الضرر شی‌ء و الحکم شی‌ء آخر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 من أنّ الأحکام تشریعها عین تکوینها، و نفیها بسیطاً عین إعدامها لا یثبت ما رامه، بل لا ربط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إطلاق الضرب و إرادة القتل إطلاق شائع، و کذلک العکس، لو سلّم لکن الشیوع غیر مسألة الحقیقة، و الاستعمال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التأمّل و التردّد فی شیوعه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إطلاق القاتل علی الضارب المنتهی ضربه إلی القتل شائع، لا إطلاق القتل علی الضرب، و بینهما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لیس سبباً للضرر، و إنّما السبب له هو نفس العمل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و إن کان نفس الوضوء الضرری إلّا أنّ المکلّف منبعث من بعثه و إیجابه، فکأنّه هو السبب الوحید لورود الضرر علیه، مدفوع بما أوضحناه غیر مرّة سابقاً؛ من أنّ الانبعاث التکوینی مستند إلی المبادئ الموجودة فی نفس المکلّف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الطمع فی الجنّة و الخوف من النار أو علمه بکمال المحبوب و أنّه أهل للعبادة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فالأمر المتعلّق بالموضوع یکون دخیلًا فی انبعاث العبد بنحو من الدخالة، لا من باب السببیة و المسبّبیة، بل بما أنّه محقّق موضوع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بالنسبة إلی الضرر من العلل التولیدیة، کما فی حرکة الید و حرکة المفتاح و القتل و الإیلام، بل الأحکام لها وجودات اعتباریة مستقلّة؛ فإذا وقف المکلّف علیها فقد وقف علی موضوع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فالمبادئ الموجودة فی نفسه یحرّکه نحوه، فیأتی به و یترتّب علیه الضرر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حاله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اللفظ الموضوع لأحدهما علی الآخر حقیقة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أنّ ورود القضیة فی مقام التشریع قرینة علی أنّ المنفی هو</w:t>
      </w:r>
    </w:p>
    <w:p>
      <w:pPr>
        <w:pStyle w:val="BookText"/>
        <w:rPr/>
      </w:pPr>
      <w:r>
        <w:rPr>
          <w:rFonts w:ascii="IRNazanin" w:hAnsi="IRNazanin" w:eastAsia="IRNazanin"/>
          <w:color w:val="111111"/>
          <w:sz w:val="28"/>
          <w:sz w:val="28"/>
          <w:szCs w:val="28"/>
          <w:rtl w:val="true"/>
          <w:lang w:bidi="fa-IR"/>
        </w:rPr>
        <w:t>الحکم الضرری علی وجه الحقیقة ضعیف جدّاً؛ إذ ما ذکره قرینة علی کون المراد من الضرر هو الحکم الضرری لا أنّه موجب لکون الجری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حدیث الرفع أو</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إخباراً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 ضعیف غایته؛ فإنّ هیئة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بلا النافیة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للحکایة عن الواقع و نفی 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إخباریاً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هذه الهیئة الموضوعة للحکایة و إرادة إنشاء النفی مجاز قطعاً، بل لا فرق بینه و بین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 فی الضعف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الإخبار و الإنشاء من المدالیل السیاقیة لا ممّا وضع له اللفظ؛ لما عرفت من أنّ هذه الهیئة موضوعة للحکایة عن الواقع؛ حکایةً تصدیقیة بحکم قضاء العرف و التبادر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و قرینه من المدالیل السیاقیة فإمّا أن نقول بأنّ الهیئة غیر موضوعة لشی‌ء أصلًا فیکون مهملة، فهو کما تری، و إمّا أن نقول بکونها موضوعة لأمر آخر غیر الإنشاء و الإخبار، بل مباین لهما فهو أسوأ حالًا من مقدّمه، أو نقول بأنّه أمر جامع بینهما فهو أضعف؛ لعدم الجامع بین الإخبار و الإنشاء، بل أوضحنا الحال فی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جامع بین المعانی الحرفیة، إلّا الجامع الاسمی</w:t>
      </w:r>
      <w:r>
        <w:rPr>
          <w:rStyle w:val="FootnoteAnchor"/>
          <w:rtl w:val="true"/>
        </w:rPr>
        <w:footnoteReference w:id="800"/>
      </w:r>
      <w:r>
        <w:rPr>
          <w:rFonts w:ascii="IRNazanin" w:hAnsi="IRNazanin" w:eastAsia="IRNazanin"/>
          <w:color w:val="111111"/>
          <w:sz w:val="28"/>
          <w:sz w:val="28"/>
          <w:szCs w:val="28"/>
          <w:rtl w:val="true"/>
          <w:lang w:bidi="fa-IR"/>
        </w:rPr>
        <w:t>، فراجع</w:t>
      </w:r>
      <w:r>
        <w:rPr>
          <w:rStyle w:val="FootnoteAnchor"/>
          <w:rtl w:val="true"/>
        </w:rPr>
        <w:footnoteReference w:id="801"/>
      </w:r>
      <w:bookmarkStart w:id="676" w:name="pg12912_112092"/>
    </w:p>
    <w:p>
      <w:pPr>
        <w:pStyle w:val="Heading6"/>
        <w:numPr>
          <w:ilvl w:val="5"/>
          <w:numId w:val="1"/>
        </w:numPr>
        <w:rPr/>
      </w:pPr>
      <w:bookmarkStart w:id="677" w:name="__RefHeading___Toc3425827_3224264995"/>
      <w:bookmarkStart w:id="678" w:name="_Toc254"/>
      <w:bookmarkEnd w:id="676"/>
      <w:bookmarkEnd w:id="677"/>
      <w:r>
        <w:rPr>
          <w:rtl w:val="true"/>
        </w:rPr>
        <w:t>نقد الوجوه المذکورة حول کلام الشیخ الأعظم</w:t>
      </w:r>
      <w:bookmarkEnd w:id="678"/>
    </w:p>
    <w:p>
      <w:pPr>
        <w:pStyle w:val="BookText"/>
        <w:rPr/>
      </w:pPr>
      <w:r>
        <w:rPr>
          <w:rFonts w:ascii="IRNazanin" w:hAnsi="IRNazanin" w:eastAsia="IRNazanin"/>
          <w:color w:val="111111"/>
          <w:sz w:val="28"/>
          <w:sz w:val="28"/>
          <w:szCs w:val="28"/>
          <w:rtl w:val="true"/>
          <w:lang w:bidi="fa-IR"/>
        </w:rPr>
        <w:t xml:space="preserve">ما ذکرناه من الوجوه المحتملة أو المنقولة کلّه راجع إلی ما اختاره شیخنا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فرائده</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بعض الفحول</w:t>
      </w:r>
      <w:r>
        <w:rPr>
          <w:rStyle w:val="FootnoteAnchor"/>
          <w:rtl w:val="true"/>
        </w:rPr>
        <w:footnoteReference w:id="804"/>
      </w:r>
      <w:r>
        <w:rPr>
          <w:rFonts w:ascii="IRNazanin" w:hAnsi="IRNazanin" w:eastAsia="IRNazanin"/>
          <w:color w:val="111111"/>
          <w:sz w:val="28"/>
          <w:sz w:val="28"/>
          <w:szCs w:val="28"/>
          <w:rtl w:val="true"/>
          <w:lang w:bidi="fa-IR"/>
        </w:rPr>
        <w:t>أو ما أفاده وحید عصره شیخ الشریعة</w:t>
      </w:r>
      <w:r>
        <w:rPr>
          <w:rStyle w:val="FootnoteAnchor"/>
          <w:rtl w:val="true"/>
        </w:rPr>
        <w:footnoteReference w:id="805"/>
      </w:r>
      <w:r>
        <w:rPr>
          <w:rFonts w:ascii="IRNazanin" w:hAnsi="IRNazanin" w:eastAsia="IRNazanin"/>
          <w:color w:val="111111"/>
          <w:sz w:val="28"/>
          <w:sz w:val="28"/>
          <w:szCs w:val="28"/>
          <w:rtl w:val="true"/>
          <w:lang w:bidi="fa-IR"/>
        </w:rPr>
        <w:t>فسیوافیک البحث عنه</w:t>
      </w:r>
      <w:r>
        <w:rPr>
          <w:rStyle w:val="FootnoteAnchor"/>
          <w:rtl w:val="true"/>
        </w:rPr>
        <w:footnoteReference w:id="806"/>
      </w:r>
      <w:r>
        <w:rPr>
          <w:rFonts w:ascii="IRNazanin" w:hAnsi="IRNazanin" w:eastAsia="IRNazanin"/>
          <w:color w:val="111111"/>
          <w:sz w:val="28"/>
          <w:sz w:val="28"/>
          <w:szCs w:val="28"/>
          <w:rtl w:val="true"/>
          <w:lang w:bidi="fa-IR"/>
        </w:rPr>
        <w:t>بعد الفراغ عمّا قیل حول مختار الشیخ الأعظم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الوجوه کلّها لا یخلو عن إشکالات مشترکة، و مختصّة بکلّ واحد، و إلیک الإشکالات المشترکة بین الجمیع</w:t>
      </w:r>
      <w:r>
        <w:rPr>
          <w:rFonts w:eastAsia="IRNazanin" w:cs="IRNazanin"/>
          <w:color w:val="111111"/>
          <w:sz w:val="28"/>
          <w:szCs w:val="28"/>
          <w:rtl w:val="true"/>
          <w:lang w:bidi="fa-IR"/>
        </w:rPr>
        <w:t>:</w:t>
      </w:r>
    </w:p>
    <w:p>
      <w:pPr>
        <w:pStyle w:val="Heading6"/>
        <w:numPr>
          <w:ilvl w:val="5"/>
          <w:numId w:val="1"/>
        </w:numPr>
        <w:rPr/>
      </w:pPr>
      <w:bookmarkStart w:id="679" w:name="__RefHeading___Toc3425829_3224264995"/>
      <w:bookmarkStart w:id="680" w:name="_Toc255"/>
      <w:bookmarkEnd w:id="679"/>
      <w:r>
        <w:rPr>
          <w:rtl w:val="true"/>
        </w:rPr>
        <w:t>الإشکالات المشترکة</w:t>
      </w:r>
      <w:bookmarkEnd w:id="680"/>
    </w:p>
    <w:p>
      <w:pPr>
        <w:pStyle w:val="BookText"/>
        <w:rPr/>
      </w:pPr>
      <w:r>
        <w:rPr>
          <w:rFonts w:ascii="IRNazanin" w:hAnsi="IRNazanin" w:eastAsia="IRNazanin"/>
          <w:color w:val="111111"/>
          <w:sz w:val="28"/>
          <w:sz w:val="28"/>
          <w:szCs w:val="28"/>
          <w:rtl w:val="true"/>
          <w:lang w:bidi="fa-IR"/>
        </w:rPr>
        <w:t>فنذکر منها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کثرة التخصیص، و لا شکّ فی استهجانها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عللًا تامّة للضرر، و لا عللًا تولیدیة له، و إنّما یسند إلیها الضرر إسناد الشی‌ء إلی معدّه، و إلی ما له دخل فی وجوده بنحو من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للأحکام شأن غیر أنّها محقّقة لموضوع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کونها مبادئ للانبعاث فلیس له من الحقّ مسحة، بل الانبعاث دائماً من المبادئ الموجودة فی نفوس المکلّفین؛ من الخوف و الطمع و غیرهما؛ فإنّ الانبعاث خارجاً مستند إلیها أخیراً بعد ما تحقّق المبادئ الاخر المقرّرة فی محلّه؛ من التصوّر و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للحکم الاعتباری و الإیجاب و الزجر التشریعی شأن غیر أنّه محقّق لمرکز الخوف و الطمع و غیرهما، و موضح لموضوع الطاعة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الخارجی فهو مستند إلی نفس المتعلّق الذی یباشر 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مبدءً له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نفسه ضرریاً؛ بأن یکون علّة له و سبباً تولیدیاً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معدّاً و ممّا ینتهی إلیه الضرر، و یکون ذا دخالة فیه بنحو من الدخالة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فلاحظ العقد اللازم الضرری؛ فإنّ الحکم الشرعی المتصوّر فی المقام إنّما هو اللزوم، و هو لیس ضرریاً، بل البیع الخارجی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یکون بذاته ضرریاً، و قد یتّصف به لکون الضرر یترتّب علیه؛ ترتّباً ثانویاً، أو یترتّب علیه بوسائط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یکون البیع مبدءً لورود الضرر علی غیر المکلّف، کما فی بیع الشی‌ء بأرخص من قیمته السوقیة؛ فإنّه یوجب نزول السوق و ورود الضرر علی الباقین الواجدین له، أو بیعه بأغلی من قیمته الفعلیة؛ فإنّه یستعقب الغلاء و القحط و نزول الضرر علی فاقدیه، و ربّما یتضرّر به الأهل و العیال و الجار و الشریک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الأقسام لا یتّصف البیع بالضرر بنفسه، و لا یترتّب علیه ترتّباً ثانویاً، بل البیع له نحو دخالة فی ورود الضرر علی غیر مباشره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الأحکام الشرعیة کمتعلّقاتها تارة عللًا تامّة للضرر، و اخری معدّات له، أو کانت تارة ممّا یترتّب علیه الضرر ترتّباً أوّلیاً، و اخری ممّا یترتّب علیها ترتّباً ثانویاً، أو غیر ذلک من الأقسام لصحّ للقائل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بنفی الأحکام التی لها العلّیة و السببیة التامّة للضرر، و أمّا إذا کانت الأحکام من الامور التی لها نحو إعداد للضرر، أو ممّا ینتهی إلیه بوسائط کثیرة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کونها عللًا للضرر فی مورد من الموارد، بل لها نحو دخالة فی وروده، کدخالة المعدّ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مجوّز لهذا القول، و لا مساغ لاختصاص قوله صلی الله علیه و آله و سلم بحکم دون حکم؛ فإنّ دخالة الوجوب فی الوضوء الضرری فی الضرر کدخالة لزوم الرهن المفروض کونها غیر ضرری؛ فإنّ الحکم الشرعی فیهما دائماً معدّ للضرر؛ سواء کان المتعلّق ضرریاً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مساغ لاختصاصها بالأحکام؛ فإنّ المتعلّقات مثلها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للقائل إلّا الالتزام بتخصیصات کثیرة مستهجنة؛ حتّی یختصّ قوله صلی الله علیه و آله و سلم بعدها بحکم دون حکم، و ضرر دون ضرر، و معدّ دون معدّ؛ حتّی لا یلزم تأسیس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باختصاصها بالأحکام التی یکون متعلّقاتها عللًا تامّة للضرر لا معدّاً له قول بلا برهان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صار الشیخ الأعظم إلی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الجمیع خرج بعنوان واحد لا بعناوین، و لا استهجان فیه</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قبح کثرة التخصیص لا یدور مدار کون الخروج بعنوان واحد أو بعناوین إذا کان المخصّص منفصلًا؛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عن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له رأس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 العموم مختصّة بمن له رأسان لصار کلاماً بشیعاً؛ إذ التعبیر عن إکرام من له رأسان بما ذکر من الکبری قبیح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هذه الموارد بعنوان واحد یحتاج إلی جامع عرفی یقف علیه المخاطب عند التخصیص، و لا أظنّ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وجوده الواقعی، و فرض غفلة المخاطب عنه، و کان التخصیص بغیر هذا الجامع عنده فلا یخرج الکلام من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الإشکالات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عندهم هو أنّ قاعدة لا ضرر دلیل امتنانی ارید من وضعه الامتنان علی العباد، کحدیث الرفع، و دلیل رفع الحرج و ما هو شأنه هذا لیکون آبیاً عن التخصیص؛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هنا أحکاماً کثیرة إلهیة ضرریة مجعولة علی العباد فی الشرع؛ من زکاته و خمسه و حجّه و جهاده و کفّارته و حدوده و استرقاقه، و غیر ذلک ممّا نجده فی أبواب المکاسب؛ من سلبه مالیة امور لها مالیة عند العقلاء، کالخمر و آلات الطرب و الأغانی، و الأعیان النجسة، و ما یجی‌ء منه الفساد محضاً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و أشباهها أحکام ضرریة علی العباد فی عاجلهم، و مع تشریعها کیف یمکن له أن یدّعی بأنّه لم یجعل حکماً ضرریاً أصلًا مع کون معظمها أو اصولها أو کثیراً منها ضرریاً؟ سواء بلغ التخصیص حدّ الاستهجان أم لم یبلغ</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ناظر إلی الأحکام التی یلزم من إطلاقها الضرر، دون</w:t>
      </w:r>
      <w:bookmarkStart w:id="681" w:name="pg12912_112096"/>
    </w:p>
    <w:p>
      <w:pPr>
        <w:pStyle w:val="BookText"/>
        <w:rPr/>
      </w:pPr>
      <w:bookmarkEnd w:id="681"/>
      <w:r>
        <w:rPr>
          <w:rFonts w:ascii="IRNazanin" w:hAnsi="IRNazanin" w:eastAsia="IRNazanin"/>
          <w:color w:val="111111"/>
          <w:sz w:val="28"/>
          <w:sz w:val="28"/>
          <w:szCs w:val="28"/>
          <w:rtl w:val="true"/>
          <w:lang w:bidi="fa-IR"/>
        </w:rPr>
        <w:t>ما یکون مبناه علی الضرر</w:t>
      </w:r>
      <w:r>
        <w:rPr>
          <w:rStyle w:val="FootnoteAnchor"/>
          <w:rtl w:val="true"/>
        </w:rPr>
        <w:footnoteReference w:id="808"/>
      </w:r>
      <w:r>
        <w:rPr>
          <w:rFonts w:ascii="Amiri" w:hAnsi="Amiri" w:eastAsia="Amiri" w:cs="Amiri"/>
          <w:color w:val="111111"/>
          <w:sz w:val="28"/>
          <w:sz w:val="28"/>
          <w:szCs w:val="28"/>
          <w:rtl w:val="true"/>
          <w:lang w:bidi="ar-SA"/>
        </w:rPr>
        <w:t>غیر مفید جدّاً؛ فإنّ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یشمل کلا القسمین، ناظر إلی أنّ الشارع لم یجعل حکماً ضرریاً مطلقاً، فلو خرج ما کان طبعه علی الضرر لکان ذلک بنحو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ما یکون طبعه ضرریاً أولی بأن یکون مشمولًا له من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التخمیس و تطهیر الأموال بإخراج الزکاة لیس ضرر عرفاً</w:t>
      </w:r>
      <w:r>
        <w:rPr>
          <w:rStyle w:val="FootnoteAnchor"/>
          <w:rtl w:val="true"/>
        </w:rPr>
        <w:footnoteReference w:id="809"/>
      </w:r>
      <w:r>
        <w:rPr>
          <w:rFonts w:ascii="IRNazanin" w:hAnsi="IRNazanin" w:eastAsia="IRNazanin"/>
          <w:color w:val="111111"/>
          <w:sz w:val="28"/>
          <w:sz w:val="28"/>
          <w:szCs w:val="28"/>
          <w:rtl w:val="true"/>
          <w:lang w:bidi="fa-IR"/>
        </w:rPr>
        <w:t>قول بلا برهان؛ فإنّ سلب مالکیة المالک عن خمس ماله أو عُشره ضرر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یتمسّک بذیل الانصراف، و أنّه منصرف عن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لیس ببعید، لکن هذا لا یدفع أصل الإشکال؛ لورود تخصیصات غیرها علیه؛ خصوصاً علی ما قرّرناه</w:t>
      </w:r>
      <w:r>
        <w:rPr>
          <w:rFonts w:eastAsia="IRNazanin" w:cs="IRNazanin"/>
          <w:color w:val="111111"/>
          <w:sz w:val="28"/>
          <w:szCs w:val="28"/>
          <w:rtl w:val="true"/>
          <w:lang w:bidi="fa-IR"/>
        </w:rPr>
        <w:t>.</w:t>
      </w:r>
    </w:p>
    <w:p>
      <w:pPr>
        <w:pStyle w:val="Heading6"/>
        <w:numPr>
          <w:ilvl w:val="5"/>
          <w:numId w:val="1"/>
        </w:numPr>
        <w:rPr/>
      </w:pPr>
      <w:bookmarkStart w:id="682" w:name="__RefHeading___Toc3425831_3224264995"/>
      <w:bookmarkStart w:id="683" w:name="_Toc256"/>
      <w:bookmarkEnd w:id="682"/>
      <w:r>
        <w:rPr>
          <w:rtl w:val="true"/>
        </w:rPr>
        <w:t>الإشکالات غیر المشترکة</w:t>
      </w:r>
      <w:bookmarkEnd w:id="68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القولان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جعل المقام من قبیل المجاز فی الحذف أو فی الکلمة علی النهج المصطلح عندهم، من دون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ضعفهما فیما سبق، و أنّ تنزیل کلام البُلغاء علی هذه المنزلة یوجب سلب أیّ مزیة منها، و أنّ جمال المحاورة لیس فی حذف المضاف، کما تخیّل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أو فی استعمال لفظ فی معنی آخر لعلاقة المجاورة فقط،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جمال المحاورة و حسنها فی ادّعاء أنّ الأمر قد بلغ فی وضوحه حتّی وقف علیه القریة، و أنّها کأهلها شاعرة بذلک و واقفة به، و أنّ الماء لغزارته و کثرته صار إلی حدّ کأنّ المیزاب جاریاً بنفسه، فیعطی للمحلّ حکم الحالّ ادّعاءً، و قد أوضحنا فی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مرسلها و استعارتها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حقائق ادّعائیة</w:t>
      </w:r>
      <w:r>
        <w:rPr>
          <w:rStyle w:val="FootnoteAnchor"/>
          <w:rtl w:val="true"/>
        </w:rPr>
        <w:footnoteReference w:id="811"/>
      </w:r>
      <w:r>
        <w:rPr>
          <w:rFonts w:ascii="IRNazanin" w:hAnsi="IRNazanin" w:eastAsia="IRNazanin"/>
          <w:color w:val="111111"/>
          <w:sz w:val="28"/>
          <w:sz w:val="28"/>
          <w:szCs w:val="28"/>
          <w:rtl w:val="true"/>
          <w:lang w:bidi="fa-IR"/>
        </w:rPr>
        <w:t>،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الحقیقة الادّعائیة التی أشار إلیها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شی‌ء منها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المحقّق الخراسانی من نفی الآثار بلسان نفی موضوعها</w:t>
      </w:r>
      <w:r>
        <w:rPr>
          <w:rStyle w:val="FootnoteAnchor"/>
          <w:rtl w:val="true"/>
        </w:rPr>
        <w:footnoteReference w:id="812"/>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لیس موضوعاً لهذه الأحکام حتّی تنفی بنفیه؛ فإنّ ما هو الموضوع للزوم إنّما هو نفس العقد، لا الضرر و لا العقد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لنفس الضرر أثر بارز غیر مرتّب علیه، أو کان الضرر قلیل الوجود و عدیمه أمکن دعوی أنّه لا ضرر و لا ضرار، و هو غیر ما هو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المقام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لأنّ القائل یدّعی أنّ تمام الحقیقة للرجال إنّما هو المروّة و الشجاعة و المصارعة مع الأبطال فی معارک القتال، فمن تقاعد عنها جبناً لا یصحّ أن یعدّ رجلًا؛ لکونه فاقداً لما هو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الأحکام فلیس تمام الحقیقة للضرر حتّی تنفی بنفیه، فالقیاس مع الفارق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استنهض أنّه أظهر الاحتمالات؛</w:t>
      </w:r>
    </w:p>
    <w:p>
      <w:pPr>
        <w:pStyle w:val="BookText"/>
        <w:rPr/>
      </w:pPr>
      <w:r>
        <w:rPr>
          <w:rFonts w:ascii="IRNazanin" w:hAnsi="IRNazanin" w:eastAsia="IRNazanin"/>
          <w:color w:val="111111"/>
          <w:sz w:val="28"/>
          <w:sz w:val="28"/>
          <w:szCs w:val="28"/>
          <w:rtl w:val="true"/>
          <w:lang w:bidi="fa-IR"/>
        </w:rPr>
        <w:t>من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یشرّع جواز الإضرار بالغیر أو وجوب تحمّل الضرر عنه</w:t>
      </w:r>
      <w:r>
        <w:rPr>
          <w:rStyle w:val="FootnoteAnchor"/>
          <w:rtl w:val="true"/>
        </w:rPr>
        <w:footnoteReference w:id="813"/>
      </w:r>
      <w:r>
        <w:rPr>
          <w:rFonts w:ascii="IRNazanin" w:hAnsi="IRNazanin" w:eastAsia="IRNazanin"/>
          <w:color w:val="111111"/>
          <w:sz w:val="28"/>
          <w:sz w:val="28"/>
          <w:szCs w:val="28"/>
          <w:rtl w:val="true"/>
          <w:lang w:bidi="fa-IR"/>
        </w:rPr>
        <w:t>، فإن کان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الضرر عنه عائداً إلی الشارع أو إلی الغیر المقصود منه الشارع علی طریق الاستخدام فهو یرجع إلی مختار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منه المکلّفین؛ بمعنی عدم وجوب تحمّل الضرر عن الناس و جواز الدفاع عنه و جواز تدارکه علی نحو التقاصّ فهو ضعیف غایته لا یقصر عمّا احتمله بعض الفحول</w:t>
      </w:r>
      <w:r>
        <w:rPr>
          <w:rStyle w:val="FootnoteAnchor"/>
          <w:rtl w:val="true"/>
        </w:rPr>
        <w:footnoteReference w:id="814"/>
      </w:r>
      <w:r>
        <w:rPr>
          <w:rFonts w:ascii="IRNazanin" w:hAnsi="IRNazanin" w:eastAsia="IRNazanin"/>
          <w:color w:val="111111"/>
          <w:sz w:val="28"/>
          <w:sz w:val="28"/>
          <w:szCs w:val="28"/>
          <w:rtl w:val="true"/>
          <w:lang w:bidi="fa-IR"/>
        </w:rPr>
        <w:t>، کما سیجی‌ء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الاخر لتوضیح الحقیقة الادّعائیة</w:t>
      </w:r>
      <w:r>
        <w:rPr>
          <w:rStyle w:val="FootnoteAnchor"/>
          <w:rtl w:val="true"/>
        </w:rPr>
        <w:footnoteReference w:id="815"/>
      </w:r>
      <w:r>
        <w:rPr>
          <w:rFonts w:ascii="IRNazanin" w:hAnsi="IRNazanin" w:eastAsia="IRNazanin"/>
          <w:color w:val="111111"/>
          <w:sz w:val="28"/>
          <w:sz w:val="28"/>
          <w:szCs w:val="28"/>
          <w:rtl w:val="true"/>
          <w:lang w:bidi="fa-IR"/>
        </w:rPr>
        <w:t>فیرد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الاعتراف باختلافها فی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الحقیقة من رأس و ادّعاء انتفائها فی الخارج مع وجودها فیه إنّما یصحّ إذا نزّل الموجود منزلة المعدوم؛ إمّا لندرة وجودها، و إمّا لقلعها لأجل قطع أسبابها و عللها حتّی یندر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الشقّین غیر صحیح؛ لکثرة وجود الضرر فی الخارج و شیوعه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نهی الشارع عن الإضرار أو أمره بالتدارک لا یوجب و لا یصحّح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قلع أسباب الضرر تشریعاً فیبطله کثرة الأحکام الضرریة، و کون اصول أحکامه و أساس دینه أحکاماً ضرریة علی العباد فی عاجلهم فی نظر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یدّعی أنّه لا حکم ضرری فی الإسلام، و أنّه قلع أسباب الضرر بعدم تشریع حکم ضرری؟ فهل هذا إلّا کادّعاء السلطان بأنّه لا سرقة فی حوزة سلطنتی و حمی قدرتی، مع کون مقرّبی حضرته من السَرَقة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أردأ الوجوه بعامّة تقریراته، و أنّه لا یقصر عمّا</w:t>
      </w:r>
    </w:p>
    <w:p>
      <w:pPr>
        <w:pStyle w:val="BookText"/>
        <w:rPr/>
      </w:pPr>
      <w:r>
        <w:rPr>
          <w:rFonts w:ascii="IRNazanin" w:hAnsi="IRNazanin" w:eastAsia="IRNazanin"/>
          <w:color w:val="111111"/>
          <w:sz w:val="28"/>
          <w:sz w:val="28"/>
          <w:szCs w:val="28"/>
          <w:rtl w:val="true"/>
          <w:lang w:bidi="fa-IR"/>
        </w:rPr>
        <w:t>أفاده بعض الفحول الذی قال بعض الأعلام بأنّه أردأ الوجوه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تمسّک به الأعلام فی تصحیح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ناظر إلی الأحکام التی ینشأ من إطلاقها الضرر لا إلی ما طبعه علی الضرر</w:t>
      </w:r>
      <w:r>
        <w:rPr>
          <w:rStyle w:val="FootnoteAnchor"/>
          <w:rtl w:val="true"/>
        </w:rPr>
        <w:footnoteReference w:id="817"/>
      </w:r>
      <w:r>
        <w:rPr>
          <w:rFonts w:ascii="IRNazanin" w:hAnsi="IRNazanin" w:eastAsia="IRNazanin"/>
          <w:color w:val="111111"/>
          <w:sz w:val="28"/>
          <w:sz w:val="28"/>
          <w:szCs w:val="28"/>
          <w:rtl w:val="true"/>
          <w:lang w:bidi="fa-IR"/>
        </w:rPr>
        <w:t>، کدعوی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المذکورة لیست ضرریة</w:t>
      </w:r>
      <w:r>
        <w:rPr>
          <w:rStyle w:val="FootnoteAnchor"/>
          <w:rtl w:val="true"/>
        </w:rPr>
        <w:footnoteReference w:id="818"/>
      </w:r>
      <w:r>
        <w:rPr>
          <w:rFonts w:ascii="IRNazanin" w:hAnsi="IRNazanin" w:eastAsia="IRNazanin"/>
          <w:color w:val="111111"/>
          <w:sz w:val="28"/>
          <w:sz w:val="28"/>
          <w:szCs w:val="28"/>
          <w:rtl w:val="true"/>
          <w:lang w:bidi="fa-IR"/>
        </w:rPr>
        <w:t>، غیر صحیح جدّاً؛ إذ کما لا یصحّ نفی الضرر عن صحیفة التکوین مع شیوعه فیها، فهکذا لا یصحّ أن ینفی مع کون اصول فروعه أحکاماً ضرریة عند العقلاء؛ من جهاده و زکاته و حجّه و خمسه و سلبه المالیة عن أشیاء هی أحبّ الأمتعة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مصحّح الادّعاء، و قد عرفت أنّه لا یصحّ نفی هویة الضرر تکویناً أو تشریعاً إلّا بتنزیل الموجود منه منزلة المعدوم؛ لندرته فی الخارج أو لإعدام علله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صحیفة التکوین مملوّة منه،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بالتدارک أو النهی عن الإضرار لا یصحّح دعوی نفی هویة الضرر عن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صحیفة التشریع مشتملة علی أحکام تعدّ اصولًا لفروع الدین، و هی بعامّتها ضرریة عند العقلاء، و مع هذا الشیوع فی التکوین و التشریع لا یصحّ أن یدّعی ندرة وجوده، و لا قلع أسبابه فی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عرفت من حدیث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الإشکال،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الاحتمال الأوّل الذی اختاره الشیخ الأعظم، و تبعه المشایخ و المعاصرون، و قد عرفت ضعفه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 فی الضعف ما نقله عن بعض الفحول، و بما أنّ الأساتذة و الأعلام قد</w:t>
      </w:r>
      <w:bookmarkStart w:id="684" w:name="pg12912_112100"/>
    </w:p>
    <w:p>
      <w:pPr>
        <w:pStyle w:val="BookText"/>
        <w:rPr/>
      </w:pPr>
      <w:bookmarkEnd w:id="684"/>
      <w:r>
        <w:rPr>
          <w:rFonts w:ascii="IRNazanin" w:hAnsi="IRNazanin" w:eastAsia="IRNazanin"/>
          <w:color w:val="111111"/>
          <w:sz w:val="28"/>
          <w:sz w:val="28"/>
          <w:szCs w:val="28"/>
          <w:rtl w:val="true"/>
          <w:lang w:bidi="fa-IR"/>
        </w:rPr>
        <w:t>أوضحوه حقّه و ضعّفوه غایته فیلزم علینا أن نضرب عنه صفحاً، و نعطف عنان الکلام إلی ما أوضحه فرید عصره شیخ الشریعة الأصفهانی؛ آخذاً خلاصة مرماه من رسالته</w:t>
      </w:r>
      <w:r>
        <w:rPr>
          <w:rFonts w:eastAsia="IRNazanin" w:cs="IRNazanin"/>
          <w:color w:val="111111"/>
          <w:sz w:val="28"/>
          <w:szCs w:val="28"/>
          <w:rtl w:val="true"/>
          <w:lang w:bidi="fa-IR"/>
        </w:rPr>
        <w:t>:</w:t>
      </w:r>
    </w:p>
    <w:p>
      <w:pPr>
        <w:pStyle w:val="Heading6"/>
        <w:numPr>
          <w:ilvl w:val="5"/>
          <w:numId w:val="1"/>
        </w:numPr>
        <w:rPr/>
      </w:pPr>
      <w:bookmarkStart w:id="685" w:name="__RefHeading___Toc3425833_3224264995"/>
      <w:bookmarkStart w:id="686" w:name="_Toc257"/>
      <w:bookmarkEnd w:id="685"/>
      <w:r>
        <w:rPr>
          <w:rtl w:val="true"/>
        </w:rPr>
        <w:t>حول ما أفاده شیخ الشریعة الأصفهانی</w:t>
      </w:r>
      <w:bookmarkEnd w:id="686"/>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الوجوه المحتملة فی کلمات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المتعیّن للأخذ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النفی بمعنی النهی عن الضرر، و له أشباه و نظائر فی الکتاب و السنّة، و إلیک منها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لَکَ فِی الْحَیاةِ أَنْ تَقُولَ لا مِساسَ</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أی لا تقربنی و لا تمسّنی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جَلَب و لا جَنَب و لا شِغار فی الإسلام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جلب و لا جنب و لا اعتراض</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إخصاء فی الإسلام و لا بنیان کنیسة</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فی الإسلام و لا مُناجشة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فی الأراک</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إلّا ما حمی اللَّه و رسوله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صُمات یوم إلی اللیل</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صرورة فی الإسلام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 بین المسلمین فوق ثلاثة أیّام</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الکتاب و السنّة، و لو ذهبنا لنستقصی ما وقع من نظائرها فی الروایات و استعمالات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 المقال و أدّی إلی کلال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ذکرنا کفایة فی إثبات شیوع هذا المعنی فی هذا الترکیب؛ أعنی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و فی ردّ من قال</w:t>
      </w:r>
      <w:r>
        <w:rPr>
          <w:rStyle w:val="FootnoteAnchor"/>
          <w:rtl w:val="true"/>
        </w:rPr>
        <w:footnoteReference w:id="833"/>
      </w:r>
      <w:r>
        <w:rPr>
          <w:rFonts w:ascii="IRNazanin" w:hAnsi="IRNazanin" w:eastAsia="IRNazanin"/>
          <w:color w:val="111111"/>
          <w:sz w:val="28"/>
          <w:sz w:val="28"/>
          <w:szCs w:val="28"/>
          <w:rtl w:val="true"/>
          <w:lang w:bidi="fa-IR"/>
        </w:rPr>
        <w:t>فی إبطال احتمال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بمعنی النهی و إن کان لیس بعزیز إلّا أنّه لم یعهد من مثل هذا الترکیب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الأذهان الفارغة لا تسبق إلّا إلی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أیّد مقاله بأنّ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صغری و کبری، فعلی المختار یصیر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رجل مضارّ، و المضارّة حرام، و هو المناسب لتلک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ارید غیره ممّا یقولون صار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رجل مضارّ، و الحکم الموجب للضرر منفی أو الحکم المجعول منفی فی صورة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بالأذهان المستقیمة ارتضاءه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موافق لکلمات أئمّة اللغة و مَهَرة أهل اللسان و قد نقل قدس سره کثیراً من عبائرهم التی قدّمنا ذکرها عند البحث عن مفردات الحدیث</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المدّعی أنّ حدیث الضرر یراد به إفادة النهی عنه؛ سواء کان هذا باستعمال الترکیب فی النهی ابتداءً أو أنّه استعمل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لینتقل منه إلی إرادة النهی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یراد به إفادة النهی لا نفی الحکم الضرری و لا نفی الحکم المجعول للموضوعات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فی هذا المدّعی أنّ استعمال النفی فی النهی بأیّ وجه، و ربّما کانت دعوی الاستعمال فی معنی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للانتقال إلی 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فی إثبات المدّعی؛ حیث</w:t>
      </w:r>
    </w:p>
    <w:p>
      <w:pPr>
        <w:pStyle w:val="BookText"/>
        <w:rPr/>
      </w:pPr>
      <w:r>
        <w:rPr>
          <w:rFonts w:ascii="Amiri" w:hAnsi="Amiri" w:eastAsia="Amiri" w:cs="Amiri"/>
          <w:color w:val="111111"/>
          <w:sz w:val="28"/>
          <w:sz w:val="28"/>
          <w:szCs w:val="28"/>
          <w:rtl w:val="true"/>
          <w:lang w:bidi="ar-SA"/>
        </w:rPr>
        <w:t>لا یتّجه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یستشکل فی المعنی الأوّل؛ من أنّه تجوّز لا یُصار إلیه</w:t>
      </w:r>
      <w:r>
        <w:rPr>
          <w:rStyle w:val="FootnoteAnchor"/>
          <w:rtl w:val="true"/>
        </w:rPr>
        <w:footnoteReference w:id="836"/>
      </w:r>
      <w:r>
        <w:rPr>
          <w:rFonts w:ascii="IRNazanin" w:hAnsi="IRNazanin" w:eastAsia="IRNazanin"/>
          <w:color w:val="111111"/>
          <w:sz w:val="28"/>
          <w:sz w:val="28"/>
          <w:szCs w:val="28"/>
          <w:rtl w:val="true"/>
          <w:lang w:bidi="fa-IR"/>
        </w:rPr>
        <w:t>انتهی الموارد الحسّاسة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نزر من کثیر من کلامه، و هو قدس سره بالغ فی إثبات مرامه، و 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إمّا مستعمل فی النهی ابتداءً، و إمّا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التعبیر بالجملة الخبریة فی مقام الإنشاء طلباً لإفهام شدّة التنفّر و الانزجار عنه؛ حتّی یقف المخاطب إلی الزجر الأکید، و أنّ المولی لا یرضی بأیّ وجه بوقوعه و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المولی إذا أراد أن یطّلع المخاطب علی مطلوبیة أمر و محبوبیته ربّما أتی بالجملة الخبریة مخبراً عن وجوده؛ حتّی ینتقل المخاطب إلی البعث الشدید و الإرادة المؤکّدة؛ بحیث نزّله منزلة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أظهر ممّا احتمله القوم؛ بحیث لو دار الأمر بین المحتملات المزبورة فالترجیح معه، و لکن ما ذکره لا یتعیّن إلّا بإبطال ما ذکروه من المحتملات علی حذو ما أبطلناه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کثرة الاستعمال لا یوجب التعیّن مع کونه مجازاً؛ سواء ارید منه النهی أو ارید منه النفی؛ کنایة عن النهی علی النحو الذی عرفت؛ فإنّه أیضاً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المعنی الحقیقی قد صار عبرة إلی معنی آخر؛ و هو إنشاء النهی عن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ما ذکره لما صحّ إلّا من هذا الطریق، و هو أیضاً مجاز کما لا یخفی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شیوعه لیس موجباً لظهوره فیه ابتداءً أو مع تعذّر الحقیقة مع انفتاح باب المحتملات التی أفادها الأعلام، إلّا أن تدفع بما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النفی و إرادة النهی و إن کان شائعاً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استشهد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بمثابة یکون من المجازاة الراجحة عند تعذّر الحقیقة؛ لأنّ استعماله فی غیره أشیع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ما یلی من الروایات و الکلمات ممّا ورد علی حذو هذا الترکیب، و قد ارید منه النفی بلا إشکال، و نحن نذکر قلیلًا من کثیر ممّا ربّما یطّلع علیه المتتبّع فی طیات الأبواب و الکتب، و إلیک بیانها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علی طهر</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شاهدین </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فیما لا تملک، و لا عتق فیما لا تملک، و لا بیع فیما لا تملک</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السکران الذی لا یعقل</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ظهار إلّا فی طهر</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ما ارید به الطلاق و لا ظهار إلّا ما ارید به الظهار</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إیلاء حتّی یدخل بها</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للعبد و لا طلاق إلّا بإذن مولاه</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للولد مع والده و لا للمملوک مع مولاه، و لا للمرأة مع زوجها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احتلام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قبل الملک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قبل النکاح</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قطیعة</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فی معصیة اللَّه</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فیما لا یبذل</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استکراه و لا علی سکر و لا علی معصیة</w:t>
      </w:r>
      <w:r>
        <w:rPr>
          <w:rFonts w:eastAsia="IRNazanin" w:cs="IRNazanin"/>
          <w:color w:val="111111"/>
          <w:sz w:val="28"/>
          <w:szCs w:val="28"/>
          <w:rtl w:val="true"/>
          <w:lang w:bidi="fa-IR"/>
        </w:rPr>
        <w:t>»</w:t>
      </w:r>
      <w:r>
        <w:rPr>
          <w:rStyle w:val="FootnoteAnchor"/>
          <w:rtl w:val="true"/>
        </w:rPr>
        <w:footnoteReference w:id="8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إلّا باللَّه</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فیما لا یملکه ابن آدم</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لمن أقرّ علی نفسه بسهو</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87" w:name="pg12912_112106"/>
    </w:p>
    <w:p>
      <w:pPr>
        <w:pStyle w:val="BookText"/>
        <w:rPr/>
      </w:pPr>
      <w:bookmarkEnd w:id="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فی معصیة اللَّه</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لمکره</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ارید فیها غیر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النفی فی النهی لیس علی حدّ یوجب انصرافه إلیه، و عدم ظهوره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دار الأمر بینه و بین ما ذکره القوم فما اختاره أرجح، لخلوّه عن کثیر ممّا ذکرناه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حان البحث عمّا أشرنا إلیه فی مقدّمة البحث</w:t>
      </w:r>
      <w:r>
        <w:rPr>
          <w:rStyle w:val="FootnoteAnchor"/>
          <w:rtl w:val="true"/>
        </w:rPr>
        <w:footnoteReference w:id="856"/>
      </w:r>
      <w:r>
        <w:rPr>
          <w:rFonts w:ascii="IRNazanin" w:hAnsi="IRNazanin" w:eastAsia="IRNazanin"/>
          <w:color w:val="111111"/>
          <w:sz w:val="28"/>
          <w:sz w:val="28"/>
          <w:szCs w:val="28"/>
          <w:rtl w:val="true"/>
          <w:lang w:bidi="fa-IR"/>
        </w:rPr>
        <w:t>من المختار فی معنی هذه القاعدة، و لم أعثر علیه فی کلام القوم، و هو أقرب الاحتمالات بملاحظة اللفظ الوارد من طرق العامّة، و ما روی فی شأنها من طرق الخاصّة</w:t>
      </w:r>
      <w:r>
        <w:rPr>
          <w:rFonts w:eastAsia="IRNazanin" w:cs="IRNazanin"/>
          <w:color w:val="111111"/>
          <w:sz w:val="28"/>
          <w:szCs w:val="28"/>
          <w:rtl w:val="true"/>
          <w:lang w:bidi="fa-IR"/>
        </w:rPr>
        <w:t>.</w:t>
      </w:r>
    </w:p>
    <w:p>
      <w:pPr>
        <w:pStyle w:val="Heading6"/>
        <w:numPr>
          <w:ilvl w:val="5"/>
          <w:numId w:val="1"/>
        </w:numPr>
        <w:rPr/>
      </w:pPr>
      <w:bookmarkStart w:id="688" w:name="__RefHeading___Toc3425835_3224264995"/>
      <w:bookmarkStart w:id="689" w:name="_Toc258"/>
      <w:bookmarkEnd w:id="688"/>
      <w:r>
        <w:rPr>
          <w:rtl w:val="true"/>
        </w:rPr>
        <w:t>حول المختار فی معنی الروایة</w:t>
      </w:r>
      <w:bookmarkEnd w:id="689"/>
    </w:p>
    <w:p>
      <w:pPr>
        <w:pStyle w:val="BookText"/>
        <w:rPr/>
      </w:pPr>
      <w:r>
        <w:rPr>
          <w:rFonts w:ascii="IRNazanin" w:hAnsi="IRNazanin" w:eastAsia="IRNazanin"/>
          <w:color w:val="111111"/>
          <w:sz w:val="28"/>
          <w:sz w:val="28"/>
          <w:szCs w:val="28"/>
          <w:rtl w:val="true"/>
          <w:lang w:bidi="fa-IR"/>
        </w:rPr>
        <w:t>و تحقیق الحقّ و تمحیصه یحتاج إلی ذکر امور، سیوافیک بعضها فی رسالة الاجتهاد و التقلید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للنبی الأکرم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الرسالة، و هو صلی الله علیه و آله و سلم بما أنّه نبی و رسول ینبئ عن اللَّه و یبلّغ أحکامه؛ خطیرها و حقیرها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 السلطنة، فهو صلی الله علیه و آله و سلم سلطان الامّة و الحاکم بینهم، وسائس العباد فی البلاد، و هو بما أنّ له السلطنة و الحکومة یرسل سریّة و یأمر بالجهاد و یعدّ القوّة و یقضی علی المتخلّف، إلی غیر ذلک من شؤون الحکومة الإلهیة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المقامین أوضح من أن یخفی؛ فإنّه صلی الله علیه و آله و سلم بما أنّه نبی و رسول لیس له أمر و لا نهی، و لا بعث و لا زجر، بل کلّما یأمر به أو ینهی عنه فإرشاد إلی أمره تعالی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أطاع المکلّف أو عصی فإنّما أطاع أمر اللَّه و نهیه، و هکذا إذا عصی تکالیفه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رسوله و مبلّغ أحکامه فلیس له فی میادین التشریع أمر و لا نهی حتّی یتصوّر الإطاعة و العصیان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الرسول و أوصیائه فی تبلیغ أحکامه کمثل الفقهاء بالنسبة إلی مقلّدیهم فی أنّهم امناء اللَّه فی نشر أحکامه و بسط تکالیفه، من دون أن یکون لهم مولویة بالنسبة إلی ما یبلّغونه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بصورة الأمر، لکنّه إرشاد إلی الأمر الإلهی، و أنّه تعالی أمر بکذا و أمرنی بتبلیغه، و ما علی الرسول إلّا البلاغ، فهکذا إذا تفوّه به المقلّد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أمر بما أنّه سائس الامّة و سلطانها فیجب إطاعته و یحرم مخالفته، فلو خالف فإنّما خالف أمر الرسول و نهیه، و لو أطاع فقد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الإطاعة و العصیان عندئذٍ ینسب إلی الرسول ابتداءً، و یکون أوامرها و نواهیها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مولویة ذات إطاعة و عصیان، من دون أن یکون إرشاداً إلی حکم إلهی، أو إلی بعثه و زجره؛ و إن کانت هذه السلطنة مجعولة من اللَّه تعالی بالنسبة إلیه، لکن الأمر و الجعل بعد ما تمّ و استتمّ یکون صاحب المقام ذا دستور و أمر و زجر مستقلًاّ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فأمر بإطاعة اولی الأمر بما أنّهم أولیاء الامّة، کما أنّه أمر بإطاعة رسوله و إطاعة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ینظر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القضاوة و فصل الخصومة عند التنازع فی مال أو حقّ أو میراث و أشباهه، فهو یحکم و یفصّل و یقضی و یبرم بما أنّه قاضی الامّة و حاکمها الشرعی فی الامور الحسبیة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ما قضی به لازم الإطاعة، و لا یجوز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المناصب قد تجتمع فی شخص واحد، کما فی نفس الرسول و أوصیائه، و ربّما یجعل الحکومة لشخص، فیجب إطاعة قوله فیما یرجع إلی شؤون السلطنة دون ما یرجع إلی شؤون القضاوة، و یجعل القضاوة لشخص آخر فیتّبع قوله فی شؤونها من فصل الخصومة، و ربّما یکون شخص واحد قاضیاً و حاکماً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مناصب ثلاثة، و لکلّ واحد آثار، و الرسول مع أنّه نبی</w:t>
      </w:r>
    </w:p>
    <w:p>
      <w:pPr>
        <w:pStyle w:val="BookText"/>
        <w:rPr/>
      </w:pPr>
      <w:r>
        <w:rPr>
          <w:rFonts w:ascii="Amiri" w:hAnsi="Amiri" w:eastAsia="Amiri" w:cs="Amiri"/>
          <w:color w:val="111111"/>
          <w:sz w:val="28"/>
          <w:sz w:val="28"/>
          <w:szCs w:val="28"/>
          <w:rtl w:val="true"/>
          <w:lang w:bidi="ar-SA"/>
        </w:rPr>
        <w:t>و رسول و مبلّغ، سلطان حاکم یجب إطاعته فی شؤون الخلافة و السلطنة الإلهیة، و قاضٍ یتّبع قضاؤه فی مختلف الامور، و إلیه ینظر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سوف یوافیک البحث عن هذه المناصب عند البحث عن النیابة العامّة للفقیه فی محالّها</w:t>
      </w:r>
      <w:r>
        <w:rPr>
          <w:rStyle w:val="FootnoteAnchor"/>
          <w:rtl w:val="true"/>
        </w:rPr>
        <w:footnoteReference w:id="861"/>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المناصب الثلاثة، و وقفت علی آثارها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ورد فی الروایات من الرسول و وصیه من أنّه قضی أو أمر فهو ظاهر فی أنّه قضی به أو أمر به بما أنّه قاضی الامّة وسائسها، لا بما أنّه مبلّغ الأحکام و ناشرها؛ حتّی یکون إرشاداً إلی أمره و حکمه تعالی؛ فإنّ ذلک خلاف ظاهر اللفظ، فلا یؤخذ حتّی یقوم علیه القرینة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فی الأثر الصحیح أنّ الرسول أمر به و حکم أو قضی و أبرم فهو ظاهر فی أمر الرسول نفسه و حکمه و قضائه بما أنّ له منصبی الحکومة و القضاوة، لا بما أنّه مبلّغ للحرام و الحلال؛ لما عرفت من أنّه لیس للرسول و أوصیائه أمر فی أحکامه و حلاله و حرامه تعالی، و لیسوا ذا أمر و نهی، و لا ذا 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أمر و قضی اقتضی ظهور اللفظ أنّ الأمر أمره و القضاء قضاؤه، فیجب الأخذ به، و لا یعدل إلی غیره من الإرشاد إلی أمره تعالی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قلّما تجد أمثال هذه التعابیر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الرسول و الأمیر ممّن حالت الأعداء بینهم و بین مناصبهم الشرعیة من السلطنة و القضاوة، و لم یساعد الزمان علی قضائهم و حکومتهم، و لکن تجدها کثیراً فی الأثر المنقول من الرسول و وصیه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دلّ دلیل علی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الإرشاد إلی حکمه تعالی و أمره و حلاله و حرامه فنأخذ بمقتضی الدلیل، و إلّا فاللفظ ظاهر فی أنّه الأمر المولوی و القضاء و الحکومة، لا الإرشاد إلی حکمه و أمره تعالی شأنه؛ فإنّه مجاز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یعبّر عن الأوامر الصادرة عنهم علیهم السلام بما أنّ لهم مناصب السلطنة و الحکومة و القضاوة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أو أمیر المؤمنین لمن تخاصما فی مال أو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لصاحب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زعیم الجیش، فاذهب بسریتک إلی قطر من أقطار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ذلک لا یضرّ بالمرام؛ فإنّ القرائن الحالیة قائمة علی أنّ الأمر کان أمراً سلطانیاً، و أنّ قوله هذا قضاء بالحمل الشائع، من دون أن یحتاج إلی التعبیر عنه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الأمر المولوی السلطانی، و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القضاء و فصل الخصومة، و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الآثار من التعبیر بأنّه صلی الله علیه و آله و سلم قال فدلالته علی أنّه کان أمراً مولویاً سلطانیاً یحتاج إلی قرینة 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نقل بصیغ الأمر فهی ظاهرة فی حدّ أنفسها فی الأمر المولوی، فالعدول عنه یحتاج إلی دلیل آخر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سرد بعض الروایات الصادرة عنهم علیهم السلام بالألفاظ المتقدّمة،</w:t>
      </w:r>
    </w:p>
    <w:p>
      <w:pPr>
        <w:pStyle w:val="BookText"/>
        <w:rPr/>
      </w:pPr>
      <w:r>
        <w:rPr>
          <w:rFonts w:ascii="IRNazanin" w:hAnsi="IRNazanin" w:eastAsia="IRNazanin"/>
          <w:color w:val="111111"/>
          <w:sz w:val="28"/>
          <w:sz w:val="28"/>
          <w:szCs w:val="28"/>
          <w:rtl w:val="true"/>
          <w:lang w:bidi="fa-IR"/>
        </w:rPr>
        <w:t>و نردفه بما ورد عنهم علیهم السلام بغیر تلک الألفاظ، غیر أنّ القرائن متظافرة علی أنّ الأوامرَ أوامر مولویة سلطانیة، و أنّ الحکم حکم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منه غیضاً من فیض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إنّما أقضی بینکم بالبیّنات و الأیمان</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تفسیر الإمام علیه السلام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یحکم بین الناس بالبیّنات و الأیمان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الإسلام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یقضی بشاهد واحد مع یمین صاحب الحقّ</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أنّ رسول اللَّه قد قضی بشاهد و یمین</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 و دونک أقضیة الإمام أمیر المؤمنین المرویة بأنّه علیه السلام قضی فی واقعة کذا و کذا</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ربّما یبدّل هذا بلفظ الإجازة،</w:t>
      </w:r>
    </w:p>
    <w:p>
      <w:pPr>
        <w:pStyle w:val="BookText"/>
        <w:rPr/>
      </w:pPr>
      <w:r>
        <w:rPr>
          <w:rFonts w:ascii="IRNazanin" w:hAnsi="IRNazanin" w:eastAsia="IRNazanin"/>
          <w:color w:val="111111"/>
          <w:sz w:val="28"/>
          <w:sz w:val="28"/>
          <w:szCs w:val="28"/>
          <w:rtl w:val="true"/>
          <w:lang w:bidi="fa-IR"/>
        </w:rPr>
        <w:t>کما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أجزنا شهادة الرجل الواحد إذا علم منه خیر مع یمین الخصم فی حقوق الناس، فأمّا ما کان من حقوق اللَّه عزّ و جلّ أو رؤیة الهلال فلا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رسول اللَّه شهادة شاهد مع یمین طالب الحقّ</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إجازة سلطانی و تنفیذ مولوی، و إلیک بعض الروایات الحاکیة لقضایا رسول اللَّه بما أنّه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قضی فی هوائر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النخلة و النخلتان للرجل فی حائط الآخر، فیختلفون فی حقوق تلک، فقضی فیها أنّ لکلّ نخلة من اولئک من الأرض مبلغ جریدة من جرائدها حین بعدها</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النبی فی رجل باع نخلًا و استثنی علیه نخلة، فقضی له رسول اللَّه بالمدخل إلیها و المخرج منها و مدی جرائدها</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فی سیل وادی مهزور للزرع إلی الشراک و للنخل إلی الکعب، ثمّ یرسل الماء</w:t>
      </w:r>
    </w:p>
    <w:p>
      <w:pPr>
        <w:pStyle w:val="BookText"/>
        <w:rPr/>
      </w:pPr>
      <w:r>
        <w:rPr>
          <w:rFonts w:ascii="IRNazanin" w:hAnsi="IRNazanin" w:eastAsia="IRNazanin"/>
          <w:color w:val="111111"/>
          <w:sz w:val="28"/>
          <w:sz w:val="28"/>
          <w:szCs w:val="28"/>
          <w:rtl w:val="true"/>
          <w:lang w:bidi="fa-IR"/>
        </w:rPr>
        <w:t>إلی أسفل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مهزور موضع واد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ورد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القرائن هادیة إلی المراد، و أنّ المرمی هو الحکم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کثیرة، و إلیک نقل بعض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عقبة بن خالد عن أبی عبد اللَّه فی رجل أتی جبلًا، فشقّ فیه قناة، فذهبت قناة الآخر بماء قناة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یتقایسان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بحقائب البئر </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نحوه، و 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رسول اللَّه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الاولی أخذت ماء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قد أوردنا الروایة بتمامها فی صدر الرسالة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أبواب الجهاد عن أبی جعفر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فاقتلوا المشرکین و استحیوا شیوخهم و صبیانهم</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الأمر مولویاً سلطانیاً</w:t>
      </w:r>
      <w:r>
        <w:rPr>
          <w:rStyle w:val="FootnoteAnchor"/>
          <w:rtl w:val="true"/>
        </w:rPr>
        <w:footnoteReference w:id="875"/>
      </w:r>
      <w:bookmarkStart w:id="690" w:name="pg12912_112114"/>
    </w:p>
    <w:p>
      <w:pPr>
        <w:pStyle w:val="BookText"/>
        <w:rPr/>
      </w:pPr>
      <w:bookmarkEnd w:id="69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أبی عبد اللَّه فی آداب الجهاد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إذا أراد أن یبعث سریّة دعاهم، فاجلسهم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باسم اللَّه و باللَّه و فی سبیل اللَّه و علی ملّة رسول اللَّه صلی الله علیه و آله و سلم، لا تغلّوا و لا تمثّلوا و لا تغدروا، و لا تقتلوا شیخاً فانیاً و لا صبیاً و لا امرأة، و لا تقطعوا شجراً إلّا أن تضطرّوا إلیها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إبراهیم بن جندب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کان یأمر فی کلّ موطن لقینا فیه عدوّنا،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القوم حتّی یبدؤکم؛ فإنّکم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 و ترککم إیّاهم حتّی یبدؤکم حجّة اخری لکم، فإذا هزمتموهم فلا تقتلوا مُدبراً و لا تُجهزوا علی جریح و لا تکشفوا عورة و لا تُمثّلوا بقتیل</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یمکن أن یستشهد لما قصدناه، و إلیک بیان ما هو المحصّل من هذه الامور</w:t>
      </w:r>
      <w:r>
        <w:rPr>
          <w:rFonts w:eastAsia="IRNazanin" w:cs="IRNazanin"/>
          <w:color w:val="111111"/>
          <w:sz w:val="28"/>
          <w:szCs w:val="28"/>
          <w:rtl w:val="true"/>
          <w:lang w:bidi="fa-IR"/>
        </w:rPr>
        <w:t>:</w:t>
      </w:r>
    </w:p>
    <w:p>
      <w:pPr>
        <w:pStyle w:val="Heading6"/>
        <w:numPr>
          <w:ilvl w:val="5"/>
          <w:numId w:val="1"/>
        </w:numPr>
        <w:rPr/>
      </w:pPr>
      <w:bookmarkStart w:id="691" w:name="__RefHeading___Toc3425837_3224264995"/>
      <w:bookmarkStart w:id="692" w:name="_Toc259"/>
      <w:bookmarkEnd w:id="691"/>
      <w:r>
        <w:rPr>
          <w:rtl w:val="true"/>
        </w:rPr>
        <w:t>الغایة من المقالة</w:t>
      </w:r>
      <w:bookmarkEnd w:id="692"/>
    </w:p>
    <w:p>
      <w:pPr>
        <w:pStyle w:val="BookText"/>
        <w:rPr/>
      </w:pPr>
      <w:r>
        <w:rPr>
          <w:rFonts w:ascii="IRNazanin" w:hAnsi="IRNazanin" w:eastAsia="IRNazanin"/>
          <w:color w:val="111111"/>
          <w:sz w:val="28"/>
          <w:sz w:val="28"/>
          <w:szCs w:val="28"/>
          <w:rtl w:val="true"/>
          <w:lang w:bidi="fa-IR"/>
        </w:rPr>
        <w:t>إذا عرفت ما أوضحناه من الامور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المتعیّن حسب القرائن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النهی عن الضرر، لکن لا بمعنی النهی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کأکثر النواهی المذکورة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النهی السلطانی و الحکم المولوی، و قد صدر عنه بما أنّه سائس الملّة و قائدها، و رئیس الملّة و أمیرها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صلی الله علیه و آله و سلم نهی أن یضرّ الناس بعضهم ببعض، و أن یجعل أحد أحداً فی ضیق و حرج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ألقاه صلی الله علیه و آله و سلم علی الوجه الکلّی حتّی یکون حجّة علی الکلّ فی جمیع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بما أنّه نهی سلطانی صدر عن نبی مفترض الطاعة یجب اقتفاء أثره و اتّباع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فی مسنده بروایة عبادة بن الصامت؛ حیث وقفت علی أنّه رواه بلفظة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ضرر و لا ضرار</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سائر الأقضیة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w:t>
      </w:r>
      <w:r>
        <w:rPr>
          <w:rStyle w:val="FootnoteAnchor"/>
          <w:rtl w:val="true"/>
        </w:rPr>
        <w:footnoteReference w:id="879"/>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المقضی و المحکوم به من أحکام رسول اللَّه صلی الله علیه و آله و سلم بما هو سلطان، أو من قضائه بما هو قاضٍ، و معه لا مجال لحمله علی أنّه صلی الله علیه و آله و سلم بصدد الحکم النازل إلیه من عند اللَّه؛ إذ لیس المقام مقامه، و ظاهر الکلام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المقام لیس مقام فصل الخصومة و القضاء،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کونه نهیاً سلطانیاً أراد به نهی الامّة عن الإضرار و إیجاد الضیق و الحرج</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 ما ذکرنا من أنّه نهی سلطانی، ما تقدّم منّا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فی أنّ الحکم المتلوّ له صادر عنه صلی الله علیه و آله و سلم بما هو قاضٍ؛ فإنّ ذلک صحیح إذا لم یقم قرینة علی کونه لیس بصدد فصل الخصومة و القضاء،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وحید عصره شیخ الشریعة قدس سره من أنّه نهی إلهی؛ مستدلا بأنّ شرّاح الحدیث فسّروه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أخاه</w:t>
      </w:r>
      <w:r>
        <w:rPr>
          <w:rStyle w:val="FootnoteAnchor"/>
          <w:rtl w:val="true"/>
        </w:rPr>
        <w:footnoteReference w:id="880"/>
      </w:r>
      <w:r>
        <w:rPr>
          <w:rFonts w:ascii="IRNazanin" w:hAnsi="IRNazanin" w:eastAsia="IRNazanin"/>
          <w:color w:val="111111"/>
          <w:sz w:val="28"/>
          <w:sz w:val="28"/>
          <w:szCs w:val="28"/>
          <w:rtl w:val="true"/>
          <w:lang w:bidi="fa-IR"/>
        </w:rPr>
        <w:t>، فی غیر محلّه؛ لما عرفت من أنّ جعل النهی نهیاً إلهیاً خلاف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 المقام لیس من قبیل تبلیغ 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المعنی المعروف بین الأعلام بأنّه بصدد نفی الحکم الشرعی الضرری</w:t>
      </w:r>
      <w:r>
        <w:rPr>
          <w:rStyle w:val="FootnoteAnchor"/>
          <w:rtl w:val="true"/>
        </w:rPr>
        <w:footnoteReference w:id="881"/>
      </w:r>
      <w:r>
        <w:rPr>
          <w:rFonts w:ascii="IRNazanin" w:hAnsi="IRNazanin" w:eastAsia="IRNazanin"/>
          <w:color w:val="111111"/>
          <w:sz w:val="28"/>
          <w:sz w:val="28"/>
          <w:szCs w:val="28"/>
          <w:rtl w:val="true"/>
          <w:lang w:bidi="fa-IR"/>
        </w:rPr>
        <w:t>لا یجتمع مع روایة أحمد بن حنبل؛ إذ أیّ تناسب بین قضائه و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استند إلیه قدس سره من تفسیر شرّاح الحدیث لا یثبت ما رامه؛ فإنّه قدس سره نقل عبائرهم بأنّهم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لا یضرّ أخاه، و هو لا یدلّ علی کون النهی من اللَّه أو من قبل الرسول صلی الله علیه و آله و سلم بما أنّه سلطان و حاکم، لا نبی و رسول و مبلّغ للحلال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کلامه أیضاً غیر صریح فی کون النهی نهیاً شرعیاً، بل هو بصدد بیان النفی بمعنی النهی، قبال ما أفاده الأعلام؛ و إن کان المتبادر منه کون النهی إلهیاً و حکماً شرعیاً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ثبت وروده من طرقنا هو قضیة سمرة، و الآثار الواردة من طرق</w:t>
      </w:r>
    </w:p>
    <w:p>
      <w:pPr>
        <w:pStyle w:val="BookText"/>
        <w:rPr/>
      </w:pPr>
      <w:r>
        <w:rPr>
          <w:rFonts w:ascii="IRNazanin" w:hAnsi="IRNazanin" w:eastAsia="IRNazanin"/>
          <w:color w:val="111111"/>
          <w:sz w:val="28"/>
          <w:sz w:val="28"/>
          <w:szCs w:val="28"/>
          <w:rtl w:val="true"/>
          <w:lang w:bidi="fa-IR"/>
        </w:rPr>
        <w:t xml:space="preserve">الشیعة؛ و إن لم یکن مصدّرة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إلّا أنّ التأمّل فی صدر القضیة و ذیلها، و الإمعان فی هدف الأنصاری؛ حیث رفع الشکایة إلی النبی صلی الله علیه و آله و سلم لیدفع عنه الظلم، و التدبّر فی أنّه لم یکن لواحد منهما شبهة حکمیة و لا موضوعیة یورث الاطمئنان و یشرف الفقیه علی القطع بأنّ الحکم حکم سلطانی، و النهی نهی مولوی من جانب النبی علی أن لا یضرّ أحدٌ أحداً، و أنّ من کان فی حوزة حکومتی مصون من الضرر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الأنصاری لمّا کره ورود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الفاسق الفاجر الذی سوّد صحیفة تأریخ حیاته بردّه قول النبی و التجرّی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الشکایة إلی رئیس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شافه الأنصاری نفس سمرة و أتمّ علیه الحجّة، و لم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یرفع عنه الظلم و یحمی عنه؛ حمایة الحاکم و السلطان عن رعیته و من یعیشون تحت ظلّ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 النبی، و نقل إلیه شکایة الأنصاری، و أمر علیه أن یستأذن عند وروده، فأبی سمرة عن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تأبی استبداله بنخلة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الروایة أمر صلی الله علیه و آله و سلم بقلع الشجرة؛ حسماً لمادّة الفساد، و حکم بأنّه لا یضرّ فی ظلّ لوائی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یوقع أحد حرجاً و ضیقاً علی أحد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رسول اللَّه صلی الله علیه و آله و سلم بعد تلک المقاولات بصدد بیان حکم اللَّه الواقعی حتّی یفسّر بأنّ الأحکام الواقعیة لا ضرر فیها، و أنّه لم یشرّع حکماً ضرریاً، أو بصدد بیان النهی الإلهی المتوجّه إلی عباده بلسان رسوله صلی الله علیه و آله و سلم؛ بأنّ اللَّه نهی أن یضرّ أحدٌ أحداً، بل هذا و ذاک لا یتبادران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لوحظت القرائن الحافّة بالکلام، و أنّ المقام لم یکن مناسباً لبیان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مناسباً لإعمال</w:t>
      </w:r>
    </w:p>
    <w:p>
      <w:pPr>
        <w:pStyle w:val="BookText"/>
        <w:rPr/>
      </w:pPr>
      <w:r>
        <w:rPr>
          <w:rFonts w:ascii="IRNazanin" w:hAnsi="IRNazanin" w:eastAsia="IRNazanin"/>
          <w:color w:val="111111"/>
          <w:sz w:val="28"/>
          <w:sz w:val="28"/>
          <w:szCs w:val="28"/>
          <w:rtl w:val="true"/>
          <w:lang w:bidi="fa-IR"/>
        </w:rPr>
        <w:t>المولویة و إنفاذ الکلمة حتّی ینحسم مادّة الفساد و یرتفع الغائلة، و یحصل بها الطمأنینة لکلّ من یعیش ظلّ لواء الإسلام فی حمی حکومة الرسول صلی الله علیه و آله و سلم، و یشاهد الباقون أنّه صلی الله علیه و آله و سلم أمر بقلع الشجرة،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الرعیة ممنوعون عن الضرر و الضرار؛ دفاعاً عن المظلوم و سیاسة للعباد، فعلی ما قرّرناه یکون ما ورد من طرقنا موافقاً لما عن طرق العامّة، المنتهیة إلی عُبادة بن الصامت، الذی لم یشکّ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صرّحوا باتقانه و ضبطه، و یظهر من معاجم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أجلّائهم؛ حتّی روی الکشّی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السابقین الذین شهدوا الغزوات و المعارک، کبدر و احد و الخندق و عامّة المشاهد مع النبی صلی الله علیه و آله و سلم، و أنّه من الذین رجعوا إلی أمیر المؤمنین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التیّهان و جابر بن عبد اللَّه و خزیمة بن ثابت و أبی سعید الخدری، و ممّن شهدوا العقبتین</w:t>
      </w:r>
      <w:r>
        <w:rPr>
          <w:rStyle w:val="FootnoteAnchor"/>
          <w:rtl w:val="true"/>
        </w:rPr>
        <w:footnoteReference w:id="882"/>
      </w:r>
      <w:r>
        <w:rPr>
          <w:rFonts w:ascii="IRNazanin" w:hAnsi="IRNazanin" w:eastAsia="IRNazanin"/>
          <w:color w:val="111111"/>
          <w:sz w:val="28"/>
          <w:sz w:val="28"/>
          <w:szCs w:val="28"/>
          <w:rtl w:val="true"/>
          <w:lang w:bidi="fa-IR"/>
        </w:rPr>
        <w:t>، إلی غیر ذلک من کلمات الثناء التی تجدها فی ترجمة الرجل فی محالّها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إتقانه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روی عنه أحمد بن حنبل من أقضیة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مثّلناه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بعین ألفاظها أو قریبة منها فی جوامعنا عن الصادقین، متفرّقة فی أبواب متفرّقة، غیر أنّ صاحب المسند جمعها فی روایة واحدة</w:t>
      </w:r>
      <w:r>
        <w:rPr>
          <w:rStyle w:val="FootnoteAnchor"/>
          <w:rtl w:val="true"/>
        </w:rPr>
        <w:footnoteReference w:id="883"/>
      </w:r>
      <w:bookmarkStart w:id="693" w:name="pg12912_112119"/>
    </w:p>
    <w:p>
      <w:pPr>
        <w:pStyle w:val="Heading6"/>
        <w:numPr>
          <w:ilvl w:val="5"/>
          <w:numId w:val="1"/>
        </w:numPr>
        <w:rPr/>
      </w:pPr>
      <w:bookmarkStart w:id="694" w:name="__RefHeading___Toc3425839_3224264995"/>
      <w:bookmarkStart w:id="695" w:name="_Toc260"/>
      <w:bookmarkEnd w:id="693"/>
      <w:bookmarkEnd w:id="694"/>
      <w:r>
        <w:rPr>
          <w:rtl w:val="true"/>
        </w:rPr>
        <w:t>فذلکة المقام</w:t>
      </w:r>
      <w:bookmarkEnd w:id="695"/>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دعانا إلی هذا الوجه إنّما هو تظافر القرائن علی صحّته، و عدم الطمأنینة بما ذکره الأعلام فی تفسیر الحدیث؛ فإنّ ما اختاره شیخنا الأعظم رحمه الله لم یکن خالیاً من إشکالات غیر منحلّة، کما عرفت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من المذهب یستلزم أن لا یکون الحدیث من أقضیة النبی صلی الله علیه و آله و سلم، مع أنّه من قضایاه، بل قیل من أشهر ما قضی به النبی صلی الله علیه و آله و سلم</w:t>
      </w:r>
      <w:r>
        <w:rPr>
          <w:rStyle w:val="FootnoteAnchor"/>
          <w:rtl w:val="true"/>
        </w:rPr>
        <w:footnoteReference w:id="885"/>
      </w:r>
      <w:r>
        <w:rPr>
          <w:rFonts w:ascii="IRNazanin" w:hAnsi="IRNazanin" w:eastAsia="IRNazanin"/>
          <w:color w:val="111111"/>
          <w:sz w:val="28"/>
          <w:sz w:val="28"/>
          <w:szCs w:val="28"/>
          <w:rtl w:val="true"/>
          <w:lang w:bidi="fa-IR"/>
        </w:rPr>
        <w:t>، و لا یوجد أیّ تناسب بین صدر الواقعة و ذیلها؛ فإنّ شأن الحدیث و إن کان غیر مروی فی کتب العامّة إلّا أنّه مروی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الصدر متضمّن لرفع الشکایة من المظلوم عن الظالم إلی رئیس الملّة و سلطانها المطلق، و أیّ تناسب بینه و بین الإخبار عن نفی الحکم الضرری و عدم جعلها، و أیّ تناسب فی تعلیل قلع الشجرة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معهودیة ما ذکره من المعنی من أمثال هذه التراکیب الدارجة فی کلمات الفصحاء، الواردة فی الآثار الشرعیة عن بیوت الوحی؛ فإنّ الغالب إنّما هو نفی الأثر بلسان نفی موضوعه، أو النهی بلسان النفی، و أمّا نفی عنوان الضرر و إرادة نفی ما له أدنی دخالة فی تحقّقه فلم یعهد من 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لیس علّة أو سبباً تولیدیاً للضرر، و إنّما له أدنی دخالة فی تحقّقه بما أنّه باعث اعتباراً نحو الموضوع الذی فیه الضرر، و هو السبب الوحید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المعهود فی مثل هذا الترکیب هو نفی الأثر بلسان نفی الموضوع</w:t>
      </w:r>
      <w:r>
        <w:rPr>
          <w:rStyle w:val="FootnoteAnchor"/>
          <w:rtl w:val="true"/>
        </w:rPr>
        <w:footnoteReference w:id="887"/>
      </w:r>
      <w:r>
        <w:rPr>
          <w:rFonts w:ascii="IRNazanin" w:hAnsi="IRNazanin" w:eastAsia="IRNazanin"/>
          <w:color w:val="111111"/>
          <w:sz w:val="28"/>
          <w:sz w:val="28"/>
          <w:szCs w:val="28"/>
          <w:rtl w:val="true"/>
          <w:lang w:bidi="fa-IR"/>
        </w:rPr>
        <w:t>و إن کان صحیحاً غیر أنّ المقام لیس من صغریات ما ادّعاه؛ لما عرفت</w:t>
      </w:r>
      <w:r>
        <w:rPr>
          <w:rStyle w:val="FootnoteAnchor"/>
          <w:rtl w:val="true"/>
        </w:rPr>
        <w:footnoteReference w:id="888"/>
      </w:r>
      <w:r>
        <w:rPr>
          <w:rFonts w:ascii="IRNazanin" w:hAnsi="IRNazanin" w:eastAsia="IRNazanin"/>
          <w:color w:val="111111"/>
          <w:sz w:val="28"/>
          <w:sz w:val="28"/>
          <w:szCs w:val="28"/>
          <w:rtl w:val="true"/>
          <w:lang w:bidi="fa-IR"/>
        </w:rPr>
        <w:t>أنّ الحکم الشرعی لیس أثراً للضرر، و لا الضرر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 ما ذکره بشرط 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الأحکام الضرریة فی صفحة التشریع؛ بحیث ینزّل الموجود منه منزلة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أنّه لا شأن للضرر من الشؤون، غیر الحکم الضرری، کما لا شأن للرجل غیر المروّة و الشجاعة؛ حتّی یصحّ ادّعاء أنّ المسبّب عین السبب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ثبت هذان الأمران أمکن نفی الضرر و إرادة نفی الحکم الضرری بتنزیل الموجود منزلة المعدوم، و أنّی یمکن إثباتهما؟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المشهور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الموضوع للمسبّب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ثبوت الأمرین فی حدّ نفسهما، مضافاً إلی غرابته و عدم معهودیته</w:t>
      </w:r>
      <w:r>
        <w:rPr>
          <w:rFonts w:eastAsia="IRNazanin" w:cs="IRNazanin"/>
          <w:color w:val="111111"/>
          <w:sz w:val="28"/>
          <w:szCs w:val="28"/>
          <w:rtl w:val="true"/>
          <w:lang w:bidi="fa-IR"/>
        </w:rPr>
        <w:t>.</w:t>
      </w:r>
      <w:bookmarkStart w:id="696" w:name="pg12912_112121"/>
    </w:p>
    <w:p>
      <w:pPr>
        <w:pStyle w:val="BookText"/>
        <w:rPr/>
      </w:pPr>
      <w:bookmarkEnd w:id="696"/>
      <w:r>
        <w:rPr>
          <w:rFonts w:ascii="Amiri" w:hAnsi="Amiri" w:eastAsia="Amiri" w:cs="Amiri"/>
          <w:color w:val="111111"/>
          <w:sz w:val="28"/>
          <w:sz w:val="28"/>
          <w:szCs w:val="28"/>
          <w:rtl w:val="true"/>
          <w:lang w:bidi="ar-SA"/>
        </w:rPr>
        <w:t>و أمّا ما أیّده وحید عصره؛ تبعاً لشرّاح الحدیث</w:t>
      </w:r>
      <w:r>
        <w:rPr>
          <w:rStyle w:val="FootnoteAnchor"/>
          <w:rtl w:val="true"/>
        </w:rPr>
        <w:footnoteReference w:id="889"/>
      </w:r>
      <w:r>
        <w:rPr>
          <w:rFonts w:ascii="IRNazanin" w:hAnsi="IRNazanin" w:eastAsia="IRNazanin"/>
          <w:color w:val="111111"/>
          <w:sz w:val="28"/>
          <w:sz w:val="28"/>
          <w:szCs w:val="28"/>
          <w:rtl w:val="true"/>
          <w:lang w:bidi="fa-IR"/>
        </w:rPr>
        <w:t>فهو أحسن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الاختلاف بیننا و بینهم فی منشأ النهی؛ فیظهر منهم أنّه نهی إلهی ألقاه رسول اللَّه صلی الله علیه و آله و سلم علی النحو الکلّی، و استند إلیه فی ردع سمرة عن الدخول بغیر استئذان، بل فی أمر الأنصاری بقلع الشجرة، کما یظهر من عبائره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استظهرناه فهو نهی مولوی صادر عنه صلی الله علیه و آله و سلم بما هو سائس الملّة و رئیسهم حسب القرائن التی أوردناها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أصوب الوجوه؛ فإن ثبت إتقانه عندک و تعیّنه فهو من فضل اللَّه تعالی، و إلّا فاجعله أحد المحتملات، لعلّ اللَّه یحدث بعد ذلک أمراً</w:t>
      </w:r>
      <w:r>
        <w:rPr>
          <w:rFonts w:eastAsia="IRNazanin" w:cs="IRNazanin"/>
          <w:color w:val="111111"/>
          <w:sz w:val="28"/>
          <w:szCs w:val="28"/>
          <w:rtl w:val="true"/>
          <w:lang w:bidi="fa-IR"/>
        </w:rPr>
        <w:t>.</w:t>
      </w:r>
    </w:p>
    <w:p>
      <w:pPr>
        <w:pStyle w:val="Heading6"/>
        <w:numPr>
          <w:ilvl w:val="5"/>
          <w:numId w:val="1"/>
        </w:numPr>
        <w:rPr/>
      </w:pPr>
      <w:bookmarkStart w:id="697" w:name="__RefHeading___Toc3425841_3224264995"/>
      <w:bookmarkStart w:id="698" w:name="_Toc261"/>
      <w:bookmarkEnd w:id="697"/>
      <w:r>
        <w:rPr>
          <w:rtl w:val="true"/>
        </w:rPr>
        <w:t>دفع توهّم</w:t>
      </w:r>
      <w:bookmarkEnd w:id="698"/>
    </w:p>
    <w:p>
      <w:pPr>
        <w:pStyle w:val="BookText"/>
        <w:rPr/>
      </w:pPr>
      <w:r>
        <w:rPr>
          <w:rFonts w:ascii="IRNazanin" w:hAnsi="IRNazanin" w:eastAsia="IRNazanin"/>
          <w:color w:val="111111"/>
          <w:sz w:val="28"/>
          <w:sz w:val="28"/>
          <w:szCs w:val="28"/>
          <w:rtl w:val="true"/>
          <w:lang w:bidi="fa-IR"/>
        </w:rPr>
        <w:t>یمکن أن یتوهّم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و سلم قد 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أمره بالقلع و الرمی بها إلی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الاستناد و الفاء المفید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إلهی و قاعدة کلّیة من اللَّه تعالی، و هو صلی الله علیه و آله و سلم اتّکل علی الحکم الإلهی، و أمر الأنصاری بقلعها و رمیها؛ فعلّل عمل نفسه بالحکم الصادر من اللَّه، و لا یناسب أن یفسّر عمل نفسه و یعلّله بحکم نفسه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و ما ادّعاه من الظهور ممنوع، بل الظاهر خلافه؛ فإنّ الأنصاری لمّا رفع شکواه إلی النبی الأعظم، و استدعی النبی صلی الله علیه و آله و سلم سمرة و أمره بالاستئذان عند الدخول، و هو کان رجلًا مضارّاً تخلّف عن حکمه، مسّت الحاجة إلی تأدیبه؛ فأصدر حکمه السیاسی لحفظ نظام الامّة، و أمر بقلعها و رمیها إلی</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هذا الحکم التأدیبی بالحکم السیاسی الکلّی؛ و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لا یجوز أن یضرّ أحد أحداً فی حوزة حکومتی، و حمی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یتوافق الجمل و یتّضح التناسب بین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أدنی تکلّف؛ فإنّ کلًاّ من المعلول و علّته حکم سیاسی تأدیبی لحفظ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أفاده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یتّضح التناسب بینهما، إلّا علی تأویل سوف نرجع إلیه فی التنبیه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تعلیل حکمه بالقلع و الرمی بأنّه لم یشرّع حکماً ضرریاً، أو أنّ اللَّه نهی عن أن یضرّ أحد أحداً، مع أنّ نفس القلع ضرر، و الحکم به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زرارة؛ فإنّها کانت مشتملة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فهذا التقیید یؤکّد کون النفی بمعنی النهی، و قد أوضحنا الوثوق بصدورها فی صدر الرسالة</w:t>
      </w:r>
      <w:r>
        <w:rPr>
          <w:rStyle w:val="FootnoteAnchor"/>
          <w:rtl w:val="true"/>
        </w:rPr>
        <w:footnoteReference w:id="891"/>
      </w:r>
      <w:r>
        <w:rPr>
          <w:rFonts w:ascii="IRNazanin" w:hAnsi="IRNazanin" w:eastAsia="IRNazanin"/>
          <w:color w:val="111111"/>
          <w:sz w:val="28"/>
          <w:sz w:val="28"/>
          <w:szCs w:val="28"/>
          <w:rtl w:val="true"/>
          <w:lang w:bidi="fa-IR"/>
        </w:rPr>
        <w:t>، فلا نعیده هنا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یتمحّض النفی فی النهی؛ فإذا ضمّت إلیها القرائن الموجودة فی صدرها و ذیلها یسهل لک تصدیق ما ذکرناه، و یتّضح أنّه نهی مولوی سلطانی، لا نهی شرعی إلهی، فتدبّر</w:t>
      </w:r>
      <w:r>
        <w:rPr>
          <w:rFonts w:eastAsia="IRNazanin" w:cs="IRNazanin"/>
          <w:color w:val="111111"/>
          <w:sz w:val="28"/>
          <w:szCs w:val="28"/>
          <w:rtl w:val="true"/>
          <w:lang w:bidi="fa-IR"/>
        </w:rPr>
        <w:t>.</w:t>
      </w:r>
      <w:bookmarkStart w:id="699" w:name="pg12912_112123"/>
    </w:p>
    <w:p>
      <w:pPr>
        <w:pStyle w:val="Heading4"/>
        <w:numPr>
          <w:ilvl w:val="3"/>
          <w:numId w:val="1"/>
        </w:numPr>
        <w:rPr/>
      </w:pPr>
      <w:bookmarkStart w:id="700" w:name="__RefHeading___Toc3425843_3224264995"/>
      <w:bookmarkStart w:id="701" w:name="_Toc262"/>
      <w:bookmarkEnd w:id="699"/>
      <w:bookmarkEnd w:id="700"/>
      <w:r>
        <w:rPr>
          <w:rtl w:val="true"/>
        </w:rPr>
        <w:t>تنبیهات</w:t>
      </w:r>
      <w:r>
        <w:rPr>
          <w:rtl w:val="true"/>
        </w:rPr>
        <w:t>:</w:t>
      </w:r>
      <w:bookmarkEnd w:id="701"/>
    </w:p>
    <w:p>
      <w:pPr>
        <w:pStyle w:val="Heading5"/>
        <w:numPr>
          <w:ilvl w:val="4"/>
          <w:numId w:val="1"/>
        </w:numPr>
        <w:rPr/>
      </w:pPr>
      <w:bookmarkStart w:id="702" w:name="__RefHeading___Toc3425845_3224264995"/>
      <w:bookmarkStart w:id="703" w:name="_Toc263"/>
      <w:bookmarkEnd w:id="702"/>
      <w:r>
        <w:rPr>
          <w:rtl w:val="true"/>
        </w:rPr>
        <w:t>التنبیه الأوّل فی اشتمال الروایة علی ما یخالف القواعد</w:t>
      </w:r>
      <w:bookmarkEnd w:id="703"/>
    </w:p>
    <w:p>
      <w:pPr>
        <w:pStyle w:val="BookText"/>
        <w:rPr/>
      </w:pPr>
      <w:r>
        <w:rPr>
          <w:rFonts w:ascii="IRNazanin" w:hAnsi="IRNazanin" w:eastAsia="IRNazanin"/>
          <w:color w:val="111111"/>
          <w:sz w:val="28"/>
          <w:sz w:val="28"/>
          <w:szCs w:val="28"/>
          <w:rtl w:val="true"/>
          <w:lang w:bidi="fa-IR"/>
        </w:rPr>
        <w:t>قد أورد الشیخ الأعظم فی رسالته المطبوعة حول قاعدة لا ضرر إشکالًا،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هذه القصّة إشکالًا؛ من حیث حکم النبی بقلع العَذْق، مع أنّ القواعد لا تقتضیه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الضرر لا یوجب ذلک، لکن لا یخلّ بالاستدلال</w:t>
      </w:r>
      <w:r>
        <w:rPr>
          <w:rStyle w:val="FootnoteAnchor"/>
          <w:rtl w:val="true"/>
        </w:rPr>
        <w:footnoteReference w:id="8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یخلّ بالاستدلال؛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أوضحه من الإشکال غیر وارد علی المختار؛ لأنّ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صغریات الحکم الکلّی السلطانی السیاسی، و الأمر به لأجل قلع مادّة الفساد فی المجتمع المتوقّع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مساغ للقلع؛ لأنّ عدم تشریع الحکم الضرری، أو نهی اللَّه تعالی عن الإضرار بالغیر لا یستلزم قلعها و الرمی بها علی وجهه؛ لأنّه ضرر و إضرار بالغیر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أعاظم العصر عن الإشکال بما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علّة لقلع العذق، بل علّة لوجوب الاستئذان، و إنّما أمر الأنصاری بقلع عذقه؛ لأنّه صلی الله علیه و آله و سلم بإصرار سمرة علی إیقاع الضرر علی الأنصاری قد أسقط احترام ماله، فأمر صلی الله علیه و آله و سلم بالقلع من باب الولایة العامّة؛ حسماً للفساد،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ما ذکر، إلّا أنّ هذا لا ینافی القواعد؛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قاعدة السلطنة التی من فروعها احترام مال المسلم، الذی هو عبارة عن سلطنة المالک علی منع غیره فی التصرّف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یکون احترام مال المسلم من فروع سلطنته و عدم کونه قاعدة مستقلّة، إلّا أنّ قاعدة السلطنة مرکّبة من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المالک مسلّطاً علی التصرّف فی ماله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سلطنته علی منع غیره عن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إنّما یرد علی الأنصاری من تصرّف سمرة فی ماله بما یشاء، لا من منع الأنصاری عن قلع عذقه؛ فلا وجه لسقوط احترام ماله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السلطنة و إن انحلّت إلی جزءین إیجابی و سلبی، إلّا أنّ هذا تحلیل عقلی، لا أنّها مرکّبة من حکمین؛ فلا معنی لأن یکون قاعدة لا ضرر حاکمة علی أحد جزئی السلطنة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الجزء الأخیر من علّة الضرر ابتداءً و بلا واسطة هو الدخول بلا استئذان، إلّا أنّه حیث یکون متفرّعاً علی إبقاء نخلته فی البستان فالضرر ینتهی و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علّة العلل، فینفی حقّ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سمرة لم یکن مالکاً إلّا للنخلة، و له حقّ إبقائها فی البستان، و هذا علّة لجواز الدخول بلا استئذان، فلو کان المعلول مستلزماً للضرر فدلیل الضرر رافع لعلّته؛ لأنّ الضرر فی الحقیقة نشأ من استحقاق سمرة لإبقاء عذقه، فقاعدة الضرر ترفع هذا الاستحقاق</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لزم أن یرتفع الصحّة و اللزوم فی العقد الغبنی،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المقام و مسألة الصحّة و اللزوم؛ فإنّ الصحّة و إن کانت متقدّمة فی الرتبة علی اللزوم، إلّا أنّ کلّ واحد منهما حکم مستقلّ؛ ملاکاً و دلیلًا، و لا ربط لأحدهما بالآخر، و لا علّیة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جواز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مترتّباً علی استحقاق إبقاء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آثاره؛ فالضرر معلول الاستحقاق، کما أنّ الضرر فی الوضوء معلول الإیجاب الشرعی؛ و إن نشأ من اختیار المکلّف</w:t>
      </w:r>
      <w:r>
        <w:rPr>
          <w:rStyle w:val="FootnoteAnchor"/>
          <w:rtl w:val="true"/>
        </w:rPr>
        <w:footnoteReference w:id="89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أنظار،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استظهار کون القاعدة علّة لوجوب الاستئذان لا للأمر بالقلع مخالف لموثّقة زرارة، و إلیک لفظ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رسول اللَّه صلی الله علیه و آله و سلم، و خبّره بقول الأنصاری و ما شکا،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الدخول فاستأذن، 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یمدّ لک فی الجنّة، فأبی أن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 أرم بها إلیه؛ فإنّه لا ضرر و لا ضرار</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یعطی کونه علّة للأمر بالقلع فقط؛ إذ کیف یمکن إرجاعه إلی الأمر بالاستئذان مع هذا الفصل الطویل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أمره صلی الله علیه و آله و سلم سمرة بالاستئذان إنّما وقع حین مشافهته إیّاه، ثمّ إنّه صلی الله علیه و آله و سلم أعرض عنه، و توجّه إلی الأنصاری، و أمره بالقلع؛ معقّباً أمره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یکون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لوجوب الاستئذان، مع أنّه لم یقله إلّا بعد التولّی عنه، و الإعراض عن مشافهته؟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سمرة لمّا أصرّ علی الإضرار فأسقط صلی الله علیه و آله و سلم احترام ماله لأجل إصراره علی الإضرار ممّا لم یقم علیه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القواعد الشرعیة و العقلیة، هل تجد فیها ما یدلّ علی أنّ الإصرار علی الإضرار بالغیر یوجب سقوط احترام مال المصرّ؟</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للسلطان أن یأمر بالقلع؛ حسماً للفساد صحیح، لکنّه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الحکم السیاسی التأدیبی بالحکم الشرعی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ضرر و لا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ما اختاره القوم فی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اخترناه من المعنی فالتعلیل صحیح جدّاً، و المناسبة واضحة، و ظهور الموثّقة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قاعدة احترام مال المسلم من فروع قاعدة السلطنة غریب جدّاً، و مثله تفسیر الاحترام بأنّه عبارة عن سلطنة المالک علی منع غیره عن التصرّف فی ماله؛ إذ إقحام إحدی القاعدتین فی الاخری، مع کونهما قاعدتین مستقلّتین عند العقلاء 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فإنّ 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تسلّط المالک علی أن یتصرّف فی ماله کیف شاء، و یتقلّب فیه کیف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أحکام المالکیة و شؤونها عند العقلاء، و قد أمضاها الشارع بالنبوی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کون المال واقعاً فی حریم المالک؛</w:t>
      </w:r>
    </w:p>
    <w:p>
      <w:pPr>
        <w:pStyle w:val="BookText"/>
        <w:rPr/>
      </w:pPr>
      <w:r>
        <w:rPr>
          <w:rFonts w:ascii="IRNazanin" w:hAnsi="IRNazanin" w:eastAsia="IRNazanin"/>
          <w:color w:val="111111"/>
          <w:sz w:val="28"/>
          <w:sz w:val="28"/>
          <w:szCs w:val="28"/>
          <w:rtl w:val="true"/>
          <w:lang w:bidi="fa-IR"/>
        </w:rPr>
        <w:t>بحیث لا یجوز لأحد أن یتصرّف فیه بغیر إذنه، و لو تصرّف فیه و أتلفه ضمن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فالقاعدتان متغایرتان ملاکاً، کما أنّهما مختلفتان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بعض ما یدلّ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قوله صلی الله علیه و آله و سلم 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دمائکم و أموالکم علیکم حرام، کحرمة یومکم هذا، فی شهرکم هذا، فی بلدکم هذا، إلی یوم یلقونه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الصدوق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 قتاله کفر، و أکل لحمه من معصیة اللَّه، و حرمة ماله کحرمة دمه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موثّقة أبی بصیر عن أبی جعفر علیه السلام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المروی عن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یتصرّف فی مال غیره بغیر إذنه</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القاعدتین فی الملاک و الدلیل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قاعدة السلطنة مرکّبة من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المالک مسلّطاً علی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سلطنته علی منع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w:t>
      </w:r>
    </w:p>
    <w:p>
      <w:pPr>
        <w:pStyle w:val="BookText"/>
        <w:rPr/>
      </w:pPr>
      <w:r>
        <w:rPr>
          <w:rFonts w:ascii="IRNazanin" w:hAnsi="IRNazanin" w:eastAsia="IRNazanin"/>
          <w:color w:val="111111"/>
          <w:sz w:val="28"/>
          <w:sz w:val="28"/>
          <w:szCs w:val="28"/>
          <w:rtl w:val="true"/>
          <w:lang w:bidi="fa-IR"/>
        </w:rPr>
        <w:t>بین الشی‌ء و متعلّقه؛ فإنّ قاعدة السلطنة عبارة عن تسلّط المالک علی ماله، و السلطنة علی منع الغیر یعدّ من شؤون ذلک السلطنة و من أنحائها، فالکثرة إنّما هی فی المتعلّق، لا فی نفس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السلطنة علی دفع الغیر لیست أمراً سلبیاً؛ و لو کان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 الغیر 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متعلّقها أیضاً لیس أمراً سلبیاً،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القاعدة مرکّبة من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المالک مسلّطاً علی التصرّف فی ماله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سلطنته علی منع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دخول سمرة فی منزل الأنصاری فجأةً بلا استئذان لیس من أنحاء سلطنته علی التصرّف فی عذقه کیف یشاء حتّی یستدلّ بالقاعدة علی جوازه، بل من المقدّمات الوجودیة للتصرّف فی ماله، و لا یعقل أن تکون قاعدة السلطنة منحلّة إلی السلطنة علی الشی‌ء و مقدّمته الوجودیة بما أنّها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سلطنة سمرة علی ماله یستلزم سلطنته علی جواز الدخول إلی بیت الأنصاری و العبور منه إلی عذقه، و لمّا کان الدخول بلا استئذان ضرراً علی الأنصاری یرتفع به سلطنته علی الدخول بلا استئذان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سلطنته علی الدخول مع الاستئذان، و علی سائر أنحاء التصرّف فی ماله و حرمة ماله فلم یدلّ دلیل علی ارتفاعها، بل هی باقیة تحت أدلّة السلطنة و الاحترام، من دون دلیل رافع</w:t>
      </w:r>
      <w:r>
        <w:rPr>
          <w:rFonts w:eastAsia="IRNazanin" w:cs="IRNazanin"/>
          <w:color w:val="111111"/>
          <w:sz w:val="28"/>
          <w:szCs w:val="28"/>
          <w:rtl w:val="true"/>
          <w:lang w:bidi="fa-IR"/>
        </w:rPr>
        <w:t>.</w:t>
      </w:r>
      <w:bookmarkStart w:id="704" w:name="pg12912_112129"/>
    </w:p>
    <w:p>
      <w:pPr>
        <w:pStyle w:val="Heading5"/>
        <w:numPr>
          <w:ilvl w:val="4"/>
          <w:numId w:val="1"/>
        </w:numPr>
        <w:rPr/>
      </w:pPr>
      <w:bookmarkStart w:id="705" w:name="__RefHeading___Toc3425847_3224264995"/>
      <w:bookmarkStart w:id="706" w:name="_Toc264"/>
      <w:bookmarkEnd w:id="704"/>
      <w:bookmarkEnd w:id="705"/>
      <w:r>
        <w:rPr>
          <w:rtl w:val="true"/>
        </w:rPr>
        <w:t>التنبیه الثانی فی حکومة القاعدة علی أدلّة الأحکام الأوّلیة</w:t>
      </w:r>
      <w:bookmarkEnd w:id="706"/>
    </w:p>
    <w:p>
      <w:pPr>
        <w:pStyle w:val="BookText"/>
        <w:rPr/>
      </w:pPr>
      <w:r>
        <w:rPr>
          <w:rFonts w:ascii="IRNazanin" w:hAnsi="IRNazanin" w:eastAsia="IRNazanin"/>
          <w:color w:val="111111"/>
          <w:sz w:val="28"/>
          <w:sz w:val="28"/>
          <w:szCs w:val="28"/>
          <w:rtl w:val="true"/>
          <w:lang w:bidi="fa-IR"/>
        </w:rPr>
        <w:t>إنّ ما اشتهر بین الأساطین من حکومة</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الأحکام الواقعیة</w:t>
      </w:r>
      <w:r>
        <w:rPr>
          <w:rStyle w:val="FootnoteAnchor"/>
          <w:rtl w:val="true"/>
        </w:rPr>
        <w:footnoteReference w:id="900"/>
      </w:r>
      <w:r>
        <w:rPr>
          <w:rFonts w:ascii="IRNazanin" w:hAnsi="IRNazanin" w:eastAsia="IRNazanin"/>
          <w:color w:val="111111"/>
          <w:sz w:val="28"/>
          <w:sz w:val="28"/>
          <w:szCs w:val="28"/>
          <w:rtl w:val="true"/>
          <w:lang w:bidi="fa-IR"/>
        </w:rPr>
        <w:t>إنّما یصحّ علی مختارهم فی توضیح الحدیث و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المذهب المنصور فهو حاکم علی قاعدة السلطنة فقط؛ لأنّه ورد لکسر سورتها، و أنّ السلطنة علی المال إذا استلزمت الضرر و الحرج علی الغیر، و أوقعه فی المشقّة و المضیقة غیر جائزة، و لا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تمسّک بها نفس سمرة فی ردّه لزوم الاستئذان،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أستأذن فی طریقی إلی عذقی؟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صلی الله علیه و آله و سلم بما أنّه سلطان الامّة و زعیمها وسائس المجتمع و قائدها الأکبر، و بما أنّ حکمه علی الأوّلین حکمه علی الآخرین منع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الضرر و الضرار، و إیقاع المؤمن فی الضرر و المکروه، نظیر إیقاع سمرة أخاه الأنصاری فیه بدخوله فجأة، و إشرافه علی أهله ممّا کان هو یکرهه و أنّ السلطنة محدودة بحدّ لا یجی‌ء منه الضرر إلی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اللزوم فی المعاملة الضرریة کالغبن، أو رفع وجوب الوضوء الضرری و ما ضاهاهما ممّا اشتهر بینهم التمسّک به</w:t>
      </w:r>
      <w:r>
        <w:rPr>
          <w:rStyle w:val="FootnoteAnchor"/>
          <w:rtl w:val="true"/>
        </w:rPr>
        <w:footnoteReference w:id="901"/>
      </w:r>
      <w:r>
        <w:rPr>
          <w:rFonts w:ascii="IRNazanin" w:hAnsi="IRNazanin" w:eastAsia="IRNazanin"/>
          <w:color w:val="111111"/>
          <w:sz w:val="28"/>
          <w:sz w:val="28"/>
          <w:szCs w:val="28"/>
          <w:rtl w:val="true"/>
          <w:lang w:bidi="fa-IR"/>
        </w:rPr>
        <w:t>فهو أجنبی عنه علی المختار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 رفع اللزوم فی هذه الموارد؟ و لو أسقطنا القاعدة</w:t>
      </w:r>
    </w:p>
    <w:p>
      <w:pPr>
        <w:pStyle w:val="BookText"/>
        <w:rPr/>
      </w:pPr>
      <w:r>
        <w:rPr>
          <w:rFonts w:ascii="IRNazanin" w:hAnsi="IRNazanin" w:eastAsia="IRNazanin"/>
          <w:color w:val="111111"/>
          <w:sz w:val="28"/>
          <w:sz w:val="28"/>
          <w:szCs w:val="28"/>
          <w:rtl w:val="true"/>
          <w:lang w:bidi="fa-IR"/>
        </w:rPr>
        <w:t>عن الاعتبار فی هاتیک المواضع فما الدلیل علی الخیار و أشباهه؟ و قد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هو الدلیل المنحصر فی بعض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الدلیل بها ممنوع جدّاً؛ فإنّ من أوضح موارد النقض علی المختار إنّما هو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إنکار جریان القاعدة فیه عدم الدلیل علی الخیار؛ فإنّ وجود الخیار فی هذه الموارد عقلائی بما هو خیار الغبن، و أیّ دلیل أوضح من بنائهم الذی لم یردّه الشارع و جری علی دیدنهم فی أحکام المعاملة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الخیار عندهم لأجل وجود الشرط الضمنی فی المعاملة من مساواة الثمن و المثمن فی القیمة السوقیة حتّی یکون من قبیل خیار تخلّف الشرط</w:t>
      </w:r>
      <w:r>
        <w:rPr>
          <w:rStyle w:val="FootnoteAnchor"/>
          <w:rtl w:val="true"/>
        </w:rPr>
        <w:footnoteReference w:id="902"/>
      </w:r>
      <w:r>
        <w:rPr>
          <w:rFonts w:ascii="IRNazanin" w:hAnsi="IRNazanin" w:eastAsia="IRNazanin"/>
          <w:color w:val="111111"/>
          <w:sz w:val="28"/>
          <w:sz w:val="28"/>
          <w:szCs w:val="28"/>
          <w:rtl w:val="true"/>
          <w:lang w:bidi="fa-IR"/>
        </w:rPr>
        <w:t>، کما ربّما توهّم نظیره فی خیار العیب أیضاً</w:t>
      </w:r>
      <w:r>
        <w:rPr>
          <w:rStyle w:val="FootnoteAnchor"/>
          <w:rtl w:val="true"/>
        </w:rPr>
        <w:footnoteReference w:id="903"/>
      </w:r>
      <w:r>
        <w:rPr>
          <w:rFonts w:ascii="IRNazanin" w:hAnsi="IRNazanin" w:eastAsia="IRNazanin"/>
          <w:color w:val="111111"/>
          <w:sz w:val="28"/>
          <w:sz w:val="28"/>
          <w:szCs w:val="28"/>
          <w:rtl w:val="true"/>
          <w:lang w:bidi="fa-IR"/>
        </w:rPr>
        <w:t>لأنّ الملاک للرجوع عندهم فی صورة الغبن بما أنّه مغبون، و فی العیب بما أنّ المبیع 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العقلاء علی حلّ العقد إذا کان المبیع معیباً، و أمّا حلّه إذا کان أحد المتبایعین مغبوناً فیتوقّف جوازه عندهم علی عدم بذل التفاوت؛ فلو بذل فیسقط خیاره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 یستفاد أزید من ذلک من القاعدة لو کانت دلیلًا فی خیار الغبن، کما اعترف علیه الشیخ الأعظم و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مقامهما</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العلّامة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 الأعلام بالقاعدة علی الخیار لا یدلّ علی انحصار</w:t>
      </w:r>
      <w:bookmarkStart w:id="707" w:name="pg12912_112131"/>
    </w:p>
    <w:p>
      <w:pPr>
        <w:pStyle w:val="BookText"/>
        <w:rPr/>
      </w:pPr>
      <w:bookmarkEnd w:id="707"/>
      <w:r>
        <w:rPr>
          <w:rFonts w:ascii="IRNazanin" w:hAnsi="IRNazanin" w:eastAsia="IRNazanin"/>
          <w:color w:val="111111"/>
          <w:sz w:val="28"/>
          <w:sz w:val="28"/>
          <w:szCs w:val="28"/>
          <w:rtl w:val="true"/>
          <w:lang w:bidi="fa-IR"/>
        </w:rPr>
        <w:t>دلیل الخیار علیها؛ فهذا ابن زهرة یمکن أن یستظهر منه عدم اعتماده علی القاعدة فی إثبات الخیار؛ حیث قال و یحتجّ علی المخالف ب</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اعتمد فی خیار الغبن علی الإجماع الذی ادّعاه لا علی القاعدة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 استدلّ من الأعاظم من زمن الشیخ إلی أعصارنا لا یدلّ علی الانحصار، و أنّه لولاه لما أمکن إثبات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فالتالی لا یعطی ظهوراً للروایة؛ فإنّ الظهور العرفی إنّما یقتنص من مجاریه، و لیس من طرقه بقاء عدّة من المسائل بلا دلیل؛ إذ هو لا یعطی الظهور و لا یوجب أن نحکم بخلاف ظاهر الحدیث،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إنّما هو بفهم المشهور لا غیر، و لکنّه أیضاً غیر سدید</w:t>
      </w:r>
      <w:r>
        <w:rPr>
          <w:rFonts w:eastAsia="IRNazanin" w:cs="IRNazanin"/>
          <w:color w:val="111111"/>
          <w:sz w:val="28"/>
          <w:szCs w:val="28"/>
          <w:rtl w:val="true"/>
          <w:lang w:bidi="fa-IR"/>
        </w:rPr>
        <w:t>.</w:t>
      </w:r>
    </w:p>
    <w:p>
      <w:pPr>
        <w:pStyle w:val="Heading5"/>
        <w:numPr>
          <w:ilvl w:val="4"/>
          <w:numId w:val="1"/>
        </w:numPr>
        <w:rPr/>
      </w:pPr>
      <w:bookmarkStart w:id="708" w:name="__RefHeading___Toc3425849_3224264995"/>
      <w:bookmarkStart w:id="709" w:name="_Toc265"/>
      <w:bookmarkEnd w:id="708"/>
      <w:r>
        <w:rPr>
          <w:rtl w:val="true"/>
        </w:rPr>
        <w:t>التنبیه الثالث فی تحمّل الضرر و الإکراه علی الإضرار</w:t>
      </w:r>
      <w:bookmarkEnd w:id="709"/>
    </w:p>
    <w:p>
      <w:pPr>
        <w:pStyle w:val="BookText"/>
        <w:rPr/>
      </w:pPr>
      <w:r>
        <w:rPr>
          <w:rFonts w:ascii="IRNazanin" w:hAnsi="IRNazanin" w:eastAsia="IRNazanin"/>
          <w:color w:val="111111"/>
          <w:sz w:val="28"/>
          <w:sz w:val="28"/>
          <w:szCs w:val="28"/>
          <w:rtl w:val="true"/>
          <w:lang w:bidi="fa-IR"/>
        </w:rPr>
        <w:t>إنّ الممنوع إنّما هو الإضرار علی الناس تسبیباً أو مباشرة، و أمّا رفع الضرر أو دفعه عنهم فالحدیث أجنبی عنهما، و هو من الوضوح بمثابة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توجّه السیل إلی دار الغیر فلا یجب علیه دفعه، و لا توجیهه إلی داره لرفع الضرر عن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توجّه إلی داره یجوز له دفعه عن داره؛ و إن</w:t>
      </w:r>
    </w:p>
    <w:p>
      <w:pPr>
        <w:pStyle w:val="BookText"/>
        <w:rPr/>
      </w:pPr>
      <w:r>
        <w:rPr>
          <w:rFonts w:ascii="IRNazanin" w:hAnsi="IRNazanin" w:eastAsia="IRNazanin"/>
          <w:color w:val="111111"/>
          <w:sz w:val="28"/>
          <w:sz w:val="28"/>
          <w:szCs w:val="28"/>
          <w:rtl w:val="true"/>
          <w:lang w:bidi="fa-IR"/>
        </w:rPr>
        <w:t>استلزم جریانه بنفسه إلی دار الغیر، نعم لیس له توجیهه إلی دار الغیر لدفع الضرر عن نفسه؛ لکونه هو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الحرام إنّما هو الإضرار علی أنحائه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تسبیباً أو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الرفع و الدفع عن الغیر فهو خارج عن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الإکراه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حکومة حدیث الرفع علی دلیل نفی الضرر بأیّ معنیً فسّر؛ سواء کان نهیاً شرعیاً أو نهیاً سلطانیاً؛ فإنّ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حاکم علی الروایة أو علی دلیل وجوب اتّباع الرسول و اولی الأمر؛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بانصراف</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هاتیک الموارد ممّا لا یستند الضرر حقیقة إلی المباشر، بل إلی أمر المتوعّد، کالتولیة من الجائر علی وجه الإکراه؛ فإنّ الضارّ فی نظر العرف إنّما هو المکرِه لا المکره، بالفتح</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القول بحکومة حدیث الرفع علی أدلّة الأحکام علی إطلاقها غیر صحیح، و قد نبّهنا علیه فی الرسالة التی عملناها فی التقیة</w:t>
      </w:r>
      <w:r>
        <w:rPr>
          <w:rStyle w:val="FootnoteAnchor"/>
          <w:rtl w:val="true"/>
        </w:rPr>
        <w:footnoteReference w:id="910"/>
      </w:r>
      <w:r>
        <w:rPr>
          <w:rFonts w:ascii="IRNazanin" w:hAnsi="IRNazanin" w:eastAsia="IRNazanin"/>
          <w:color w:val="111111"/>
          <w:sz w:val="28"/>
          <w:sz w:val="28"/>
          <w:szCs w:val="28"/>
          <w:rtl w:val="true"/>
          <w:lang w:bidi="fa-IR"/>
        </w:rPr>
        <w:t>، و لا یمکن الجمود علی إطلاق الحدیث و العمل به؛ و إن تحقّق الإکراه، کما إذا أوعده و أکرهه علی هدم الکعبة و إحراق القرآن و إبطاله؛ بحیث یقع الناس معه فی الضلالة، أو أمره علی المعاصی الموبقة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التزامهم بحکومة الحدیث علی ما دلّ علی حرمة تلک الأفعال؛ و إن أوعده المکرِه بما لو اوعد به فی طلاق امرأته أو عتق عبده لتحقّق الإکراه، و صار الطلاق و العتق باطلین، کما لو أوعده بالشتم و الضرب و نهب مال یسیر؛ فإنّ الإیعاد بها یدخل الطلاق و العِتاق لأجله تحت حدیث الرفع، و یحکم الطلاق و عدیله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الإیعاد لا یمکن أن یکون ملاکاً للإتیان بالمحارم الموبقة و العزائم المذکورة، بل لا یجوز فی بعض الصور و إن أوعده بالقتل؛ و إن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فی کلّ شی‌ء إلّا الدماء</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أمره الوالی بهدم بیوت الناس و ضربهم و سبی نسائهم و نهب أموالهم، و أوعده بما یتحقّق معه أوّل مرتبة من الإکراه؛ من الشتم و نحوه لا یجوز له ذلک، و أنّ إطلاق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اضطرّ إلیه ابن آدم فقد أحلّه اللَّه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منصرف عنه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التفصیل بین الوضع و التکلیف، و أنّ حدیث الرفع حاکم علی الأحکام الوضعیة فی عامّة مراتب الإکراه، و أمّا التکلیفیة فالحقّ التفصیل بین مهمّاتها و غیرها</w:t>
      </w:r>
      <w:r>
        <w:rPr>
          <w:rFonts w:eastAsia="IRNazanin" w:cs="IRNazanin"/>
          <w:color w:val="111111"/>
          <w:sz w:val="28"/>
          <w:szCs w:val="28"/>
          <w:rtl w:val="true"/>
          <w:lang w:bidi="fa-IR"/>
        </w:rPr>
        <w:t>.</w:t>
      </w:r>
      <w:bookmarkStart w:id="710" w:name="pg12912_112134"/>
    </w:p>
    <w:p>
      <w:pPr>
        <w:pStyle w:val="Heading5"/>
        <w:numPr>
          <w:ilvl w:val="4"/>
          <w:numId w:val="1"/>
        </w:numPr>
        <w:rPr/>
      </w:pPr>
      <w:bookmarkStart w:id="711" w:name="__RefHeading___Toc3425851_3224264995"/>
      <w:bookmarkStart w:id="712" w:name="_Toc266"/>
      <w:bookmarkEnd w:id="710"/>
      <w:bookmarkEnd w:id="711"/>
      <w:r>
        <w:rPr>
          <w:rtl w:val="true"/>
        </w:rPr>
        <w:t>التنبیه الرابع فی تعارض الضررین أو تعارض الضرر و الحرج و غیرهما من الصور، کما إذا استلزم التصرّف فی ملکه الضرر علی الغیر</w:t>
      </w:r>
      <w:bookmarkEnd w:id="712"/>
    </w:p>
    <w:p>
      <w:pPr>
        <w:pStyle w:val="BookText"/>
        <w:rPr/>
      </w:pPr>
      <w:r>
        <w:rPr>
          <w:rFonts w:ascii="IRNazanin" w:hAnsi="IRNazanin" w:eastAsia="IRNazanin"/>
          <w:color w:val="111111"/>
          <w:sz w:val="28"/>
          <w:sz w:val="28"/>
          <w:szCs w:val="28"/>
          <w:rtl w:val="true"/>
          <w:lang w:bidi="fa-IR"/>
        </w:rPr>
        <w:t>و قد نقل عن المشهور الجواز</w:t>
      </w:r>
      <w:r>
        <w:rPr>
          <w:rStyle w:val="FootnoteAnchor"/>
          <w:rtl w:val="true"/>
        </w:rPr>
        <w:footnoteReference w:id="913"/>
      </w:r>
      <w:r>
        <w:rPr>
          <w:rFonts w:ascii="IRNazanin" w:hAnsi="IRNazanin" w:eastAsia="IRNazanin"/>
          <w:color w:val="111111"/>
          <w:sz w:val="28"/>
          <w:sz w:val="28"/>
          <w:szCs w:val="28"/>
          <w:rtl w:val="true"/>
          <w:lang w:bidi="fa-IR"/>
        </w:rPr>
        <w:t>، و نقل عدم الخلاف عن الشیخ و ابن زهرة و الحلّی</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بیان الصور المتصوّرة، و بیان ما هو الضابط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هاهنا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الضررین، و لزم من تصرّفه فی ملکه الضرر علی الغیر، و من ترک تصرّفه الضرر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یتضرّر الجار من تصرّفه، و لزم من ترکه الحرج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تلک الصورة؛ فلو تصرّف وقع الجار فی الحرج، و لو ترک التصرّف تضرّر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تصرّفه ضرر أو حرج علی الجار، و فی ترکه فقدان منفعة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تصرّفه ضرر أو حرج علی الجار و لا یکون فی ترک التصرّف شی‌ء علیه و لا فقدان المنفعة منه، فیکون تصرّفه لغواً أو لإیصال الضرر أو الحرج</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الحرجین؛ فلو تصرّف وقع الجار فی الحرج، و لو ترکه وقع نفسه فیه</w:t>
      </w:r>
      <w:r>
        <w:rPr>
          <w:rFonts w:eastAsia="IRNazanin" w:cs="IRNazanin"/>
          <w:color w:val="111111"/>
          <w:sz w:val="28"/>
          <w:szCs w:val="28"/>
          <w:rtl w:val="true"/>
          <w:lang w:bidi="fa-IR"/>
        </w:rPr>
        <w:t>.</w:t>
      </w:r>
      <w:bookmarkStart w:id="713" w:name="pg12912_112135"/>
    </w:p>
    <w:p>
      <w:pPr>
        <w:pStyle w:val="BookText"/>
        <w:rPr/>
      </w:pPr>
      <w:bookmarkEnd w:id="713"/>
      <w:r>
        <w:rPr>
          <w:rFonts w:ascii="IRNazanin" w:hAnsi="IRNazanin" w:eastAsia="IRNazanin"/>
          <w:color w:val="111111"/>
          <w:sz w:val="28"/>
          <w:sz w:val="28"/>
          <w:szCs w:val="28"/>
          <w:rtl w:val="true"/>
          <w:lang w:bidi="fa-IR"/>
        </w:rPr>
        <w:t>بناءً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بجواز التصرّف فیما لو استلزم ترک التصرّف وقوع المالک فی الضرر و الحرج؛ لانصراف النهی عن الإضرار بالغیر عن هذه الصورة؛ لأنّ حرمة الإضرار بالغیر غیر تحمّل الضرر و المشقّة عنه، فما هو الحرام هو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تحمّلهما لدفع الضرر عن الجار، و المقام من قبیل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جوازه جواز الإضرار بالغیر ابتداءً إذا استلزم ترکه الضرر علیه؛ لوضوح الفرق بین المقامین،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ما إذا استلزم ترک التصرّف فقدان منفعة خطیرة؛ إذ أیّ حرج أوضح من حبس المالک عن الانتفاع بما له مدّة لا یستهان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التصرّف؛ لأنّه یعدّ إضراراً حقیقة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هو المحکّم؛ و لو قلنا بما اختاره الأعلام فی تفسیر الروایة؛ لأنّ القاعدة قاعدة امتنانیة، و لا امتنان فی إلزام المالک بتحمّل الضرر و الحرج عن الغیر، أو الصبر علی عدم الانتفاع عن العین، و أمّا فی غیر هذه الصور فمقتضی الامتنان عدم الجواز، کما لو حفر بالوعة لمجرّد الإضرار علی جاره، أو غیر ذلک من الهوسات</w:t>
      </w:r>
      <w:r>
        <w:rPr>
          <w:rFonts w:eastAsia="IRNazanin" w:cs="IRNazanin"/>
          <w:color w:val="111111"/>
          <w:sz w:val="28"/>
          <w:szCs w:val="28"/>
          <w:rtl w:val="true"/>
          <w:lang w:bidi="fa-IR"/>
        </w:rPr>
        <w:t>.</w:t>
      </w:r>
    </w:p>
    <w:p>
      <w:pPr>
        <w:pStyle w:val="Heading5"/>
        <w:numPr>
          <w:ilvl w:val="4"/>
          <w:numId w:val="1"/>
        </w:numPr>
        <w:rPr/>
      </w:pPr>
      <w:bookmarkStart w:id="714" w:name="__RefHeading___Toc3425853_3224264995"/>
      <w:bookmarkStart w:id="715" w:name="_Toc267"/>
      <w:bookmarkEnd w:id="714"/>
      <w:r>
        <w:rPr>
          <w:rtl w:val="true"/>
        </w:rPr>
        <w:t>إشکال و دفع</w:t>
      </w:r>
      <w:bookmarkEnd w:id="71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الضرران من جانب المالک و الجار فمقتضی القاعدة سقوطهما و الرجوع إلی قاعدة السلطنة أو إلی الاصول العقلیة و الشرعیة، و مثله ما لو کان المقام ممّا تعارض فیه الحرجان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أحدهما حرجیاً و الآخر ضرریاً فیمکن القول بتعارضهما و تساقطهما، و الرجوع إلی ما سبق فی الصورتین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بحکومة قاعدة لا حرج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فیختلف صور المسألة؛ ففی تعارض الضررین و الحرجین فالمرجع قاعدة السلطنة أو الاصول الموجودة، و فیما إذا کان أحدهما حرجیاً و الآخر ضرریاً یقدّم ما فیه الحرج علی ما فیه الضرر، لو قلنا بالحکومة، و إلّا فیرجع إلی قاعدة السلطنة أو الاصول</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 المالک عن التصرّف فی ملکه حرج مطلقاً؛ فیقدّم جانب المالک فی جمیع الصور؛ إمّا لحکومته علی قاعدة لا ضرر، أو للتعارض و الرجوع إلی قاعدة السلطنة أو الاصول الموجودة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الدعویین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بأنّ منع المالک عن التصرّف فی ملکه حرج مطلقاً غیر صحیح؛ فإنّ الحرج هو المشقّة و الضیق و الکلفة، و مطلق المنع لا یستلزم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یستلزم ذلک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الاولی و هو تعارض الضررین فتقریره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تصرّف المالک فی ملکه بحفر البئر ضرریاً بالنسبة إلی الغیر فجواز حفره مرتفع بحکم القاعدة، و إذا کان رفع هذا الجواز ضرریاً بالنسبة إلیه فهذا الضرر الناشئ من رفع السلطنة و رفع الجواز منفی بحکم نفی الضرر؛ فیتعارض دلیل الضرر فی مصداقین من نفسه؛ فإنّ</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القضیة الحقیقیة منحلّ إلی قضایا کثیرة؛ و إن تولّد أحد الضررین من رفع الضرر فی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بمنزلة إعدام الدلیل نفسه أو مصداقاً من مصادیقه، و هو غیر معقول، و الدلیل الواحد لا یمکن أن یتکفّل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إنشاءً لنفی الأحکام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مبانی القوم، حسب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الدلیل الواحد لا یمکن أن یتکفّل بجعل واحد ما ذکر؛ بأن یکون معدماً لنفسه، أو مصداقاً من مصادیقه الذی هو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بحکومة الأصل السببی علی المسبّبی؛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قبیل حکومة مصداق من الدلیل علی مصداق آخر، و هو غیر إعدام الشی‌ء نفسه؛ لأنّه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ناحیة السبب یرفع موضوع 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 علی مسلک القوم</w:t>
      </w:r>
      <w:r>
        <w:rPr>
          <w:rStyle w:val="FootnoteAnchor"/>
          <w:rtl w:val="true"/>
        </w:rPr>
        <w:footnoteReference w:id="917"/>
      </w:r>
      <w:r>
        <w:rPr>
          <w:rFonts w:ascii="IRNazanin" w:hAnsi="IRNazanin" w:eastAsia="IRNazanin"/>
          <w:color w:val="111111"/>
          <w:sz w:val="28"/>
          <w:sz w:val="28"/>
          <w:szCs w:val="28"/>
          <w:rtl w:val="true"/>
          <w:lang w:bidi="fa-IR"/>
        </w:rPr>
        <w:t>، فلا یبقی بعد جریانه موضوع</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91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ناحیة المسبّب حتّی یکون الدلیل معدماً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ناحیة المسبّب مرتفع بالذات؛ لارتفاع موضوعه؛ و هو الشکّ من أجل الأصل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کیفیة حکومة الأصل السببی علی المسبّبی کلاماً تعرّضنا له فی الاصول، و قرّرناها بما یدفع عنها الإشکال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لزم فی مورد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بأن یتکفّل إنشاء عدم نقض الیقین بالشکّ إعدام عدم النقض فهو أیضاً محال،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بذیل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الإشکال؛ فإنّ إعدام الشی‌ء نفسه باطل، و حدیث الانحلال لا یصحّح الأمر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تفسیر الانحلال بما ذکر من إنشاء قضایا متکثّرة غیر تامّ عندنا، و قد أوضحنا معنی الانحلال فی محلّه،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البین إلّا إنشاء واحد، غیر أنّه حجّة علی الناس فی عامّة الموارد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 فی تقریر تعارض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التصرّف منفی بلا ضرر، و منع التصرّف الناشئ من لا ضرر أیضاً منفی بلا ضرر،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الحدیث هو 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إثبات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المنع من التصرّف الذی هو حکم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الحکم لیس حکماً شرعیاً حتّی ینفی بلا ضرر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العصر أجاب عن تعارض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الناشئ من قِبل لا ضرر لا یمکن أن ینفی بلا ضرر؛ لأنّ المحکوم لا بدّ أن یکون فی الرتبة المتقدّمة من الحاکم حتّی یکون شارحاً و ناظراً إلیه</w:t>
      </w:r>
      <w:r>
        <w:rPr>
          <w:rStyle w:val="FootnoteAnchor"/>
          <w:rtl w:val="true"/>
        </w:rPr>
        <w:footnoteReference w:id="921"/>
      </w:r>
      <w:r>
        <w:rPr>
          <w:rFonts w:ascii="IRNazanin" w:hAnsi="IRNazanin" w:eastAsia="IRNazanin"/>
          <w:color w:val="111111"/>
          <w:sz w:val="28"/>
          <w:sz w:val="28"/>
          <w:szCs w:val="28"/>
          <w:rtl w:val="true"/>
          <w:lang w:bidi="fa-IR"/>
        </w:rPr>
        <w:t>، و المفروض أنّ هذا الضرر</w:t>
      </w:r>
    </w:p>
    <w:p>
      <w:pPr>
        <w:pStyle w:val="BookText"/>
        <w:rPr/>
      </w:pPr>
      <w:r>
        <w:rPr>
          <w:rFonts w:ascii="IRNazanin" w:hAnsi="IRNazanin" w:eastAsia="IRNazanin"/>
          <w:color w:val="111111"/>
          <w:sz w:val="28"/>
          <w:sz w:val="28"/>
          <w:szCs w:val="28"/>
          <w:rtl w:val="true"/>
          <w:lang w:bidi="fa-IR"/>
        </w:rPr>
        <w:t>الحادث متأخّر عن لا ضرر، فکیف یکون حاکماً علی الأمر المتأخّر</w:t>
      </w:r>
      <w:r>
        <w:rPr>
          <w:rStyle w:val="FootnoteAnchor"/>
          <w:rtl w:val="true"/>
        </w:rPr>
        <w:footnoteReference w:id="9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ما اختاره فی باب الحکومة</w:t>
      </w:r>
      <w:r>
        <w:rPr>
          <w:rStyle w:val="FootnoteAnchor"/>
          <w:rtl w:val="true"/>
        </w:rPr>
        <w:footnoteReference w:id="923"/>
      </w:r>
      <w:r>
        <w:rPr>
          <w:rFonts w:ascii="IRNazanin" w:hAnsi="IRNazanin" w:eastAsia="IRNazanin"/>
          <w:color w:val="111111"/>
          <w:sz w:val="28"/>
          <w:sz w:val="28"/>
          <w:szCs w:val="28"/>
          <w:rtl w:val="true"/>
          <w:lang w:bidi="fa-IR"/>
        </w:rPr>
        <w:t>، و سیوافیک فی محلّه أنّه لا یشترط فی الحکومة التفسیر و الشرح</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النظر إلی المتأخّر رتبة ممکن، فإذا تولّد من إجراء القاعدة حکم ضرری فلا مانع من نفیه بنفس هذا الدلیل،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مجعول علی وزان القضایا الحقیقیة، و الشارع نفی و رفع کلّ حکم ضرری محقّق أو مقدّر وجوده فی ظرف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تعارض الحرجین؛ فإنّه کتعارض الضررین،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حکومة لا حرج علی لا ضرر فممّا لا أصل له بناءً علی مسلک القوم، أمّا إذا قلنا بأنّ دلیل رفع الحرج هو</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عرفت منّا تحقیقه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بمعنی الحرج و الکلفة و المشقّة فواضح</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کان دلیله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فِی اللَّهِ حَقَّ جِهادِهِ هُوَ اجْتَباکُمْ وَ ما جَعَلَ عَلَیْکُمْ فِی الدِّینِ مِنْ حَرَجٍ مِلَّةَ أَبِیکُمْ إِبْراهِیمَ هُوَ سَمَّاکُمُ الْمُسْلِمِینَ مِنْ</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فمثل ما تقدّم؛ فإنّ لسان الدلیلین واحد، و کلاهما إنشاء لنفی الأحکام الضرریة و الحرجیة، علی ما ذهب إلیه القوم فی معنی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فحکومة أحدهما علی الآخر بعد اشتراکهما فی اللسان و المرمی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لا ضرر نفی تحقّقه و لسان لا حرج بمقتضی الآیة نفی الجعل، و بما أنّ الجعل مقدّم علی التحقّق یکون نفیه حاکماً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الحکومة لا بدّ و أن یکون عقلائیاً؛ بحیث إذا عرض الدلیلان علی العرف یقدّم أحدهما تحکیماً، بلا نظر إلی النسبة بینهما، و ما ذکر لیس تقدیماً عقلائیاً عرفیاً،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المقام أبحاث طفیفة و تنبیهات تعرّض لها الأعلام، غیر أنّ سیّدنا الاستاذ طوی عنها الکلام بعد کون مبناه فی الحدیث غیر مبنی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یظهر أنظاره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بقی من المباحث من التدبّر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تعالی التوکّل فی المعاش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الرسالة بعونه فی شهر ذی قعدة الحرام من شهور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قد أعدنا النظر و کرّرنا البصر مرّة ثانیة فی محروسة کرمان، صانها اللَّه عن الحدثان، و فرغنا عنه فی الثامن عشر فی شهر رمضان من شهور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بأنامله الداثرة مؤلّفه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السبحانی التبریزی، عامله اللَّه بلطفه العمیم</w:t>
      </w:r>
      <w:r>
        <w:rPr>
          <w:rFonts w:eastAsia="IRNazanin" w:cs="IRNazanin"/>
          <w:color w:val="111111"/>
          <w:sz w:val="28"/>
          <w:szCs w:val="28"/>
          <w:rtl w:val="true"/>
          <w:lang w:bidi="fa-IR"/>
        </w:rPr>
        <w:t>.</w:t>
      </w:r>
      <w:bookmarkStart w:id="716" w:name="pg12912_112141"/>
    </w:p>
    <w:p>
      <w:pPr>
        <w:pStyle w:val="Heading3"/>
        <w:numPr>
          <w:ilvl w:val="2"/>
          <w:numId w:val="1"/>
        </w:numPr>
        <w:rPr/>
      </w:pPr>
      <w:bookmarkStart w:id="717" w:name="__RefHeading___Toc3425855_3224264995"/>
      <w:bookmarkStart w:id="718" w:name="_Toc268"/>
      <w:bookmarkEnd w:id="716"/>
      <w:bookmarkEnd w:id="717"/>
      <w:r>
        <w:rPr>
          <w:rtl w:val="true"/>
        </w:rPr>
        <w:t>رسالة فی الاجتهاد و التقلید</w:t>
      </w:r>
      <w:bookmarkEnd w:id="71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9" w:name="__RefHeading___Toc3425857_3224264995"/>
      <w:bookmarkStart w:id="720" w:name="_Toc269"/>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بارئ النفوس و مفیض النعم، و الصلاة علی نبیه و آله خیرة الامم، و علی الدعاة إلی طریقته الحقّة و شریعته المتقنة، و سلّم تسلیماً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دُرر و فرائد، و غُرَر و فوائد، التقطتها من بحث سیّدنا العلّامة الاستاذ الأکبر، آیة اللَّه العظمی الحاجّ آغا روح اللَّه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انتهی بحثه إلی مباحث الاجتهاد و التقلید، و لمّا کان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غزیر المادّة، طویل الذیل، کثیر النفع أحببت أن أفرزه عمّا تقدّمه من المباحث،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تامّة، کافلة لبیان ما هو الأهمّ من المسائل</w:t>
      </w:r>
      <w:r>
        <w:rPr>
          <w:rFonts w:eastAsia="IRNazanin" w:cs="IRNazanin"/>
          <w:color w:val="111111"/>
          <w:sz w:val="28"/>
          <w:szCs w:val="28"/>
          <w:rtl w:val="true"/>
          <w:lang w:bidi="fa-IR"/>
        </w:rPr>
        <w:t>.</w:t>
      </w:r>
      <w:bookmarkStart w:id="721" w:name="pg12912_112145"/>
    </w:p>
    <w:p>
      <w:pPr>
        <w:pStyle w:val="Heading4"/>
        <w:numPr>
          <w:ilvl w:val="3"/>
          <w:numId w:val="1"/>
        </w:numPr>
        <w:rPr/>
      </w:pPr>
      <w:bookmarkStart w:id="722" w:name="__RefHeading___Toc3425859_3224264995"/>
      <w:bookmarkStart w:id="723" w:name="_Toc270"/>
      <w:bookmarkEnd w:id="721"/>
      <w:bookmarkEnd w:id="722"/>
      <w:r>
        <w:rPr>
          <w:rtl w:val="true"/>
        </w:rPr>
        <w:t>ذکر مناصب الفقیه</w:t>
      </w:r>
      <w:bookmarkEnd w:id="723"/>
    </w:p>
    <w:p>
      <w:pPr>
        <w:pStyle w:val="Heading5"/>
        <w:numPr>
          <w:ilvl w:val="4"/>
          <w:numId w:val="1"/>
        </w:numPr>
        <w:rPr/>
      </w:pPr>
      <w:bookmarkStart w:id="724" w:name="__RefHeading___Toc3425861_3224264995"/>
      <w:bookmarkStart w:id="725" w:name="_Toc271"/>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الإسلام من أثبت الطرق دعائمه، و أوضح المذاهب شوارعه، عزّز جامعة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أحوج أوقاتها إلی مصلح یهدیها بعلمه الجمّ إلی طریق الصلاح، و یضمّن لها نتائج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قوانین کلّیة و دستورات واضحة، یحصل بها حیاتها و تتکفّل سعادتها الفردی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أهمّ ما یحتاج إلیه البشر فی حفظ نوامیسه و نفوسه و اجتماع شتات اموره و متفرّقاته هو جعل قائد بینهم یجب علی الکلّ إطاعة قوله و تبعیة فعله؛ و هو الذی یعبّر عنه فی لسان الشرع و المتشرّعة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 السائس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فللحرص علی هذا النظام البشری و الترتیب المدنی أصدرت حکومة الشرع العالیة قانون الحکومة، فعیّنت لأُمّهات المناطق حکّاماً کباراً یضمّنون سیاسة المنطقة فی داخلها و خارجها، و یحفظون توازن الجمعیة فی کافّة حرکاتها؛ حفظاً لها عن التلف و الاندحار و سفک الدماء و قتل النفوس و تطرّق اللصوص إلیها من داخل و خارج؛ حتّی ینتظم امورهم و ینضبط کیانهم و مدنیتهم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مقتضیات القوی النفسانیة المیل و التوجّه إلی القوی النفسانیة، و الاحتراز و التباعد عن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یوجب نزاعاً فی الحقوق و الأموال،</w:t>
      </w:r>
    </w:p>
    <w:p>
      <w:pPr>
        <w:pStyle w:val="BookText"/>
        <w:rPr/>
      </w:pPr>
      <w:r>
        <w:rPr>
          <w:rFonts w:ascii="IRNazanin" w:hAnsi="IRNazanin" w:eastAsia="IRNazanin"/>
          <w:color w:val="111111"/>
          <w:sz w:val="28"/>
          <w:sz w:val="28"/>
          <w:szCs w:val="28"/>
          <w:rtl w:val="true"/>
          <w:lang w:bidi="fa-IR"/>
        </w:rPr>
        <w:t>و ربّما ینجرّ إلی الحرب و الاحتدام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فلدفع هذه المفسدة عیّن الشارع الصادق فی کلّ صقع و جیل مَن یتّبع قوله فی حلّ خصوماتهم و مرافعاتهم؛ لیکون قوله نافذاً و أمره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یعبّر عنه فی لسان الشرع و أئمّة الدین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هذین الأمرین راجع إلی کیفیة معاشهم فی أدوار حیاتهم؛ لیخرجوا عن الوحشیة إلی المدنیة؛ حتّی یتمّ نظامهم بأحسن صورة و أدقّ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مقام ثالث وراء ما تقدّم؛ أعنی به مقام الإفتاء؛ فإنّ الأحکام الشرعیة بأبوابه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عبادات و معاملات و إیقاعات و 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أمراً نظریاً محتاجاً إلی التعلّم و التعلیم، و لا یمکن لکلّ واحد منّا عرفانها عن مآخذها العلمیة و مدارکها المتقنة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یعوّق الإنسان عن مهامّ اموره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نظام الإفتاء إلی فقیه عالم بشرائع دینه و مذهبه؛ و هذا هو الذی یدور فی ألسنة المتشرّعة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لیکون مرجعاً لأخذ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یکن کلّ فرد لائقاً للجلوس علی منصّة هذه المناصب الخطیرة و المقامات المهمّة حدّد الشارع هذا المقام بحدود و قیود، بحث عنها الأساطین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یناسب البحث عن عامّتها وضع الرسالة، إلّا البحث عن شرطیة الاجتهاد لمن یتکفّل هذه المناصب، و أمّا بیان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عدالة و حرّیة و 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فموکولة إلی محلّها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البحث عن مقامات ثلاث، و لنقدّم البحث عن الإفتاء</w:t>
      </w:r>
      <w:r>
        <w:rPr>
          <w:rFonts w:eastAsia="IRNazanin" w:cs="IRNazanin"/>
          <w:color w:val="111111"/>
          <w:sz w:val="28"/>
          <w:szCs w:val="28"/>
          <w:rtl w:val="true"/>
          <w:lang w:bidi="fa-IR"/>
        </w:rPr>
        <w:t>:</w:t>
      </w:r>
      <w:bookmarkStart w:id="726" w:name="pg12912_112147"/>
    </w:p>
    <w:p>
      <w:pPr>
        <w:pStyle w:val="Heading5"/>
        <w:numPr>
          <w:ilvl w:val="4"/>
          <w:numId w:val="1"/>
        </w:numPr>
        <w:rPr/>
      </w:pPr>
      <w:bookmarkStart w:id="727" w:name="__RefHeading___Toc3425863_3224264995"/>
      <w:bookmarkStart w:id="728" w:name="_Toc272"/>
      <w:bookmarkEnd w:id="726"/>
      <w:bookmarkEnd w:id="727"/>
      <w:r>
        <w:rPr>
          <w:rtl w:val="true"/>
        </w:rPr>
        <w:t>المقام الأوّل البحث عن منصب الإفتاء</w:t>
      </w:r>
      <w:bookmarkEnd w:id="728"/>
    </w:p>
    <w:p>
      <w:pPr>
        <w:pStyle w:val="Heading6"/>
        <w:numPr>
          <w:ilvl w:val="5"/>
          <w:numId w:val="1"/>
        </w:numPr>
        <w:rPr/>
      </w:pPr>
      <w:bookmarkStart w:id="729" w:name="__RefHeading___Toc3425865_3224264995"/>
      <w:bookmarkStart w:id="730" w:name="_Toc273"/>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و یقع البحث عنه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یجب علیه العمل برأی نفسه، و یحرم علیه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یجوز له العمل برأیه، و یکون مثاباً أو معذوراً فی العمل به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المفتی و من یجوز له الإفتاء</w:t>
      </w:r>
      <w:r>
        <w:rPr>
          <w:rFonts w:eastAsia="IRNazanin" w:cs="IRNazanin"/>
          <w:color w:val="111111"/>
          <w:sz w:val="28"/>
          <w:szCs w:val="28"/>
          <w:rtl w:val="true"/>
          <w:lang w:bidi="fa-IR"/>
        </w:rPr>
        <w:t>.</w:t>
      </w:r>
    </w:p>
    <w:p>
      <w:pPr>
        <w:pStyle w:val="Heading6"/>
        <w:numPr>
          <w:ilvl w:val="5"/>
          <w:numId w:val="1"/>
        </w:numPr>
        <w:rPr/>
      </w:pPr>
      <w:bookmarkStart w:id="731" w:name="__RefHeading___Toc3425867_3224264995"/>
      <w:bookmarkStart w:id="732" w:name="_Toc274"/>
      <w:bookmarkEnd w:id="731"/>
      <w:r>
        <w:rPr>
          <w:rtl w:val="true"/>
        </w:rPr>
        <w:t>من لا یجوز له الرجوع إلی الغیر</w:t>
      </w:r>
      <w:bookmarkEnd w:id="732"/>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لوجوب العمل برأی نفسه و حرمة الرجوع إلی الغیر هو من کان ذا قوّة و ملکة یقتدر بها علی استنباط الحکم الشرعی من مدارکها؛ و إن لم یستنبط فرعاً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زاول الرجل مقدّمات الاجتهاد و مارسها ممارسة أکیدة؛ بحیث حصل من تلک المزاولة قوّة الاجتهاد و نال المرتبة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یستنبط فرعاً واحداً و لم یرجع إلی مسألة واحدة؛ بحیث یصدق فی حقّه فعلًا أنّه جاهل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 تقلید الغیر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علیه استفراغ الوسع و البال لتحصیل الحکم الشرعی؛ لأنّ الدلیل علی جواز رجوع الجاهل إلی الغیر لیس إلّا بناء العقلاء، و ما ورد فی</w:t>
      </w:r>
    </w:p>
    <w:p>
      <w:pPr>
        <w:pStyle w:val="BookText"/>
        <w:rPr/>
      </w:pPr>
      <w:r>
        <w:rPr>
          <w:rFonts w:ascii="IRNazanin" w:hAnsi="IRNazanin" w:eastAsia="IRNazanin"/>
          <w:color w:val="111111"/>
          <w:sz w:val="28"/>
          <w:sz w:val="28"/>
          <w:szCs w:val="28"/>
          <w:rtl w:val="true"/>
          <w:lang w:bidi="fa-IR"/>
        </w:rPr>
        <w:t>الکتاب</w:t>
      </w:r>
      <w:r>
        <w:rPr>
          <w:rStyle w:val="FootnoteAnchor"/>
          <w:rtl w:val="true"/>
        </w:rPr>
        <w:footnoteReference w:id="926"/>
      </w:r>
      <w:r>
        <w:rPr>
          <w:rFonts w:ascii="Amiri" w:hAnsi="Amiri" w:eastAsia="Amiri" w:cs="Amiri"/>
          <w:color w:val="111111"/>
          <w:sz w:val="28"/>
          <w:sz w:val="28"/>
          <w:szCs w:val="28"/>
          <w:rtl w:val="true"/>
          <w:lang w:bidi="ar-SA"/>
        </w:rPr>
        <w:t>و السنّة</w:t>
      </w:r>
      <w:r>
        <w:rPr>
          <w:rStyle w:val="FootnoteAnchor"/>
          <w:rtl w:val="true"/>
        </w:rPr>
        <w:footnoteReference w:id="927"/>
      </w:r>
      <w:r>
        <w:rPr>
          <w:rFonts w:ascii="IRNazanin" w:hAnsi="IRNazanin" w:eastAsia="IRNazanin"/>
          <w:color w:val="111111"/>
          <w:sz w:val="28"/>
          <w:sz w:val="28"/>
          <w:szCs w:val="28"/>
          <w:rtl w:val="true"/>
          <w:lang w:bidi="fa-IR"/>
        </w:rPr>
        <w:t>من التحریص إلی الرجوع لیس إلّا إرشاداً إلی الفطرة المرتکزة، و هو دلیل لبّی لا إطلاق له حتّی یتمسّک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إذا علم أنّ مؤدّی الأمارات و الاصول عنده قد یکون مخالفاً لرأی من یرید أن یرجع إلیه؛ بحیث لو استفرغ الوسع لوقف علی خطأه فی الاجتهاد فلا یعذّره العقلاء لو رجع و بان خطأه،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أو ما هو الظاهر من بناء العقلاء هو الجاهل الذی لا یتمکّن فعلًا من تحصیل الأحکام الواقعیة من طرقه المألوفة، فعلیه أن یرجع إلی 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القادر علی تحصیلها من طرقها؛ بحیث لا حاجز بینه و بینها إلّا مراجعة الأمارات و الاصول المجتمعة فی الکتاب و السنّة فخارج عنه، بل یجب علیه بذل الجُهد فی تحصیل ما هو ضالّته، و ما یدور علیه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باشر و قام علی تحصیل الأحکام الشرعیة بنفسه فهو مأمون من العتاب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أو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خبیراً فیما باشره، و الخبیر قد یصیب و قد لا 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رجع إلی الغیر فلو کان الغیر خاطئاً فی اجتهاده فلا یعذر فی مراجعته؛ لأنّه من المحتمل جدّاً عدم خطأه فیما لو باشره بنفسه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سیرة العقلاء من أصحاب الصنائع و غیرهم علی خلاف ذلک؛ فربّما یدفعون کلفة التدبّر و التشخیص فی أمر إلی ذمّة الغیر، مع کون الدافع قادراً علی القیام 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التکالیف الإلهیة بما جرت السیرة علیه بین الصنّاعین قیاس مع الفارق؛ فإنّ رجوعهم إلی الغیر لأجل تقدیم بعض الغایات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کتقدیم الاستراحة و العیش علی التعب و 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الاحتیاط و الوقوف علی نظر الغیر؛ حتّی یطمئنّ قلبه إذا حصل التوافق بین الرأیین، أو غیر ذلک ممّا لا مساغ لها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تقریب جواز رجوعه إلی الغیر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رجوع الجاهل إلی الغیر لیس إلّا إلغاء احتمال الخطأ و الخلاف فی نظر الغیر؛ لکونه غالب الموافقة و کثیر الإصابة، کما أنّ ذلک هو الملاک فی العمل بالأمارات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الملاک بعینه موجود فی الجاهل القادر علی الاستنباط؛ فله أن یدفع کلفة الاجتهاد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استفرغ الوسع، و صار مؤدّی نظره مخالفاً لما رآه غیره لا یجوز له الرجوع إلیه؛ لکونه مخطئاً فی نظره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لکنّه لا یخلو عن غموض؛ فإنّ هذا یصحّ لو کان الاختلاف بین الفقهاء طفیفاً لا کثیراً، و الجاهل القادر علی بذل الجهد یعلم من نفسه أنّه لو تصدّی لاستفراغ الوسع لوقف علی خطایا کثیرة فی أنظار من یرید الرجوع إلیه، و معه کیف یجوز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أن یکون للعجز دخالة فی جواز الرجوع</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سیرة المتشرّعة فالمتیقّن منها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للمقال صلة، فانتظر</w:t>
      </w:r>
      <w:r>
        <w:rPr>
          <w:rStyle w:val="FootnoteAnchor"/>
          <w:rtl w:val="true"/>
        </w:rPr>
        <w:footnoteReference w:id="929"/>
      </w:r>
      <w:bookmarkStart w:id="733" w:name="pg12912_112150"/>
    </w:p>
    <w:p>
      <w:pPr>
        <w:pStyle w:val="Heading6"/>
        <w:numPr>
          <w:ilvl w:val="5"/>
          <w:numId w:val="1"/>
        </w:numPr>
        <w:rPr/>
      </w:pPr>
      <w:bookmarkStart w:id="734" w:name="__RefHeading___Toc3425869_3224264995"/>
      <w:bookmarkStart w:id="735" w:name="_Toc275"/>
      <w:bookmarkEnd w:id="733"/>
      <w:bookmarkEnd w:id="734"/>
      <w:r>
        <w:rPr>
          <w:rtl w:val="true"/>
        </w:rPr>
        <w:t>من یجوز له العمل بفتوی نفسه</w:t>
      </w:r>
      <w:bookmarkEnd w:id="735"/>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هو الموضوع لجواز العمل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لمن استفرغ الوسع فی تحصیل الأحکام الشرعیة من طرقها المألوفة لدی أصحاب الفنّ، أو بذل جُهده فی تحصیل ما هو العذر بینه و بین ربّه أن یعمل برأیه، و یستغنی بذلک عن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ذلک یتوقّف علی مقدّمات و مبادئ کثیرة، نشیر إلی أکثرها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القواعد العربیة و معرفة مفرداتها علی حدّ یتوقّف علیه فهم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ذلک إلّا بمزاولتها و ممارستها علی نحو یقف علی قواعدها و مفرداتها، و الکنایات و الاستعارات التی تختصّ بالکتاب و السنّة، و سائر الخصوصیات التی لا مناص للفقیه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المعانی العرفیة الدارجة بین الناس علی اختلافهم عن المعانی العقلیة الدقیقة التی لا یقف علیها إلّا ثلّة قلیلة؛ فإنّ الکتاب و السنّة وردا فی مستوی الأفهام المعمولة و المعانی الدارجة بین عامّة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بین الدفّتین فی الکتاب و السنّة وارد علی هذا النمط؛ لأنّ ذلک مجازفة فی القول؛ فإنّک تری أنّ الکتاب إذا أخذ فی البحث عن المعارف الإلهیة و المطالب العقلیة یأتی بما هو أعلی عن مستوی الأفهام العادیة؛ بحیث لا یقف علی مغزاها إلّا من صرف أعماراً فی ذلک المضمار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فیهما لأجل بیان الأحکام الشرعیة و الوظائف العملیة، ورد فی موقف الأفهام الرائجة و المعانی البسیطة التی تقف علی حقیقتها کلّ 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یجب علی الفقیه الانس بالمحاورات العرفیة، و فهم</w:t>
      </w:r>
    </w:p>
    <w:p>
      <w:pPr>
        <w:pStyle w:val="BookText"/>
        <w:rPr/>
      </w:pPr>
      <w:r>
        <w:rPr>
          <w:rFonts w:ascii="IRNazanin" w:hAnsi="IRNazanin" w:eastAsia="IRNazanin"/>
          <w:color w:val="111111"/>
          <w:sz w:val="28"/>
          <w:sz w:val="28"/>
          <w:szCs w:val="28"/>
          <w:rtl w:val="true"/>
          <w:lang w:bidi="fa-IR"/>
        </w:rPr>
        <w:t>الموضوعات الدارجة بینهم، و التجنّب عن المسائل العقلیة الفلسفیة فی فهم المعانی العرفیة و المطالب السوقیة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وقفنا علی أخطاء کثیرة من الأعاظم صدرت من تلک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الأشکال الأربعة و شرائط إنتاجها، و تمییز عقیمها عن منتجها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ذلک معرفة العکس المستوی و عکس النقیض ممّا یتوقّف علیه الاستنباط فی بعض المقامات، و غیرها من المباحث الرائجة منه فی غالب المحاورات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الوقوف علی تفاصیل الشرطیات و الاقترانیات و أشباههما ممّا لا توقّف لتحصیل الحکم الشرعی علیه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مسائل اصول الفقه، و تحصیلها بأدقّ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أعنی بمسائلها ما لها دخالة و مقدّمیة فی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الفقیه لم یتقن و لم یحقّق حجّیة مسألة خبر الواحد، أو أنّ المحکّم فیما لا نصّ علی حرمة شی‌ء أو وجوبه هو البراءة، أو أنّ المرجع فی تعارض الروایات ما هو، و غیر ذلک من المسائل الهامّة لتعذّر علیه الاستدلال فی هذه الموارد و أمثالها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الاستغناء عنها بأنّه لم یکن فی أعصار الأئمّة عین و لا أثر من هذه المسائل المدوّنة</w:t>
      </w:r>
      <w:r>
        <w:rPr>
          <w:rStyle w:val="FootnoteAnchor"/>
          <w:rtl w:val="true"/>
        </w:rPr>
        <w:footnoteReference w:id="931"/>
      </w:r>
      <w:r>
        <w:rPr>
          <w:rFonts w:ascii="IRNazanin" w:hAnsi="IRNazanin" w:eastAsia="IRNazanin"/>
          <w:color w:val="111111"/>
          <w:sz w:val="28"/>
          <w:sz w:val="28"/>
          <w:szCs w:val="28"/>
          <w:rtl w:val="true"/>
          <w:lang w:bidi="fa-IR"/>
        </w:rPr>
        <w:t>سخیف جدّاً؛ للفرق الواضح بین أعصارهم و أعصارنا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p>
    <w:p>
      <w:pPr>
        <w:pStyle w:val="BookText"/>
        <w:rPr/>
      </w:pPr>
      <w:r>
        <w:rPr>
          <w:rFonts w:ascii="IRNazanin" w:hAnsi="IRNazanin" w:eastAsia="IRNazanin"/>
          <w:color w:val="111111"/>
          <w:sz w:val="28"/>
          <w:sz w:val="28"/>
          <w:szCs w:val="28"/>
          <w:rtl w:val="true"/>
          <w:lang w:bidi="fa-IR"/>
        </w:rPr>
        <w:t>بعض ما عدّدناه من المسائل کان منقّحاً عند أهل الاستنباط فی تلک الأعصار، کما هو واضح علی من سبر أبواب الفقه و فصول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مسائل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احتلّ فی هذه الأعصار المکانة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ما یتوقّف علیه رحی الاستنباط؛ إذ لو لم یثبت عندنا حجّیة قول الثقة أو صحّة العمل بالظواهر، و لم نعلم الوظیفةُ عند فقدان الدلیل أو کیفیة الجمع فلا یمکن لنا الاعتماد علی قول الثقة أو الظواهر عند الاستنباط، و نصیر متحیّرین عند فقدان الدلیل أو تعارضه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للفقیه تنقیح هذه المسائل، و ما یقع فی موقفها؛ من البحث فی عموم الألفاظ أو خصوصها، مطلقها و مقیّدها، و ما یشبهها من البحث فی مفاد الأوامر و النواهی، کلّ ذلک علی نحو الاجتهاد، علی حسب ما یسوقه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ما الدلیل علی الاستغناء عن تنقیح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أکثر مدارک هذه المسائل موجود فی الذکر الحکیم و الروایات المأثورة و المرتکزات الفطریة العرفیة العقلائیة، کما أنّ بعض مسائلها ممّا یستدلّ علیه من طریق العقل، کاجتماع الأمر و النهی؛ فإنّ مرجع البحث فیه إلی أنّه هل یلزم علی القول بالاجتماع اجتماع الضدّین أو النقیضین الذی أجمع العقلاء؛ حتّی الأخباری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تدوینها فی کتاب مستقلّ فلیس من البِدَع المحرّمة و المحدثات المذمومة؛ إذ کلّ علم إذا کثر البحث حوله تشعّب فنونه، و صار لائقاً لأن یدوّن فی کتاب مستقلّ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تمسّک به الأخباری فی الاستغناء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الروایات المأثورة مقطوعة الصدور، ممّا لا یسمن و لا یغنی من جوع؛ فإنّه علی فرض صحّته</w:t>
      </w:r>
    </w:p>
    <w:p>
      <w:pPr>
        <w:pStyle w:val="BookText"/>
        <w:rPr/>
      </w:pPr>
      <w:r>
        <w:rPr>
          <w:rFonts w:ascii="IRNazanin" w:hAnsi="IRNazanin" w:eastAsia="IRNazanin"/>
          <w:color w:val="111111"/>
          <w:sz w:val="28"/>
          <w:sz w:val="28"/>
          <w:szCs w:val="28"/>
          <w:rtl w:val="true"/>
          <w:lang w:bidi="fa-IR"/>
        </w:rPr>
        <w:t>لا یثبت ما رامه، و لا یوجب الغناء عن کثیر من مسائل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الغناء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الاکتفاء علی المباحث التی تعدّ مقدّمة واقعیة علی الاستنباط؛ بحیث لولاها لاختلّ نظامه و انفصم عقده، و أمّا ما لا دخالة لها فی تحصیله فالاشتغال به ضیاع للعمر و انحراف عن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خوف الإطالة لعدّدت علیک مسائل بحث عنها الاصولیون من قدیم و حدیث بحثاً ضافیاً، مع أنّه لا یتوقّف علیه الاستنباط فی واحدة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فطالب السعادة الربّانیة لا مناص له عن أن یرجع إلی مسائلها علی نحو الطریقیة و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یخوض فی مسألة إلّا و لها دخالة فی فروعه و استنباطه، و لا ینظر إلیه علی أنّه علم برأسه، و أنّ الوقوف علی مسائلها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خطیرها و حقیرها و دقیقها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نفسانی یطلب لأنفسها، أو أنّ لها دخالة فی جودة الذهن و تشحیذه، کما أنّه ربّما یروم به الألسن 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التطویل مصدراً لطعن الأخباریین فی تدوین مسائل اصول الفقه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هاهنا مصدر آخر لطعنهم؛ فإنّهم لاحظوا بعض ما ألّفه أصحابنا فی اصول الفقه، فرأوا أنّ المسائل المدوّنة فیها و طریق الاستدلال علیها یشبه أو یتّحد مع طریق العامّة، فزعموا أنّ مبانی استدلالهم فی الفقه عین ما حرّروه فی کتب اصولهم</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الواقف علی طریق استدلالهم علی الأحکام الفرعیة جدّ علیم</w:t>
      </w:r>
    </w:p>
    <w:p>
      <w:pPr>
        <w:pStyle w:val="BookText"/>
        <w:rPr/>
      </w:pPr>
      <w:r>
        <w:rPr>
          <w:rFonts w:ascii="IRNazanin" w:hAnsi="IRNazanin" w:eastAsia="IRNazanin"/>
          <w:color w:val="111111"/>
          <w:sz w:val="28"/>
          <w:sz w:val="28"/>
          <w:szCs w:val="28"/>
          <w:rtl w:val="true"/>
          <w:lang w:bidi="fa-IR"/>
        </w:rPr>
        <w:t>بأنّهم لم یتجاوزوا عن الکتاب و السنّة قدر 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بعض الفروع ببعض الطرق التی لا یرضی بها إلّا العامّة فلأجل مصالح لا یکاد یخفی علی القارئ عرفانها؛ فإنّ تحکیم المسألة من الطرق التی یرضی بها الخصم من فنون البحث و الجدل، و هذا لا یستلزم جواز الطعن علی رؤساء المذهب و عمد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علم الرجال و تمییز الثقة عن غیرها؛ حتّی یتّضح عنده سند الروایة و حالها، و أنّه داخل فی أیّ واحد من أقسامها؛ من المقبول و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ذلک معرفة المشایخ فی الروایة و تلامذتها؛ حتّی یتّضح عنده المرسل من الروایة عن مسندها، کما هو واضح لدی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الاستغناء عنه؛ بأنّ الروایات مقطوعة الصدور</w:t>
      </w:r>
      <w:r>
        <w:rPr>
          <w:rStyle w:val="FootnoteAnchor"/>
          <w:rtl w:val="true"/>
        </w:rPr>
        <w:footnoteReference w:id="933"/>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المیزان فی حجّیة الروایة عمل الفقهاء بها؛ فما عمل به المشهور نعمل به و إن کان ضعیفاً، و ما أعرض عنه لا نعمل؛ و إن بلغ من الصحّة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جدّاً؛ فإنّ مورد الاستنباط ربّما یشتمل علی صنفین من الروایات، و قد عمل بهما عدّة من الأعلام، فلا مناص فی ترجیح واحد من الصنفین من الرجوع إلی أحوال رواتهما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ربّما لا یحرز الإعراض و لا العمل، فلا وجه لرفع الید عن إطلاق ما دلّ علی حجّیة قول الثقة فی هذا المورد، و لا یحرز کون الراوی ثقة إلّا بالمراجعة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الکتاب و السنّة، و هی أهمّ المقدّمات، و علیها یدور رحی الاستنباط فی عامّة الأعصار، فلا منتدح عن الفحص عن مفرداتهما لغةً و عرفاً، و القرائن الحافّة و معارضاتهما بقدر الإمکان، و ما یمکن أن یصرفهما عن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شأن نزول الآیات؛ فربّما یوجد فیه قرائن یصرف الکلام عن ظاهره، و الانس بنفس الروایات؛ حتّی یقف الفقیه علی کیفیة محاورتهم مع الناس و طریق استدلالهم علی الأحکام، فیحصل بالأُنس ملکة یقتدر بها علی فهم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ذلک إلّا بالتدبّر و التدقیق فی الروایات علی نحو لا یخرج عن مستوی الأفهام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أشار الإمام الصادق علیه السلام</w:t>
      </w:r>
    </w:p>
    <w:p>
      <w:pPr>
        <w:pStyle w:val="BookText"/>
        <w:rPr/>
      </w:pPr>
      <w:r>
        <w:rPr>
          <w:rFonts w:ascii="IRNazanin" w:hAnsi="IRNazanin" w:eastAsia="IRNazanin"/>
          <w:color w:val="111111"/>
          <w:sz w:val="28"/>
          <w:sz w:val="28"/>
          <w:szCs w:val="28"/>
          <w:rtl w:val="true"/>
          <w:lang w:bidi="fa-IR"/>
        </w:rPr>
        <w:t xml:space="preserve">فیما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لتنصرف علی وجوه؛ فلو شاء إنسان لصرف کلامه کیف شاء، و لا یکذب</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إلی محکمه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الممارسة بالفروع الفقهیة و تفریعها علی اصولها؛ حتّی یحصل بذلک</w:t>
      </w:r>
      <w:bookmarkStart w:id="736" w:name="pg12912_112156"/>
    </w:p>
    <w:p>
      <w:pPr>
        <w:pStyle w:val="BookText"/>
        <w:rPr/>
      </w:pPr>
      <w:bookmarkEnd w:id="736"/>
      <w:r>
        <w:rPr>
          <w:rFonts w:ascii="IRNazanin" w:hAnsi="IRNazanin" w:eastAsia="IRNazanin"/>
          <w:color w:val="111111"/>
          <w:sz w:val="28"/>
          <w:sz w:val="28"/>
          <w:szCs w:val="28"/>
          <w:rtl w:val="true"/>
          <w:lang w:bidi="fa-IR"/>
        </w:rPr>
        <w:t>ملکة الاستنباط؛ فإنّ الاستنباط من العلوم العملیة التی لا ینالها طالبها إلّا بالعمل مرّة بعد اخری،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الشهرات المحقّقة الفتوائیة، و ما أجمع علیه أساطین الفقه منذ دوّن الفقه؛ فإنّ العدول عنها خطأ محض، و لا قیمة للروایة إذا أعرض عنه مدوّنها و افتوا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ذلک یجب الفحص عن کلمات القوم و البحث عن فتاوی قدمائهم الذین أخذوا الفقه و الأحکام و الأحادیث و الروایات عن الحجج الطاهرة، أو عن تلامیذهم أو مقاربی أعصارهم؛ فإنّ لفتاواهم و إجماعاتهم قیمةً لا یوزن بها فتاوی من تأخّر عنهم؛ فإنّ أکثر الاصول المصحّحة کانت موجودة عندهم، و قد کان دأبهم الإفتاء بمتون الروایات من 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غنی للفقیه عن مراجعة ما دوّنه الصدوقان و الشیخان؛ خصوصاً شیخنا الطوسی، شیخ الطائفة الحقّة؛ حتّی یقف علی المشهور و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فتاوی العامّة الدارجة فی أعصار الأئمّة؛ فإنّ معرفة الموافق لهم، و تمییزه عن مخالفها یتوقّف علی الخُبرویة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استنبط حکماً شرعیاً علی تلک الموازین و بذل جهده و استفرغ باله یجوز له العمل بما استنبط، فیکون مثاباً لو أصاب، و معذوراً لو أخطأ، بل هو مثاب علی کلّ حال</w:t>
      </w:r>
      <w:r>
        <w:rPr>
          <w:rFonts w:eastAsia="IRNazanin" w:cs="IRNazanin"/>
          <w:color w:val="111111"/>
          <w:sz w:val="28"/>
          <w:szCs w:val="28"/>
          <w:rtl w:val="true"/>
          <w:lang w:bidi="fa-IR"/>
        </w:rPr>
        <w:t>.</w:t>
      </w:r>
    </w:p>
    <w:p>
      <w:pPr>
        <w:pStyle w:val="Heading6"/>
        <w:numPr>
          <w:ilvl w:val="5"/>
          <w:numId w:val="1"/>
        </w:numPr>
        <w:rPr/>
      </w:pPr>
      <w:bookmarkStart w:id="737" w:name="__RefHeading___Toc3425871_3224264995"/>
      <w:bookmarkStart w:id="738" w:name="_Toc276"/>
      <w:bookmarkEnd w:id="737"/>
      <w:r>
        <w:rPr>
          <w:rtl w:val="true"/>
        </w:rPr>
        <w:t>من یجوز له التصدّی لمقام الإفتاء</w:t>
      </w:r>
      <w:bookmarkEnd w:id="738"/>
    </w:p>
    <w:p>
      <w:pPr>
        <w:pStyle w:val="BookText"/>
        <w:rPr/>
      </w:pPr>
      <w:r>
        <w:rPr>
          <w:rFonts w:ascii="IRNazanin" w:hAnsi="IRNazanin" w:eastAsia="IRNazanin"/>
          <w:color w:val="111111"/>
          <w:sz w:val="28"/>
          <w:sz w:val="28"/>
          <w:szCs w:val="28"/>
          <w:rtl w:val="true"/>
          <w:lang w:bidi="fa-IR"/>
        </w:rPr>
        <w:t>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لجواز العمل برأیه هو الموضوع لجواز الإفتاء لغیره بلا تفاوت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البحث فی هذا المقام، و سیوافیک البحث عنه علی وجه الاستقصاء بعد الفراغ عن إثبات کون الفقیه حاکماً و قاضیاً</w:t>
      </w:r>
      <w:r>
        <w:rPr>
          <w:rFonts w:eastAsia="IRNazanin" w:cs="IRNazanin"/>
          <w:color w:val="111111"/>
          <w:sz w:val="28"/>
          <w:szCs w:val="28"/>
          <w:rtl w:val="true"/>
          <w:lang w:bidi="fa-IR"/>
        </w:rPr>
        <w:t>.</w:t>
      </w:r>
      <w:bookmarkStart w:id="739" w:name="pg12912_112157"/>
    </w:p>
    <w:p>
      <w:pPr>
        <w:pStyle w:val="Heading5"/>
        <w:numPr>
          <w:ilvl w:val="4"/>
          <w:numId w:val="1"/>
        </w:numPr>
        <w:rPr/>
      </w:pPr>
      <w:bookmarkStart w:id="740" w:name="__RefHeading___Toc3425873_3224264995"/>
      <w:bookmarkStart w:id="741" w:name="_Toc277"/>
      <w:bookmarkEnd w:id="739"/>
      <w:bookmarkEnd w:id="740"/>
      <w:r>
        <w:rPr>
          <w:rtl w:val="true"/>
        </w:rPr>
        <w:t>المقام الثانی البحث عن منصبی القضاء و الحکومة</w:t>
      </w:r>
      <w:bookmarkEnd w:id="741"/>
    </w:p>
    <w:p>
      <w:pPr>
        <w:pStyle w:val="Heading6"/>
        <w:numPr>
          <w:ilvl w:val="5"/>
          <w:numId w:val="1"/>
        </w:numPr>
        <w:rPr/>
      </w:pPr>
      <w:bookmarkStart w:id="742" w:name="__RefHeading___Toc3425875_3224264995"/>
      <w:bookmarkStart w:id="743" w:name="_Toc278"/>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و قد أدرجنا البحث عن منصب الحکومة و تحدید من یتصدّاها فی هذا المقام لاشتراکهما فیما هو الأصل الأوّلی فی المقام، و فی الأدلّة التی وردت لجعل منصبی القضاء و الحکومة للفقیه العادل؛ فلأجل ذلک صار المقامان مقاماً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منصب القضاء و کذا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منصب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مجعولًا فلا ینفذ قضاء القاضی فیما رفع إلیه أمر قضائه و فصله، کما لا ینفذ حکم الحاکم فیما یدور علیه رحی الحیاة المدنیة، إلّا إذا اعطی لهما هذان المنصبان ممّن بیده الجعل و الوضع، و صارا مصدراً لتصدّیهما من عند من له شأن النصب 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لا مناص عن اتّباع الأدلّة؛ سعةً و ضیقاً فی موضوعهما</w:t>
      </w:r>
      <w:r>
        <w:rPr>
          <w:rFonts w:eastAsia="IRNazanin" w:cs="IRNazanin"/>
          <w:color w:val="111111"/>
          <w:sz w:val="28"/>
          <w:szCs w:val="28"/>
          <w:rtl w:val="true"/>
          <w:lang w:bidi="fa-IR"/>
        </w:rPr>
        <w:t>:</w:t>
      </w:r>
    </w:p>
    <w:p>
      <w:pPr>
        <w:pStyle w:val="Heading6"/>
        <w:numPr>
          <w:ilvl w:val="5"/>
          <w:numId w:val="1"/>
        </w:numPr>
        <w:rPr/>
      </w:pPr>
      <w:bookmarkStart w:id="744" w:name="__RefHeading___Toc3425877_3224264995"/>
      <w:bookmarkStart w:id="745" w:name="_Toc279"/>
      <w:bookmarkEnd w:id="744"/>
      <w:r>
        <w:rPr>
          <w:rtl w:val="true"/>
        </w:rPr>
        <w:t>مقتضی القواعد الأوّلیة فی المقام</w:t>
      </w:r>
      <w:bookmarkEnd w:id="745"/>
    </w:p>
    <w:p>
      <w:pPr>
        <w:pStyle w:val="BookText"/>
        <w:rPr/>
      </w:pPr>
      <w:r>
        <w:rPr>
          <w:rFonts w:ascii="IRNazanin" w:hAnsi="IRNazanin" w:eastAsia="IRNazanin"/>
          <w:color w:val="111111"/>
          <w:sz w:val="28"/>
          <w:sz w:val="28"/>
          <w:szCs w:val="28"/>
          <w:rtl w:val="true"/>
          <w:lang w:bidi="fa-IR"/>
        </w:rPr>
        <w:t>الأصل الأوّلی فی المقام هو عدم نفوذ حکم أحد فی حقّ آخر؛ قضاءً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النفوذ عدم جواز التخلّف عنه و حرمة نقضه؛ و إن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فی ذلک أصحاب الوحی و أوصیائهم و أولیائهم؛ لأنّ ارتقاءهم إلی أعلی درجات الکمال لا یقتضی نفوذ قضائهم و حکمهم فاصلًا؛ بحیث یجب اتّباعه فی حدّ نفسه، ما لم ینته أمرهم إلی من یحکم العقل بلزوم اتّباع قضائه و حکمه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العقل الفطری یحکم بنفوذ حکم خالقه فی عباده و خلائقه؛ لکون</w:t>
      </w:r>
      <w:bookmarkStart w:id="746" w:name="pg12912_112158"/>
    </w:p>
    <w:p>
      <w:pPr>
        <w:pStyle w:val="BookText"/>
        <w:rPr/>
      </w:pPr>
      <w:bookmarkEnd w:id="746"/>
      <w:r>
        <w:rPr>
          <w:rFonts w:ascii="IRNazanin" w:hAnsi="IRNazanin" w:eastAsia="IRNazanin"/>
          <w:color w:val="111111"/>
          <w:sz w:val="28"/>
          <w:sz w:val="28"/>
          <w:szCs w:val="28"/>
          <w:rtl w:val="true"/>
          <w:lang w:bidi="fa-IR"/>
        </w:rPr>
        <w:t>حکمه تصرّفاً فی ملکه و سلطانه،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الخلائق و مالک رقابهم، لا بالجعل و الاعتبار، بل بالاستحقاق الذاتی؛ فإذن نفوذ غیره یحتاج إلی الجعل من ناحیته، و الاعتراف له بهذا المنصب من جانبه تعالی</w:t>
      </w:r>
      <w:r>
        <w:rPr>
          <w:rFonts w:eastAsia="IRNazanin" w:cs="IRNazanin"/>
          <w:color w:val="111111"/>
          <w:sz w:val="28"/>
          <w:szCs w:val="28"/>
          <w:rtl w:val="true"/>
          <w:lang w:bidi="fa-IR"/>
        </w:rPr>
        <w:t>.</w:t>
      </w:r>
    </w:p>
    <w:p>
      <w:pPr>
        <w:pStyle w:val="Heading6"/>
        <w:numPr>
          <w:ilvl w:val="5"/>
          <w:numId w:val="1"/>
        </w:numPr>
        <w:rPr/>
      </w:pPr>
      <w:bookmarkStart w:id="747" w:name="__RefHeading___Toc3425879_3224264995"/>
      <w:bookmarkStart w:id="748" w:name="_Toc280"/>
      <w:bookmarkEnd w:id="747"/>
      <w:r>
        <w:rPr>
          <w:rtl w:val="true"/>
        </w:rPr>
        <w:t>ثبوت منصبی الحکومة و القضاء للنبی و الأئمّة</w:t>
      </w:r>
      <w:bookmarkEnd w:id="748"/>
    </w:p>
    <w:p>
      <w:pPr>
        <w:pStyle w:val="BookText"/>
        <w:rPr/>
      </w:pPr>
      <w:r>
        <w:rPr>
          <w:rFonts w:ascii="IRNazanin" w:hAnsi="IRNazanin" w:eastAsia="IRNazanin"/>
          <w:color w:val="111111"/>
          <w:sz w:val="28"/>
          <w:sz w:val="28"/>
          <w:szCs w:val="28"/>
          <w:rtl w:val="true"/>
          <w:lang w:bidi="fa-IR"/>
        </w:rPr>
        <w:t>و قد دلّت الآیات و الروایات و الاصول علی أنّ النبی صلی الله علیه و آله و سلم و الأئمّة علیهم السلام من بعده خلفاء اللَّه فی أرضه، فوّض إلیهم أمر الحکومة و القضاء؛ فلهم الحکومة و السلطة بجعل من اللَّه، و اعتراف منه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دونک بعض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المراد من الإطاعة فی الآیة لیس الاقتفاء به فیما یبلّغه من الأحکام و الوظائف؛ فإنّه صلی الله علیه و آله و سلم لیس له أمر و لا نهی فی هاتیک الموارد، بل المراد اتّباع قوله</w:t>
      </w:r>
    </w:p>
    <w:p>
      <w:pPr>
        <w:pStyle w:val="BookText"/>
        <w:rPr/>
      </w:pPr>
      <w:r>
        <w:rPr>
          <w:rFonts w:ascii="IRNazanin" w:hAnsi="IRNazanin" w:eastAsia="IRNazanin"/>
          <w:color w:val="111111"/>
          <w:sz w:val="28"/>
          <w:sz w:val="28"/>
          <w:szCs w:val="28"/>
          <w:rtl w:val="true"/>
          <w:lang w:bidi="fa-IR"/>
        </w:rPr>
        <w:t>فیما له فیه أمر و نهی حتّی یکون الاقتفاء به طاعة، و التخلّف عنه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یجب حمل الآیة علی ما یکون الأمر و النهی من عند نفسه، لا من عند اللَّه؛ و إن کان الجمیع منتهیاً إلیه تعالی؛ لکونه هو الذی أعطی له منصب القضاء و الحکومة، فأعطی له حقّ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الأئمّة من بعده خلفاؤه و أوصیاؤه حکّامه و قضاته علی العباد، و کم من الروایات المتواترة الدالّة علی ذلک، بما لا نحتاج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تحدید من نصب لأحد هذین المنصبین أو کلیهما فی زمن الغیبة، بعد قضاء الأصل المتقدّم علی عدم نفوذ حکم أحد فی حقّ آخر، بعد ورود الأدلّة الدالّة علی أنّ القضاء و الحکومة من شؤون الخلافة من اللَّه، و النبوّة و الوصایة</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 الروایات قول الصادق علیه السلام فی صحیحة سلیمان بن خالد،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بین المسلمین لنبی أو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مثله ما رواه إسحاق بن عمّار عن أبی عبد اللَّه علیه السلام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أمیر المؤمنین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 القضاء، أبواب صفات القاضی،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 القضاء، أبواب صفات القاضی،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749" w:name="pg12912_112160"/>
    </w:p>
    <w:p>
      <w:pPr>
        <w:pStyle w:val="BookText"/>
        <w:rPr/>
      </w:pPr>
      <w:bookmarkEnd w:id="749"/>
      <w:r>
        <w:rPr>
          <w:rFonts w:ascii="IRNazanin" w:hAnsi="IRNazanin" w:eastAsia="IRNazanin"/>
          <w:color w:val="111111"/>
          <w:sz w:val="28"/>
          <w:sz w:val="28"/>
          <w:szCs w:val="28"/>
          <w:rtl w:val="true"/>
          <w:lang w:bidi="fa-IR"/>
        </w:rPr>
        <w:t>فلا بدّ فی الخروج عن مقتضی الأصل و مفاد الأدلّة من دلیل قاطع یسهّل لنا الخروج عن مقتضاهما</w:t>
      </w:r>
      <w:r>
        <w:rPr>
          <w:rFonts w:eastAsia="IRNazanin" w:cs="IRNazanin"/>
          <w:color w:val="111111"/>
          <w:sz w:val="28"/>
          <w:szCs w:val="28"/>
          <w:rtl w:val="true"/>
          <w:lang w:bidi="fa-IR"/>
        </w:rPr>
        <w:t>:</w:t>
      </w:r>
    </w:p>
    <w:p>
      <w:pPr>
        <w:pStyle w:val="Heading6"/>
        <w:numPr>
          <w:ilvl w:val="5"/>
          <w:numId w:val="1"/>
        </w:numPr>
        <w:rPr/>
      </w:pPr>
      <w:bookmarkStart w:id="750" w:name="__RefHeading___Toc3425881_3224264995"/>
      <w:bookmarkStart w:id="751" w:name="_Toc281"/>
      <w:bookmarkEnd w:id="750"/>
      <w:r>
        <w:rPr>
          <w:rtl w:val="true"/>
        </w:rPr>
        <w:t>الاستدلال علی ثبوت منصبی الحکومة و القضاء للفقیه فی زمن الغیبة</w:t>
      </w:r>
      <w:bookmarkEnd w:id="751"/>
    </w:p>
    <w:p>
      <w:pPr>
        <w:pStyle w:val="Heading6"/>
        <w:numPr>
          <w:ilvl w:val="5"/>
          <w:numId w:val="1"/>
        </w:numPr>
        <w:rPr/>
      </w:pPr>
      <w:bookmarkStart w:id="752" w:name="__RefHeading___Toc3425883_3224264995"/>
      <w:bookmarkStart w:id="753" w:name="_Toc282"/>
      <w:bookmarkEnd w:id="752"/>
      <w:r>
        <w:rPr>
          <w:rtl w:val="true"/>
        </w:rPr>
        <w:t>الاستدلال بالضرورة و حکم العقل</w:t>
      </w:r>
      <w:bookmarkEnd w:id="75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مفاد الروایات الواردة فی المقام لا بدّ من التنبیه علی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بالضرورة أنّ دین الإسلام أکمل الأدیان و أتمّها و آخرها و خاتمها، و أنّ رسول اللَّه جاء بعامّة ما یحتاج إلیه البشر فی معاشه و معاده إلی یوم القیامة، و قد صرّح هو بنفسه فی خطبة حجّة الوداع</w:t>
      </w:r>
      <w:r>
        <w:rPr>
          <w:rStyle w:val="FootnoteAnchor"/>
          <w:rtl w:val="true"/>
        </w:rPr>
        <w:footnoteReference w:id="941"/>
      </w:r>
      <w:r>
        <w:rPr>
          <w:rFonts w:ascii="IRNazanin" w:hAnsi="IRNazanin" w:eastAsia="IRNazanin"/>
          <w:color w:val="111111"/>
          <w:sz w:val="28"/>
          <w:sz w:val="28"/>
          <w:szCs w:val="28"/>
          <w:rtl w:val="true"/>
          <w:lang w:bidi="fa-IR"/>
        </w:rPr>
        <w:t>و تظافر الروایات منه صلی الله علیه و آله و سلم علی أنّه ما من أمر خطیر أو دقیق إلّا و قد بیّنه و أوضحه؛ حتّی أرش الخدش</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یحتاج إلیه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مهامّ امورهم و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السائس و الحاکم و القاضی و الفاصل فی مختلف امورهم؛ إذ لا حیاة إلّا بهما، و لا قرار و لا استقلال إلّا باستقرارهما فی المجتمع الإسلامی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یعیّن صلی الله علیه و آله و سلم تکلیف الامّة بعد حیاته أو فی زمن غیبة أوصیائه لعاد</w:t>
      </w:r>
    </w:p>
    <w:p>
      <w:pPr>
        <w:pStyle w:val="BookText"/>
        <w:rPr/>
      </w:pPr>
      <w:r>
        <w:rPr>
          <w:rFonts w:ascii="IRNazanin" w:hAnsi="IRNazanin" w:eastAsia="IRNazanin"/>
          <w:color w:val="111111"/>
          <w:sz w:val="28"/>
          <w:sz w:val="28"/>
          <w:szCs w:val="28"/>
          <w:rtl w:val="true"/>
          <w:lang w:bidi="fa-IR"/>
        </w:rPr>
        <w:t>ذلک نقصاً فی شریعته المقدّسة، و صار ناقضاً لما خطب به فی حجّة وداعه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ما یقرّبکم إلی الجنّة و یبعّدکم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هذا و ذاک تحکم الضرورة بأنّه صلی الله علیه و آله و سلم أوضح أمر الحکومة و القضاء و عیّن حدودهما، و بیّن من یشغلهما بعد حیاته و فی زمن غیبة أوصیائه، و لم یترک الامّة سدی؛ خصوصاً مع إخباره عن تطاول الغیبة، و انقطاع ید الامّة عن أولیائه</w:t>
      </w:r>
      <w:r>
        <w:rPr>
          <w:rStyle w:val="FootnoteAnchor"/>
          <w:rtl w:val="true"/>
        </w:rPr>
        <w:footnoteReference w:id="943"/>
      </w:r>
      <w:r>
        <w:rPr>
          <w:rFonts w:ascii="IRNazanin" w:hAnsi="IRNazanin" w:eastAsia="IRNazanin"/>
          <w:color w:val="111111"/>
          <w:sz w:val="28"/>
          <w:sz w:val="28"/>
          <w:szCs w:val="28"/>
          <w:rtl w:val="true"/>
          <w:lang w:bidi="fa-IR"/>
        </w:rPr>
        <w:t>، مع تحریم أوصیائه الرجوع إلی قضاة الجور و قضاة الطاغوت، و أنّ المأخوذ بحکمهم سُحت؛ و إن کان الحقّ ثابتاً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تکمیلًا لنبوّته، و تتمیماً لشریعته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تکلیف الامّة فی زمن الغیبة، و أمر أوصیائه أن یوضّحوا لهم الطریق فی هذا الباب؛ حتّی یندفع النقیصة و یتمّ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 لطف و غیبته منّا، فلا یجب تعیین السائس علینا؛ لتقصیرنا فی غیبته، لا یخلو عن خفاء؛ فإنّ وجوده و إن کان لطفاً إلّا أنّ غیبته لمصالح ربّنا أعرف بها، لا لتقصیر منّا؛ فإنّ الشیعة فی الحواضر و البوادی یناجون ربّهم و یدعونه إلی أن یعجّل فی إظهار ولیّه، فهم غیر مقصّرون فی ذلک حتّی تکون الغیبة من ناحیتهم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وقفت علی قضاء العقل علی أنّه قد حوّلت امور السیاسة و الحکومة و القضاء و فصل الخصومة إلی أفراد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منها هو الفقیه العادل العارف بشئون القضاء، و فنون السیاسة الدینیة الإسلامیة</w:t>
      </w:r>
      <w:r>
        <w:rPr>
          <w:rFonts w:eastAsia="IRNazanin" w:cs="IRNazanin"/>
          <w:color w:val="111111"/>
          <w:sz w:val="28"/>
          <w:szCs w:val="28"/>
          <w:rtl w:val="true"/>
          <w:lang w:bidi="fa-IR"/>
        </w:rPr>
        <w:t>.</w:t>
      </w:r>
      <w:bookmarkStart w:id="754" w:name="pg12912_112162"/>
    </w:p>
    <w:p>
      <w:pPr>
        <w:pStyle w:val="Heading6"/>
        <w:numPr>
          <w:ilvl w:val="5"/>
          <w:numId w:val="1"/>
        </w:numPr>
        <w:rPr/>
      </w:pPr>
      <w:bookmarkStart w:id="755" w:name="__RefHeading___Toc3425885_3224264995"/>
      <w:bookmarkStart w:id="756" w:name="_Toc283"/>
      <w:bookmarkEnd w:id="754"/>
      <w:bookmarkEnd w:id="755"/>
      <w:r>
        <w:rPr>
          <w:rtl w:val="true"/>
        </w:rPr>
        <w:t>الاستدلال بالروایات</w:t>
      </w:r>
      <w:bookmarkEnd w:id="756"/>
    </w:p>
    <w:p>
      <w:pPr>
        <w:pStyle w:val="Heading6"/>
        <w:numPr>
          <w:ilvl w:val="5"/>
          <w:numId w:val="1"/>
        </w:numPr>
        <w:rPr/>
      </w:pPr>
      <w:bookmarkStart w:id="757" w:name="__RefHeading___Toc3425887_3224264995"/>
      <w:bookmarkStart w:id="758" w:name="_Toc284"/>
      <w:bookmarkEnd w:id="757"/>
      <w:r>
        <w:rPr>
          <w:rtl w:val="true"/>
        </w:rPr>
        <w:t>اشارة</w:t>
      </w:r>
      <w:bookmarkEnd w:id="75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المأثورات؛ من تعظیم العلماء و تکریمهم، و ما مدح اللَّه به و رسوله و الأئمّة علیهم السلام من بعده تلک الطبقة الصالحة؛ من أنّهم ورثة الأنبیاء</w:t>
      </w:r>
      <w:r>
        <w:rPr>
          <w:rStyle w:val="FootnoteAnchor"/>
          <w:rtl w:val="true"/>
        </w:rPr>
        <w:footnoteReference w:id="945"/>
      </w:r>
      <w:r>
        <w:rPr>
          <w:rFonts w:ascii="IRNazanin" w:hAnsi="IRNazanin" w:eastAsia="IRNazanin"/>
          <w:color w:val="111111"/>
          <w:sz w:val="28"/>
          <w:sz w:val="28"/>
          <w:szCs w:val="28"/>
          <w:rtl w:val="true"/>
          <w:lang w:bidi="fa-IR"/>
        </w:rPr>
        <w:t>، و خلفاء رسول اللَّه صلی الله علیه و آله و سلم</w:t>
      </w:r>
      <w:r>
        <w:rPr>
          <w:rStyle w:val="FootnoteAnchor"/>
          <w:rtl w:val="true"/>
        </w:rPr>
        <w:footnoteReference w:id="946"/>
      </w:r>
      <w:r>
        <w:rPr>
          <w:rFonts w:ascii="IRNazanin" w:hAnsi="IRNazanin" w:eastAsia="IRNazanin"/>
          <w:color w:val="111111"/>
          <w:sz w:val="28"/>
          <w:sz w:val="28"/>
          <w:szCs w:val="28"/>
          <w:rtl w:val="true"/>
          <w:lang w:bidi="fa-IR"/>
        </w:rPr>
        <w:t>و امناء الرسل</w:t>
      </w:r>
      <w:r>
        <w:rPr>
          <w:rStyle w:val="FootnoteAnchor"/>
          <w:rtl w:val="true"/>
        </w:rPr>
        <w:footnoteReference w:id="947"/>
      </w:r>
      <w:r>
        <w:rPr>
          <w:rFonts w:ascii="IRNazanin" w:hAnsi="IRNazanin" w:eastAsia="IRNazanin"/>
          <w:color w:val="111111"/>
          <w:sz w:val="28"/>
          <w:sz w:val="28"/>
          <w:szCs w:val="28"/>
          <w:rtl w:val="true"/>
          <w:lang w:bidi="fa-IR"/>
        </w:rPr>
        <w:t>، و حصون الإسلام</w:t>
      </w:r>
      <w:r>
        <w:rPr>
          <w:rStyle w:val="FootnoteAnchor"/>
          <w:rtl w:val="true"/>
        </w:rPr>
        <w:footnoteReference w:id="948"/>
      </w:r>
      <w:r>
        <w:rPr>
          <w:rFonts w:ascii="IRNazanin" w:hAnsi="IRNazanin" w:eastAsia="IRNazanin"/>
          <w:color w:val="111111"/>
          <w:sz w:val="28"/>
          <w:sz w:val="28"/>
          <w:szCs w:val="28"/>
          <w:rtl w:val="true"/>
          <w:lang w:bidi="fa-IR"/>
        </w:rPr>
        <w:t>، و خیر خلق اللَّه بعد الأئمّة إذا صلحوا</w:t>
      </w:r>
      <w:r>
        <w:rPr>
          <w:rStyle w:val="FootnoteAnchor"/>
          <w:rtl w:val="true"/>
        </w:rPr>
        <w:footnoteReference w:id="949"/>
      </w:r>
      <w:r>
        <w:rPr>
          <w:rFonts w:ascii="IRNazanin" w:hAnsi="IRNazanin" w:eastAsia="IRNazanin"/>
          <w:color w:val="111111"/>
          <w:sz w:val="28"/>
          <w:sz w:val="28"/>
          <w:szCs w:val="28"/>
          <w:rtl w:val="true"/>
          <w:lang w:bidi="fa-IR"/>
        </w:rPr>
        <w:t>، و أنّهم کأنبیاء بنی إسرائیل</w:t>
      </w:r>
      <w:r>
        <w:rPr>
          <w:rStyle w:val="FootnoteAnchor"/>
          <w:rtl w:val="true"/>
        </w:rPr>
        <w:footnoteReference w:id="950"/>
      </w:r>
      <w:r>
        <w:rPr>
          <w:rFonts w:ascii="IRNazanin" w:hAnsi="IRNazanin" w:eastAsia="IRNazanin"/>
          <w:color w:val="111111"/>
          <w:sz w:val="28"/>
          <w:sz w:val="28"/>
          <w:szCs w:val="28"/>
          <w:rtl w:val="true"/>
          <w:lang w:bidi="fa-IR"/>
        </w:rPr>
        <w:t>، و أنّهم کفیل أیتام أهل البیت</w:t>
      </w:r>
      <w:r>
        <w:rPr>
          <w:rStyle w:val="FootnoteAnchor"/>
          <w:rtl w:val="true"/>
        </w:rPr>
        <w:footnoteReference w:id="951"/>
      </w:r>
      <w:r>
        <w:rPr>
          <w:rFonts w:ascii="IRNazanin" w:hAnsi="IRNazanin" w:eastAsia="IRNazanin"/>
          <w:color w:val="111111"/>
          <w:sz w:val="28"/>
          <w:sz w:val="28"/>
          <w:szCs w:val="28"/>
          <w:rtl w:val="true"/>
          <w:lang w:bidi="fa-IR"/>
        </w:rPr>
        <w:t>، و أنّ مجاری الامور بید العلماء باللَّه الامناء علی حلاله و حرامه</w:t>
      </w:r>
      <w:r>
        <w:rPr>
          <w:rStyle w:val="FootnoteAnchor"/>
          <w:rtl w:val="true"/>
        </w:rPr>
        <w:footnoteReference w:id="952"/>
      </w:r>
      <w:r>
        <w:rPr>
          <w:rFonts w:ascii="IRNazanin" w:hAnsi="IRNazanin" w:eastAsia="IRNazanin"/>
          <w:color w:val="111111"/>
          <w:sz w:val="28"/>
          <w:sz w:val="28"/>
          <w:szCs w:val="28"/>
          <w:rtl w:val="true"/>
          <w:lang w:bidi="fa-IR"/>
        </w:rPr>
        <w:t>، و أنّهم حکّام ملوک الأرض</w:t>
      </w:r>
      <w:r>
        <w:rPr>
          <w:rStyle w:val="FootnoteAnchor"/>
          <w:rtl w:val="true"/>
        </w:rPr>
        <w:footnoteReference w:id="953"/>
      </w:r>
      <w:r>
        <w:rPr>
          <w:rFonts w:ascii="IRNazanin" w:hAnsi="IRNazanin" w:eastAsia="IRNazanin"/>
          <w:color w:val="111111"/>
          <w:sz w:val="28"/>
          <w:sz w:val="28"/>
          <w:szCs w:val="28"/>
          <w:rtl w:val="true"/>
          <w:lang w:bidi="fa-IR"/>
        </w:rPr>
        <w:t>، إلی غیر ذلک من الکلمات الضافیة المطرئة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 هذه الروایات و إن کان قابلًا للنقض و الإبرام فی سنده و دلالته إلّا أنّ مجموعها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تلک الورثة و الخلفاء هو الفقیه، علی النحو الذی أشرنا إلیه</w:t>
      </w:r>
      <w:r>
        <w:rPr>
          <w:rFonts w:eastAsia="IRNazanin" w:cs="IRNazanin"/>
          <w:color w:val="111111"/>
          <w:sz w:val="28"/>
          <w:szCs w:val="28"/>
          <w:rtl w:val="true"/>
          <w:lang w:bidi="fa-IR"/>
        </w:rPr>
        <w:t>.</w:t>
      </w:r>
      <w:bookmarkStart w:id="759" w:name="pg12912_112163"/>
    </w:p>
    <w:p>
      <w:pPr>
        <w:pStyle w:val="Heading6"/>
        <w:numPr>
          <w:ilvl w:val="5"/>
          <w:numId w:val="1"/>
        </w:numPr>
        <w:rPr/>
      </w:pPr>
      <w:bookmarkStart w:id="760" w:name="__RefHeading___Toc3425889_3224264995"/>
      <w:bookmarkStart w:id="761" w:name="_Toc285"/>
      <w:bookmarkEnd w:id="759"/>
      <w:bookmarkEnd w:id="760"/>
      <w:r>
        <w:rPr>
          <w:rtl w:val="true"/>
        </w:rPr>
        <w:t>مقبولة عمر بن حنظلة</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رواه المشایخ العظام، و تلقّاها الأصحاب بالقبول، بل علیها المدار فی باب القضاء، کما هو ظاهر لمن أمعن النظر فیه، و دونک 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إلی السلطان أو إلی القضاة، أ یحلّ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إلیهم فی حقّ أو باطل فإنّما تحاکم إلی الطاغوت، و ما یحکم له فإنّما یأخذ سحتاً و إن کان حقّه ثابتاً؛ لأنّه أخذ بحکم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 فإذا حکم بحکمنا فلم یقبل منه، فإنّما بحکم اللَّه استخفّ، و علینا قد ردّ، و الرادّ علینا کالرادّ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یختار رجلًا من أصحابنا فرضیا أن یکونا ناظرین فی حقّهما، فاختلفا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 ما حکم به أعدلهما و أفقههما و أصدقهما فی الحدیث و أورعهما، و لا یلتفت إلی ما یحکم به الآخر </w:t>
      </w:r>
      <w:r>
        <w:rPr>
          <w:rFonts w:eastAsia="IRNazanin" w:cs="IRNazanin"/>
          <w:color w:val="111111"/>
          <w:sz w:val="28"/>
          <w:szCs w:val="28"/>
          <w:rtl w:val="true"/>
          <w:lang w:bidi="fa-IR"/>
        </w:rPr>
        <w:t>...»</w:t>
      </w:r>
      <w:r>
        <w:rPr>
          <w:rStyle w:val="FootnoteAnchor"/>
          <w:rtl w:val="true"/>
        </w:rPr>
        <w:footnoteReference w:id="95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علی أنّ المنصوب للقضاء و الحکومة یجب أن یکون إمامیاً مقتدیاً بأئمّة الشیعة، آخذاً عنهم أحکامهم، معرضاً عن غیرهم، قائلًا بإمامتهم دون إمامة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فالمخالف لا ینفذ حکمه؛ و إن کان حاکماً بحکمهم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یجب أن یکون فقیهاً مجتهداً فیما تقضی و تبرم و تنقض؛ لأنّ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 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یصدق علی غیر الفقیه فی هذه الأعصار؛ لأنّ غیره لیس ناظراً فی حلالهم و لا حرامهم، و لا عارفاً بأحکامهم، بل و لا راویاً لأحادیثهم؛ فإنّ الراوی فی الأجیال الماضیة کان مفتیاً بلفظ الروایة، و سیوافیک بیان وجود الاجتهاد بالمعنی المصطلح فی أعصارهم علیهم السلام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المتبادر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أن یکون روایة الحدیث عنهم شغله، و أن یزاول به و یمارسه، و لا یکفی روایة حدیث أو حدیثین أو أحادیث قلیلة طیلة عمره، فالعامّی و من لم یبلغ مرتبة الاجتهاد خارج عنه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إیراد هذه الجمل المتعاطفة، و عدم الاکتفاء بواحدة منها یدلّ علی أنّ الموصوف بها ثلّة مخصوصة من الشیعة؛ ما برحوا یزاولون بروایة الحدیث، و النظر فی حلالهم و حرامهم، و معرفة أحکامهم؛ و هی لیس إلّا الفقهاء فی هذه الأعصار</w:t>
      </w:r>
      <w:r>
        <w:rPr>
          <w:rFonts w:eastAsia="IRNazanin" w:cs="IRNazanin"/>
          <w:color w:val="111111"/>
          <w:sz w:val="28"/>
          <w:szCs w:val="28"/>
          <w:rtl w:val="true"/>
          <w:lang w:bidi="fa-IR"/>
        </w:rPr>
        <w:t>.</w:t>
      </w:r>
      <w:bookmarkStart w:id="762" w:name="pg12912_112165"/>
    </w:p>
    <w:p>
      <w:pPr>
        <w:pStyle w:val="Heading6"/>
        <w:numPr>
          <w:ilvl w:val="5"/>
          <w:numId w:val="1"/>
        </w:numPr>
        <w:rPr/>
      </w:pPr>
      <w:bookmarkStart w:id="763" w:name="__RefHeading___Toc3425891_3224264995"/>
      <w:bookmarkStart w:id="764" w:name="_Toc286"/>
      <w:bookmarkEnd w:id="762"/>
      <w:bookmarkEnd w:id="763"/>
      <w:r>
        <w:rPr>
          <w:rtl w:val="true"/>
        </w:rPr>
        <w:t>تقریب دلالة المقبولة بوجوه اخر</w:t>
      </w:r>
      <w:bookmarkEnd w:id="764"/>
    </w:p>
    <w:p>
      <w:pPr>
        <w:pStyle w:val="BookText"/>
        <w:rPr/>
      </w:pPr>
      <w:r>
        <w:rPr>
          <w:rFonts w:ascii="IRNazanin" w:hAnsi="IRNazanin" w:eastAsia="IRNazanin"/>
          <w:color w:val="111111"/>
          <w:sz w:val="28"/>
          <w:sz w:val="28"/>
          <w:szCs w:val="28"/>
          <w:rtl w:val="true"/>
          <w:lang w:bidi="fa-IR"/>
        </w:rPr>
        <w:t>و یمکن تقریب دلالتها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إضافة الحلال و الحرام و الأحکام إلی أنفسهم، مع أنّه لیس لهم حلال و لا حرام و لا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المشرّع هو اللَّه سبحانه، و النبی و الأئمّة من بعده محالّ أحکامه و 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علی أنّ المنصوب لا بدّ أن ینظر إلی الفتاوی الصادرة و الأخبار المرویة عنهم علیهم السلام و لیس هذا إلّا شأن الفقیه لا العامّی؛ إذ هو غیر ناظر إلّا إلی فتوی الفقیه، و من یجب أن یرجع إلیه فی حلال الشرع و حرامه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دالّ علی أنّ متعلّقه یحتاج إلی التدقیق و التفکیر، الذی هو الاستنباط فی المقام و استفراغ الوسع فی تمییز الحقّ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علم؛ فإنّ عرفان الشی‌ء غیر العلم به؛ فإنّ الأوّل یستعمل فیما إذا اشتبه الشی‌ء بین امور یشابهها من جهة أو جهات، فإذا عرفه بخصوصیاته و میّزه عمّا یشابهها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ذلک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من هذا التعبیر هو أنّ المنصوب للحکومة و القضاء لا بدّ أن یعرف الحکم الواقعی عن غیره، و یمیّز الحکم الصادر لأجل التقیة أو غیرها عن الصادر</w:t>
      </w:r>
    </w:p>
    <w:p>
      <w:pPr>
        <w:pStyle w:val="BookText"/>
        <w:rPr/>
      </w:pPr>
      <w:r>
        <w:rPr>
          <w:rFonts w:ascii="IRNazanin" w:hAnsi="IRNazanin" w:eastAsia="IRNazanin"/>
          <w:color w:val="111111"/>
          <w:sz w:val="28"/>
          <w:sz w:val="28"/>
          <w:szCs w:val="28"/>
          <w:rtl w:val="true"/>
          <w:lang w:bidi="fa-IR"/>
        </w:rPr>
        <w:t>لبیان الحکم النفس الأمری؛ و لو بمعونة ما جعله الإمام مقیاساً لمعرفته؛ من الرجوع إلی الکتاب و السنّة و فتاوی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الأحکام بهذا المعنی لا یقوم به إلّا الفقیه لا العامّی، و لا یتحمّلها من لم یبلغ مرتبة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هو الاختلاف فی مفاد الحدیث و معناه لا فی نقله؛ بأن یروی کلّ واحد غیر ما ینقله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فالاختلاف الناشئ من هذه الناحیة ربّما یکون من أجل تسلیم إحدی الروایتین و ردّ الاخری؛ لخلل فی سنده أو جهة صدوره، و لیس هذا إلّا شأن الفقیه لا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مقام ترجیح أحد الحکمین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 إن کان الفقیهان عرفا حکمه من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ظاهره مفروغیة کون القاضی و الحاکم فقیهاً، و لا شکّ فی عدم صدق الفقاهة أو الأفقهیة علی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یستفاد من الروایة جعل منصب القضاء للفقیه، کذلک یستفاد جعل منصب الحکومة و الولایة له أیضاً؛ إذ أیّ جملة یکون أصرح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الحکومة لغة و عرفاً أعمّ من القضاء المصطلح، بل القضاء من شؤون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الانصراف إلی الحکم بمعنی القضاء و فصل الخصومة عند رفع الرافع غیر مسموعة؛ إذ لا وجه للانصراف</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فالفقیه کما هو منصوب من ناحیتهم للقضاء و فصل الخصومات منصوب للولایة و الحکومة فیما یحتاج إلیه المسلمون فی حیاتهم و معاشهم، و یرتبط بإصلاح حالهم و تنظیم سیاساتهم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الکبری الکلّیة وارداً فی مورد القضاء لا یصیر مخصّصاً کما لا یخفی</w:t>
      </w:r>
      <w:r>
        <w:rPr>
          <w:rFonts w:eastAsia="IRNazanin" w:cs="IRNazanin"/>
          <w:color w:val="111111"/>
          <w:sz w:val="28"/>
          <w:szCs w:val="28"/>
          <w:rtl w:val="true"/>
          <w:lang w:bidi="fa-IR"/>
        </w:rPr>
        <w:t>.</w:t>
      </w:r>
      <w:bookmarkStart w:id="765" w:name="pg12912_112167"/>
    </w:p>
    <w:p>
      <w:pPr>
        <w:pStyle w:val="BookText"/>
        <w:rPr/>
      </w:pPr>
      <w:bookmarkEnd w:id="765"/>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الراوی فی صدر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فتحاکما إلی السلطان أو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یدلّ علی أعمّیة الموارد؛ فإنّ للسلطان شأناً و للقضاة شأناً آخر غالباً؛ فإنّ وظیفة الولاة حفظ نظام البلاد من تطرّق الفساد بإعمال السیاسات الدینیة، و شأن القضاة رفع التداعی و القضاء بالحقّ القراح، فهو علیه السلام نصب الفقیه بمقتضی عمومیة الصدر للحکومة و القضاوة، و أعطی له ما کان للسلطان و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الراوی بصدد السؤال عن مسألة قضائیة بعده لا یوجب اختصاص الصدر بها، کما لا یخفی</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6" w:name="__RefHeading___Toc3425893_3224264995"/>
      <w:bookmarkStart w:id="767" w:name="_Toc287"/>
      <w:bookmarkEnd w:id="766"/>
      <w:r>
        <w:rPr>
          <w:rtl w:val="true"/>
        </w:rPr>
        <w:t>عدم دلالة المقبولة علی اشتراط الاجتهاد المطلق فی المنصب</w:t>
      </w:r>
      <w:bookmarkEnd w:id="767"/>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الاجتهاد المطلق فی المنصب؛ مستدلا بأنّ الجمع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و کذا المصدر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یشغل منصّة القضاء و الولایة إلّا من یکون مجتهداً مطلقاً عارفاً بجمیع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ضعیف من وجوه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المزبورة و إن کانت صالحة لإفادة العموم فی حدّ نفسه، إلّا أنّ ورودها فی مقام المنع عن الرجوع إلی حکّام الجور و قضاة الطاغوت یمنع عن استفادة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لیست بصدد بیان شرطیة عرفان جمیع الأحکام أو بعضها، بل الغرض بعث الشیعة إلی من عرف أحکامهم و حلالهم و حرامهم، و ردعهم عن المنحرفین عن بابهم علیهم السلام المفتین بآرائهم و أقیستهم و اجتهاداتهم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فورود الجملة فی هذا المقام یمنع عن الاعتماد علی هذا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عرفاً علی من وقف علی مقدار یعتدّ به من أحکامهم فی رفع الخصومات، و لا یحتاج صدقه إلی وقوفه علی کافّة ما یحتاج إلیه الامّة فی شرائع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المراد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هو روایة الحدیث إلی الغیر؛ ضرورة عدم دخالة هذا القید، بل هو کنایة عن العلم بفتاوی الأئمّة و أحکامهم؛ لأنّ الإفتاء فی الأجیال الماضیة کانت بصورة نقل متن الروایة التی سمعها عن إمامه أو شیخه الذی أخذها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الفعلیة لتمام الأحکام لا یحصل لغیر النبی و الإمام عادة، فالحمل علیها یوجب لغویة هذا الجعل، و حملها علی قوّة استنباط جمیع الأحکام لیس أولی من حملها علی المعرفة الفعلیة لما یلیه من الشؤون، أو معرفته بمقدار معتدّ به؛ بحیث یصدق فی حقّه أنّه عارف بأحکامهم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إمکان معرفة عامّة الأحکام فعلًا فلا طریق للمترافعین إلی عرفان هذا الشخص، فلا معنی لجعل المنصب علی من لا طریق إلی معرفته، فلا بدّ أن یحمل علی معرفة الفعلیة علی الوجه المعتدّ به فی امور القضاء و الحکومة؛ بحیث یصدق فی حقّه الجمل المتعاطفة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حدیثنا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یحمل ما فی صحیحة أبی خدیجة، کما سیوافیک بیانه</w:t>
      </w:r>
      <w:r>
        <w:rPr>
          <w:rStyle w:val="FootnoteAnchor"/>
          <w:rtl w:val="true"/>
        </w:rPr>
        <w:footnoteReference w:id="958"/>
      </w:r>
      <w:bookmarkStart w:id="768" w:name="pg12912_112169"/>
    </w:p>
    <w:p>
      <w:pPr>
        <w:pStyle w:val="BookText"/>
        <w:rPr/>
      </w:pPr>
      <w:bookmarkEnd w:id="768"/>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الاجتهاد المطلق فی الوالی و القاضی؛ سواء فسّر بالملکة و الاقتدار علی استنباط الجمیع، أو المعرفة الفعلیة، لو لم نقل إنّ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مناص من علمه بأحکام الحوادث و الوقائع و المرافعات التی یتصدّی لها کلّ یوم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حول الروایة المتلقّاة بالقبول، و بما أنّها بصدد التحدید و البیان فلا بدّ من الأخذ بالقیود التی اعتبرها، إلّا ما دلّ العقل و العرف علی عدم دخالته، کما أنّه لا محیص من تقیید المطلقات بها</w:t>
      </w:r>
      <w:r>
        <w:rPr>
          <w:rFonts w:eastAsia="IRNazanin" w:cs="IRNazanin"/>
          <w:color w:val="111111"/>
          <w:sz w:val="28"/>
          <w:szCs w:val="28"/>
          <w:rtl w:val="true"/>
          <w:lang w:bidi="fa-IR"/>
        </w:rPr>
        <w:t>.</w:t>
      </w:r>
    </w:p>
    <w:p>
      <w:pPr>
        <w:pStyle w:val="Heading6"/>
        <w:numPr>
          <w:ilvl w:val="5"/>
          <w:numId w:val="1"/>
        </w:numPr>
        <w:rPr/>
      </w:pPr>
      <w:bookmarkStart w:id="769" w:name="__RefHeading___Toc3425895_3224264995"/>
      <w:bookmarkStart w:id="770" w:name="_Toc288"/>
      <w:bookmarkEnd w:id="769"/>
      <w:r>
        <w:rPr>
          <w:rtl w:val="true"/>
        </w:rPr>
        <w:t>حول ما بقی من الروایات</w:t>
      </w:r>
      <w:bookmarkEnd w:id="770"/>
    </w:p>
    <w:p>
      <w:pPr>
        <w:pStyle w:val="BookText"/>
        <w:rPr/>
      </w:pPr>
      <w:r>
        <w:rPr>
          <w:rFonts w:ascii="IRNazanin" w:hAnsi="IRNazanin" w:eastAsia="IRNazanin"/>
          <w:color w:val="111111"/>
          <w:sz w:val="28"/>
          <w:sz w:val="28"/>
          <w:szCs w:val="28"/>
          <w:rtl w:val="true"/>
          <w:lang w:bidi="fa-IR"/>
        </w:rPr>
        <w:t>و دونک بعض ما یمکن الاستدلال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بسند ضعیف عن البختری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ذلک أنّ الأنبیاء لم یورثوا درهماً و لا دیناراً، و إنّما أورثوا أحادیث من أحادیثهم، فمن أخذ بشی‌ء منها فقد أخذ حظّاً وافراً</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حذف المتعلّق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کونهم وارثین عنهم فی عامّة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الحکومة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دلّ الدلیل علی کونه من خصائصهم علیهم السلام، فلا یصحّ هذا الإخبار علی</w:t>
      </w:r>
    </w:p>
    <w:p>
      <w:pPr>
        <w:pStyle w:val="BookText"/>
        <w:rPr/>
      </w:pPr>
      <w:r>
        <w:rPr>
          <w:rFonts w:ascii="IRNazanin" w:hAnsi="IRNazanin" w:eastAsia="IRNazanin"/>
          <w:color w:val="111111"/>
          <w:sz w:val="28"/>
          <w:sz w:val="28"/>
          <w:szCs w:val="28"/>
          <w:rtl w:val="true"/>
          <w:lang w:bidi="fa-IR"/>
        </w:rPr>
        <w:t>النحو المفید للعموم إلّا إذا جعل لهم الولایة و القضاء قبل هذا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تذییل الروایتین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ورّثوا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أورثوا أحادیث من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علی أنّ المراد من التوارث هو التوارث فی العلم و الحدیث لا فی کلّ الامور، فلا ینعقد الإطلاق للصدر مع الاحتفاف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یصلح ذاک لصرف الإطلاق لو کان الحصر حقیقیاً لا إضافیاً، و لیس کذلک؛ فإنّ الحصر فی الجملتین إضافی فی مقابل الدرهم و الدینار، کما هو لائح منهما عند الإمعان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یصحّ الحمل علی الحصر الحقیقی؛ لأنّهم علیهم السلام لم یورّثوا العلم و الحدیث فقط، بل أورثوا اموراً غیرهما؛ من الزهد و التقوی، کما أورثوا الولایة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دفعه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خبریة بحتة، و یصحّ صدقه إذا کان العلماء ورثة لهم فی العلم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بصدد الإنشاء و الجعل أمکن دعوی إطلاقه، و أنّ حذف متعلّقه مفید لعمومیته، علی إشکال فیه أیضاً، کما لا یخفی</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إنّما یتمّ فی الامور القابلة للجعل، کمناصب الولایة و القضاء، لا فی مثل العلم و الحدیث و التحلّی بالفضائل التی هی من أوضح ما أورثوه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إلّا بالاکتساب و بذل الجُهد، لا بالإنشاء اللفظی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یکشف عن سبق الجعل لمثل الولایة و القضاء، فلا بدّ من الاتّباع للمکشوف و لحاظه سعةً و ضیقاً، و حیث لا طریق إلی لحاظه فلا بدّ من الاکتفاء بالقدر المتیقّن، و هو لا یفید إلّا طفیفاً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ادّعی النراقی تواتر مضمونهما</w:t>
      </w:r>
      <w:r>
        <w:rPr>
          <w:rStyle w:val="FootnoteAnchor"/>
          <w:rtl w:val="true"/>
        </w:rPr>
        <w:footnoteReference w:id="962"/>
      </w:r>
      <w:r>
        <w:rPr>
          <w:rFonts w:ascii="IRNazanin" w:hAnsi="IRNazanin" w:eastAsia="IRNazanin"/>
          <w:color w:val="111111"/>
          <w:sz w:val="28"/>
          <w:sz w:val="28"/>
          <w:szCs w:val="28"/>
          <w:rtl w:val="true"/>
          <w:lang w:bidi="fa-IR"/>
        </w:rPr>
        <w:t>، و نحن لم نقف علی غیر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أبی خدیجة</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روی الشیخ بإسناد صحیح عن محمّد بن علی بن محبوب عن أحمد بن محمّد بن عیسی عن الحسین بن سعید عن أبی الجهم عن أبی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 الروایة کلّهم ثقات، غیر أنّ المظنون إرسال الروایة؛ إذ یبعد أن یروی الحسین بن سعید الذی أدرک عصر الرضا علیه السلام و الجوادین علیهما السلام عن أبی الجهم الذی هو بکیر بن أعین، و قد مات فی حیاة الصادق علیه السلام بلا واسطة، کما هو غیر خفی علی من لاحظ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إلی أصحابنا،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إذا وقعت بینکم خصومة أو تداری فی شی‌ء من الأخذ و العطاء أن تحاکموا إلی أحد من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بینکم رجلًا قد عرف حلالنا و حرامنا؛ فإنّی قد جعلته علیکم قاضیاً، و إیّاکم أن یخاصم بعضکم بعضاً إلی السلطان الجائر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تقریبه علی حذو ما عرفته فی المقبولة؛ و إن کانت المقبولة أوضح دلالةً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دلالة المشهورة أیضاً علی جعل منصبی القضاء و الحکومة للفقیه العارف بالحلال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منصب القضاء فواضح، و أمّا منصب الحکومة فلإطلاق صدرها؛ أعنی وقوع الخصومة فی شی‌ء، من الأخذ و العطاء؛ سواء</w:t>
      </w:r>
    </w:p>
    <w:p>
      <w:pPr>
        <w:pStyle w:val="BookText"/>
        <w:rPr/>
      </w:pPr>
      <w:r>
        <w:rPr>
          <w:rFonts w:ascii="IRNazanin" w:hAnsi="IRNazanin" w:eastAsia="IRNazanin"/>
          <w:color w:val="111111"/>
          <w:sz w:val="28"/>
          <w:sz w:val="28"/>
          <w:szCs w:val="28"/>
          <w:rtl w:val="true"/>
          <w:lang w:bidi="fa-IR"/>
        </w:rPr>
        <w:t>کانت راجعة إلی الولاة أو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ذیلها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أن یخاصم بعضکم بعضاً إلی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ما کان یتصدّاه السلطان فی تلک الأعصار غیر ما کان یتصدّاه القضاة منهم، بل کان لکلٍّ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یدلّ علی ثبوت منصب الولایة للفقیه کالقضاوة؛ فإنّ المراد من أهل الجور هم الولاة و الحکّام، و أمّا القاضی فهو حاکم بالجور، کما لا یخفی</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عمدة ما یمکن أن یستدلّ به علی ثبوت المنصبین للفقیه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الضرورة و الإجماع علی ثبوت القضاء للفقیه فیها، و قد عرفت منّا دلالة الأدلّة علی ثبوت الحکومة و الولایة له فیها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حدودها و قیودها و مقدار ولایته و نفوذ أمره فموکول إلی محلّه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یستدلّ ببعض الروایات القاصرة سنداً و دلالةً،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 الرفیع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أحادیثنا؛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قاصر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و الأحکام علی أیدی العلماء باللَّه، الامناء علی حلاله و حرامه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التدبّر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صدرها و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بورودها فی حقّ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الفقهاء منزلة أنبیاء بنی إسرائیل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bookmarkStart w:id="771" w:name="pg12912_112174"/>
    </w:p>
    <w:p>
      <w:pPr>
        <w:pStyle w:val="Heading6"/>
        <w:numPr>
          <w:ilvl w:val="5"/>
          <w:numId w:val="1"/>
        </w:numPr>
        <w:rPr/>
      </w:pPr>
      <w:bookmarkStart w:id="772" w:name="__RefHeading___Toc3425897_3224264995"/>
      <w:bookmarkStart w:id="773" w:name="_Toc289"/>
      <w:bookmarkEnd w:id="771"/>
      <w:bookmarkEnd w:id="772"/>
      <w:r>
        <w:rPr>
          <w:rtl w:val="true"/>
        </w:rPr>
        <w:t>حول جواز القضاء للعامّی مستقلًاّ أو بنصب الحاکم أو بالتوکیل</w:t>
      </w:r>
      <w:bookmarkEnd w:id="773"/>
    </w:p>
    <w:p>
      <w:pPr>
        <w:pStyle w:val="Heading6"/>
        <w:numPr>
          <w:ilvl w:val="5"/>
          <w:numId w:val="1"/>
        </w:numPr>
        <w:rPr/>
      </w:pPr>
      <w:bookmarkStart w:id="774" w:name="__RefHeading___Toc3425899_3224264995"/>
      <w:bookmarkStart w:id="775" w:name="_Toc290"/>
      <w:bookmarkEnd w:id="774"/>
      <w:r>
        <w:rPr>
          <w:rtl w:val="true"/>
        </w:rPr>
        <w:t>استقلال العامّی فی القضاء</w:t>
      </w:r>
      <w:bookmarkEnd w:id="775"/>
    </w:p>
    <w:p>
      <w:pPr>
        <w:pStyle w:val="BookText"/>
        <w:rPr/>
      </w:pPr>
      <w:r>
        <w:rPr>
          <w:rFonts w:ascii="Amiri" w:hAnsi="Amiri" w:eastAsia="Amiri" w:cs="Amiri"/>
          <w:color w:val="111111"/>
          <w:sz w:val="28"/>
          <w:sz w:val="28"/>
          <w:szCs w:val="28"/>
          <w:rtl w:val="true"/>
          <w:lang w:bidi="ar-SA"/>
        </w:rPr>
        <w:t>و قد استدلّ</w:t>
      </w:r>
      <w:r>
        <w:rPr>
          <w:rStyle w:val="FootnoteAnchor"/>
          <w:rtl w:val="true"/>
        </w:rPr>
        <w:footnoteReference w:id="970"/>
      </w:r>
      <w:r>
        <w:rPr>
          <w:rFonts w:ascii="IRNazanin" w:hAnsi="IRNazanin" w:eastAsia="IRNazanin"/>
          <w:color w:val="111111"/>
          <w:sz w:val="28"/>
          <w:sz w:val="28"/>
          <w:szCs w:val="28"/>
          <w:rtl w:val="true"/>
          <w:lang w:bidi="fa-IR"/>
        </w:rPr>
        <w:t>علی صحّة قضائه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شامل للمجتهد و العامّی المقلّد العارف بالعدل، فإذا وجب علیه الحکم بالعدل وجب القبول، و إلّا لزم لغویة إیجاب الحکم بالعدل، نظیر ما قرّروه من الملازمة بین حرمة الکتمان و لزوم القبول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فی صدر الآیة مَن عنده الأمانة، و فی ذیلها من له الحکم و القضاء، لا عنوان الناس و لا المؤمنین، فلا إطلاق له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یصیر محصّل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عنده الأمانة فلیردّها إلی أهلها، و من له الحکم و القضاء فلیحکم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الحاکم فمن هو؟ فلا بدّ أن یحرز بدلیل آخر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بصدد بیان لزوم الحکم بالعدل، لا أصل لزوم الحکم و القضاء بین الناس، فلا إطلاق لها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من أنّ الخطاب متوجّه إلی من له الحکم، و فرغنا عن کونه حاکماً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الصدوق عن المعلّی بن خنیس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الإمام أن یدفع ما عنده إلی الإمام الذی بعده، و أمر الأئمّة أن یحکموا بالعدل، و أمر الناس أن یتّبعوهم</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علیه السلام تفسیر و توضیح لما یعطیه الآیة بنفس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منصبی القضاء و الحکومة لم یکن لمطلق الناس، منذ هبط الإنسان إلی مهد الأرض، بل کان لطبقة مخصوصة من الامراء و الملوک و هذه السیرة الجاریة تصیر قرینة متصلة علی کون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حکمتم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متوجهاً إلیهم دون غیرهم من الطبقات النازلة التی لم یعهد لهم أمر و لا نهی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الجواب عن أکثر ما استدل به الفقیه المحقّق صاحب الجواهر</w:t>
      </w:r>
      <w:r>
        <w:rPr>
          <w:rStyle w:val="FootnoteAnchor"/>
          <w:rtl w:val="true"/>
        </w:rPr>
        <w:footnoteReference w:id="974"/>
      </w:r>
      <w:r>
        <w:rPr>
          <w:rFonts w:ascii="Amiri" w:hAnsi="Amiri" w:eastAsia="Amiri" w:cs="Amiri"/>
          <w:color w:val="111111"/>
          <w:sz w:val="28"/>
          <w:sz w:val="28"/>
          <w:szCs w:val="28"/>
          <w:rtl w:val="true"/>
          <w:lang w:bidi="ar-SA"/>
        </w:rPr>
        <w:t>علی جواز استقلال العامّی فی القضاء کالاستدلال بمفهوم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الْکافِرُونَ،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فإنّ مفهوم وجوب الحکم بما أنزل اللَّه، و إطلاقه یشمل المجتهد و غیره علی حذو ما حرّرناه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بصدد بیان لزوم الحکم بما أنزل اللَّه و حرمة الحکم بما لم ینزله، لا وجوب الحکم فلا إطلاق له من هذه الحیثیة، علی أنّ الخطاب متوجه إلی من له الحکم و القضاء بحیث فرغ عن ثبوت هذا المنصب له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بسند صحیح</w:t>
      </w:r>
      <w:r>
        <w:rPr>
          <w:rStyle w:val="FootnoteAnchor"/>
          <w:rtl w:val="true"/>
        </w:rPr>
        <w:footnoteReference w:id="976"/>
      </w:r>
      <w:r>
        <w:rPr>
          <w:rFonts w:ascii="IRNazanin" w:hAnsi="IRNazanin" w:eastAsia="IRNazanin"/>
          <w:color w:val="111111"/>
          <w:sz w:val="28"/>
          <w:sz w:val="28"/>
          <w:szCs w:val="28"/>
          <w:rtl w:val="true"/>
          <w:lang w:bidi="fa-IR"/>
        </w:rPr>
        <w:t>عن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المراد من العلم لیس هو العلم الوجدانی بل أعم منه و من قیام الحجّة علی الحکم و المقلّد عالم بالحکم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المقلّد غیر عالم بشی‌ءٍ من قضایاهم لأنّه إمّا أن یستند إلی فتوی الفقیه فی الواقعة،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بشی‌ء من قضایا مقلّده، لا بشی‌ء من قضایاهم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یستند إلی إخباره عن قضایاهم فهو لا یتجاوز عن کونه خبراً مرسلًا</w:t>
      </w:r>
    </w:p>
    <w:p>
      <w:pPr>
        <w:pStyle w:val="BookText"/>
        <w:rPr/>
      </w:pPr>
      <w:r>
        <w:rPr>
          <w:rFonts w:ascii="IRNazanin" w:hAnsi="IRNazanin" w:eastAsia="IRNazanin"/>
          <w:color w:val="111111"/>
          <w:sz w:val="28"/>
          <w:sz w:val="28"/>
          <w:szCs w:val="28"/>
          <w:rtl w:val="true"/>
          <w:lang w:bidi="fa-IR"/>
        </w:rPr>
        <w:t>لا یجوز الرکون إلیه، و لو صحّح له السند فلا یجوز له العمل؛ لأنّه یحتاج إلی الفحص عن المعارض و مخصّصه و مقیّده، و هو خارج عن حیطة اقتداره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 بالفقیه أو منصرف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استدلّ به علی جواز استقلال المتجزّی فی القضاء لکان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ذاک، إنّما هو الذی یجبر الناس علی حکمه بالسیف و السوط</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مرکز الاستدلال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شموله للفقیه و غیره،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من الإمام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 من لا یجوز علیه الرجوع فیمن یجبر الناس علی حکمه بالسوط و السیف، و غیره من الفقیه و مقلّده یجوز لهم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قد سیق إلی أنّ رفع الأمر إلی قضاة الشیعة لیس من قبیل رفع الأمر إلی قضاة الجور، فلا إطلاق لها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الحصر إضافی بلا إشکال؛ فإنّه لا یجوز الاعتماد علی حکم غیر الشیعة؛ و إن لم یکن له سوط و لا سیف</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الروایة تشعر بوضوح أنّ الحدیث کان مسبوقاً بکلام آخر؛ حیث</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فأسقطه الراوی و حذف ما جری بینهما من الکلام، و معه لا یجوز الاعتماد علی هذا الحصر، و لا علی الإطلاق المدّعی؛ خصوصاً مع ما جرت علیه السیرة منذ زمن النبی من تصدّی العلماء و الفقهاء منصب القضاء، و هی تمنع من انعقاد أیّ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وجوده یقیّد بالمقبولة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الدائر فی أعصارنا لم یکن موجوداً فی عصر النبی و الأئمّة من بعده، فحینئذٍ حمل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روی حدیثنا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علی من تحصّل له قوّة الاستنباط و ردّ الفروع علی الاصول بالمعنی الدارج فی أعصارنا؛ من قبیل حمل الکلام علی ما لم یکن موجوداً فی عصر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صدر لضرب القاعدة علی عامّة الأعصار، فلا مناص من حمله علی المعنی الدارج فی جمیع الأجیال؛ و هو الوقوف علی الأحکام، و ما هو حلال و حرام؛ إمّا بأخذه عن الإمام، أو عن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المقلّدین فی عصرنا مثل المحدّثین فی أعصارهم، فهم کانوا یفزعون فی معالمهم إلی أئمّتهم أو تلامذتهم، و اولئک یرجعون إلی الفقهاء العارفین بحلالهم و حرامهم، فلِمَ جاز لهم التصدّی دون اولئک؟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لجواز القضاء هو العلم بحلالهم و حرامهم؛ سواء کان زمن الغیبة أو زمن الحضور، غیر أنّ العلم بهما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تشتّت الروایات و تضاربها و بُعد العهد و ندرة التواتر و انفصال القرائن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إذا تحلّی الرجل بقوّة الاستنباط؛ حتّی یعالج بها هذه النواحی العائقة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فالفقهاء فی هذه الأعصار و المحدّثون فی أجیالهم علیهم السلام مشترکون فی أنّهم</w:t>
      </w:r>
    </w:p>
    <w:p>
      <w:pPr>
        <w:pStyle w:val="BookText"/>
        <w:rPr/>
      </w:pPr>
      <w:r>
        <w:rPr>
          <w:rFonts w:ascii="IRNazanin" w:hAnsi="IRNazanin" w:eastAsia="IRNazanin"/>
          <w:color w:val="111111"/>
          <w:sz w:val="28"/>
          <w:sz w:val="28"/>
          <w:szCs w:val="28"/>
          <w:rtl w:val="true"/>
          <w:lang w:bidi="fa-IR"/>
        </w:rPr>
        <w:t>رووا حدیثهم، و عرفوا حلالهم و حرامهم، غیر أنّ المحدّثین لقرب عهدهم و تمکّنهم من الأئمّة کان تحصیل العلم بحلالهم و حرامهم علیهم سهلًا غیر عسیر، إلّا أنّ علم فقهاء الأعصار و وقوفهم علی أحکامهم یحتاج إلی طیّ مقدّمات و تحصیل مبادٍ یحتاج إلی بذل الجهد و استفراغ الوسع الذی تحصل بهما قوّة الاستنباط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أحد بشرطیة الاجتهاد فی جواز القضاء فی هذه الأعصار فلا یقصد منه دخالته فی الموضوع و تقوّم الموضوع به؛ ضرورة أنّ الموضوع فی المقبولة غیره، بل المقصود منه دخالته فی حصول قیود الموضوع؛ أعنی ما ساقتها المقبولة من القیود و الحدود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بما لا مزید علیه أنّه خارج عن الموضوع من رأس، و أنّه لیس ممّن عرف حلالهم و أحکامهم علی ما مرّ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سیوافیک بیانه</w:t>
      </w:r>
      <w:r>
        <w:rPr>
          <w:rStyle w:val="FootnoteAnchor"/>
          <w:rtl w:val="true"/>
        </w:rPr>
        <w:footnoteReference w:id="980"/>
      </w:r>
      <w:r>
        <w:rPr>
          <w:rFonts w:ascii="IRNazanin" w:hAnsi="IRNazanin" w:eastAsia="IRNazanin"/>
          <w:color w:val="111111"/>
          <w:sz w:val="28"/>
          <w:sz w:val="28"/>
          <w:szCs w:val="28"/>
          <w:rtl w:val="true"/>
          <w:lang w:bidi="fa-IR"/>
        </w:rPr>
        <w:t>من وجود الاجتهاد بالمعنی المعروف فی أعصارهم بین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الخاصّة فسیمرّ علیک بیان ما یدلّ علی وجوده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کانوا أصحاب رأی و قیاس، و کان المنصوبون من الخلفاء لأمر القضاء، من الفقهاء و ذوی الاستنباط و الاجتهاد، کأبی حنیفة و ابن شبرمة و ابن أبی لیلی و أضرابهم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استقلال العامّی للقضاء، و قد عرفت أنّه لا حظّ للعامّی فیه</w:t>
      </w:r>
      <w:r>
        <w:rPr>
          <w:rFonts w:eastAsia="IRNazanin" w:cs="IRNazanin"/>
          <w:color w:val="111111"/>
          <w:sz w:val="28"/>
          <w:szCs w:val="28"/>
          <w:rtl w:val="true"/>
          <w:lang w:bidi="fa-IR"/>
        </w:rPr>
        <w:t>.</w:t>
      </w:r>
      <w:bookmarkStart w:id="776" w:name="pg12912_112180"/>
    </w:p>
    <w:p>
      <w:pPr>
        <w:pStyle w:val="Heading6"/>
        <w:numPr>
          <w:ilvl w:val="5"/>
          <w:numId w:val="1"/>
        </w:numPr>
        <w:rPr/>
      </w:pPr>
      <w:bookmarkStart w:id="777" w:name="__RefHeading___Toc3425901_3224264995"/>
      <w:bookmarkStart w:id="778" w:name="_Toc291"/>
      <w:bookmarkEnd w:id="776"/>
      <w:bookmarkEnd w:id="777"/>
      <w:r>
        <w:rPr>
          <w:rtl w:val="true"/>
        </w:rPr>
        <w:t>جواز نصب العامّی للقضاء</w:t>
      </w:r>
      <w:bookmarkEnd w:id="778"/>
    </w:p>
    <w:p>
      <w:pPr>
        <w:pStyle w:val="BookText"/>
        <w:rPr/>
      </w:pPr>
      <w:r>
        <w:rPr>
          <w:rFonts w:ascii="IRNazanin" w:hAnsi="IRNazanin" w:eastAsia="IRNazanin"/>
          <w:color w:val="111111"/>
          <w:sz w:val="28"/>
          <w:sz w:val="28"/>
          <w:szCs w:val="28"/>
          <w:rtl w:val="true"/>
          <w:lang w:bidi="fa-IR"/>
        </w:rPr>
        <w:t>و أمّا نصب العامّی له بعد ما عرف مسائل القضاء تقلیداً فربّما یقال بجوازه</w:t>
      </w:r>
      <w:r>
        <w:rPr>
          <w:rStyle w:val="FootnoteAnchor"/>
          <w:rtl w:val="true"/>
        </w:rPr>
        <w:footnoteReference w:id="981"/>
      </w:r>
      <w:r>
        <w:rPr>
          <w:rFonts w:ascii="IRNazanin" w:hAnsi="IRNazanin" w:eastAsia="IRNazanin"/>
          <w:color w:val="111111"/>
          <w:sz w:val="28"/>
          <w:sz w:val="28"/>
          <w:szCs w:val="28"/>
          <w:rtl w:val="true"/>
          <w:lang w:bidi="fa-IR"/>
        </w:rPr>
        <w:t>قائلًا بأنّ للنبی و الوصی نصب کلّ واحد من الناس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 کان أو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لهم من المناصب فهو ثابت للفقیه إلّا ما خرج بالدلیل، فله نصب کلّ من شاء للقضاء بمقتضی أدلّة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 فی جواز نصب النبی و الإمام العامّی للقضاء</w:t>
      </w:r>
      <w:r>
        <w:rPr>
          <w:rStyle w:val="FootnoteAnchor"/>
          <w:rtl w:val="true"/>
        </w:rPr>
        <w:footnoteReference w:id="982"/>
      </w:r>
      <w:r>
        <w:rPr>
          <w:rFonts w:ascii="IRNazanin" w:hAnsi="IRNazanin" w:eastAsia="IRNazanin"/>
          <w:color w:val="111111"/>
          <w:sz w:val="28"/>
          <w:sz w:val="28"/>
          <w:szCs w:val="28"/>
          <w:rtl w:val="true"/>
          <w:lang w:bidi="fa-IR"/>
        </w:rPr>
        <w:t>، کیف و قد دلّت المقبولة علی أنّ هذا المنصب للفقیه العارف بالحلال و الحرام لا العامّی؟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دلّت علی أنّ الفقیه منصوب من ناحیتهم للقضاء، و أمّا اختصاص هذا المنصب للفقیه فی نفس الأمر، و محرومیة العامّی عنه کذلک؛ بحیث کانت الفقاهة من شروطه الشرعیة، و أنّ ذلک کان بإلزام شرعی إلهی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ما فی الجواب عن</w:t>
      </w:r>
    </w:p>
    <w:p>
      <w:pPr>
        <w:pStyle w:val="BookText"/>
        <w:rPr/>
      </w:pPr>
      <w:r>
        <w:rPr>
          <w:rFonts w:ascii="IRNazanin" w:hAnsi="IRNazanin" w:eastAsia="IRNazanin"/>
          <w:color w:val="111111"/>
          <w:sz w:val="28"/>
          <w:sz w:val="28"/>
          <w:szCs w:val="28"/>
          <w:rtl w:val="true"/>
          <w:lang w:bidi="fa-IR"/>
        </w:rPr>
        <w:t>صحیحة سلیمان بن خالد قال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حصرها اختصاص الحکومة من جانب اللَّه للنبی و أوصیائه؛ بحیث لا حظّ للغیر فیه و لا أهلیة له، خرج عن ذلک الحصر، الفقیه بحکم الأدلّة الماضیة، و بقی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 تخصیص علیه أصلًا، ببیان أنّ الفقیه وصی النبی؛ لما مرّ</w:t>
      </w:r>
      <w:r>
        <w:rPr>
          <w:rStyle w:val="FootnoteAnchor"/>
          <w:rtl w:val="true"/>
        </w:rPr>
        <w:footnoteReference w:id="984"/>
      </w:r>
      <w:r>
        <w:rPr>
          <w:rFonts w:ascii="IRNazanin" w:hAnsi="IRNazanin" w:eastAsia="IRNazanin"/>
          <w:color w:val="111111"/>
          <w:sz w:val="28"/>
          <w:sz w:val="28"/>
          <w:szCs w:val="28"/>
          <w:rtl w:val="true"/>
          <w:lang w:bidi="fa-IR"/>
        </w:rPr>
        <w:t>من أنّهم الخلفاء و الامناء علی حلال اللَّه و حرامه، و أنّهم کأنبیاء بنی إسرائیل، فیکون الحصر ضابطاً حاصراً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اختصاص ذلک المقام من اللَّه، لنبیه و وصیه</w:t>
      </w:r>
      <w:r>
        <w:rPr>
          <w:rStyle w:val="FootnoteAnchor"/>
          <w:rtl w:val="true"/>
        </w:rPr>
        <w:footnoteReference w:id="985"/>
      </w:r>
      <w:r>
        <w:rPr>
          <w:rFonts w:ascii="IRNazanin" w:hAnsi="IRNazanin" w:eastAsia="IRNazanin"/>
          <w:color w:val="111111"/>
          <w:sz w:val="28"/>
          <w:sz w:val="28"/>
          <w:szCs w:val="28"/>
          <w:rtl w:val="true"/>
          <w:lang w:bidi="fa-IR"/>
        </w:rPr>
        <w:t>، و لا أهلیة لغیره</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نصبهم یمکن أن یکون کاشفاً عن نصب اللَّه تعالی إیّاهم، کما أنّ نصب النبی علیاً علیه السلام مع أنّه منصوب من قبل اللَّه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الفقهاء وصی النبی إنّما هو بجعلهم وصیاً و حاکماً، فالجعل المذکور أدخلهم فی الوصایة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ظاهرة فی اختصاص ذلک المنصب بالأنبیاء و أوصیائهم، و الفقهاء إمّا داخل تحت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الروایات، أو خرجوا عن الحصر بالأدلّة الماضیة، و بقی الباقون تحت المنع</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الشکّ فی جواز نصب النبی العامّی کافٍ فی عدم جواز نصب الفقیه</w:t>
      </w:r>
    </w:p>
    <w:p>
      <w:pPr>
        <w:pStyle w:val="BookText"/>
        <w:rPr/>
      </w:pPr>
      <w:r>
        <w:rPr>
          <w:rFonts w:ascii="IRNazanin" w:hAnsi="IRNazanin" w:eastAsia="IRNazanin"/>
          <w:color w:val="111111"/>
          <w:sz w:val="28"/>
          <w:sz w:val="28"/>
          <w:szCs w:val="28"/>
          <w:rtl w:val="true"/>
          <w:lang w:bidi="fa-IR"/>
        </w:rPr>
        <w:t>إیّاه للقضاء؛ إذ من الممکن اشتراط الفقاهة مع عدم إطلاق یصحّ الاتّکال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یردّ الأمر الثانی</w:t>
      </w:r>
      <w:r>
        <w:rPr>
          <w:rStyle w:val="FootnoteAnchor"/>
          <w:rtl w:val="true"/>
        </w:rPr>
        <w:footnoteReference w:id="987"/>
      </w:r>
      <w:r>
        <w:rPr>
          <w:rFonts w:ascii="IRNazanin" w:hAnsi="IRNazanin" w:eastAsia="IRNazanin"/>
          <w:color w:val="111111"/>
          <w:sz w:val="28"/>
          <w:sz w:val="28"/>
          <w:szCs w:val="28"/>
          <w:rtl w:val="true"/>
          <w:lang w:bidi="fa-IR"/>
        </w:rPr>
        <w:t>بأنّه إذا سلّمنا أنّ للنبی نصب العامّی العارف بالأحکام للقضاء، لکن لا نسلّم أنّ کلّ ما للنبی من الشأن ثابت للفقیه؛ فإنّ أقوی الأدلّة مقبولة عمر بن حنظلة، لکن لا دلالة لها علی عموم الولایة للفقیه، بل صدرها و ذیلها یدلّ علی أنّ للفقیه القضاء بین الناس و بیان الحلال و الحرام، و یجب علی الناس الاتّباع لهم، و أین ذلک من القول بعموم الولایة و ثبوت کلّ ما للنبی من الشأن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دلالتها یجب حملها علی ذلک؛ حذراً من التخصیص الأکثر؛ إذ للنبی و الأئمّة من بعده شؤون کثیرة تختصّ بهم و لا نتجاوز غیرهم، فکیف یمکن التفوّه بعموم المنزلة و الولایة؟</w:t>
      </w:r>
    </w:p>
    <w:p>
      <w:pPr>
        <w:pStyle w:val="BookText"/>
        <w:rPr/>
      </w:pPr>
      <w:r>
        <w:rPr>
          <w:rFonts w:ascii="IRNazanin" w:hAnsi="IRNazanin" w:eastAsia="IRNazanin"/>
          <w:color w:val="111111"/>
          <w:sz w:val="28"/>
          <w:sz w:val="28"/>
          <w:szCs w:val="28"/>
          <w:rtl w:val="true"/>
          <w:lang w:bidi="fa-IR"/>
        </w:rPr>
        <w:t>بل لا یمکن التمسّک فی الموارد المشکوکة بأدلّة الولایة إلّا بعد تمسّک جماعة من الأصحاب؛ حتّی یرتفع غبار الشکّ، و لم یتمسّک فی المقام إلّا القلیل من المتأخّرین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نصب العامّی للقضاء لا یتوقّف علی عموم الولایة بالمعنی الذی ذکر؛ بأن نقول بثبوت کلّ ما للنبی من الشؤون للفقیه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فی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المقبولة هو إعطاء منصب الحکومة للفقیه علی وجه الإطلاق، و جعلهم حکّاماً شرعیاً فی مقابل حکّام الجور، و أنّ لهم التولّی و التصدّی لکلّ ما کان تولّیه من شؤون الحکّام فی ذلک</w:t>
      </w:r>
    </w:p>
    <w:p>
      <w:pPr>
        <w:pStyle w:val="BookText"/>
        <w:rPr/>
      </w:pPr>
      <w:r>
        <w:rPr>
          <w:rFonts w:ascii="IRNazanin" w:hAnsi="IRNazanin" w:eastAsia="IRNazanin"/>
          <w:color w:val="111111"/>
          <w:sz w:val="28"/>
          <w:sz w:val="28"/>
          <w:szCs w:val="28"/>
          <w:rtl w:val="true"/>
          <w:lang w:bidi="fa-IR"/>
        </w:rPr>
        <w:t>الزمان، و قد کان نصب القاضی من شؤون الحکّام و السلاطین، کما کان نصب الامراء من شؤونهم فی تلک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الفقیه حاکماً مستلزم لجواز نصب القضاة، بلا احتیاج إلی إثبات أمر آخر، و هذا لائح لمن سبر حالات الخلفاء و الحکّام و القضاة فی الإسلام، و یکشف ذلک عن أنّه کان علیه السیرة من بدء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فسّر به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بصدد بیان أنّ وظیفة الفقیه بیان الأحکام ساقط جدّاً؛ إذ لیس بیان الأحکام منصباً من المناصب حتّی یحتاج إلی الجعل، کما أنّ القول باختصاصها بالقضاء خالٍ عن الدلیل؛ فإنّ موردها و إن کان القضاء إلّا أنّ صدرها و ذیلها کاشف عن عموم الجعل، و أنّه علیه السلام جعل الفقیه حاکماً بقول مطلق، لا قاضیاً فقط، و قد أوضحنا سبیل استفادة العموم منها و من المشهورة</w:t>
      </w:r>
      <w:r>
        <w:rPr>
          <w:rStyle w:val="FootnoteAnchor"/>
          <w:rtl w:val="true"/>
        </w:rPr>
        <w:footnoteReference w:id="98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تخصیص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ما یرجع إلی شؤون الحکومة و الولایة و السیاسات الإسلامیة و الامور الحسبیة فالتخصیص لیس بأکثر، بل قلیل جدّاً، و إن أراد غیر ما یرجع إلی تلک الشؤون من خصائص النبی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جمعها العلّامة فی کتاب النکاح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یشملها عموم أدلّة الجعل حتّی یخرج بالتخصیص</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نصب الفقیه العامّی العارف لمنصب القضاء؛ لما عرفت فی الأمر الأوّل من أنّ ظاهر الصحیحة اختصاص ذلک من قبل اللَّه بالنبی و الوصی، خرج الفقیه تخصیصاً أو تخصّصاً، و بقی الباقون تحت المنع</w:t>
      </w:r>
      <w:r>
        <w:rPr>
          <w:rFonts w:eastAsia="IRNazanin" w:cs="IRNazanin"/>
          <w:color w:val="111111"/>
          <w:sz w:val="28"/>
          <w:szCs w:val="28"/>
          <w:rtl w:val="true"/>
          <w:lang w:bidi="fa-IR"/>
        </w:rPr>
        <w:t>.</w:t>
      </w:r>
      <w:bookmarkStart w:id="779" w:name="pg12912_112184"/>
    </w:p>
    <w:p>
      <w:pPr>
        <w:pStyle w:val="Heading6"/>
        <w:numPr>
          <w:ilvl w:val="5"/>
          <w:numId w:val="1"/>
        </w:numPr>
        <w:rPr/>
      </w:pPr>
      <w:bookmarkStart w:id="780" w:name="__RefHeading___Toc3425903_3224264995"/>
      <w:bookmarkStart w:id="781" w:name="_Toc292"/>
      <w:bookmarkEnd w:id="779"/>
      <w:bookmarkEnd w:id="780"/>
      <w:r>
        <w:rPr>
          <w:rtl w:val="true"/>
        </w:rPr>
        <w:t>جواز توکیل الفقیه العامّی للقضاء</w:t>
      </w:r>
      <w:bookmarkEnd w:id="781"/>
    </w:p>
    <w:p>
      <w:pPr>
        <w:pStyle w:val="BookText"/>
        <w:rPr/>
      </w:pPr>
      <w:r>
        <w:rPr>
          <w:rFonts w:ascii="IRNazanin" w:hAnsi="IRNazanin" w:eastAsia="IRNazanin"/>
          <w:color w:val="111111"/>
          <w:sz w:val="28"/>
          <w:sz w:val="28"/>
          <w:szCs w:val="28"/>
          <w:rtl w:val="true"/>
          <w:lang w:bidi="fa-IR"/>
        </w:rPr>
        <w:t>و إثبات جوازه یتوقّف علی ثبوت أمرین غیر ثابتین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القضاء من الامور التی یقبل النیابة و التنزیل، و لا یشترط فیه مباشرة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لنا بإثبات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بعد ظهور الأدلّة فی اختصاصه بالفقیه، و عدم وجود دلیل أو أصل یدلّ علی کونه من الامور النیابیة، فإذا کان الحال کذلک فالأصل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عرفته فی صدر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حتّی یدلّ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إطلاق أو دلیل فی أدلّة الوکالة یدلّ علی نفوذ الوکالة فی کلّ الامور، و منها القضاء و فصل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فیما بأیدینا ما یمکن کونه مصدراً لهذا إلّا الصحیحتان، و هما بصدد بیان حکم آخر، و لا إطلاق لهما من جهة نفوذ الوکالة فی کلّ أمر أو قابلیة کلّ شی‌ء للوکالة، و دونک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الصادق علیه السلام فی رجل وکّل آخر علی وکالة فی أمر من الامور، و أشهد له بذلک شاهدین، فقام الوکیل فخرج لإمضاء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عزلت فلاناً عن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الوکیل أمضی الأمر الذی وکّل فیه قبل العزل فإنّ الأمر واقع ماضٍ علی ما أمضاه الوکیل؛ کره الموکّل أم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الوکیل أمضی الأمر قبل أن یعلم العزل أو یبلغه أنّه قد عزل عن الوکالة، فالأمر علی ما أمضاه؟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الوکیل إذا وکّل، ثمّ قام عن المجلس فأمره ماضٍ أبداً و الوکالة ثابتة حتّی یبلغه العزل عن الوکالة؛ بثقة یبلغه أو یشافهه بالعزل عن الوکالة</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الإمعان القلیل فی الصحیحین یعطی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من الامور الخطیرة ربّما ینجرّ أقلّ الخطأ فیه إلی القتل و الاندحار و سفک الدماء، فتفویض ذلک إلی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عرف ما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بمقتضی مناسبة الحکم و الموضوع، غیر معهود بین العقلاء</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یعرف دفع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التوکیل فی الامور من الامور العقلائیة، فلا یحتاج کلّ مورد منه إلی ورود دلیل علی جواز التوکیل، بل یکفی عدم ردع من الشارع</w:t>
      </w:r>
      <w:r>
        <w:rPr>
          <w:rStyle w:val="FootnoteAnchor"/>
          <w:rtl w:val="true"/>
        </w:rPr>
        <w:footnoteReference w:id="993"/>
      </w:r>
      <w:r>
        <w:rPr>
          <w:rFonts w:ascii="IRNazanin" w:hAnsi="IRNazanin" w:eastAsia="IRNazanin"/>
          <w:color w:val="111111"/>
          <w:sz w:val="28"/>
          <w:sz w:val="28"/>
          <w:szCs w:val="28"/>
          <w:rtl w:val="true"/>
          <w:lang w:bidi="fa-IR"/>
        </w:rPr>
        <w:t>لأنّ ما ذکر و إن کان صحیحاً إلّا أنّ عدم الردع إنّما یکفی فیما إذا کان الشی‌ء بمرأی و منظر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کالعمل بالأمارات، و الوکالة فی المعاملات، و الأنکحة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التوکیل فی القضاء فممّا لم یعهد فی عصر النبی و لا بعده حتّی یتمسّک بعدم الردع و یستکشف رضاه، و لیس مصبّ السیرة أمراً کلّیاً أو ذات إطلاق حتّی یتمسّک بعمومه و إطلاقه، بل السیرة جاریة علی موارد من المعاملات و الأنکحة، و غیرهما من الامور الشائعة فیها التوکیل</w:t>
      </w:r>
      <w:r>
        <w:rPr>
          <w:rFonts w:eastAsia="IRNazanin" w:cs="IRNazanin"/>
          <w:color w:val="111111"/>
          <w:sz w:val="28"/>
          <w:szCs w:val="28"/>
          <w:rtl w:val="true"/>
          <w:lang w:bidi="fa-IR"/>
        </w:rPr>
        <w:t>.</w:t>
      </w:r>
      <w:bookmarkStart w:id="782" w:name="pg12912_112187"/>
    </w:p>
    <w:p>
      <w:pPr>
        <w:pStyle w:val="Heading4"/>
        <w:numPr>
          <w:ilvl w:val="3"/>
          <w:numId w:val="1"/>
        </w:numPr>
        <w:rPr/>
      </w:pPr>
      <w:bookmarkStart w:id="783" w:name="__RefHeading___Toc3425905_3224264995"/>
      <w:bookmarkStart w:id="784" w:name="_Toc293"/>
      <w:bookmarkEnd w:id="782"/>
      <w:bookmarkEnd w:id="783"/>
      <w:r>
        <w:rPr>
          <w:rtl w:val="true"/>
        </w:rPr>
        <w:t>القول فیمن یؤخذ عنه الفتوی</w:t>
      </w:r>
      <w:bookmarkEnd w:id="784"/>
    </w:p>
    <w:p>
      <w:pPr>
        <w:pStyle w:val="Heading5"/>
        <w:numPr>
          <w:ilvl w:val="4"/>
          <w:numId w:val="1"/>
        </w:numPr>
        <w:rPr/>
      </w:pPr>
      <w:bookmarkStart w:id="785" w:name="__RefHeading___Toc3425907_3224264995"/>
      <w:bookmarkStart w:id="786" w:name="_Toc294"/>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و فیه نقاط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فیمن یرجع إلیه فی الفتوی أن یکون مجتهداً مطلقاً، أو یکفی کونه متجزّئاً مجتهداً فیما یفتی؟</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أن یکون أعلم أو لا؟</w:t>
      </w:r>
    </w:p>
    <w:p>
      <w:pPr>
        <w:pStyle w:val="BookText"/>
        <w:rPr/>
      </w:pPr>
      <w:r>
        <w:rPr>
          <w:rFonts w:ascii="IRNazanin" w:hAnsi="IRNazanin" w:eastAsia="IRNazanin"/>
          <w:color w:val="111111"/>
          <w:sz w:val="28"/>
          <w:sz w:val="28"/>
          <w:szCs w:val="28"/>
          <w:rtl w:val="true"/>
          <w:lang w:bidi="fa-IR"/>
        </w:rPr>
        <w:t>و علی فرض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فتوی الأعلم موافقاً لفتوی غیره، و اخری یکون مخالفاً معلوماً بالعلم التفصیلی أو بالعلم الإجمالی، و ثالثة یکون مجهول المخالفة و الموافقة</w:t>
      </w:r>
      <w:r>
        <w:rPr>
          <w:rFonts w:eastAsia="IRNazanin" w:cs="IRNazanin"/>
          <w:color w:val="111111"/>
          <w:sz w:val="28"/>
          <w:szCs w:val="28"/>
          <w:rtl w:val="true"/>
          <w:lang w:bidi="fa-IR"/>
        </w:rPr>
        <w:t>.</w:t>
      </w:r>
    </w:p>
    <w:p>
      <w:pPr>
        <w:pStyle w:val="Heading5"/>
        <w:numPr>
          <w:ilvl w:val="4"/>
          <w:numId w:val="1"/>
        </w:numPr>
        <w:rPr/>
      </w:pPr>
      <w:bookmarkStart w:id="787" w:name="__RefHeading___Toc3425909_3224264995"/>
      <w:bookmarkStart w:id="788" w:name="_Toc295"/>
      <w:bookmarkEnd w:id="787"/>
      <w:r>
        <w:rPr>
          <w:rtl w:val="true"/>
        </w:rPr>
        <w:t>مقتضی الأصل الأوّلی وجوب تقلید الأعلم</w:t>
      </w:r>
      <w:bookmarkEnd w:id="78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فیما یسوقنا إلیه الأدلّة لا بدّ من تأسیس الأصل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حرمة العمل بغیر العلم، کما أوضحنا سبیله فی مبحث حجّیة الظنّ</w:t>
      </w:r>
      <w:r>
        <w:rPr>
          <w:rStyle w:val="FootnoteAnchor"/>
          <w:rtl w:val="true"/>
        </w:rPr>
        <w:footnoteReference w:id="994"/>
      </w:r>
      <w:r>
        <w:rPr>
          <w:rFonts w:ascii="IRNazanin" w:hAnsi="IRNazanin" w:eastAsia="IRNazanin"/>
          <w:color w:val="111111"/>
          <w:sz w:val="28"/>
          <w:sz w:val="28"/>
          <w:szCs w:val="28"/>
          <w:rtl w:val="true"/>
          <w:lang w:bidi="fa-IR"/>
        </w:rPr>
        <w:t>، و لا خفاء فی أنّ الرجوع إلی الغیر لأخذ الفتوی و تطبیق العمل علی قوله عمل بما لا یعلم العامل</w:t>
      </w:r>
    </w:p>
    <w:p>
      <w:pPr>
        <w:pStyle w:val="BookText"/>
        <w:rPr/>
      </w:pPr>
      <w:r>
        <w:rPr>
          <w:rFonts w:ascii="IRNazanin" w:hAnsi="IRNazanin" w:eastAsia="IRNazanin"/>
          <w:color w:val="111111"/>
          <w:sz w:val="28"/>
          <w:sz w:val="28"/>
          <w:szCs w:val="28"/>
          <w:rtl w:val="true"/>
          <w:lang w:bidi="fa-IR"/>
        </w:rPr>
        <w:t>کونه مطابقاً للواقع، من غیر فرق بین أن یکون مدرک جوازه السیرة العقلائیة أو الإجماع أو غیرهما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الفقه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بقول الأعلم؛ لامتناع قیام الناس کلّهم علی الاجتهاد و بطلان وجوب العمل بالاحتیاط، أو التبعیض فیه، و بقی الباقی تحت المنع المسلّم، فلا یخرج عنه إلّا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الأصل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یقرّر الأصل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العلم الضروری حاصل لکلّ واحد من المکلّفین بوجود تکالیف فی الوقائع؛ فلا یجوز له الإهمال لوجود العلم بالتکالیف الجدّیة، و لا الاحتیاط لاستلزامه العسر و الحرج، بل الاختلال فی النظام، و لا الرجوع إلی قول المفضول لاستلزامه ترجیح المفضول علی الفاضل و هو قبیح، و لا یمکن تحصیل الاجتهاد لقضاء الضرورة علی خلافه؛ فتعیّن العمل بقول الفاضل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بوجود تکالیف فی الوقائع و الحوادث منحلّ بالرجوع إلی فتاوی الأحیاء من المجتهدین، و لیس له فیما ورائها علم أصلًا، فیحکم العقل عندئذٍ الأخذ بأحوط الأقوال منهم، و لا یلزم العسر و لا الحرج؛ فضلًا عن الاختلال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برأی غیر الأعلم لیس من قبیل ترجیح المرجوح علی الراجح؛ إذ ربّما یتّفق کثیراً مطابقة قوله مع فتوی میّت هو أعلم من الأحیاء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الرجوع إلی فتوی الغیر من قبیل الرجوع إلی الأمارات، و ربّما یحتفّ فتوی المفضول بقرائن أو یوجد فیه خصوصیات یصیر أقرب إلی الواقع</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ساقه من المقدّمات هو التبعیض فی الاحتیاط علی حدّ لا یستلزم العسر، لا الرجوع إلی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الأصل کون المفضول و الفاضل متساوی الأقدام فی جواز التقلید،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فرضنا مجتهدین متساویین من جمیع الجهات، لا یفضل واحد منهما علی الاخری حَکم العقل بالتخییر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عدم جواز طرحهما أو الأخذ بأحوطهما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حکم العقل بالتخییر مصدراً لاستکشاف حکم شرعی علی طبقه، ثمّ إذا صار أحدهما بعد ردح من الزمن أعلم من الآخر فالأصل بقاء التخییر الشرعی المستکشف، و یتمّ فی غیره بعدم القول بالفصل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الموضوع لحکم العقل هو الموضوع للحکم الشرعی المستکشف، فلا یعقل بقاؤهما بعد ارتفاع الموضوع و انقلابه، و أنّ حکم العقل بالتخییر کان بمناط قبح الترجیح بغیر مرجّح، و کان حکم الشرع المستکشف به أیضاً بهذا المناط، فلا یعقل بقاء هذا و لا ذاک بعد حدوث الترجیح و صیرورة أحدهما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حکم الشرع بالتخییر بملاک آخر قائم مقام الأوّل عند ارتفاعه، فإذا احتملنا قیام مناط آخر مقامه فقد احتملنا بقاء الحکم الشرعی، و الحکم الشرعی المستکشف و إن کان مقطوع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الشرعی القائم بمناط آخر و إن کان مشکوک الحدوث، إلّا أنّه لا بأس باستصحاب التخییر الجامع بینهما، علی حذو ما قرّروه فی استصحاب الکلّی</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هو الحکم الشرعی الشخصی لا الجامع بینهما؛ فالحکم بالتخییر بالمناط الأوّل مجعول، کما أنّ الحکم به القائم بالمناط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w:t>
      </w:r>
    </w:p>
    <w:p>
      <w:pPr>
        <w:pStyle w:val="BookText"/>
        <w:rPr/>
      </w:pPr>
      <w:r>
        <w:rPr>
          <w:rFonts w:ascii="IRNazanin" w:hAnsi="IRNazanin" w:eastAsia="IRNazanin"/>
          <w:color w:val="111111"/>
          <w:sz w:val="28"/>
          <w:sz w:val="28"/>
          <w:szCs w:val="28"/>
          <w:rtl w:val="true"/>
          <w:lang w:bidi="fa-IR"/>
        </w:rPr>
        <w:t>ثبوته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الجامع بینهما فهو أمر انتزاعی لا یتعلّق به الجعل و یمتنع وجوده فی الخارج، و قد أوضحناه غیر مرّة</w:t>
      </w:r>
      <w:r>
        <w:rPr>
          <w:rStyle w:val="FootnoteAnchor"/>
          <w:rtl w:val="true"/>
        </w:rPr>
        <w:footnoteReference w:id="996"/>
      </w:r>
      <w:r>
        <w:rPr>
          <w:rFonts w:ascii="IRNazanin" w:hAnsi="IRNazanin" w:eastAsia="IRNazanin"/>
          <w:color w:val="111111"/>
          <w:sz w:val="28"/>
          <w:sz w:val="28"/>
          <w:szCs w:val="28"/>
          <w:rtl w:val="true"/>
          <w:lang w:bidi="fa-IR"/>
        </w:rPr>
        <w:t>فالتخییر بهذا الجامع لا حکم شرعی مجعول، و لا موضوع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یتمّ فیما إذا کان الحکم الثانی المحتمل قائماً بملاک مباین لملاک الحکم الأوّل، و أمّا إذا کان الحکم الشرعی الواقعی فی نفس الأمر قائماً بملاک أوسع ممّا أدرکه العقل فلا بأس لاستصحاب الحکم الشرعی المستکشف ابتداءً؛ لأنّ المستکشف حکماً و ملاکاً غیر مباین مع الحکم الواقعی النفس الأمری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فیعدّ الحکم المنکشف مرتبة من مراتب الحکم الواقعی، و ملاکه مرتبة من الملاک الواقعی، فیکون نفس الحکم الشخصی محتمل البقاء، مع عدم العلم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للملاک الأوسع من ملاک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قبح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بإزائه ملاک آخر، لا ملاک أوسع من قبح الترجیح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مقارن ملاک حکم العقل یحتمل أن یکون ملاک مستقلّ آخر، فإذا ارتفع ملاک حکم العقل بقی شخص الحکم بذلک الملاک المستقلّ المجامع مع الملاک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الحکم قبل زوال ملاک حکم العقل کان معلولًا لهما أو لجامعهما، و بعد زواله صار باقیاً ببقاء الملاک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محفوظ؛ و إن کان العلّة له ملاکین فی زمان و ملاک واحد فی زمان آخر، و اختلاف العلّة لا یوجب اختلاف الشخص عرفاً</w:t>
      </w:r>
      <w:r>
        <w:rPr>
          <w:rFonts w:eastAsia="IRNazanin" w:cs="IRNazanin"/>
          <w:color w:val="111111"/>
          <w:sz w:val="28"/>
          <w:szCs w:val="28"/>
          <w:rtl w:val="true"/>
          <w:lang w:bidi="fa-IR"/>
        </w:rPr>
        <w:t>.</w:t>
      </w:r>
      <w:bookmarkStart w:id="789" w:name="pg12912_112191"/>
    </w:p>
    <w:p>
      <w:pPr>
        <w:pStyle w:val="BookText"/>
        <w:rPr/>
      </w:pPr>
      <w:bookmarkEnd w:id="789"/>
      <w:r>
        <w:rPr>
          <w:rFonts w:ascii="IRNazanin" w:hAnsi="IRNazanin" w:eastAsia="IRNazanin"/>
          <w:color w:val="111111"/>
          <w:sz w:val="28"/>
          <w:sz w:val="28"/>
          <w:szCs w:val="28"/>
          <w:rtl w:val="true"/>
          <w:lang w:bidi="fa-IR"/>
        </w:rPr>
        <w:t>ثمّ لو صحّ ما ذکر من التقریب أمکن تقریب ما یعارضه؛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انحصر الاجتهاد فی شخص واحد، ثمّ بلغ الفرد الآخر مقام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یبلغ مرتبته و لم یدرک شأوه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فنشکّ عندئذٍ فی جواز الرجوع من الفاضل إلی المفضول، فیستصحب عدم جوازه أو تعیّن قوله فی الحجّیة الفعلیة، و یتمّ فی غیره بما ذکره من عدم القول بالفصل، فتأمّل</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اصول اخر لهم ضربنا عنها صفحاً؛ لوضوح ضعفها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3425911_3224264995"/>
      <w:bookmarkStart w:id="791" w:name="_Toc296"/>
      <w:bookmarkEnd w:id="790"/>
      <w:r>
        <w:rPr>
          <w:rtl w:val="true"/>
        </w:rPr>
        <w:t>مقتضی بناء العقلاء فی باب تقلید الأعلم</w:t>
      </w:r>
      <w:bookmarkEnd w:id="791"/>
    </w:p>
    <w:p>
      <w:pPr>
        <w:pStyle w:val="Heading6"/>
        <w:numPr>
          <w:ilvl w:val="5"/>
          <w:numId w:val="1"/>
        </w:numPr>
        <w:rPr/>
      </w:pPr>
      <w:bookmarkStart w:id="792" w:name="__RefHeading___Toc3425913_3224264995"/>
      <w:bookmarkStart w:id="793" w:name="_Toc297"/>
      <w:bookmarkEnd w:id="792"/>
      <w:r>
        <w:rPr>
          <w:rtl w:val="true"/>
        </w:rPr>
        <w:t>تمهید</w:t>
      </w:r>
      <w:r>
        <w:rPr>
          <w:rtl w:val="true"/>
        </w:rPr>
        <w:t xml:space="preserve">: </w:t>
      </w:r>
      <w:r>
        <w:rPr>
          <w:rtl w:val="true"/>
        </w:rPr>
        <w:t>فی بناء العقلاء علی أصل التقلید</w:t>
      </w:r>
      <w:bookmarkEnd w:id="793"/>
    </w:p>
    <w:p>
      <w:pPr>
        <w:pStyle w:val="BookText"/>
        <w:rPr/>
      </w:pPr>
      <w:r>
        <w:rPr>
          <w:rFonts w:ascii="IRNazanin" w:hAnsi="IRNazanin" w:eastAsia="IRNazanin"/>
          <w:color w:val="111111"/>
          <w:sz w:val="28"/>
          <w:sz w:val="28"/>
          <w:szCs w:val="28"/>
          <w:rtl w:val="true"/>
          <w:lang w:bidi="fa-IR"/>
        </w:rPr>
        <w:t>و استدلّ القوم علی جواز التقلید بوجوه؛ أتقنها 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الدلیل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علی رجوع الجاهل إلی العالم، بل قد عدّ ذلک من القضایا الفطریة الارتکازیة</w:t>
      </w:r>
      <w:r>
        <w:rPr>
          <w:rStyle w:val="FootnoteAnchor"/>
          <w:rtl w:val="true"/>
        </w:rPr>
        <w:footnoteReference w:id="999"/>
      </w:r>
      <w:r>
        <w:rPr>
          <w:rFonts w:ascii="IRNazanin" w:hAnsi="IRNazanin" w:eastAsia="IRNazanin"/>
          <w:color w:val="111111"/>
          <w:sz w:val="28"/>
          <w:sz w:val="28"/>
          <w:szCs w:val="28"/>
          <w:rtl w:val="true"/>
          <w:lang w:bidi="fa-IR"/>
        </w:rPr>
        <w:t>، و أنّ الإنسان بفطرته و ارتکازه واقف علی لزوم الاستعلام من العالم، من غیر فرق بین أن یرجع ذلک إلی معاشه و حیاته المادّی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فالجاهل بأُمور الصنائع یرجع إلی الصنّاع، و المریض المسدود علیه باب معالجة مرضه یرجع إلی الأطبّاء، و هکذا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البناء من العقلاء أو الفطرة الإنسانیة بمثابةٍ لا یرتدع عنه الإنسان إلّا</w:t>
      </w:r>
      <w:bookmarkStart w:id="794" w:name="pg12912_112192"/>
    </w:p>
    <w:p>
      <w:pPr>
        <w:pStyle w:val="BookText"/>
        <w:rPr/>
      </w:pPr>
      <w:bookmarkEnd w:id="794"/>
      <w:r>
        <w:rPr>
          <w:rFonts w:ascii="IRNazanin" w:hAnsi="IRNazanin" w:eastAsia="IRNazanin"/>
          <w:color w:val="111111"/>
          <w:sz w:val="28"/>
          <w:sz w:val="28"/>
          <w:szCs w:val="28"/>
          <w:rtl w:val="true"/>
          <w:lang w:bidi="fa-IR"/>
        </w:rPr>
        <w:t>بقول صریح و نصّ مبین،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العقلاء یحرم علیکم الرجوع إلی الصنّاع و الفلّاح و الأطبّاء فیما تجهلونه إذا لم یفد قولهم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فی ذلک العمومات التی أوضحنا حالها عند البحث عن حجّیة الظنّ؛ من حرمة العمل بالظنّ و غیرها</w:t>
      </w:r>
      <w:r>
        <w:rPr>
          <w:rStyle w:val="FootnoteAnchor"/>
          <w:rtl w:val="true"/>
        </w:rPr>
        <w:footnoteReference w:id="1000"/>
      </w:r>
      <w:r>
        <w:rPr>
          <w:rFonts w:ascii="IRNazanin" w:hAnsi="IRNazanin" w:eastAsia="IRNazanin"/>
          <w:color w:val="111111"/>
          <w:sz w:val="28"/>
          <w:sz w:val="28"/>
          <w:szCs w:val="28"/>
          <w:rtl w:val="true"/>
          <w:lang w:bidi="fa-IR"/>
        </w:rPr>
        <w:t>، لا لأنّه لا یری العمل بأقوالهم عملًا بالظنّ، بل عملًا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وجه أیضاً، بل لأنّ هذه الامور المرتکزة التی فطر علیها الإنسان فی حیاته بمثابة من الرسوخ و الاستحکام لا ینقدح فی أذهانهم أنّ الغرض من تلک العمومات ردعها و قلعها من رأس، و لا ینتقل منها إلیه ما لم ینصّ علیه بصریح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المخاطبین فی عصر نزول هذه الآیات لم یتنبّه أحد و لم ینتقل واحد منهم إلی أنّ الهدف منها ردع تلک المرتکزات، و أنّه لا یجوز بعد نزولها العمل بقول الثقة، أو لا یجوز ترتیب أثر الملکیة علی الید، و غیرها من الأمارات الظنّیة، بل بقوا علی ما کانوا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الجاهل فی أحکامه العرفیة أو الشرعیة فرع من فروع ذلک البناء، و صرح قائم علیه</w:t>
      </w:r>
      <w:r>
        <w:rPr>
          <w:rFonts w:eastAsia="IRNazanin" w:cs="IRNazanin"/>
          <w:color w:val="111111"/>
          <w:sz w:val="28"/>
          <w:szCs w:val="28"/>
          <w:rtl w:val="true"/>
          <w:lang w:bidi="fa-IR"/>
        </w:rPr>
        <w:t>.</w:t>
      </w:r>
    </w:p>
    <w:p>
      <w:pPr>
        <w:pStyle w:val="Heading6"/>
        <w:numPr>
          <w:ilvl w:val="5"/>
          <w:numId w:val="1"/>
        </w:numPr>
        <w:rPr/>
      </w:pPr>
      <w:bookmarkStart w:id="795" w:name="__RefHeading___Toc3425915_3224264995"/>
      <w:bookmarkStart w:id="796" w:name="_Toc298"/>
      <w:bookmarkEnd w:id="795"/>
      <w:r>
        <w:rPr>
          <w:rtl w:val="true"/>
        </w:rPr>
        <w:t>شبهة عدم وجود هذا البناء فی زمن الأئمّة علیهم السلام</w:t>
      </w:r>
      <w:bookmarkEnd w:id="79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الامور العقلائیة إنّما یسمن و یغنی إذا کان بمرأی و منظر من النبی أو الأئمّة من بعده حتّی یستکشف من سکوته رضاه، و من عدم</w:t>
      </w:r>
    </w:p>
    <w:p>
      <w:pPr>
        <w:pStyle w:val="BookText"/>
        <w:rPr/>
      </w:pPr>
      <w:r>
        <w:rPr>
          <w:rFonts w:ascii="IRNazanin" w:hAnsi="IRNazanin" w:eastAsia="IRNazanin"/>
          <w:color w:val="111111"/>
          <w:sz w:val="28"/>
          <w:sz w:val="28"/>
          <w:szCs w:val="28"/>
          <w:rtl w:val="true"/>
          <w:lang w:bidi="fa-IR"/>
        </w:rPr>
        <w:t>ردعه کونه مرضیاً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الامور العقلائیة المستحدثة التی لم یکن فی زمنهم علیهم السلام منها عین و لا أثر فلا یدلّ عدم ردعه علی رضائه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من هذا القبیل؛ فإنّ الأمر الدارج فی أزمنتهم إنّما هو الرجوع إلی نظراء عبد اللَّه بن عبّاس و معاذ و محمّد بن مسلم و زرارة و ابن أبی یعفور و أبان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أخذوا الأحکام عن مستقی الوحی و أئمّة الدین، و عاشروهم مدّة طویلة؛ حتّی صاروا بطانة علومهم و مخازن معارفهم و معادن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فنقلوا ما سمعوها بأسماعهم و أبصروها بأعینهم إلی الأجیال القادمة، من دون اجتهاد و لا إعمال نظر، فأرجعوا شیعتهم إلی تلک العلماء الذین هذه سیرتهم، و تلک کیفیة أخذهم الأحکام عن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رجوع الجاهل إلی العلماء فی ذلک الزمان من رجوع الجاهل إلی العالم بالعلم الوجدانی الحاصل لهم من مشافهة الأئمّة، من دون اجتهاد و لا إعمال نظر، و أمّا رجوع الجاهل فی أعصارنا فإنّما هو إلی العلماء الذین عرفوا الأحکام من طرق الأمارات و الظنون الاجتهادیة فلیس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 فی هذه الأعصار أخذ لنفسه صورة فنّیة و جاء علی طراز سائر العلوم العقلیة الفکریة، بعد ما کان فی أعصارهم من العلوم الساذجة المبنیة علی سماع الأحکام من الأئمّة و بثّها بین الناس، من دون أن یجتهد فی تشخیص حکم اللَّه أو یرجّح دلیلًا علی الآخر، أو یقیّد و یخصّص واحداً بالآخر، إلی غیر ذلک من الاصول الدارجة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الرجوع إلی مثل علمائنا فی أعصارهم مرسوماً حتّی یستکشف من عدم ردعه رضاه، و إنّما حدث ذلک بعد ممرّ الزمان و مضی الدهور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یرد دلیل علی مضیّ کلّ المرتکزات إلّا ما خرج بالدلیل حتّی نأخذ به،</w:t>
      </w:r>
      <w:bookmarkStart w:id="797" w:name="pg12912_112194"/>
    </w:p>
    <w:p>
      <w:pPr>
        <w:pStyle w:val="BookText"/>
        <w:rPr/>
      </w:pPr>
      <w:bookmarkEnd w:id="797"/>
      <w:r>
        <w:rPr>
          <w:rFonts w:ascii="IRNazanin" w:hAnsi="IRNazanin" w:eastAsia="IRNazanin"/>
          <w:color w:val="111111"/>
          <w:sz w:val="28"/>
          <w:sz w:val="28"/>
          <w:szCs w:val="28"/>
          <w:rtl w:val="true"/>
          <w:lang w:bidi="fa-IR"/>
        </w:rPr>
        <w:t>و لیس لبناء العقلاء فی ذلک الباب إطلاق أو عموم حتّی نتمسّک به، بل لا بدّ أن یتّصل کلّ فرد من هذه الامور العقلائیة إلی زمانهم علیهم السلام، و لم یکن الرجوع إلی مثل تلک العلماء و الاجتهادات و الترجیحات موجوداً فی أعصارهم حتّی نستدلّ بعدم ردعهم علی إمضائهم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الجاهل فی أیّامنا إلی العلماء و إن کان ارتکازیاً لهم إلّا أنّه لا یفید کونه ارتکازیاً ما لم یتّصل بزمانهم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الاستدلال علی جواز التقلید فی هذه الأعصار بالروایات التی أرجع الإمام فیها شیعته إلی نُظراء من سبق منّا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بینهم إنّما هو علمهم بالأحکام؛ للفرق الواضح بینهم؛ فإنّهم کانوا یعرفون الصحیح من الزائف، و الصادق عن الکاذب، و الصادر لأجل الحکم الواقعی عن الصادر تقیّة؛ لأجل الممارسة و المعاشرة طیلة سنین، و أمّا فقهاء الأعصار فهم عاملون بما هو الوظیفة الفعلیة؛ سواء کانت مطابقة للواقع أو خالفه، إلی غیر ذلک من 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أشبه شی‌ء بالشبهة، و یمکن الجواب عنه بوجهین</w:t>
      </w:r>
      <w:r>
        <w:rPr>
          <w:rFonts w:eastAsia="IRNazanin" w:cs="IRNazanin"/>
          <w:color w:val="111111"/>
          <w:sz w:val="28"/>
          <w:szCs w:val="28"/>
          <w:rtl w:val="true"/>
          <w:lang w:bidi="fa-IR"/>
        </w:rPr>
        <w:t>:</w:t>
      </w:r>
    </w:p>
    <w:p>
      <w:pPr>
        <w:pStyle w:val="Heading6"/>
        <w:numPr>
          <w:ilvl w:val="5"/>
          <w:numId w:val="1"/>
        </w:numPr>
        <w:rPr/>
      </w:pPr>
      <w:bookmarkStart w:id="798" w:name="__RefHeading___Toc3425917_3224264995"/>
      <w:bookmarkStart w:id="799" w:name="_Toc299"/>
      <w:bookmarkEnd w:id="798"/>
      <w:r>
        <w:rPr>
          <w:rtl w:val="true"/>
        </w:rPr>
        <w:t>الجواب الأوّل عن الشبهة</w:t>
      </w:r>
      <w:bookmarkEnd w:id="79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الاجتهاد بالمعنی الوسیع و إعمال النظر فی الروایات و التدقیق فی دلالتها و ترجیح بعضها علی بعض کان موجوداً فی أعصارهم، دارجة بین أصحابهم؛ فإنّ الاجتهاد و إن توسّع نطاقه فی أعصارنا و بلغ مبلغاً عظیماً، إلّا أنّ أصل الاجتهاد بالمعنی الجامع بین عامّة مراتبه کان دارجاً فی تلک الأعصار، و أنّ الأئمّة أرجعوا شیعتهم إلی الفقهاء فی أعصارهم، و کانت سیرة العوامّ الرجوع إلیهم، من دون 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یدلّ علی وجود الاجتهاد فی أعصارهم فعدّة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إلقاء الاصول و علیکم أن تفرّعوا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عن کتاب أحمد بن محمّد بن أبی نصر عن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التفریع الذی هو استخراج الفروع عن الاصول الکلّیة الملقاة و تطبیقها علی مواردها و صغریاتها إنّما هو شأن المجتهد، و ما هو نفسه إلّا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التفریع و الاستخراج یتفاوت صعوبةً، کما یتفاوت نطاقه حسب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أو روی عن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کان علی المخاطبین و علی علماء الأعصار المتأخّرة استفراغ الوسع فی تشخیص صغریاته، و ما یصلح أن یکون مصداقاً له أو لا یصلح، فهذا ما نسمّیه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لتنصرف</w:t>
      </w:r>
    </w:p>
    <w:p>
      <w:pPr>
        <w:pStyle w:val="BookText"/>
        <w:rPr/>
      </w:pPr>
      <w:r>
        <w:rPr>
          <w:rFonts w:ascii="IRNazanin" w:hAnsi="IRNazanin" w:eastAsia="IRNazanin"/>
          <w:color w:val="111111"/>
          <w:sz w:val="28"/>
          <w:sz w:val="28"/>
          <w:szCs w:val="28"/>
          <w:rtl w:val="true"/>
          <w:lang w:bidi="fa-IR"/>
        </w:rPr>
        <w:t>علی وجوه؛ فلو شاء إنسان لصرف کلامه کیف شاء و لا یکذب</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عرفان معانی الکلام لیس إلّا تشخیص ما هو الأظهر بین المحتملات بالفحص عن القرائن الحافّة، و بعرض أخبارهم علی الکتاب و السنّة، و علی أخبار العامّة و فتاواهم، و غیر ذلک ممّا یتّضح به المراد، و یتعیّن ما هو المفاد، و لیس هذا إلّا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إلی محکمه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ردّ المتشابه إلی محکمه بجعل أحدهما قرینة علی الآخر لا یتحقّق بدون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روح عن أبی محمّد الحسن بن علی علیه السلام أنّه سئل عن کتب بنی فضّال،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أنّه کانت لهم روایات و آراء، فأمر بالأخذ بالأُولی و طرح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لاشتراط العدالة و اتّباع مذهب الحقّ فی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المقصود من الآراء المطروحة ما رأوها و اعتقدوا بها فی اصول مذهبهم ساقط لإطلاق الکلام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أبی جعفر علیه السلام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فإنّ الإفتاء ظاهر فی الاجتهاد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تعلیم أصحابهم کیفیة استفادة الأحکام و الفروع عن الذکر الحکیم، مثل</w:t>
      </w:r>
    </w:p>
    <w:p>
      <w:pPr>
        <w:pStyle w:val="BookText"/>
        <w:rPr/>
      </w:pPr>
      <w:r>
        <w:rPr>
          <w:rFonts w:ascii="IRNazanin" w:hAnsi="IRNazanin" w:eastAsia="IRNazanin"/>
          <w:color w:val="111111"/>
          <w:sz w:val="28"/>
          <w:sz w:val="28"/>
          <w:szCs w:val="28"/>
          <w:rtl w:val="true"/>
          <w:lang w:bidi="fa-IR"/>
        </w:rPr>
        <w:t>قول أبی جعفر علیه السلام بعد ما سأله زرارة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تخبرنی من أین علمت و قلت إنّ المسح ببعض الرأس و بعض الرجلین؟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قاله رسول الله صلی الله علیه و آله و سلم و نزل به الکتاب عن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الیدین إلی المرفقین بالوجه، فعرفنا أنه ینبغی لهما أن یغسلا إلی المرفقین، ثم فصل بین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p>
    <w:p>
      <w:pPr>
        <w:pStyle w:val="BookText"/>
        <w:rPr/>
      </w:pP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فعرفنا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لمکان الباء، ثم وصل الرجلین بالرأس، کما وصل الیدین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وصلهما بالرأس أن المسح علی بعضها، ثم فسر ذلک رسول الله للناس، فضیعوه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یلیه</w:t>
      </w:r>
    </w:p>
    <w:p>
      <w:pPr>
        <w:pStyle w:val="BookText"/>
        <w:rPr/>
      </w:pPr>
      <w:r>
        <w:rPr>
          <w:rFonts w:ascii="IRNazanin" w:hAnsi="IRNazanin" w:eastAsia="IRNazanin"/>
          <w:color w:val="111111"/>
          <w:sz w:val="28"/>
          <w:sz w:val="28"/>
          <w:szCs w:val="28"/>
          <w:rtl w:val="true"/>
          <w:lang w:bidi="fa-IR"/>
        </w:rPr>
        <w:t>ما فی روایة عبد الأعلی مولی آل سام بعد ما سئل الإمام عن المسح علی ظفره الذی أصابه الجرح لمّا عثر و جعل علیه جبیرة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أشباهه یعرف من کتاب 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 المرارة</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أوضح علی السائل کیفیة الاستنباط، و ردّ الفروع علی 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مرسلة یونس الطویلة الواردة فی أحکام الحائض و المستحاضة</w:t>
      </w:r>
      <w:r>
        <w:rPr>
          <w:rStyle w:val="FootnoteAnchor"/>
          <w:rtl w:val="true"/>
        </w:rPr>
        <w:footnoteReference w:id="1014"/>
      </w:r>
      <w:r>
        <w:rPr>
          <w:rFonts w:ascii="IRNazanin" w:hAnsi="IRNazanin" w:eastAsia="IRNazanin"/>
          <w:color w:val="111111"/>
          <w:sz w:val="28"/>
          <w:sz w:val="28"/>
          <w:szCs w:val="28"/>
          <w:rtl w:val="true"/>
          <w:lang w:bidi="fa-IR"/>
        </w:rPr>
        <w:t>فإنّ فیها موارد یرشدنا إلی طریق الاجتهاد، إلی غیر ذلک من الروایات المرشدة إلی دلالة الکتاب و کیفیة الاستدلال، و هی منبثّة فی طیات أبواب الفقه،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یحدث الأمر و 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فقیه البلد فاستفته من أمرک، فإذا أفتاک بشی‌ء فخذ بخلافه؛ فإنّ الحقّ فیه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المقبولة المتقدّمة</w:t>
      </w:r>
      <w:r>
        <w:rPr>
          <w:rStyle w:val="FootnoteAnchor"/>
          <w:rtl w:val="true"/>
        </w:rPr>
        <w:footnoteReference w:id="1016"/>
      </w:r>
      <w:r>
        <w:rPr>
          <w:rFonts w:ascii="IRNazanin" w:hAnsi="IRNazanin" w:eastAsia="IRNazanin"/>
          <w:color w:val="111111"/>
          <w:sz w:val="28"/>
          <w:sz w:val="28"/>
          <w:szCs w:val="28"/>
          <w:rtl w:val="true"/>
          <w:lang w:bidi="fa-IR"/>
        </w:rPr>
        <w:t>، فقد أوضحنا فیما تقدّم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حدیثنا و نظر فی حلالنا و حرامنا 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بطبقة خاصّة ممّن لهم قوّة عرفان المحکم من بین متشابهاتها و تمییزه عن غیره، و اعطف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معنی الحدیث الواحد، کما استظهرناه و ترجیح کلّ معنی غیر ما یرجّحه الآخر فلیس هو إلّا الاجتهاد، أو فی ترجیح أحد الحدیثین علی الآخر، فأحدهما یرجّح غیر ما یرجّحه عدیله فهو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أنّ کلّ واحد اعتمد علی روایة؛ غافلًا عمّا یرویه الآخر بعید جدّاً، مع کونهما معاصرین مجتمعین فی النظر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العلاجیة</w:t>
      </w:r>
      <w:r>
        <w:rPr>
          <w:rStyle w:val="FootnoteAnchor"/>
          <w:rtl w:val="true"/>
        </w:rPr>
        <w:footnoteReference w:id="1017"/>
      </w:r>
      <w:r>
        <w:rPr>
          <w:rFonts w:ascii="IRNazanin" w:hAnsi="IRNazanin" w:eastAsia="IRNazanin"/>
          <w:color w:val="111111"/>
          <w:sz w:val="28"/>
          <w:sz w:val="28"/>
          <w:szCs w:val="28"/>
          <w:rtl w:val="true"/>
          <w:lang w:bidi="fa-IR"/>
        </w:rPr>
        <w:t>التی أوضحها دلالة علی ما نرتأیه؛ أعنی ما یدلّ علی عرض الروایات علی الکتاب و السنّة و أخبار العامّة و ترجیح بعضها علی بعض؛ فإنّه من أظهر مصادیق الاجتهاد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الفتوی بغیر علم</w:t>
      </w:r>
      <w:r>
        <w:rPr>
          <w:rStyle w:val="FootnoteAnchor"/>
          <w:rtl w:val="true"/>
        </w:rPr>
        <w:footnoteReference w:id="1018"/>
      </w:r>
      <w:r>
        <w:rPr>
          <w:rFonts w:ascii="IRNazanin" w:hAnsi="IRNazanin" w:eastAsia="IRNazanin"/>
          <w:color w:val="111111"/>
          <w:sz w:val="28"/>
          <w:sz w:val="28"/>
          <w:szCs w:val="28"/>
          <w:rtl w:val="true"/>
          <w:lang w:bidi="fa-IR"/>
        </w:rPr>
        <w:t>، فیدلّ علی جوازه معه، و لیس الفتوی إلّا الاجتهاد و استفراغ البال فی فهم الأحکام و نشرها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کتبه الإمام أمیر المؤمنین علیه السلام إلی قثم بن عباس</w:t>
      </w:r>
      <w:r>
        <w:rPr>
          <w:rStyle w:val="FootnoteAnchor"/>
          <w:rtl w:val="true"/>
        </w:rPr>
        <w:footnoteReference w:id="1019"/>
      </w:r>
      <w:r>
        <w:rPr>
          <w:rFonts w:ascii="IRNazanin" w:hAnsi="IRNazanin" w:eastAsia="IRNazanin"/>
          <w:color w:val="111111"/>
          <w:sz w:val="28"/>
          <w:sz w:val="28"/>
          <w:szCs w:val="28"/>
          <w:rtl w:val="true"/>
          <w:lang w:bidi="fa-IR"/>
        </w:rPr>
        <w:t>حین ما 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اجلس لهم العصرین فأفت المستفتی و علّم الجاهل و ذاکر العالم</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نماذج ممّا وردت و وقفنا علیه، کلّها تدلّ بلسان واحد علی وجود الاجتهاد فی تلک الأعصار، و أنّ أمر فضلاء الرواة لم یکن یوم ذاک منحصراً بنقل الروایة من دون إمعان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یدلّ علی إرجاع الأئمّة شیعتهم إلی فقهاء أعصارهم فروایات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المتقدّمة</w:t>
      </w:r>
      <w:r>
        <w:rPr>
          <w:rStyle w:val="FootnoteAnchor"/>
          <w:rtl w:val="true"/>
        </w:rPr>
        <w:footnoteReference w:id="1021"/>
      </w:r>
      <w:r>
        <w:rPr>
          <w:rFonts w:ascii="IRNazanin" w:hAnsi="IRNazanin" w:eastAsia="IRNazanin"/>
          <w:color w:val="111111"/>
          <w:sz w:val="28"/>
          <w:sz w:val="28"/>
          <w:szCs w:val="28"/>
          <w:rtl w:val="true"/>
          <w:lang w:bidi="fa-IR"/>
        </w:rPr>
        <w:t>فإنّه یظهر من ملاحظة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المترافعین فی الدین و المیراث کان بالجهل بالحکم الشرعی، فیدلّ حجّیة قوله فی القضاء فی الشبهات الحکمیة علی حجّیة فتواه؛ للتلازم الواضح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مشهورة أبی خدیجة، حسب ما قرّرناه سابقاً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مفروغیة لزوم الرجوع إلی فقهاء البلدان و علماء الأمصار، غیر أنّ الراوی کان بصدد تشخیصه و تعیین الإمام إیّاه، مثل</w:t>
      </w:r>
    </w:p>
    <w:p>
      <w:pPr>
        <w:pStyle w:val="BookText"/>
        <w:rPr/>
      </w:pPr>
      <w:r>
        <w:rPr>
          <w:rFonts w:ascii="IRNazanin" w:hAnsi="IRNazanin" w:eastAsia="IRNazanin"/>
          <w:color w:val="111111"/>
          <w:sz w:val="28"/>
          <w:sz w:val="28"/>
          <w:szCs w:val="28"/>
          <w:rtl w:val="true"/>
          <w:lang w:bidi="fa-IR"/>
        </w:rPr>
        <w:t>ما عن علی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إلیک فی کلّ وقت فممّن آخذ معالم دینی؟</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زکریا بن آدم فسألته عمّا احتجت إلیه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الکشّی بإسناده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أبا بصیر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قوله لابن أبی یعفور بعد السؤال عمّن یرجع إلیه إذا احتاج أو سئل عن 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عن محمّد بن مسلم الثقفی؟</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الإرجاعات الابتدائیة، مثل</w:t>
      </w:r>
    </w:p>
    <w:p>
      <w:pPr>
        <w:pStyle w:val="BookText"/>
        <w:rPr/>
      </w:pPr>
      <w:r>
        <w:rPr>
          <w:rFonts w:ascii="IRNazanin" w:hAnsi="IRNazanin" w:eastAsia="IRNazanin"/>
          <w:color w:val="111111"/>
          <w:sz w:val="28"/>
          <w:sz w:val="28"/>
          <w:szCs w:val="28"/>
          <w:rtl w:val="true"/>
          <w:lang w:bidi="fa-IR"/>
        </w:rPr>
        <w:t>قوله علیه السلام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فی مسجد المدینة و أفت الناس </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إلی آخره، و مثل</w:t>
      </w:r>
    </w:p>
    <w:p>
      <w:pPr>
        <w:pStyle w:val="BookText"/>
        <w:rPr/>
      </w:pPr>
      <w:r>
        <w:rPr>
          <w:rFonts w:ascii="IRNazanin" w:hAnsi="IRNazanin" w:eastAsia="IRNazanin"/>
          <w:color w:val="111111"/>
          <w:sz w:val="28"/>
          <w:sz w:val="28"/>
          <w:szCs w:val="28"/>
          <w:rtl w:val="true"/>
          <w:lang w:bidi="fa-IR"/>
        </w:rPr>
        <w:t>قوله فی التوقیع الرفیع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کتبه الإمام إلی قثم بن عبّاس، و ما ورد فی تفسیر آیة النفر</w:t>
      </w:r>
      <w:r>
        <w:rPr>
          <w:rStyle w:val="FootnoteAnchor"/>
          <w:rtl w:val="true"/>
        </w:rPr>
        <w:footnoteReference w:id="1028"/>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استدلّوا بها علی حجّیة قول الثقة، إلّا أنّ الاستدلال بها علی حجّیة فتوی المفتی أظهر؛ فإنّ هؤلاء الأعاظم کانوا فی الرعیل</w:t>
      </w:r>
      <w:bookmarkStart w:id="800" w:name="pg12912_112202"/>
    </w:p>
    <w:p>
      <w:pPr>
        <w:pStyle w:val="BookText"/>
        <w:rPr/>
      </w:pPr>
      <w:bookmarkEnd w:id="800"/>
      <w:r>
        <w:rPr>
          <w:rFonts w:ascii="IRNazanin" w:hAnsi="IRNazanin" w:eastAsia="IRNazanin"/>
          <w:color w:val="111111"/>
          <w:sz w:val="28"/>
          <w:sz w:val="28"/>
          <w:szCs w:val="28"/>
          <w:rtl w:val="true"/>
          <w:lang w:bidi="fa-IR"/>
        </w:rPr>
        <w:t>الأوّل من فقهاء عصرهم، و کانوا یناظرون العامّة فی فقههم و عقائدهم، و یستفرغون الوسع فی فهم کتاب اللَّه و سنّة نبیه و معانی أخبار أئمّتهم، حسب ما رزقهم اللَّه من الفهم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بذلنا جهدنا فی قلع الشبهة، إلّا أنّه فی النفس منه شی‌ء؛ و هو أنّ هذه النصوص و إن کانت تعطینا وجود أصل الاجتهاد فی الأعصار و وجود الفقهاء فی الأمصار، إلّا أنّ الاختلاف الذی نشاهده بین فقهائنا؛ بحیث صارت المسائل النظریة الاتّفاقیة فی هذه الأعصار قلیلة جدّاً، لم یکن بین فقهاء تلک الأعصار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فإرجاع العوامّ إلی هؤلاء المتّفقون فی الرأی غالباً لا یستلزم جواز الرجوع إلی غیرهم الذین قلّما یحصل بینهم الاتّفاق، فعندئذٍ لا مناص فی الجواب عن التمسّک بالوجه الثانی، کما سنوضحه</w:t>
      </w:r>
      <w:r>
        <w:rPr>
          <w:rFonts w:eastAsia="IRNazanin" w:cs="IRNazanin"/>
          <w:color w:val="111111"/>
          <w:sz w:val="28"/>
          <w:szCs w:val="28"/>
          <w:rtl w:val="true"/>
          <w:lang w:bidi="fa-IR"/>
        </w:rPr>
        <w:t>.</w:t>
      </w:r>
    </w:p>
    <w:p>
      <w:pPr>
        <w:pStyle w:val="Heading6"/>
        <w:numPr>
          <w:ilvl w:val="5"/>
          <w:numId w:val="1"/>
        </w:numPr>
        <w:rPr/>
      </w:pPr>
      <w:bookmarkStart w:id="801" w:name="__RefHeading___Toc3425919_3224264995"/>
      <w:bookmarkStart w:id="802" w:name="_Toc300"/>
      <w:bookmarkEnd w:id="801"/>
      <w:r>
        <w:rPr>
          <w:rtl w:val="true"/>
        </w:rPr>
        <w:t>الجواب الثانی عن الشبهة</w:t>
      </w:r>
      <w:bookmarkEnd w:id="802"/>
    </w:p>
    <w:p>
      <w:pPr>
        <w:pStyle w:val="BookText"/>
        <w:rPr/>
      </w:pPr>
      <w:r>
        <w:rPr>
          <w:rFonts w:ascii="IRNazanin" w:hAnsi="IRNazanin" w:eastAsia="IRNazanin"/>
          <w:color w:val="111111"/>
          <w:sz w:val="28"/>
          <w:sz w:val="28"/>
          <w:szCs w:val="28"/>
          <w:rtl w:val="true"/>
          <w:lang w:bidi="fa-IR"/>
        </w:rPr>
        <w:t>لو سلّمنا ما ادّعاه القائل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و الأئمّة من بعده عارفون بحال امّته و ما یجری علیهم فی مختلف الزمان و مرور الدهور من غیبة ولی الدین و إمامه و حرمان الامّة عن الوصول إلیه، و أنّ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ارتکازهم من لزوم رجوع الجاهل إلی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یرجعون إلی علمائهم الذین لا محیص لهم من الرجوع إلی أخبارهم و آثارهم التی دوّنها أربابها، باذلین جهدهم مستفرغین بالهم فی استنباط الحکم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یکن هذه السیرة مرضیة لکان علیهم الردع و منع الامم الجائیة عن التطرّق بهذا الطریق، و إرجاعهم إلی طریق آخر</w:t>
      </w:r>
      <w:r>
        <w:rPr>
          <w:rFonts w:eastAsia="IRNazanin" w:cs="IRNazanin"/>
          <w:color w:val="111111"/>
          <w:sz w:val="28"/>
          <w:szCs w:val="28"/>
          <w:rtl w:val="true"/>
          <w:lang w:bidi="fa-IR"/>
        </w:rPr>
        <w:t>.</w:t>
      </w:r>
      <w:bookmarkStart w:id="803" w:name="pg12912_112203"/>
    </w:p>
    <w:p>
      <w:pPr>
        <w:pStyle w:val="BookText"/>
        <w:rPr/>
      </w:pPr>
      <w:bookmarkEnd w:id="803"/>
      <w:r>
        <w:rPr>
          <w:rFonts w:ascii="IRNazanin" w:hAnsi="IRNazanin" w:eastAsia="IRNazanin"/>
          <w:color w:val="111111"/>
          <w:sz w:val="28"/>
          <w:sz w:val="28"/>
          <w:szCs w:val="28"/>
          <w:rtl w:val="true"/>
          <w:lang w:bidi="fa-IR"/>
        </w:rPr>
        <w:t>و قد أخبروا علیهم السلام عن کثیر من الامور التی لم یکن یوم ذاک عنها عین و لا أثر، و کیف و قد أمروا أصحابهم بضبط الأحادیث و الاصول؛ معلّلین بأنّه سیأتی زمان هرج و مرج، و یحتاج الناس بکتبکم</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یرشدنا إلی کون السیرة مطلقاً ماضیة،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قبل البحث عن لزوم تقلید الفاضل أو جوازه البحث عن مناط السیرة العقلائیة حتّی نخوض بعده فی أدلّة الطرفین</w:t>
      </w:r>
      <w:r>
        <w:rPr>
          <w:rFonts w:eastAsia="IRNazanin" w:cs="IRNazanin"/>
          <w:color w:val="111111"/>
          <w:sz w:val="28"/>
          <w:szCs w:val="28"/>
          <w:rtl w:val="true"/>
          <w:lang w:bidi="fa-IR"/>
        </w:rPr>
        <w:t>:</w:t>
      </w:r>
    </w:p>
    <w:p>
      <w:pPr>
        <w:pStyle w:val="Heading5"/>
        <w:numPr>
          <w:ilvl w:val="4"/>
          <w:numId w:val="1"/>
        </w:numPr>
        <w:rPr/>
      </w:pPr>
      <w:bookmarkStart w:id="804" w:name="__RefHeading___Toc3425921_3224264995"/>
      <w:bookmarkStart w:id="805" w:name="_Toc301"/>
      <w:bookmarkEnd w:id="804"/>
      <w:r>
        <w:rPr>
          <w:rtl w:val="true"/>
        </w:rPr>
        <w:t>مناط بناء العقلاء فی رجوع الجاهل إلی العالم</w:t>
      </w:r>
      <w:bookmarkEnd w:id="805"/>
    </w:p>
    <w:p>
      <w:pPr>
        <w:pStyle w:val="BookText"/>
        <w:rPr/>
      </w:pPr>
      <w:r>
        <w:rPr>
          <w:rFonts w:ascii="IRNazanin" w:hAnsi="IRNazanin" w:eastAsia="IRNazanin"/>
          <w:color w:val="111111"/>
          <w:sz w:val="28"/>
          <w:sz w:val="28"/>
          <w:szCs w:val="28"/>
          <w:rtl w:val="true"/>
          <w:lang w:bidi="fa-IR"/>
        </w:rPr>
        <w:t>و الذی یمکن أن یکون مناطاً لرجوعهم أحد امور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لأجل انسداد باب العلم فی الموارد التی یری الجاهل نفسه ملزماً لتحصیل الواقع؛ لما فیه من مصالح و مفاسد یجب استیفاؤها أو الاحتراز عنها، و لا یمکن له العمل بالاحتیاط؛ لکونه مستلزماً للاختلال أو العسر و الحرج؛ فیحکم عقله بالرجوع إلی أهل الخبرة و علماء الفنّ؛ لکونه أقرب الطرق</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مقدّمات الانسداد فی أکثر الموارد؛ لعدم استلزام الاحتیاط الاختلال و العسر فی موارد کثیرة یرجع الجاهل إلی أهل الخبرة، و علی فرض استلزامه فلازمه التبعیض فی الاحتیاط، لا العمل بقول أهل الخبرة، کما أوضحناه فی محلّه</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رؤوس کلّ فرقة و نحلة قد اجتمعوا، فرأوا أنّ مصلحة مللهم و نحلهم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لرغد عیشهم، و تسهیلًا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جاهل کلّ مورد إلی عالمه، فوصل هذا من السلف إلی الخلف؛ حتّی دار بینهم أجیالًا و قروناً، و صار من الامور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بمراحل من الواقع، بل مقطوع خلافه؛ لأنّ تصادف القوانین البشریة من باب الاتّفاق بعید، بل ممتنع عادة؛ فالامم الغابرة المتبدّد شملهم، المتفرّق جمعهم، المفقود عندهم عامل الارتباط و الاجتماع کیف اجتمعوا و رأوا أنّ مصالح الامم ذلک، مع تفرّقهم فی أصقاع مختلفة و أمکنة متباعدة؟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لأجل إلغاء احتمال الخلاف و الغلط فی عمل أهل الصنائع و الفنون، و ما یلقیه إلیهم العلماء و أصحاب الآراء فی المسائل النظریة، و وجه ذلک الإلغاء هو ندرة المخالفة و قلّتها؛ بحیث لا یعتنی بها العقلاء، بل یعملون به؛ غافلًا عن احتمال المخالفة؛ بحیث لا یختلج فی أذهانهم الریب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أوجدنا عندهم وسائل التشکیک ربّما ینقدح فی قلوبهم، فهو عندهم علم عرفی یوجب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احتمال الخلاف؛ لندرة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الأساس لأکثر السِیَر الدارجة عندهم؛ من العمل بالأمارات و أصل الصحّة و قاعدة الید، و هذا الوجه أقرب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إلغاء احتمال الخطأ فیما نحن فیه غریب جدّاً مع ما نشاهده، و یشاهد العقلاء من کثرة الاختلاف بین الفقهاء فی المسائل الفرعیة، بل الاختلاف الموجود فی کتب فقیه واحد، و مع ذلک کیف یمکن أن یکون هذا الإلغاء لأجل ندرة المخالفة للواقع؟</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رجوع العقلاء إلی أصحاب الفتیا مبنی علی غفلتهم عن</w:t>
      </w:r>
    </w:p>
    <w:p>
      <w:pPr>
        <w:pStyle w:val="BookText"/>
        <w:rPr/>
      </w:pPr>
      <w:r>
        <w:rPr>
          <w:rFonts w:ascii="IRNazanin" w:hAnsi="IRNazanin" w:eastAsia="IRNazanin"/>
          <w:color w:val="111111"/>
          <w:sz w:val="28"/>
          <w:sz w:val="28"/>
          <w:szCs w:val="28"/>
          <w:rtl w:val="true"/>
          <w:lang w:bidi="fa-IR"/>
        </w:rPr>
        <w:t>هذا المعنی، و تخیّلهم أنّ فنّ الفقه کسائر الفنون یقلّ فیه الخطأ، أو علی وجود دلیل شرعی وصل من السلف إلی الخلف، و حینئذٍ یصیر الرجوع أمراً تعبّدیاً لا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أخطاء الفقهاء و إن کانت کثیرة فی حدّ نفسه؛ بحیث لو جمعت من أوّل الفقه إلی آخره أمکن تدوین فقه غیر صحیح، إلّا أنّ أخطاء کلّ واحد منهم قلیلة بالنسبة إلی آرائه المطابقة للواقع، فلو لوحظت عامّة فتواه، و ضمّمت الموارد بعضها إلی بعض یری الإنسان قلّة خطأه بالنسبة إلی ما أصاب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إذ نری بالوجدان کثرة اختلافهم فی باب واحد من أبواب الفقه، فلا محالة یکون الآراء جمیعاً أو غیر واحد منها مخالفاً للواقع، و کثرة الاختلاف دلیل علی کثرة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ما هذا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للعقلاء فی باب الاحتجاجات بین الموالی و العبید إنّما هو قیام الحجّة و سقوط التکلیف و العقاب بأیّ وجه اتّفق، و الرجوع إلی الفقهاء موجب لذلک؛ لأنّهم مع اختلافهم فی الرأی مشترکون فی عدم الخطأ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الاختلاف فی الرأی؛ لإمکان عثور أحدهما علی حجّة فی غیر مظانّها، أو علی أصل من الاصول المعتمدة، و لم یعثر الآخر علیهما، مع بذله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واحد منهما مخطئاً فی اجتهاده، بل له و لغیره العمل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العقلاء إلیهما لأجل قیام الحجّة و العذر لهم، لا لأجل إصابتهم الواقع</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بجعل المماثل فی مفاد الأمارات</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عدم خطأهما عدم تقصیرهما فی تحصیل الحکم الشرعی فمسلّم لکن لا یجدیه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منه عدم خطأهما فی نفس الحکم الشرعی فواضح الخطأ؛ لأنّ واحداً منهما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اتّسع نطاق الخلاف و وقفنا علی اختلافهما فی موارد کثیرة من المسائل لا یصحّ الرجوع إلی کلّ واحد؛ حتّی فیما اتّفقا علیه من الفتاوی؛ للاعتداد باحتمال الخطأ حینئذٍ، و انقداح الشکّ و الریب فی عامّة ما أفتی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بناء العقلاء علی إلغاء الخلاف و احتمال الخطأ عندئذٍ، فلا یکون ذلک الفتیا مع ذلک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غرض العقلاء تحصیل الحجّة و العذر لا الإصابة بالواقع، لکنّهما یتوقّفان علی إلغاء احتمال الخطأ فی الاجتهاد و استنباط الأحکام الشرعیة الواقعیة؛ حتّی یجعل مع هذا الإلغاء فی عداد سائر الأمارات العقلائیة فی تحصیل الحجّة و العذر، و هو مع هذا الاختلاف الفاحش فی الفتاوی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الخطأ فی الاجتهاد مستنداً إلی خطأ الأمارة فما هو المعذور إنّما هو المجتهد لا المقلِّد؛ لأنّ مبنی عمله إنّما هو فتواه لا الأمارة التی تبیّن خطأها، و لا یکون فتواه معذّراً له إلّا إذا وقع فی عداد سائر الأمارات العقلائیة؛ بأن یکون قلیل الخطأ، کثیر الإصابة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کذلک مع تخطئة کلّ مجتهد مخالفه، و أنّه مخطئ غیر مقصّر؟</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أوضحناه سابقاً من أنّ عدم ردع الشارع هذا البناء من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بأنّ الامّة سوف ترجع إلی الفقهاء الذین یقوم الاختلاف و التشاجر بینهم علی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إمضائه و ارتضائه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جعل ذلک بناءً عقلائیاً، و جعل العمل به کالعمل بسائر الأمارات المعتبرة عندهم لا یخلو عن غموض</w:t>
      </w:r>
      <w:r>
        <w:rPr>
          <w:rFonts w:eastAsia="IRNazanin" w:cs="IRNazanin"/>
          <w:color w:val="111111"/>
          <w:sz w:val="28"/>
          <w:szCs w:val="28"/>
          <w:rtl w:val="true"/>
          <w:lang w:bidi="fa-IR"/>
        </w:rPr>
        <w:t>.</w:t>
      </w:r>
      <w:bookmarkStart w:id="806" w:name="pg12912_112207"/>
    </w:p>
    <w:p>
      <w:pPr>
        <w:pStyle w:val="BookText"/>
        <w:rPr/>
      </w:pPr>
      <w:bookmarkEnd w:id="806"/>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المتشرّعة بالفتاوی من باب الطریقیة و الأماریة، مع عدم کونها حائزاً لشرائطها، لکن سکوته و عدم ردعه عن هذه السنّة العملیة کاشف عن رضاه، و ملازم لجعل الشارع إیّاها أمارة شرعیة مجعولة، فتأمّل جیّداً</w:t>
      </w:r>
      <w:r>
        <w:rPr>
          <w:rFonts w:eastAsia="IRNazanin" w:cs="IRNazanin"/>
          <w:color w:val="111111"/>
          <w:sz w:val="28"/>
          <w:szCs w:val="28"/>
          <w:rtl w:val="true"/>
          <w:lang w:bidi="fa-IR"/>
        </w:rPr>
        <w:t>.</w:t>
      </w:r>
    </w:p>
    <w:p>
      <w:pPr>
        <w:pStyle w:val="Heading5"/>
        <w:numPr>
          <w:ilvl w:val="4"/>
          <w:numId w:val="1"/>
        </w:numPr>
        <w:rPr/>
      </w:pPr>
      <w:bookmarkStart w:id="807" w:name="__RefHeading___Toc3425923_3224264995"/>
      <w:bookmarkStart w:id="808" w:name="_Toc302"/>
      <w:bookmarkEnd w:id="807"/>
      <w:r>
        <w:rPr>
          <w:rtl w:val="true"/>
        </w:rPr>
        <w:t>هل ترجیح قول الأعلم عند العقلاء لزومی أم لا؟</w:t>
      </w:r>
      <w:bookmarkEnd w:id="808"/>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الأقرب من هذه الوجوه ما اخترناه من أنّ المناط هو إلغاء احتمال الخلاف، و علیه فهذا المناط موجود فی رأی الأعلم و غیره؛ ضرورة أنّ العقلاء یعملون بقول المفضول عند عدم قول الفاضل، و هذا یدلّ علی کونه واجداً لملاکه؛ کان الفاضل موجوداً أولا، اتّفق رأیهما أو اختلفا، و إلّا لزم أن یکون عملهم فی حال عدم وجود الأعلم فاقداً للمناط، و هو باطل بالضرورة، أو لزم أن یختصّ وجود المناط فی قول المفضول بصورة خاصّة؛ و هو عدم وجود رأی الأعلم المخالف 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رأی الأفضل علی غیره عند التعارض لا یدلّ علی عدم کونه واجداً للملاک، بل هو من باب تقدیم إحدی الحجّتین علی غیرها، مع کونها أمارة عقلائیة حجّة فی حدّ نفسه؛ لأجل موهومیة الخطأ فیه، کما هو الملاک فی حجّیة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البحث عن بناء العقلاء فی تقدیم رأی الأعلم لدی العلم بالمخالفة إجمالًا أو تفصیلًا، هل هو علی نحو اللزوم، أو من باب حسن الاحتیاط؟</w:t>
      </w:r>
    </w:p>
    <w:p>
      <w:pPr>
        <w:pStyle w:val="BookText"/>
        <w:rPr/>
      </w:pPr>
      <w:r>
        <w:rPr>
          <w:rFonts w:ascii="IRNazanin" w:hAnsi="IRNazanin" w:eastAsia="IRNazanin"/>
          <w:color w:val="111111"/>
          <w:sz w:val="28"/>
          <w:sz w:val="28"/>
          <w:szCs w:val="28"/>
          <w:rtl w:val="true"/>
          <w:lang w:bidi="fa-IR"/>
        </w:rPr>
        <w:t>لا یبعد الثانی؛ لکون الرأیین واجدین للملاک و شرائط الحجّیة و الأماریة</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أقربیة قول الأعلم لیس علی وجه یلزمهم علی التقدیم؛ و لذا تراهم یراجعون المفضول من أهل الفنّ مع وجود الفاضل فی البلد؛ معتذرین عن ذلک</w:t>
      </w:r>
    </w:p>
    <w:p>
      <w:pPr>
        <w:pStyle w:val="BookText"/>
        <w:rPr/>
      </w:pPr>
      <w:r>
        <w:rPr>
          <w:rFonts w:ascii="IRNazanin" w:hAnsi="IRNazanin" w:eastAsia="IRNazanin"/>
          <w:color w:val="111111"/>
          <w:sz w:val="28"/>
          <w:sz w:val="28"/>
          <w:szCs w:val="28"/>
          <w:rtl w:val="true"/>
          <w:lang w:bidi="fa-IR"/>
        </w:rPr>
        <w:t>بأعذار لا یعدّ عذراً عند العقل و العقلاء؛ من بُعد طریقه و سوء خلقه و نحو ذلک، مع علمهم بمخالفة أهل الفنّ فی تشخیصاتهم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ترجیح الأفضل لیس علی حدّ اللزوم، و ترجیح رأیه أحیاناً لا یدلّ علی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قدر واحد علی تحصیل إجماعهم فی موضوع لفعل، لا لطرد قول المفضول و الفاضل، بل لترجیح الاحتیاط المنجی علی کلّ حال، و علیه فمقتضی القاعدة هو الاحتیاط لدی التعارض و العلم بمخالفتهما تفصیلًا أو إجمالًا، و إن لم یمکن فالتخییر؛ لکونهما واجدین لما هو الملاک؛ و إن کان ترجیح قول الأفضل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خلافه؛ فإنّ الاعتماد علی قول المفضول مع معارضته لقول الأفضل فی باب العمل بالتکالیف الصادرة من الموالی إلی العبید مشکل جدّاً؛ فإنّه ربّما یسامح الرجل فی أغراضه الشخصیة، و لا یصحّ ذلک فی أغراض المولی و موارد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یحرز عمل العقلاء بقول المفضول مع وجود الفاضل فیما إذا علم مخالفتهما تفصیلًا، بل إجمالًا إذا کان علی نحو التنجیز، کما إذا کان الأطراف محصورة؛ بأن یعلم مخالفة رأی المفضول لرأی غیره فی إحدی المسائل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العقلاء یترکون مراجعة الأفضل و یراجعون إلی غیره؛ معتذرین فی هذا بأعذار غیر وجیهة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لم یعلم مخالفتهما تفصیلًا أو إجمالًا علی الوجه المنجّز</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کون المقام من دوران الأمر بین التعیین و التخییر، و الأصل فیه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الأصحاب أرسلوه إرسال المسلّمات؛ فتعیُّن قول الأعلم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العقلاء</w:t>
      </w:r>
      <w:r>
        <w:rPr>
          <w:rFonts w:eastAsia="IRNazanin" w:cs="IRNazanin"/>
          <w:color w:val="111111"/>
          <w:sz w:val="28"/>
          <w:szCs w:val="28"/>
          <w:rtl w:val="true"/>
          <w:lang w:bidi="fa-IR"/>
        </w:rPr>
        <w:t>.</w:t>
      </w:r>
      <w:bookmarkStart w:id="809" w:name="pg12912_112209"/>
    </w:p>
    <w:p>
      <w:pPr>
        <w:pStyle w:val="Heading4"/>
        <w:numPr>
          <w:ilvl w:val="3"/>
          <w:numId w:val="1"/>
        </w:numPr>
        <w:rPr/>
      </w:pPr>
      <w:bookmarkStart w:id="810" w:name="__RefHeading___Toc3425925_3224264995"/>
      <w:bookmarkStart w:id="811" w:name="_Toc303"/>
      <w:bookmarkEnd w:id="809"/>
      <w:bookmarkEnd w:id="810"/>
      <w:r>
        <w:rPr>
          <w:rtl w:val="true"/>
        </w:rPr>
        <w:t>حال الأدلّة الشرعیة فی لزوم تقلید الأعلم و عدمه</w:t>
      </w:r>
      <w:bookmarkEnd w:id="811"/>
    </w:p>
    <w:p>
      <w:pPr>
        <w:pStyle w:val="Heading5"/>
        <w:numPr>
          <w:ilvl w:val="4"/>
          <w:numId w:val="1"/>
        </w:numPr>
        <w:rPr/>
      </w:pPr>
      <w:bookmarkStart w:id="812" w:name="__RefHeading___Toc3425927_3224264995"/>
      <w:bookmarkStart w:id="813" w:name="_Toc304"/>
      <w:bookmarkEnd w:id="812"/>
      <w:r>
        <w:rPr>
          <w:rtl w:val="true"/>
        </w:rPr>
        <w:t>اشارة</w:t>
      </w:r>
      <w:bookmarkEnd w:id="813"/>
    </w:p>
    <w:p>
      <w:pPr>
        <w:pStyle w:val="BookText"/>
        <w:rPr/>
      </w:pPr>
      <w:r>
        <w:rPr>
          <w:rFonts w:ascii="IRNazanin" w:hAnsi="IRNazanin" w:eastAsia="IRNazanin"/>
          <w:color w:val="111111"/>
          <w:sz w:val="28"/>
          <w:sz w:val="28"/>
          <w:szCs w:val="28"/>
          <w:rtl w:val="true"/>
          <w:lang w:bidi="fa-IR"/>
        </w:rPr>
        <w:t>بقی الکلام فی بیان حال الأدلّة الشرعیة؛ فلنذکر أدلّة الطرفین</w:t>
      </w:r>
      <w:r>
        <w:rPr>
          <w:rFonts w:eastAsia="IRNazanin" w:cs="IRNazanin"/>
          <w:color w:val="111111"/>
          <w:sz w:val="28"/>
          <w:szCs w:val="28"/>
          <w:rtl w:val="true"/>
          <w:lang w:bidi="fa-IR"/>
        </w:rPr>
        <w:t>:</w:t>
      </w:r>
    </w:p>
    <w:p>
      <w:pPr>
        <w:pStyle w:val="Heading5"/>
        <w:numPr>
          <w:ilvl w:val="4"/>
          <w:numId w:val="1"/>
        </w:numPr>
        <w:rPr/>
      </w:pPr>
      <w:bookmarkStart w:id="814" w:name="__RefHeading___Toc3425929_3224264995"/>
      <w:bookmarkStart w:id="815" w:name="_Toc305"/>
      <w:bookmarkEnd w:id="814"/>
      <w:r>
        <w:rPr>
          <w:rtl w:val="true"/>
        </w:rPr>
        <w:t>استدلال القائلین بجواز تقلید المفضول</w:t>
      </w:r>
      <w:bookmarkEnd w:id="815"/>
    </w:p>
    <w:p>
      <w:pPr>
        <w:pStyle w:val="Heading6"/>
        <w:numPr>
          <w:ilvl w:val="5"/>
          <w:numId w:val="1"/>
        </w:numPr>
        <w:rPr/>
      </w:pPr>
      <w:bookmarkStart w:id="816" w:name="__RefHeading___Toc3425931_3224264995"/>
      <w:bookmarkStart w:id="817" w:name="_Toc306"/>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استدلّ القائلون بجواز تقلید المفضول مع مخالفة رأیه لرأی الفاضل بوجوه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3425933_3224264995"/>
      <w:bookmarkStart w:id="819" w:name="_Toc307"/>
      <w:bookmarkEnd w:id="818"/>
      <w:r>
        <w:rPr>
          <w:rtl w:val="true"/>
        </w:rPr>
        <w:t>الأوّل</w:t>
      </w:r>
      <w:r>
        <w:rPr>
          <w:rtl w:val="true"/>
        </w:rPr>
        <w:t xml:space="preserve">: </w:t>
      </w:r>
      <w:r>
        <w:rPr>
          <w:rtl w:val="true"/>
        </w:rPr>
        <w:t>الاستدلال بالآیات</w:t>
      </w:r>
      <w:bookmarkEnd w:id="8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مدّعیاً أنّ إطلاقها یشمل السؤال عن مطلق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 کان أو مفضولًا، حصل التوافق بینهما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ندرة التساوی و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الاستشهاد بالآیة لما نحن فیه؛ لا بحکم السیاق إذ لازمه کون المراد من أهل الذکر هو علماء الیهود و النصاری، و لا بحکم الروایات فإنّ مقتضی المأثورات کون الأئمّة هم أهل الذکر المأمور بالسؤال عنهم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من السؤال إنّما هو تحصیل العلم، لا القبول علی وجه التعبّد، کما یفصح عنه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بالسؤال کان لما یختلج فی أذهانهم من الشبهات حول الاصول و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تختصّ الآیة بالموارد التی یعتبر فیها تحصیل العلم، و معلوم أنّ السؤال عن واحد منهم لا یفید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القول بنفی الإطلاق عن الآیة، و أنّها بصدد بیان أنّ طریق تحصیل العلم هو الرجوع إلی أهله، من دون أن تکون لها إطلاق بالنسبة إلی المسؤول حتّی یکون مقتضاه هو الرجوع إلی المفضول مع وجود الفاضل، بل وزانها وزان قول القائل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الطبیب و اشرب الدواء؛ لکی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طریق تحصیل الصحّة هو الرجوع إلی الطبیب، فلا إطلاق له؛ لا من جهة الطبیب و لا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تکون الآیة کالقول المزبور إرشاداً إلی ما هو المرتکز فی أذهان العقلاء؛ من لزوم الرجوع إلی العالم فقط، من دون إطلاق و لا تحمیل أمر تعبّدی من کفایة المفضول مع مخالفته للفاضل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علی المقام یتوقّف علی تمامیة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التفقّه من الغایات المترتّبة علیه، لا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التفقّه فی الدین فی الأحکام الفرعیة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ینذر به من جنس ما تفقّهوا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المنذِر کلّ واحد من النافرین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المنذَر کلّ واحد من المتخلّفین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المراد من الحذر هو الحذر العملی؛ أی القیام علی العمل علی طبق ما حذروهم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بقول المنذر؛ حصل العلم من قوله أولا، خالف قول الغیر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تمّت هذه المقدّمات أمکن للقائل الاستدلال بها؛ قائلًا بأنّ مفاد الآیة لزوم الحذر العملی من قول المنذر مطلقاً؛ فاضلًا کان أو غیره، وافق قول المفضول قول غیره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إثباتها؛ فإنّ أکثرها غیر ثابت، أو ثبت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منعه بمنع کون التفقّه غایة للنفر؛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فی مقام الإنشاء؛ أی لیس لهم النفر العمومی و إبقاء رسول اللَّه وحده، فأمر بنفر طائفة للجهاد و بقاء طائفة عند رسول اللَّه صلی الله علیه و آله و سلم للتفقّه فی الدین، فلا یکون التفقّه غایة للنفر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ما ذکر؛ لأنّ ظاهرها کون الآیة بصدد الإخبار عن أمر طبیعی، و هو أنّ نظام الدنیا و المعاش و إن کان یمنع عن نفر الجمیع إلّا أنّه لما ذا لا ینفر عدّة منهم للتفقّه، فظاهرها هو کون الغایة من النفر هو 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قطع النظر عن قول المفسّرین</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الخدشة فی الباقی؛ فإنّ دعوی کون ما ینذر به من جنس ما یتفقّه فیه ممنوعة؛ لأنّ الإنذار ببیان الأحکام الشرعیة ضمنی، و هذا بخلاف الإنذار بإیراد المواعظ و بیان درجات أهل الجنّة و درکات أهل النار؛ فإنّ ذلک یزعزع القلوب، و یملأها من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خافوا یرشدهم عقلهم إلی تحصیل المؤمّن من العقاب، و لیس المؤمّن عنده إلّا العلم بشرائطه و أحکامه مقدّمةً للعمل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النفر له غایتان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إنذار القوم و موعظتهم؛ فللفقیه وظیفتان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أحکامه و إنذار قومه بما أنذر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کون ما أنذر من جنس ما 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إلزام الفقیه علی إنذار قومه لأجل کون الفقیه أعرف بحدود ما ینذر به و شرائط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لکلامه تأثیراً فی القوم؛ لعلوّ کعبه و عظم مقامه لدیهم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تخصیص التفقّه فی الدین بالفروع تخصیص بلا جهة؛ لأنّ الدین یطلق علی اصوله و فروعه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و یظهر أیضاً من الروایات عمومیته، کما سیوافیک</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یمکن القول بوجوب قبول قوله تعبّداً؛ لعدم حجّیة قوله فی الاصول،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مقیّد بإفادة العلم فی الاصول بحکم العقل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الآیة یعطی ثبوت الأمر الخامس؛ و هو کون المنذر کلّ واحد من النافرین، إلّا أنّه یدلّ علی أنّ لکلّ واحد منهم إنذار القوم جمیعاً لا بعض القوم، کما هو مبنی الاستدلال</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الآیة عن الدلالة؛ لأنّه ربّما یحصل العلم بإنذار المنذرین جمیع القوم، و لا یدلّ علی وجوب القبول من کلّ واحد تعبّداً؛ و إن لم ینضمّ إلیه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حمل الحذر علی قبول قول الغیر و العمل بمقتضاه خلاف الظاهر؛ فإنّه ظاهر فی الحذر بمعنی الخوف القلبی الحاصل من إنذار الناذرین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إطلاق للآیة الکریمة؛ ضرورة أنّها بصدد بیان کیفیة النفر و أنّه إذن لا یمکن للناس النفر العمومی، فلِم لا ینفر طائفة منهم؟ فإنّه میسور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سدّ باب التعلّم و التفقّه بعذر الاشتغال بأُمور الدنیا؛ فإنّ أمر الدین کسائر امورهم یمکن قیام طائفة به، فلا بدّ من التفقّه و الإنذار، فلا إطلاق لها یدلّ علی وجوب القبول بمجرّد السماع؛ فضلًا عن إطلاقها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أجنبیة عن حجّیة قول المفتی و کذا عن حجّیة قول المخبر، بل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طائفة من کلّ فرقة التفقّه فی الدین و الرجوع إلی قومهم للإنذار بالمواعظ و البیانات الموجبة لحصول الخوف فی قلوبهم لعلّهم یحذرون، و یحصل فی قلوبهم الخوف من اللَّه تعالی، فحینئذٍ یدور رحی الدیانة، و یقوم الناس بأمرها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قصرنا النظر إلی نفس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لاحظنا الروایات الواردة فی تفسیرها فالأمر أوضح؛ فقد استدلّ الإمام فی عدّة منها بها علی لزوم معرفة الإمام، و أنّ الإمام إذا مات لم یکن للناس عذر فی عدم معرفة الإمام الذی بعده؛ أمّا من فی البلد فلرفع حجّته، و أمّا غیر الحاضر فعلیه النفر إذا بلغه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الناس الفحص عن الإمام إذا مات بنفر طائفة</w:t>
      </w:r>
    </w:p>
    <w:p>
      <w:pPr>
        <w:pStyle w:val="BookText"/>
        <w:rPr/>
      </w:pPr>
      <w:r>
        <w:rPr>
          <w:rFonts w:ascii="IRNazanin" w:hAnsi="IRNazanin" w:eastAsia="IRNazanin"/>
          <w:color w:val="111111"/>
          <w:sz w:val="28"/>
          <w:sz w:val="28"/>
          <w:szCs w:val="28"/>
          <w:rtl w:val="true"/>
          <w:lang w:bidi="fa-IR"/>
        </w:rPr>
        <w:t>منهم، و أنّ النافرین فی عذر ما داموا فی الطلب، و المنتظرین فی عذر حتّی یرجع إلیهم أصحابهم</w:t>
      </w:r>
      <w:r>
        <w:rPr>
          <w:rStyle w:val="FootnoteAnchor"/>
          <w:rtl w:val="true"/>
        </w:rPr>
        <w:footnoteReference w:id="1040"/>
      </w:r>
      <w:r>
        <w:rPr>
          <w:rFonts w:ascii="IRNazanin" w:hAnsi="IRNazanin" w:eastAsia="IRNazanin"/>
          <w:color w:val="111111"/>
          <w:sz w:val="28"/>
          <w:sz w:val="28"/>
          <w:szCs w:val="28"/>
          <w:rtl w:val="true"/>
          <w:lang w:bidi="fa-IR"/>
        </w:rPr>
        <w:t>، و معلوم أنّ قول النافرین لیس بحجّة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تفسیرها روایات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الإمام بهذه الآیة فی بیان منافع الحجّ و أنّ فیه التفقّه و نقل الروایات إلی الناس، و نشرها فی النواحی</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الإمام علی لزوم التفقّه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فی الدین؛ فإن من لم یتفقه فهو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لِیَتَفَقَّهُوا فِی الدِّینِ </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فسّر الإمام بها الروایة المأثورة عن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اختلافهم نحو الحدیث، و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تسلیم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و لا دلالة لها علی وجوب قبول قول الراوی بمجرّد السماع؛ فضلًا عن شمولها لحال اختلاف فاضله و مفضوله، کما لا یخفی</w:t>
      </w:r>
      <w:r>
        <w:rPr>
          <w:rFonts w:eastAsia="IRNazanin" w:cs="IRNazanin"/>
          <w:color w:val="111111"/>
          <w:sz w:val="28"/>
          <w:szCs w:val="28"/>
          <w:rtl w:val="true"/>
          <w:lang w:bidi="fa-IR"/>
        </w:rPr>
        <w:t>.</w:t>
      </w:r>
      <w:bookmarkStart w:id="820" w:name="pg12912_112215"/>
    </w:p>
    <w:p>
      <w:pPr>
        <w:pStyle w:val="Heading6"/>
        <w:numPr>
          <w:ilvl w:val="5"/>
          <w:numId w:val="1"/>
        </w:numPr>
        <w:rPr/>
      </w:pPr>
      <w:bookmarkStart w:id="821" w:name="__RefHeading___Toc3425935_3224264995"/>
      <w:bookmarkStart w:id="822" w:name="_Toc308"/>
      <w:bookmarkEnd w:id="820"/>
      <w:bookmarkEnd w:id="821"/>
      <w:r>
        <w:rPr>
          <w:rtl w:val="true"/>
        </w:rPr>
        <w:t>الثانی</w:t>
      </w:r>
      <w:r>
        <w:rPr>
          <w:rtl w:val="true"/>
        </w:rPr>
        <w:t xml:space="preserve">: </w:t>
      </w:r>
      <w:r>
        <w:rPr>
          <w:rtl w:val="true"/>
        </w:rPr>
        <w:t>الاستدلال علی جواز تقلید المفضول بالروایات</w:t>
      </w:r>
      <w:bookmarkEnd w:id="822"/>
    </w:p>
    <w:p>
      <w:pPr>
        <w:pStyle w:val="BookText"/>
        <w:rPr/>
      </w:pPr>
      <w:r>
        <w:rPr>
          <w:rFonts w:ascii="IRNazanin" w:hAnsi="IRNazanin" w:eastAsia="IRNazanin"/>
          <w:color w:val="111111"/>
          <w:sz w:val="28"/>
          <w:sz w:val="28"/>
          <w:szCs w:val="28"/>
          <w:rtl w:val="true"/>
          <w:lang w:bidi="fa-IR"/>
        </w:rPr>
        <w:t>و استدلّ القائلون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المنقولة عن تفسیر الإمام العسکری علیه السلام</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الروایة مختلف جدّاً، و نحن ننقلها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البحرانی رحمه الله، أوردها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أُمِّیُّونَ لا یَعْلَمُونَ الْکِتابَ إِلَّا أَمانِیَّ وَ إِنْ هُمْ إِلَّا یَظُنُّونَ</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هؤلاء القوم لا یعرفون الکتاب إلّا بما یسمعونه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عوام الیهود إلّا کعوامنا یقلّدون علمائهم؟ فإن لم یجز لأُولئک القبول من علمائهم لم یجز لهؤلاء القبول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من جهة و استواء من جهة؛ أمّا من حیث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ذمّ عوامنا بتقلیدهم علمائهم، کما ذمّ عوامهم، و أمّا من حیث افترقوا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ذلک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عوام الیهود کانوا قد عرفوا علمائهم بالکذب الصراح، و بأکل الحرام و الرشا و بتغییر الأحکام عن واجبها بالشفاعات و العنایات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ذمّهم لما قلّدوا من قد عرفوا أنّه لا یجوز قبول خبره و لا تصدیقه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عوام امّتنا إذا عرفوا من فقهائهم الفسق الظاهر</w:t>
      </w:r>
    </w:p>
    <w:p>
      <w:pPr>
        <w:pStyle w:val="BookText"/>
        <w:rPr/>
      </w:pPr>
      <w:r>
        <w:rPr>
          <w:rFonts w:ascii="IRNazanin" w:hAnsi="IRNazanin" w:eastAsia="IRNazanin"/>
          <w:color w:val="111111"/>
          <w:sz w:val="28"/>
          <w:sz w:val="28"/>
          <w:szCs w:val="28"/>
          <w:rtl w:val="true"/>
          <w:lang w:bidi="fa-IR"/>
        </w:rPr>
        <w:t xml:space="preserve">و العصبیة الشدیدة و التکالب علی حطام الدنیا و 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قلّد من عوامنا مثل هؤلاء الفقهاء فهم مثل الیهود، الذین ذمّهم اللَّه تعالی بالتقلید لفسقة فقهائهم، فأمّا من کان من الفقهاء صائناً لنفسه، حافظاً لدینه، مخالفاً علی هواه، مطیعاً لأمر مولاه فعلی العوام أن یقلّدوه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إلی آخره، دلّ بإطلاقه علی جواز تقلید المفضول؛ وافق قوله قول الأفضل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إطلاق له، و أنّه لیس بصدد البیان من هذه الجهة حتّی یتمسّک بإطلاقه؛ إذ الکلام قد سیق لبیان الفرق بین علمائنا و علمائهم، لا لبیان لزوم التقلید للعوام حتّی یؤخذ بإطلاقه فی صورتی وجود الأفضل و عدمه و موافقتهما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الحدیث صحّة التقلید فی الاصول و العقائد إذا أخذوها عمّن هو صادق فی حدیثه غیر متجاهر بفسقه، و لا متکالب فی امور الدنیا؛ و أنّ مذمّة الیهود لیس لأجل أنّهم قلّدوا علمائهم فی اصول دینهم، بل لأجل أنّهم قلّدوا علماء لیس لهم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قلّد عوام المسلمین عالماً صائناً لنفسه حافظاً لدینه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فیما کان الیهود یقلّدون فیه من الاصول و العقائد لما کان به بأس، و هو باطل بضرورة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إخراجها عن مصبّ الحدیث إخراج المورد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کانوا یقلّدون فی اصول عقائدهم علمائهم، لکن کان یحصل لهم العلم من أقوالهم؛ لحسن الظنّ بهم، فلیکن تقلید عوامنا من علمائهم فی الاصول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خلاف تنصیص الروایة؛ حیث قال</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تقول رؤساؤهم من تکذیب محمّد صلی الله علیه و آله و سلم فی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حصل لهم العلم من أقوال علمائهم لما کان لهم ذمّ 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البحث فیها إنّما هو فی التقلید الظنّی فی الاصول و العقائد بترخیص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التقلید عمّن له صیانة و حفاظة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عن آخر، و الالتزام بجوازه فیها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المقبولة؛ أعنی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إلی من کان منکم ممّن قد روی حدیثنا </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إلی آخره؛ فإنّ إطلاقها یعمّ الشبهات الحکمیة، کما یعمّ رأی الفاضل و المفضول؛ اختلفا أو اتّفقا، خرج عنه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اختلاف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 الإمام فیه بالأخذ بقول الأفقه، و بقی الباقی تحت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مصبّها القضاء و الحکومة، فلا ارتباط لها بباب التقلید، فلا یجوز التمسّک بصدرها علی جواز تقلید المفضول، و لا بذیلها علی لزوم تقلید الأعلم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تنقیح المناط فسیأتی جوابه فی البحث عن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بینکم رجلًا قد عرف حلالنا و حرامنا؛ فإنّی قد جعلته علیکم قاضیاً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قضائه فی الشبهات الحکمیة یدلّ علی حجّیة فتواه فی غیر القضاء بالملازمة العرفیة، أو بإلغاء الخصوصیة، أو بتنقیح المناط، أو بأنّ</w:t>
      </w:r>
    </w:p>
    <w:p>
      <w:pPr>
        <w:pStyle w:val="BookText"/>
        <w:rPr/>
      </w:pPr>
      <w:r>
        <w:rPr>
          <w:rFonts w:ascii="IRNazanin" w:hAnsi="IRNazanin" w:eastAsia="IRNazanin"/>
          <w:color w:val="111111"/>
          <w:sz w:val="28"/>
          <w:sz w:val="28"/>
          <w:szCs w:val="28"/>
          <w:rtl w:val="true"/>
          <w:lang w:bidi="fa-IR"/>
        </w:rPr>
        <w:t>قوله علیه السلام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حکم بحکمنا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ظاهر فی إلغاء احتمال الخلاف عن فتوی الفقیه؛ إذ لیس المراد علم المترافعین بأنّ الرجل حکم بحکم</w:t>
      </w:r>
    </w:p>
    <w:p>
      <w:pPr>
        <w:pStyle w:val="BookText"/>
        <w:rPr/>
      </w:pPr>
      <w:r>
        <w:rPr>
          <w:rFonts w:ascii="IRNazanin" w:hAnsi="IRNazanin" w:eastAsia="IRNazanin"/>
          <w:color w:val="111111"/>
          <w:sz w:val="28"/>
          <w:sz w:val="28"/>
          <w:szCs w:val="28"/>
          <w:rtl w:val="true"/>
          <w:lang w:bidi="fa-IR"/>
        </w:rPr>
        <w:t>الأئمّة، و أنّی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جعل فتواه طریقاً إلی حکمهم و رأیهم علیهم السلام، و هذا معنی حجّیة فتواه فی نفسه قبل قضائه، فیؤخذ بإطلاقه فی موارد تخالف الفاضل و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المشهورة و المقبولة لا تدلّان علی حجّیة الفتوی حتّی یؤخذ بإطلاق الحجّیة فی موارد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إلغاء الخصوصیة فإنّما یتحقّق فیما إذا لم یکن الحکومة فی نظر العرف ذات خصوصیة غیر موجودة فی الفتوی، لأجلها جعل الشارع حکم الحاکم نافذاً و الخصوصیة واضحة؛ فإنّ رفع الترافع و التشاجر بین المترافعین لا یحصل إلّا بفصل حاکم ثالث نافذ حکمه، و لا یتحقّق الفصل إلّا به غالباً؛ لا بالأمر بالاحتیاط و لا بالتصالح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بفتوی الفقیه فی موارد الاحتیاج إلیها فربّما یکون المطلوب درک الواقع علی الوجه الأتمّ، أو ببعض مراتبه إذا تعذّر الاحتیاط، و لا یکون العمل بقول الفقیه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التلازم بین الحجّیتین أو إلغاء الخصوصیة ضعیفة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دعوی تنقیح المناط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یشعر بإلغاء احتمال الخلاف فی فتواه لکنّه یقتصر علی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إسراؤه إلی محلّ آخر یحتاج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 الرفیع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 من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معنی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حجّیة أقوالهم و آرائهم؛ إذ لا محصّل لجعل الحجّیة لرواة الأحادیث بما هم رواة، ما لم یصرف إلی حجّیة ما یروونه و ینقلونه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الروایة کانوا أصحاب الآراء و الفتاوی أیضاً</w:t>
      </w:r>
      <w:r>
        <w:rPr>
          <w:rStyle w:val="FootnoteAnchor"/>
          <w:rtl w:val="true"/>
        </w:rPr>
        <w:footnoteReference w:id="1050"/>
      </w:r>
      <w:r>
        <w:rPr>
          <w:rFonts w:ascii="IRNazanin" w:hAnsi="IRNazanin" w:eastAsia="IRNazanin"/>
          <w:color w:val="111111"/>
          <w:sz w:val="28"/>
          <w:sz w:val="28"/>
          <w:szCs w:val="28"/>
          <w:rtl w:val="true"/>
          <w:lang w:bidi="fa-IR"/>
        </w:rPr>
        <w:t>و کان الفتاوی تلقی بصورة الروایة</w:t>
      </w:r>
      <w:r>
        <w:rPr>
          <w:rStyle w:val="FootnoteAnchor"/>
          <w:rtl w:val="true"/>
        </w:rPr>
        <w:footnoteReference w:id="1051"/>
      </w:r>
      <w:r>
        <w:rPr>
          <w:rFonts w:ascii="IRNazanin" w:hAnsi="IRNazanin" w:eastAsia="IRNazanin"/>
          <w:color w:val="111111"/>
          <w:sz w:val="28"/>
          <w:sz w:val="28"/>
          <w:szCs w:val="28"/>
          <w:rtl w:val="true"/>
          <w:lang w:bidi="fa-IR"/>
        </w:rPr>
        <w:t>، و یرشد إلی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الحجّة قول الإمام و فعله و تقریره لا نفسه، و حمله علی حجّیة الأحادیث المنقولة عنهم بواسطتهم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التوقیع مقطوع الصدر؛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بصدد الجواب عن سؤال حذف فیه، و من المحتمل أن یکون السؤال راجعاً إلی القضاء و فصل الترافع، فینحصر حجّیة رأیهم فیه دون الفتوی؛ فضلًا عن أن یؤخذ بإطلاقه، مضافاً إلی ضعف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الکشّی بسند ضعیف عن أحمد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دینی؟ و کتب أخوه أیضاً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کلّ مسنّ فی حبّنا، و کلّ کثیر القدم فی أمرنا؛ فإنّهما کافوکما إن شاء اللَّه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تعطی أنّ الرجوع إلی العالم کان ارتکازیاً له، غیر أنّه کان یتطلّب الشخص الذی لا بدّ له من الرجوع إلیه، کما هو الحال فی أکثر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الجواب لا یضرّ؛ فإنّ الغرض نفی لزوم الرجوع إلی الفاضل، و هو حاصل؛ لأنّ الإمام لم یذکر من شرائط من یرجع إلیه کونه أفقه أو أعلم، و اکتفی بما ذکر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الجواب بعد الفراغ عن ارتکازیته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الارتکاز هو الرجوع إلی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وقع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روایات کثیرة نقلها الکشّی و غیره، و فیها الصحیح و غیره، فیظهر منها أنّ رجوع الناس إلی الفقهاء لأخذ معالم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اخری عن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متداولًا، و یستفاد منها امور اخر، کما سننبّه علیها بعد نقل بعضها، و إلیک نصوصها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کلّ ما یسألنی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عن محمّد بن مسلم الثقفی؛ فإنّه سمع من أبی، و کان عنده وجیهاً</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شعیب العقرقوفی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أبا بصیر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العزیز بن المهتدی و الحسن بن علی بن یقطین جمیعاً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لا أکاد أصل إلیک فی کلّ ما احتاج إلیه فی معالم دینی أ فیونس بن عبد الرحمن ثقة آخذ عنه ما احتاج إلیه معالم دینی؟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معاذ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غیرها ممّا مرّ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تلک الروایات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رجوع الناس إلی الفقهاء لأخذ معالم دینهم بالاستفتاء عنهم، و قد مرّ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الفقیه إلی الأفقه إذا لم یکن له طریق إلی الواقع، کما أرجع الإمام الفقیه؛ أعنی ابن أبی یعفور، إلی الأفقه منه؛ أعنی محمّد بن مسلم الثقفی، کما مرّ</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أوضحنا حاله</w:t>
      </w:r>
      <w:r>
        <w:rPr>
          <w:rStyle w:val="FootnoteAnchor"/>
          <w:rtl w:val="true"/>
        </w:rPr>
        <w:footnoteReference w:id="1057"/>
      </w:r>
      <w:r>
        <w:rPr>
          <w:rFonts w:ascii="IRNazanin" w:hAnsi="IRNazanin" w:eastAsia="IRNazanin"/>
          <w:color w:val="111111"/>
          <w:sz w:val="28"/>
          <w:sz w:val="28"/>
          <w:szCs w:val="28"/>
          <w:rtl w:val="true"/>
          <w:lang w:bidi="fa-IR"/>
        </w:rPr>
        <w:t>من أنّه یحرم علی من له قوّة الاستنباط الرجوع إلی الغیر، و أنّ تمام الموضوع لعدم جواز الرجوع وجود نفس تلک القوّة لا ینافی مع ما ذکر فی الروایة؛ لأنّ ما ذکرنا إنّما فیما إذا کان للجاهل القادر علی الاستنباط طریق إلی الواقع، کما فی هذه الأعصار؛ حیث جاءت الروایات مدوّنة و مجتمعة فی الاصول و الجوامع، و أمّا إذا لم یکن له طریق إلی الواقع لأجل تشتّت الروایات و عدم تدوّنها فی جامع أو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کعصر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الرجوع إلی الأفقه، مع احتمال أنّ رجوع ابن أبی یعفور إلی الثقفی لأخذ الحدیث، غیر أنّه کان له النظر و الاجتهاد فیما یسمعه</w:t>
      </w:r>
      <w:r>
        <w:rPr>
          <w:rFonts w:eastAsia="IRNazanin" w:cs="IRNazanin"/>
          <w:color w:val="111111"/>
          <w:sz w:val="28"/>
          <w:szCs w:val="28"/>
          <w:rtl w:val="true"/>
          <w:lang w:bidi="fa-IR"/>
        </w:rPr>
        <w:t>.</w:t>
      </w:r>
      <w:bookmarkStart w:id="823" w:name="pg12912_112222"/>
    </w:p>
    <w:p>
      <w:pPr>
        <w:pStyle w:val="BookText"/>
        <w:rPr/>
      </w:pPr>
      <w:bookmarkEnd w:id="82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الرجوع إلی الفقیه مع وجود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إلی الفقیه مع وجود الأفقه لعلّه کان لأجل عدم التمکّن منه، کما یظهر من نفس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البحث إنّما هو فیما إذا علم تخالفهما فی الرأی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جواز الرجوع إلیه فی هذه الحالة مشکل؛ لعدم الاختلاف بین فقهاء الأصحاب فی تلک الأعصار؛ فإنّ المراجع فی تلک الروایات کانوا بطانة علوم الأئمّة و مهبط أسرارهم، کما أوضحنا حالها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علی جواز الرجوع إلی المفضول مع وجود الفاضل،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عدم الجواز</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3425937_3224264995"/>
      <w:bookmarkStart w:id="825" w:name="_Toc309"/>
      <w:bookmarkEnd w:id="824"/>
      <w:r>
        <w:rPr>
          <w:rtl w:val="true"/>
        </w:rPr>
        <w:t>استدلال القائلین بوجوب الرجوع إلی الأعلم</w:t>
      </w:r>
      <w:bookmarkEnd w:id="825"/>
    </w:p>
    <w:p>
      <w:pPr>
        <w:pStyle w:val="BookText"/>
        <w:rPr/>
      </w:pPr>
      <w:r>
        <w:rPr>
          <w:rFonts w:ascii="IRNazanin" w:hAnsi="IRNazanin" w:eastAsia="IRNazanin"/>
          <w:color w:val="111111"/>
          <w:sz w:val="28"/>
          <w:sz w:val="28"/>
          <w:szCs w:val="28"/>
          <w:rtl w:val="true"/>
          <w:lang w:bidi="fa-IR"/>
        </w:rPr>
        <w:t>استدلّ القائلون به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w:t>
      </w:r>
      <w:r>
        <w:rPr>
          <w:rStyle w:val="FootnoteAnchor"/>
          <w:rtl w:val="true"/>
        </w:rPr>
        <w:footnoteReference w:id="1060"/>
      </w:r>
      <w:r>
        <w:rPr>
          <w:rFonts w:ascii="IRNazanin" w:hAnsi="IRNazanin" w:eastAsia="IRNazanin"/>
          <w:color w:val="111111"/>
          <w:sz w:val="28"/>
          <w:sz w:val="28"/>
          <w:szCs w:val="28"/>
          <w:rtl w:val="true"/>
          <w:lang w:bidi="fa-IR"/>
        </w:rPr>
        <w:t>التی لا قیمة لها فی مثل تلک المسألة العقلیة التی تضاربت فیها الأقوال و الآراء مع تراکم الأدلّة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منها المقبولة</w:t>
      </w:r>
      <w:r>
        <w:rPr>
          <w:rStyle w:val="FootnoteAnchor"/>
          <w:rtl w:val="true"/>
        </w:rPr>
        <w:footnoteReference w:id="1061"/>
      </w:r>
      <w:r>
        <w:rPr>
          <w:rFonts w:ascii="IRNazanin" w:hAnsi="IRNazanin" w:eastAsia="IRNazanin"/>
          <w:color w:val="111111"/>
          <w:sz w:val="28"/>
          <w:sz w:val="28"/>
          <w:szCs w:val="28"/>
          <w:rtl w:val="true"/>
          <w:lang w:bidi="fa-IR"/>
        </w:rPr>
        <w:t>، و قد عرفت</w:t>
      </w:r>
      <w:r>
        <w:rPr>
          <w:rStyle w:val="FootnoteAnchor"/>
          <w:rtl w:val="true"/>
        </w:rPr>
        <w:footnoteReference w:id="1062"/>
      </w:r>
      <w:r>
        <w:rPr>
          <w:rFonts w:ascii="IRNazanin" w:hAnsi="IRNazanin" w:eastAsia="IRNazanin"/>
          <w:color w:val="111111"/>
          <w:sz w:val="28"/>
          <w:sz w:val="28"/>
          <w:szCs w:val="28"/>
          <w:rtl w:val="true"/>
          <w:lang w:bidi="fa-IR"/>
        </w:rPr>
        <w:t>أنّ القائل بجواز الرجوع</w:t>
      </w:r>
    </w:p>
    <w:p>
      <w:pPr>
        <w:pStyle w:val="BookText"/>
        <w:rPr/>
      </w:pPr>
      <w:r>
        <w:rPr>
          <w:rFonts w:ascii="IRNazanin" w:hAnsi="IRNazanin" w:eastAsia="IRNazanin"/>
          <w:color w:val="111111"/>
          <w:sz w:val="28"/>
          <w:sz w:val="28"/>
          <w:szCs w:val="28"/>
          <w:rtl w:val="true"/>
          <w:lang w:bidi="fa-IR"/>
        </w:rPr>
        <w:t>إلی المفضول تمسّک بإطلاق صدرها، و القائل بتعیّن الفاضل تمسّک بما فی الذیل؛ من نفوذ حکم الأفقه عند تعارضه مع حکم الفقیه، فنفوذ حکمه متعیّناً یستلزم نفوذ فتواه کذلک فی المسألة، فیتعدّی إلی غیرها بإلغاء الخصوصیة أو القطع بالملاک؛ لا سیّما مع تناسب الأفقهیة و الأصدقیة فی الحدیث لذلک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التقدّم فی المقبولة إنّما هی الصفات الأربعة بحکم واو العطف، لا الأفقهیة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تلک ملزمة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استظهره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الراوی بعد ما سمع المرجّحات الأربعة عن الإمام سأل عن صورة التساوی، و لم یسأل عن صورة وجود بعض منها دون بعض، و هذا یکشف عن أنّ المرجّح کلّ واحد منها مستقلًاّ لا مجتمعاً</w:t>
      </w:r>
      <w:r>
        <w:rPr>
          <w:rStyle w:val="FootnoteAnchor"/>
          <w:rtl w:val="true"/>
        </w:rPr>
        <w:footnoteReference w:id="1063"/>
      </w:r>
      <w:r>
        <w:rPr>
          <w:rFonts w:ascii="IRNazanin" w:hAnsi="IRNazanin" w:eastAsia="IRNazanin"/>
          <w:color w:val="111111"/>
          <w:sz w:val="28"/>
          <w:sz w:val="28"/>
          <w:szCs w:val="28"/>
          <w:rtl w:val="true"/>
          <w:lang w:bidi="fa-IR"/>
        </w:rPr>
        <w:t>، غیر ظاهر و لا کاشف عمّا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التلازم إنّما هو بین نفوذ الحکم و حجّیة فتواه، لا بین عدم نفوذه و عدم حجّیة فتواه؛ لأنّ سلب المرکّب أو ما بحکمه إنّما هو بسلب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نفوذ حکم غیر الأفقه یمکن أن یکون لأجل عدم کون حکمه فاصلًا، و یمکن أن یکون لعدم حجّیة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الأخصّ لا یدلّ علی نفی الأعمّ، و عدم جواز أخذه فتواه فی المقام لا یدلّ علی سلب الحجّیة عن فتواه، بل لعدم کون فتواه فاصلًا و رافعاً للترافع، بل الفتوی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فتوی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بفاصل بل الفاصل هو الحکم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الأفقهیة علّة تامّة لتقدیم قضاء أعلم الحکمین ممّا یحتاج إلی الدلیل، مع احتمال أن یکون للقضاء دخلًا فی تقدیم قضائه؛ فإنّ مرکز القضاء غالباً هی</w:t>
      </w:r>
    </w:p>
    <w:p>
      <w:pPr>
        <w:pStyle w:val="BookText"/>
        <w:rPr/>
      </w:pPr>
      <w:r>
        <w:rPr>
          <w:rFonts w:ascii="IRNazanin" w:hAnsi="IRNazanin" w:eastAsia="IRNazanin"/>
          <w:color w:val="111111"/>
          <w:sz w:val="28"/>
          <w:sz w:val="28"/>
          <w:szCs w:val="28"/>
          <w:rtl w:val="true"/>
          <w:lang w:bidi="fa-IR"/>
        </w:rPr>
        <w:t>النوامیس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أنّ الشارع لاحظ فیها جانب الاحتیاط، فحکم بنفوذ حکم الأعلم دون غیره، لأقربیته إلی الواقع، و لکنّه أطلق القول فی أخذ الفتوی فی أحکامه و شرائعه؛ إرفاقاً للناس و توسعةً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یمکن القول بکون الأفقهیة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فساداً إلغاء الخصوصیة أو القطع بالملاک،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القائلون أیضاً بوجه آخر دارج فی کلامهم؛ و هو ادّعاء أقربیة قول الأعلم إلی الواقع؛ قائلًا أنّ نظره طریق محض إلی الواقع کنظر غیره، من غیر فرق بین الأحکام الواقعیة الأوّلیة أو الثانویة، و الأعذار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قوله أقرب لزم الأخذ به فی مقام إسقاط التکالیف و إقامة الأعذار، و لو جاز الأخذ بغیره أیضاً لزم موضوعیته</w:t>
      </w:r>
      <w:r>
        <w:rPr>
          <w:rStyle w:val="FootnoteAnchor"/>
          <w:rtl w:val="true"/>
        </w:rPr>
        <w:footnoteReference w:id="10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لأنّ فتوی غیر الأفضل ربّما یکون أقرب من فتوی الأفضل؛ لموافقته لفتوی من هو أفضل منه ممّن مات، أو لفتوی الأعلم من الأحیاء إذا لم یجز تقلیده لفقد شرط من شروطه، و ربّما یکون فتوی غیر الأعلم موافقاً لفتوی الباقین من الفقهاء، و یکون الأعلم متفرّداً فی رأیه فی الأحیاء</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 الأعیان من المحقّقین فی تعلیقته خلاف ما ذکرنا؛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الفتوی لیس لأجل مطلق الظنّ بحکمه تعالی؛ و لذا لا یجوز عمل العامّی بظنّه، بل لأجل أنّه خصوص ظنّ حاصل من فتوی المجتهد المستند إلی حجّة قاطعة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الحجّة عقلًا أو شرعاً هو الظنّ الخاصّ، دون الظن بما أفتی به المجتهد؛ و إن لم یحصل من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الفرق بین الأقربیة الداخلیة و الخارجیة فی کمال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الحاصل من موافقة فتوی الحیّ المفضول للأفضل من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إنّه متقوّم بفتوی من لا حجّیة لفتواه فهو کالظنّ الحاصل من سائر الأمارات الغیر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الأقوائیة الحاصلة من مطابقة فتوی المفضول لغیره من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مسلّمة؛ إذ المطابقة لا محالة لوحدة المدرک و تقارب أنظارهم و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 فی قوّة نظر واحد، و لا یکشف توافق آرائهم عن قوّة مدارکهم من مدرک الأفضل، و إلّا لزم الخلف؛ لفرض أقوائیة نظر الأفضل من غیره فی مرحلة الاستنباط بجمیع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قیاس المورد بالخبرین المتعارضین المحکی أحدهما بطرق متعدّدة دون الآخر؛ إذ لیست الحکایات المتعدّدة بمنزلة حکایة واحدة، فلا محالة یوجب کلّ حکایة الظنّ بصدور شخص هذا الکلام من الإمام علیه السلام، و لا یلزم منه الخلف، کما کان یلزم فیما نحن فیه</w:t>
      </w:r>
      <w:r>
        <w:rPr>
          <w:rStyle w:val="FootnoteAnchor"/>
          <w:rtl w:val="true"/>
        </w:rPr>
        <w:footnoteReference w:id="1065"/>
      </w:r>
      <w:r>
        <w:rPr>
          <w:rFonts w:ascii="IRNazanin" w:hAnsi="IRNazanin" w:eastAsia="IRNazanin"/>
          <w:color w:val="111111"/>
          <w:sz w:val="28"/>
          <w:sz w:val="28"/>
          <w:szCs w:val="28"/>
          <w:rtl w:val="true"/>
          <w:lang w:bidi="fa-IR"/>
        </w:rPr>
        <w:t>، انتهی بنصّه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فی منع الصغری إنّما هو ردّ أقربیة فتوی الأفضل إلی الواقع عن غیره، و هذا یحصل بتوافق رأی المفضول للأعلم من الأحیاء الغیر الصالح للرجوع، أو توافقه لباقی الفقهاء و تفرّد الأفضل</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أنّ هذا التوافق من الظنون الحاصلة من الأمارات الغیر المعتبرة لا یصلح لردّه، و إنّما یصلح لردّ دعوی تقدّم قول المفضول فی مقام الاحتجاج، و هو خارج عمّا نرتأیه،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یسقط کلّ ما أفاده فی صدر کلامه؛ فإنّ المقصود ردّ أقربیته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أقربیة قول المفضول إذا وافق جلّ الفقهاء و تفرّد الأفضل برأیه علی نحو الذی ذکره فمنظور فیه؛ لأنّ اتّفاق آراء أهل الفنّ علی أمر واحد یوجب سلب الاطمئنان عمّا یخالفه، و لا یبقی له وثوق أصلًا، و لا یجری أصالة عدم الغفلة و السهو فی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اتّفاقهم لا یکشف عن قوّة مدارکهم؛ لکون الکلّ بمنزلة نظر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لو کشف عن قوّة مدارکهم لزم الخلف؛ لفرض أقوائیة نظر الأفضل عن غیره فی مرحلة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المسلّم إنّما هو أقوائیة نظر الأفضل عن المفضول فقط، لا عن جلّ الفقهاء أو الأعلم الذی لا یجوز تقلیده لمانع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أنّه یجب الأخذ بالأقرب جزماً عند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ادّعاء تعیّن الرجوع إلی الأقرب یتوقّف علی إدراک العقل لزوم الأخذ به و تعیّنه؛ إدراکاً جزمیاً قطعیاً لا یحتمل خلافه؛ بحیث لو ورد دلیل علی خلافه من الشرع لأَوّله أو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للعقل هذا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للشارع ترخیص الرجوع إلی المفضول إذا رأی مفسدة فی تعیّن الرجوع إلی الأفضل، أو رأی مصلحة فی توسعة الأمر علی المکلّفین، کما هو الواقع فی جواز العمل بقول الثقة و ترک الاحتیاط، من دون أن یستلزم ذاک الترخیص و الرجوع إلی المفضول موضوعیته، کما ادّعاه المستدلّ</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وقف العقل علی لزوم إحراز الواقعیات و إدراک عدم رضاء المولی بترکها لحکم بلزوم العمل بالاحتیاط و عدم جواز العمل بقول الفاضل و الأفضل، من غیر فرق بین لزوم العسر و الحرج و اختلال النظام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یتسنّی للعقل الحکم الباتّ بتعیّن الرجوع إلی الأقرب مع احتمال ورود تعبّد من الشارع بالترخیص فی الرجوع إلی الفاضل و المفضول، و مع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مساغ لادّعاء القطع بتعیّن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عدم وجود ذاک الاحتمال لا یخلو عن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الأعیان المحقّقین قد صحّح الکبری فی تعلیقته، و نحن ننقل ملخّص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 إلی الواقع لا دخل له أصلًا فهو خلاف الطریقیة الملحوظة فیها الأقربیة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 إلی الواقع بعض الملاک، و أنّ هناک خصوصیة اخری تعبّدیة فهو غیر ضائر بالمقصود؛ لأنّ فتوی الأفضل و إن کانت مساویة لفتوی غیره فی تلک الخصوصیة التعبّدیة، إلّا أنّها أقوی من غیرها؛ من حیثیة القرب الذی هو بعض الملاک، فإنّ الأرجح لا یجب أن یکون أقوی من غیره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الخصوصیة التعبّدیة ممّا یتقوّم به الملاک، و کانت جزء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شرطاً لتأثیر القرب إلی الواقع فی جعل الأمارة حجّة فالأمر أوضح؛ إذ العبرة فی القوّة و الضعف بحال المقتضی 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القیاس بمثل البصر و الکتابة إذا اعتبرا فی القاضی؛ فإنّه لا یترجّح الأقوی بصراً أو الأجود خطّاً علی غیره،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فی الإفتاء هو الملاک و المقتضی للحجّیة، فیؤثّر قوّته فی رجحانه و تقدیمه، بخلاف البصر و الکتابة؛ فإنّها شرائط، و المقتضی لتعیّنه علمه بموازین القضاء</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المراد بالأعلم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أقوی معرفة؛ بحیث لا تزول بتشکیک المشکّک لقوّة مبنی عرفانه فالأمر کما فی البصر و الکتابة؛ فإنّ المطلوب أصل</w:t>
      </w:r>
    </w:p>
    <w:p>
      <w:pPr>
        <w:pStyle w:val="BookText"/>
        <w:rPr/>
      </w:pPr>
      <w:r>
        <w:rPr>
          <w:rFonts w:ascii="IRNazanin" w:hAnsi="IRNazanin" w:eastAsia="IRNazanin"/>
          <w:color w:val="111111"/>
          <w:sz w:val="28"/>
          <w:sz w:val="28"/>
          <w:szCs w:val="28"/>
          <w:rtl w:val="true"/>
          <w:lang w:bidi="fa-IR"/>
        </w:rPr>
        <w:t>وجودهما لا قوّتهما، فکذا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لقوّة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بالأعلم من کان أحسن استنباطاً من غیره فحینئذٍ لا مجال للقیاس؛ فإنّ الأعلم بهذا المعنی أکثر إحاطةً بالجهات الموجبة للاستنباط المغفولة عن غیره؛ لقصور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التسویة بین الأعلم و غیره إلی التسویة بین العالم و الجاهل؛ لقصور نظر غیره عمّا وصل إلیه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آخر لتعیّن الأعلم؛ و إن لم نقل بأقربیة فتواه إلی الواقع، و لم نقل بأنّ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القرب إلی الواقع؛ فإنّ فتوی الأعلم أوفق بمقتضیات الحجج الشرعیة و العقلیة؛ لبلوغ نظره إلی ما لم یبلغ نظر غیره؛ لفرض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بإضافة إلی غیره کالعالم بالإضافة إلی الجاهل، فیتعیّن فی مقام إبراء الذمّة، و أنّ التسویة بینهما کالتسویة بین العالم و الجاهل</w:t>
      </w:r>
      <w:r>
        <w:rPr>
          <w:rStyle w:val="FootnoteAnchor"/>
          <w:rtl w:val="true"/>
        </w:rPr>
        <w:footnoteReference w:id="1066"/>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 نشیر بوجه الإجمال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التعبّدیة المحتملة لا یلزم أن تکون جزء المقتضی و لا شرطه حتّی یرد ما ذکره، بل یحتمل أن یکون مانعاً عن تعیّن الرجوع إلی الأفضل؛ إمّا لفسادٍ فی تعیّنه أو لتوسیع الأمر علی المکلّفین، کما فی العمل بقول الثقة و عدم لزوم العمل بالاحتیاط، من دون استلزام ذلک کون العمل به من باب الموضوعیة لا الطریقیة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الأعلم بالأحسن استنباطاً و کونه أقوی نظراً عن غیره تعبیر آخر عن أقربیة رأیه و نظره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 من أنّ هذا وجه آخر لتعیّن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بأقربیة فتواه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التسویة بین الفاضل و الأفضل یرجع إلی التسویة بین العالم و الجاهل یستلزم قبح الرجوع إلی المفضول عقلًا، بل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أحداً یلتزم به، و قد تقدّم أنّ جواز الرجوع إلیه لیس لأجل التسویة بینها، بل لمصالح اخر لتوسیع الأمر علی المکلّفین، أو لوجود الفساد فی تعیّنه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وجوهاً اخر استدلّوا بها علی لزوم تقلید الأعلم؛ من کون المقام من قبیل دوران الأمر بین التخییر و التعیین، أو بناء العقلاء علی الرجوع إلی الأعلم عند الاختلاف، و قد مرّت الإشارة إلیها</w:t>
      </w:r>
      <w:r>
        <w:rPr>
          <w:rStyle w:val="FootnoteAnchor"/>
          <w:rtl w:val="true"/>
        </w:rPr>
        <w:footnoteReference w:id="1067"/>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علی لزوم تقدیم رأی الأعلم إلّا الأصل المشار إلیه فی صدر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منعه أیضاً فی الأمثلة المتقدّمة؛ أی فیما إذا کان رأی غیره موافقاً لرأی الأعلم من الأموات و الأحیاء إذا کانوا فاقدین لبعض شرائط أخذ الفتوی منهم، و فیما إذا کان رأی غیر الأعلم موافقاً لرأی عامّة الفقهاء من الماضین و الحاضرین، و کان الأعلم وحیداً فی رأیه؛ فإنّ المقام یصیر من قبیل دوران الأمر بین التعیینین، لا التعیین و التخییر، و الأصل فیه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غیر الأعلم فی هذه الأمثلة غیر محتمل حتّی یدور الأمر بین ما ذکر؛ لتسالم الأصحاب علی خلافه، فیدور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التعیین و التخییر فی عامّة الموارد، و الحکم فیه هو الأخذ بالقدر المتیقّن؛ و هو الأعلم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علم المخالفة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محتملة فلا یبعد التخییر و علیه السیرة، و یمکن استفادة ذلک ممّا تقدّم من الروایات، فلاحظ</w:t>
      </w:r>
      <w:r>
        <w:rPr>
          <w:rFonts w:eastAsia="IRNazanin" w:cs="IRNazanin"/>
          <w:color w:val="111111"/>
          <w:sz w:val="28"/>
          <w:szCs w:val="28"/>
          <w:rtl w:val="true"/>
          <w:lang w:bidi="fa-IR"/>
        </w:rPr>
        <w:t>.</w:t>
      </w:r>
      <w:bookmarkStart w:id="826" w:name="pg12912_112230"/>
    </w:p>
    <w:p>
      <w:pPr>
        <w:pStyle w:val="Heading5"/>
        <w:numPr>
          <w:ilvl w:val="4"/>
          <w:numId w:val="1"/>
        </w:numPr>
        <w:rPr/>
      </w:pPr>
      <w:bookmarkStart w:id="827" w:name="__RefHeading___Toc3425939_3224264995"/>
      <w:bookmarkStart w:id="828" w:name="_Toc310"/>
      <w:bookmarkEnd w:id="826"/>
      <w:bookmarkEnd w:id="827"/>
      <w:r>
        <w:rPr>
          <w:rtl w:val="true"/>
        </w:rPr>
        <w:t>حال المجتهدین المتساویین مع اختلاف فتواهما</w:t>
      </w:r>
      <w:bookmarkEnd w:id="828"/>
    </w:p>
    <w:p>
      <w:pPr>
        <w:pStyle w:val="BookText"/>
        <w:rPr/>
      </w:pPr>
      <w:r>
        <w:rPr>
          <w:rFonts w:ascii="IRNazanin" w:hAnsi="IRNazanin" w:eastAsia="IRNazanin"/>
          <w:color w:val="111111"/>
          <w:sz w:val="28"/>
          <w:sz w:val="28"/>
          <w:szCs w:val="28"/>
          <w:rtl w:val="true"/>
          <w:lang w:bidi="fa-IR"/>
        </w:rPr>
        <w:t>مقتضی القاعدة تساقطهما و الرجوع إلی الاحتیاط، أو الرجوع إلی القواعد الاخر لو أخلّ الاحتیاط بالنظام أو أوجب العسر و الحرج، غیر أنّ المتسالم عند الأصحاب هو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مقتضی الأدلّة، و أنّ أدلّة حجّیة رأی الفقهاء تشمل حال التعارض و غیره، بخلاف أدلّة حجّیة قول الثقة؛ فإنّها تختصّ بغیر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الموضوع للحجّیة فی باب الروایات إنّما هو طبیعة خبر الثقة علی نحو الوجود الساری؛ إذ لا معنی لحجّیة خبره علی نحو صرف الوجود؛ لأنّ الغرض قائم بحجّیة خبر الثقة علی النحو العامّ الاستغراقی، و لا یفید صرف وجود الخبر فی الفقه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جعل الحجّیة التعیینیة فی المتعارضین، کما لا یمکن جعل الحجّیة التعیینیة فی غیر موارد التعارض و التخییریة فیها بدلیل واحد، فلا مناص عن إنکار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الموضوع فی حجّیة قول الفقهاء؛ فإنّ ما هو الموضوع إنّما هو طبیعة قول الفقیه علی نحو صرف الوجود؛ لأنّ الغرض قائم بقول کلّ واحد من الفقهاء علی هذا النحو، و لا معنی لجعل الحجّیة لقول عامّة الفقهاء علی نحو الطبیعة الساریة؛ بأن یکون المکلّف ملزماً لتحصیل رأی الفقهاء فی کلّ واقعة، بل یکون الرجوع إلی فقیه واحد فی عامّة ما یحتاج إلیه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المأمور به هو صرف الوجود فلا إشکال فی شمول إطلاق جعل</w:t>
      </w:r>
    </w:p>
    <w:p>
      <w:pPr>
        <w:pStyle w:val="BookText"/>
        <w:rPr/>
      </w:pPr>
      <w:r>
        <w:rPr>
          <w:rFonts w:ascii="IRNazanin" w:hAnsi="IRNazanin" w:eastAsia="IRNazanin"/>
          <w:color w:val="111111"/>
          <w:sz w:val="28"/>
          <w:sz w:val="28"/>
          <w:szCs w:val="28"/>
          <w:rtl w:val="true"/>
          <w:lang w:bidi="fa-IR"/>
        </w:rPr>
        <w:t>الحجّیة لحال التعارض و غیره، فإذا أخذ برأی واحد من الفقهاء فقد أطاع و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قوله علیه السلام فی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خبر أحمد بن حاتم بن ماهویه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فاصمدا فی دینکما علی کلّ مسنّ فی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 من عمومات حجّیة رأی الفقهاء شامل حال التعارض و غیره؛ فإذا أخذ بآراء واحد من الفقهاء فقد أطاع الأمر الوارد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إمکان الأخذ بالإطلاق فی الباب لو وجد، دون باب حجّیة قول الثقة، لکنّه فرع وجود دلیل یصحّ الاتّکال علیه، و قد أوردنا کثیراً من هذه العمومات التی استدلّ بها علی حجّیة رأی الفقیه عند البحث عن لزوم تقدیم رأی الأعلم، و عرفت أنّها بین ما لا یصحّ سنداً أو دلالةً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أشار إلیه من التوقیع قد عرفت إجماله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فاصمدا فی دینکما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أوعزنا فیما مضی</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مفروغیة لزوم الرجوع إلی أحد من العلماء عند السائل، کما یشیر إلیه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أنّه کان یتطلّب من الإمام تعیین ذلک المرجع</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أرجع غیر واحد من السائلین إلی أفراد معیّنة، من أبی بصیر و محمّد بن</w:t>
      </w:r>
      <w:bookmarkStart w:id="829" w:name="pg12912_112232"/>
    </w:p>
    <w:p>
      <w:pPr>
        <w:pStyle w:val="BookText"/>
        <w:rPr/>
      </w:pPr>
      <w:bookmarkEnd w:id="829"/>
      <w:r>
        <w:rPr>
          <w:rFonts w:ascii="IRNazanin" w:hAnsi="IRNazanin" w:eastAsia="IRNazanin"/>
          <w:color w:val="111111"/>
          <w:sz w:val="28"/>
          <w:sz w:val="28"/>
          <w:szCs w:val="28"/>
          <w:rtl w:val="true"/>
          <w:lang w:bidi="fa-IR"/>
        </w:rPr>
        <w:t>مسلم و زکریا بن آدم</w:t>
      </w:r>
      <w:r>
        <w:rPr>
          <w:rStyle w:val="FootnoteAnchor"/>
          <w:rtl w:val="true"/>
        </w:rPr>
        <w:footnoteReference w:id="1072"/>
      </w:r>
      <w:r>
        <w:rPr>
          <w:rFonts w:ascii="IRNazanin" w:hAnsi="IRNazanin" w:eastAsia="IRNazanin"/>
          <w:color w:val="111111"/>
          <w:sz w:val="28"/>
          <w:sz w:val="28"/>
          <w:szCs w:val="28"/>
          <w:rtl w:val="true"/>
          <w:lang w:bidi="fa-IR"/>
        </w:rPr>
        <w:t>، فضرب الإمام قاعدة کلّیة حتّی یأخذها مقیاساً،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کلّ مسنّ فی حبّنا، کثیر القدم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w:t>
      </w:r>
      <w:r>
        <w:rPr>
          <w:rStyle w:val="FootnoteAnchor"/>
          <w:rtl w:val="true"/>
        </w:rPr>
        <w:footnoteReference w:id="1073"/>
      </w:r>
      <w:r>
        <w:rPr>
          <w:rFonts w:ascii="IRNazanin" w:hAnsi="IRNazanin" w:eastAsia="IRNazanin"/>
          <w:color w:val="111111"/>
          <w:sz w:val="28"/>
          <w:sz w:val="28"/>
          <w:szCs w:val="28"/>
          <w:rtl w:val="true"/>
          <w:lang w:bidi="fa-IR"/>
        </w:rPr>
        <w:t>عمّن له معرفة تامّة بأُمور الإمامة، و قدم صدق و راسخ فی أبوابهم؛ حتّی یوجب الطمأنینة و الوثوق بما ینقل و 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الإمام علیه السلام ما هو الشرط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مفروغ الوجود عند السائل و المسئول، و ترکه علی ارتکازه، فلیس هو بصدد إعمال التعبّد و الإرجاع إلی الفقهاء حتّی یؤخذ بإطلاقه، بل بصدد بیان القیود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 بصدد إرجاعه إلی الفقهاء، لکنّه لیس فی مقام البیان، بل وزانه وزان قول الناصح المشفق لصدیقه المریض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الرجوع إلی الطبیب و شرب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العبائر التی لیس القائل إلّا بصدد بیان الحکم علی نحو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للأدلّة إطلاق لحال التعارض</w:t>
      </w:r>
      <w:r>
        <w:rPr>
          <w:rFonts w:eastAsia="IRNazanin" w:cs="IRNazanin"/>
          <w:color w:val="111111"/>
          <w:sz w:val="28"/>
          <w:szCs w:val="28"/>
          <w:rtl w:val="true"/>
          <w:lang w:bidi="fa-IR"/>
        </w:rPr>
        <w:t>.</w:t>
      </w:r>
    </w:p>
    <w:p>
      <w:pPr>
        <w:pStyle w:val="Heading5"/>
        <w:numPr>
          <w:ilvl w:val="4"/>
          <w:numId w:val="1"/>
        </w:numPr>
        <w:rPr/>
      </w:pPr>
      <w:bookmarkStart w:id="830" w:name="__RefHeading___Toc3425941_3224264995"/>
      <w:bookmarkStart w:id="831" w:name="_Toc311"/>
      <w:bookmarkEnd w:id="830"/>
      <w:r>
        <w:rPr>
          <w:rtl w:val="true"/>
        </w:rPr>
        <w:t>الاستدلال علی التخییر بین المتساویین بالروایات العلاجیة</w:t>
      </w:r>
      <w:bookmarkEnd w:id="831"/>
    </w:p>
    <w:p>
      <w:pPr>
        <w:pStyle w:val="BookText"/>
        <w:rPr/>
      </w:pPr>
      <w:r>
        <w:rPr>
          <w:rFonts w:ascii="Amiri" w:hAnsi="Amiri" w:eastAsia="Amiri" w:cs="Amiri"/>
          <w:color w:val="111111"/>
          <w:sz w:val="28"/>
          <w:sz w:val="28"/>
          <w:szCs w:val="28"/>
          <w:rtl w:val="true"/>
          <w:lang w:bidi="ar-SA"/>
        </w:rPr>
        <w:t>و ربّما یستدلّ له</w:t>
      </w:r>
      <w:r>
        <w:rPr>
          <w:rStyle w:val="FootnoteAnchor"/>
          <w:rtl w:val="true"/>
        </w:rPr>
        <w:footnoteReference w:id="1074"/>
      </w:r>
      <w:r>
        <w:rPr>
          <w:rFonts w:ascii="IRNazanin" w:hAnsi="IRNazanin" w:eastAsia="IRNazanin"/>
          <w:color w:val="111111"/>
          <w:sz w:val="28"/>
          <w:sz w:val="28"/>
          <w:szCs w:val="28"/>
          <w:rtl w:val="true"/>
          <w:lang w:bidi="fa-IR"/>
        </w:rPr>
        <w:t>بالروایات العلاجیة،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w:t>
      </w:r>
    </w:p>
    <w:p>
      <w:pPr>
        <w:pStyle w:val="BookText"/>
        <w:rPr/>
      </w:pPr>
      <w:r>
        <w:rPr>
          <w:rFonts w:ascii="IRNazanin" w:hAnsi="IRNazanin" w:eastAsia="IRNazanin"/>
          <w:color w:val="111111"/>
          <w:sz w:val="28"/>
          <w:sz w:val="28"/>
          <w:szCs w:val="28"/>
          <w:rtl w:val="true"/>
          <w:lang w:bidi="fa-IR"/>
        </w:rPr>
        <w:t>أحدهما یأمر بأخذه و الآخر ینهاه عنه،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تخالفهما لیس التخالف فی نقل الروایة من دون جزم بمفادها، بل نقلها علی وجه جاز العمل بمنقولها مصدّقاً مفادها، و هو مساوق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أحدهما یأمر بأخذه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بالأخذ لیس إلّا دعوة المخاطب إلی أخذه معتقداً صحّته، و هو عبارة اخری عن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صریحة فی الفتوی أو ظاهرة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التمسّک بعامّة الروایات الآمرة بالتخییر عند تعارض الروایات فی المقام بإلغاء الخصوصیة؛ فإنّ اختلاف الفقیهین یرجع إلی اختلاف الروایة و اختلاف نظرهما فی الجمع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ما ذکر من التقریبین لا یسمن و لا یغنی، بل الأوّل علی خلاف المطلوب أدلّ؛ فإنّ الاستدلال بالموثّقة مبنی علی حمل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جواز العمل بالخبرین حتّی یلاقی من یخبره بالحکم الواقعی، و لکن هذا مخالف لما ذکره الإمام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الإرجاء إنّما هو تأخیر الواقعة و عدم العمل بشی‌ء منهما، فیصیر قرینة علی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فی سعة </w:t>
      </w:r>
      <w:r>
        <w:rPr>
          <w:rFonts w:eastAsia="IRNazanin" w:cs="IRNazanin"/>
          <w:color w:val="111111"/>
          <w:sz w:val="28"/>
          <w:szCs w:val="28"/>
          <w:rtl w:val="true"/>
          <w:lang w:bidi="fa-IR"/>
        </w:rPr>
        <w:t>...»</w:t>
      </w:r>
      <w:r>
        <w:rPr>
          <w:rStyle w:val="FootnoteAnchor"/>
          <w:rtl w:val="true"/>
        </w:rPr>
        <w:footnoteReference w:id="1076"/>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أنّه فی سعة فی ترک الحکم الواقعی، و معذور</w:t>
      </w:r>
    </w:p>
    <w:p>
      <w:pPr>
        <w:pStyle w:val="BookText"/>
        <w:rPr/>
      </w:pPr>
      <w:r>
        <w:rPr>
          <w:rFonts w:ascii="IRNazanin" w:hAnsi="IRNazanin" w:eastAsia="IRNazanin"/>
          <w:color w:val="111111"/>
          <w:sz w:val="28"/>
          <w:sz w:val="28"/>
          <w:szCs w:val="28"/>
          <w:rtl w:val="true"/>
          <w:lang w:bidi="fa-IR"/>
        </w:rPr>
        <w:t>فیه إذا کان مقتضی الاصول التی رجع إلیها مخالفاً للحکم الواقعی؛ فهو علی خلاف المطلوب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ادّعاء إلغاء الخصوصیة فهو أضعف؛ لمنع کون الاختلاف بین الفقیهین مستنداً إلی اختلاف الحدیثین، بل لاختلافهما علل شتّی، مع تحقّق الفرق الواضح بین اختلاف الأخبار و اختلاف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العمل بأخبار التخییر فی المقام لزم العمل بأخبار المرجّحات، فیرجّح بما ذکر فی الروایات من الوجوه المرجّحة،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منّا فی باب التعادل و التراجیح</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الشیخ الأعظم من تواتر أخبار التخییر أو استفاضته</w:t>
      </w:r>
      <w:r>
        <w:rPr>
          <w:rStyle w:val="FootnoteAnchor"/>
          <w:rtl w:val="true"/>
        </w:rPr>
        <w:footnoteReference w:id="1078"/>
      </w:r>
      <w:r>
        <w:rPr>
          <w:rFonts w:ascii="IRNazanin" w:hAnsi="IRNazanin" w:eastAsia="IRNazanin"/>
          <w:color w:val="111111"/>
          <w:sz w:val="28"/>
          <w:sz w:val="28"/>
          <w:szCs w:val="28"/>
          <w:rtl w:val="true"/>
          <w:lang w:bidi="fa-IR"/>
        </w:rPr>
        <w:t>غیر صحیح، بل لم نجد روایة حائزة لشرائط الحجّیة دالّة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فی الآراء المتضاربة بین المتفاضلین و المتساویین هو العمل بالاحتیاط أو الأخذ بأحوط الأقوال، إلّا أنّه یظهر من الأصحاب تسالمهم علی عدم وجوبه، فیلزم الأخذ برأی أعلمهما فی المتفاضلین؛ لدوران الأمر بین التعیین و التخییر، مضافاً إلی تسالمهم علیه؛ و إن لم یکن فیما بأیدینا من الأدلّة الشرعیة منه عین و لا أثر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حال الأدلّة الشرعیة، کما أنّه یکفی الأخذ برأی أحدهما علی التخییر فی المتساویین؛ لتسالمهم علیه؛ و إن لم یوجد علیه دلیل نقلی، کما تقدّم</w:t>
      </w:r>
      <w:r>
        <w:rPr>
          <w:rFonts w:eastAsia="IRNazanin" w:cs="IRNazanin"/>
          <w:color w:val="111111"/>
          <w:sz w:val="28"/>
          <w:szCs w:val="28"/>
          <w:rtl w:val="true"/>
          <w:lang w:bidi="fa-IR"/>
        </w:rPr>
        <w:t>.</w:t>
      </w:r>
      <w:bookmarkStart w:id="832" w:name="pg12912_112235"/>
    </w:p>
    <w:p>
      <w:pPr>
        <w:pStyle w:val="Heading5"/>
        <w:numPr>
          <w:ilvl w:val="4"/>
          <w:numId w:val="1"/>
        </w:numPr>
        <w:rPr/>
      </w:pPr>
      <w:bookmarkStart w:id="833" w:name="__RefHeading___Toc3425943_3224264995"/>
      <w:bookmarkStart w:id="834" w:name="_Toc312"/>
      <w:bookmarkEnd w:id="832"/>
      <w:bookmarkEnd w:id="833"/>
      <w:r>
        <w:rPr>
          <w:rtl w:val="true"/>
        </w:rPr>
        <w:t>هل التخییر بدوی أو استمراری؟</w:t>
      </w:r>
      <w:bookmarkEnd w:id="834"/>
    </w:p>
    <w:p>
      <w:pPr>
        <w:pStyle w:val="BookText"/>
        <w:rPr/>
      </w:pPr>
      <w:r>
        <w:rPr>
          <w:rFonts w:ascii="IRNazanin" w:hAnsi="IRNazanin" w:eastAsia="IRNazanin"/>
          <w:color w:val="111111"/>
          <w:sz w:val="28"/>
          <w:sz w:val="28"/>
          <w:szCs w:val="28"/>
          <w:rtl w:val="true"/>
          <w:lang w:bidi="fa-IR"/>
        </w:rPr>
        <w:t>علی القول بتخییر العامّی فی تقلید أحد المجتهدین المتساویین، فهل تخییره هذا بدوی أو استمراری؟ فلو قلّد أحدهما فهل یجوز له العدول منه إلی الآخر أو لا یجوز؟</w:t>
      </w:r>
    </w:p>
    <w:p>
      <w:pPr>
        <w:pStyle w:val="BookText"/>
        <w:rPr/>
      </w:pPr>
      <w:r>
        <w:rPr>
          <w:rFonts w:ascii="IRNazanin" w:hAnsi="IRNazanin" w:eastAsia="IRNazanin"/>
          <w:color w:val="111111"/>
          <w:sz w:val="28"/>
          <w:sz w:val="28"/>
          <w:szCs w:val="28"/>
          <w:rtl w:val="true"/>
          <w:lang w:bidi="fa-IR"/>
        </w:rPr>
        <w:t>یظهر من تقریر بحث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صوراً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بفتوی من رجع إلیه فی واقعة شخصیة، ثمّ أراد العدول فی نفس تلک الواقعة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صلّی صلاة الظهر بلا سورة، فأراد تکریر نفس هذه الصلاة معها؛ جریاً علی رأی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بعدم الجواز فی هذه الصورة مطلقاً؛ قائلًا بأنّه لا مجال للعدول بعد العمل بالواجب المخیّر؛ لعدم إمکان تکرّر صرف الوجود و امتناع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زمان قیداً للأخذ بالفتوی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باعتبار الزمان المتأخّر تحصیلًا للحاصل، بل الأخذ بالمضمون أمر واحد ممتدّ یکون الزمان ظرفاً له بحسب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إفادة التخییر فی الأزمنة المتأخّرة بدلیل آخر یفید التخییر فی الاستدامة علی العمل الموجود و رفع الید عنه و الأخذ بالآخر، لکنّه لیس فیما بأیدینا ما یدلّ علی التخییر فی الأزمنة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یمکن الحکم بالتخییر</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إفادته بأدلّة التخییر فی إحداث الأخذ بهذا أو ذاک ممتنع؛ للزوم الجمع بین لحاظین متنافیین، نظیر الجمع بین الاستصحاب و القاعدة بدلیل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الاستصحاب؛ لأنّ التخییر بین الإحداثین غیر ممکن الجرّ إلی الزمان الثانی، و بالنحو الثانی لا حالة سابقة له، و الاستصحاب التعلیقی لفتوی الآخر غیر جارٍ؛ لأنّ الحجّیة المبهمة السابقة قد صارت معیّنة فی المأخوذ، و زالت قطعاً کالملکیة المشاعة إذا صارت مفروزة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فی الوقائع المستقبلة التی لم 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قبل العمل و بعد الالتزام و الأخذ؛ فلو قلنا بأنّ التقلید عبارة عن نفس الالتزام و الأخذ فلا یجوز العدول؛ لعین ما مرّ من البیان السابق، لأنّ المأمور به فی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إلی رواة أحادیثنا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هو العمل الجوانحی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الالتزام و البناء القلبیین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بأنّه العمل فلا إشکال فی بقاء الأمر التخییری فی کلتا الصورتین، و مع فقد الإطلاق فلا مانع من الاستصحاب</w:t>
      </w:r>
      <w:r>
        <w:rPr>
          <w:rStyle w:val="FootnoteAnchor"/>
          <w:rtl w:val="true"/>
        </w:rPr>
        <w:footnoteReference w:id="1079"/>
      </w:r>
      <w:r>
        <w:rPr>
          <w:rFonts w:ascii="IRNazanin" w:hAnsi="IRNazanin" w:eastAsia="IRNazanin"/>
          <w:color w:val="111111"/>
          <w:sz w:val="28"/>
          <w:sz w:val="28"/>
          <w:szCs w:val="28"/>
          <w:rtl w:val="true"/>
          <w:lang w:bidi="fa-IR"/>
        </w:rPr>
        <w:t>، انتهی کلامه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یصلح أن یکون محلًّا للنزاع فی أوّل الصور هو جواز تکرار العمل مطابقاً لفتوی الآخر، و أمّا البحث عن التخییر أو جواز العدول فواضح الإشکال؛ إذ لا معنی للتخییر بین العمل الموجود فعلًا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الإتیان بما أتی و العمل بقول الآخر ممّا لا معنی له؛ فإنّ التخییر إنّما یتصوّر بین الأمرین اللذین لم یوجدا أصلًا، و أمّا إذا وجد أحد الطرفین فیرتفع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أتی به من العمل فهو موجود فی ظرفه، و طرحه و إعدامه بعد الوجود غیر معقول حتّی یتحقّق موضوع التخییر</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لا معنی لجواز العدول بعد العمل، و علی ذلک لا بدّ من</w:t>
      </w:r>
    </w:p>
    <w:p>
      <w:pPr>
        <w:pStyle w:val="BookText"/>
        <w:rPr/>
      </w:pPr>
      <w:r>
        <w:rPr>
          <w:rFonts w:ascii="IRNazanin" w:hAnsi="IRNazanin" w:eastAsia="IRNazanin"/>
          <w:color w:val="111111"/>
          <w:sz w:val="28"/>
          <w:sz w:val="28"/>
          <w:szCs w:val="28"/>
          <w:rtl w:val="true"/>
          <w:lang w:bidi="fa-IR"/>
        </w:rPr>
        <w:t>تغییر مصبّ البحث إلی ما عرفت، و تمحّضه فی جواز تکریر العمل بالعمل بقول الآخر بعد العمل بقول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بعدم الجواز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یستظهر من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الإتیان بأحد شقّی الواجب التخییری موجب لسقوطه، فلا یجوز الإتیان به بعده بداعویة الأمر الأوّل باحتمال داعویته أو بداعویة المحتمل؛ إذ هی فرع عدم العلم بالسقوط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الاستصحاب؛ لا استصحاب الوجوب التخییری لسقوطه قطعاً، و لا جواز العمل علی طبق فتوی الآخر لعدم احتمال وجود أمر آخر غیر ما عرفت من الأمر التخییری الذی علم سقوطه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فی المسألة الفرعیة غیره فی المسألة الاصولیة؛ فإنّ الإتیان بأحد شقّی الواجب یوجب سقوط الحکم التخییری فی الفرعیة من التخییر، دون الاصولی منه؛ و ذلک أنّ التخییر فی المسألة الاصولیة لا نفسیة له، و إنّما هو لأجل إحراز الواقع حسب الإمکان، بعد عدم لزوم الاحتیاط؛ فلو أتی بأحد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کالعمل بأحد الفتواءین أو الأمارتین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معه المجال للإتیان بالفرد الآخر؛ تحصیلًا للقطع و الیقین؛ و إن کان المکلّف غیر ملزم علی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بحرمة الاحتیاط أو بالإجزاء فی موارد الطرق؛ و إن لم تکن موافقة للواقع کان لما ذکره وجه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استصحاب جواز الإتیان بما لم یأته علی نحو الاستصحاب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التعلیقی منه غیر صحیح؛ لکون التعلیق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الصورتان الباقیتان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کون التخییر استمراریاً؛ و إن لم نقل به فی الاولی، و قیاسهما علی الاولی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و إن کان یتحقّق بالأخذ و الالتزام و عقد القلب، إلّا أنّه یمکن إعدامه بالرجوع عمّا التزم، و مع الإبطال یتحقّق موضوع الأمر بإحداث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ما استشکله من لزوم الجمع بین اللحاظین؛ فإنّ ذلک فرع بقاء التقلید حتّی یکون نتیجة أدلّة التخییر الإبقاء بالنسبة إلی الأوّل و الإحداث بالنسبة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مبطل و معدم للأوّل، و معه یکون المقام کالتخییر بلا سبق تقلید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 إمکان التخییر بعد الفراغ عن الإطلاق، لا فی وجود إطلاق الدلیل و إهماله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علی منع التخییر بأنّه یستلزم الجمع بین اللحاظین؛ إذ هو إنّما یناسب البحث الإثباتی دون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الإشکال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و عقد القلب أمر وحدانی ممتدّ إذا حصل فی زمان لا یعقل حدوثه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الثانی التزام حادث، و قد بطل الالتزام الأوّل بالرجوع، و معه کیف یکون الثانی بقاءً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حسب الثبوت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w:t>
      </w:r>
      <w:r>
        <w:rPr>
          <w:rStyle w:val="FootnoteAnchor"/>
          <w:rtl w:val="true"/>
        </w:rPr>
        <w:footnoteReference w:id="1081"/>
      </w:r>
      <w:r>
        <w:rPr>
          <w:rFonts w:ascii="IRNazanin" w:hAnsi="IRNazanin" w:eastAsia="IRNazanin"/>
          <w:color w:val="111111"/>
          <w:sz w:val="28"/>
          <w:sz w:val="28"/>
          <w:szCs w:val="28"/>
          <w:rtl w:val="true"/>
          <w:lang w:bidi="fa-IR"/>
        </w:rPr>
        <w:t>عدم دلیل لفظی یصحّ الاعتماد علیه فی أصل</w:t>
      </w:r>
    </w:p>
    <w:p>
      <w:pPr>
        <w:pStyle w:val="BookText"/>
        <w:rPr/>
      </w:pPr>
      <w:r>
        <w:rPr>
          <w:rFonts w:ascii="IRNazanin" w:hAnsi="IRNazanin" w:eastAsia="IRNazanin"/>
          <w:color w:val="111111"/>
          <w:sz w:val="28"/>
          <w:sz w:val="28"/>
          <w:szCs w:val="28"/>
          <w:rtl w:val="true"/>
          <w:lang w:bidi="fa-IR"/>
        </w:rPr>
        <w:t>التقلید؛ فضلًا عن وجود إطلاق یشمل حالة تعارض الفتواءین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التجأنا إلی التخییر فی الفتواءین لأجل الإجماع و الشهرة المنقولین</w:t>
      </w:r>
      <w:r>
        <w:rPr>
          <w:rStyle w:val="FootnoteAnchor"/>
          <w:rtl w:val="true"/>
        </w:rPr>
        <w:footnoteReference w:id="1082"/>
      </w:r>
      <w:r>
        <w:rPr>
          <w:rFonts w:ascii="IRNazanin" w:hAnsi="IRNazanin" w:eastAsia="IRNazanin"/>
          <w:color w:val="111111"/>
          <w:sz w:val="28"/>
          <w:sz w:val="28"/>
          <w:szCs w:val="28"/>
          <w:rtl w:val="true"/>
          <w:lang w:bidi="fa-IR"/>
        </w:rPr>
        <w:t>، و المتیقّن منهما إنّما هو التخییر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إذا لم یسبق منه التزام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شمولهما لغیر هذه الصورة مورد شکّ 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باستصحاب التخییر ضعیف جدّاً؛ لکون التخییر البدوی مبایناً للتخییر الاستمراری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المستصحب شخص الحکم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الجامع بین التخییرین أو جامع الجوازین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أوضحنا حاله فیما سبق؛ بأنّ الجامع أمر انتزاعی لیس بحکم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ترتیب أثر الجامع علی المصداق لا یخرج عن الاصول المثبتة، فراجع</w:t>
      </w:r>
      <w:r>
        <w:rPr>
          <w:rFonts w:eastAsia="IRNazanin" w:cs="IRNazanin"/>
          <w:color w:val="111111"/>
          <w:sz w:val="28"/>
          <w:szCs w:val="28"/>
          <w:rtl w:val="true"/>
          <w:lang w:bidi="fa-IR"/>
        </w:rPr>
        <w:t>.</w:t>
      </w:r>
      <w:bookmarkStart w:id="835" w:name="pg12912_112241"/>
    </w:p>
    <w:p>
      <w:pPr>
        <w:pStyle w:val="Heading4"/>
        <w:numPr>
          <w:ilvl w:val="3"/>
          <w:numId w:val="1"/>
        </w:numPr>
        <w:rPr/>
      </w:pPr>
      <w:bookmarkStart w:id="836" w:name="__RefHeading___Toc3425945_3224264995"/>
      <w:bookmarkStart w:id="837" w:name="_Toc313"/>
      <w:bookmarkEnd w:id="835"/>
      <w:bookmarkEnd w:id="836"/>
      <w:r>
        <w:rPr>
          <w:rtl w:val="true"/>
        </w:rPr>
        <w:t>اشتراط الحیاة فی المفتی</w:t>
      </w:r>
      <w:bookmarkEnd w:id="837"/>
    </w:p>
    <w:p>
      <w:pPr>
        <w:pStyle w:val="Heading5"/>
        <w:numPr>
          <w:ilvl w:val="4"/>
          <w:numId w:val="1"/>
        </w:numPr>
        <w:rPr/>
      </w:pPr>
      <w:bookmarkStart w:id="838" w:name="__RefHeading___Toc3425947_3224264995"/>
      <w:bookmarkStart w:id="839" w:name="_Toc314"/>
      <w:bookmarkEnd w:id="838"/>
      <w:r>
        <w:rPr>
          <w:rtl w:val="true"/>
        </w:rPr>
        <w:t>اشارة</w:t>
      </w:r>
      <w:bookmarkEnd w:id="839"/>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الحیاة فی المفتی</w:t>
      </w:r>
      <w:r>
        <w:rPr>
          <w:rStyle w:val="FootnoteAnchor"/>
          <w:rtl w:val="true"/>
        </w:rPr>
        <w:footnoteReference w:id="1083"/>
      </w:r>
      <w:r>
        <w:rPr>
          <w:rFonts w:ascii="IRNazanin" w:hAnsi="IRNazanin" w:eastAsia="IRNazanin"/>
          <w:color w:val="111111"/>
          <w:sz w:val="28"/>
          <w:sz w:val="28"/>
          <w:szCs w:val="28"/>
          <w:rtl w:val="true"/>
          <w:lang w:bidi="fa-IR"/>
        </w:rPr>
        <w:t>، و قد ادّعی علیه الإجماع</w:t>
      </w:r>
      <w:r>
        <w:rPr>
          <w:rStyle w:val="FootnoteAnchor"/>
          <w:rtl w:val="true"/>
        </w:rPr>
        <w:footnoteReference w:id="1084"/>
      </w:r>
      <w:r>
        <w:rPr>
          <w:rFonts w:ascii="IRNazanin" w:hAnsi="IRNazanin" w:eastAsia="IRNazanin"/>
          <w:color w:val="111111"/>
          <w:sz w:val="28"/>
          <w:sz w:val="28"/>
          <w:szCs w:val="28"/>
          <w:rtl w:val="true"/>
          <w:lang w:bidi="fa-IR"/>
        </w:rPr>
        <w:t>، و نسب إلی بعضهم عدمه</w:t>
      </w:r>
      <w:r>
        <w:rPr>
          <w:rStyle w:val="FootnoteAnchor"/>
          <w:rtl w:val="true"/>
        </w:rPr>
        <w:footnoteReference w:id="1085"/>
      </w:r>
      <w:r>
        <w:rPr>
          <w:rFonts w:ascii="IRNazanin" w:hAnsi="IRNazanin" w:eastAsia="IRNazanin"/>
          <w:color w:val="111111"/>
          <w:sz w:val="28"/>
          <w:sz w:val="28"/>
          <w:szCs w:val="28"/>
          <w:rtl w:val="true"/>
          <w:lang w:bidi="fa-IR"/>
        </w:rPr>
        <w:t>، و ربّما یفصّل بین الابتدائی و الاستمراری</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3425949_3224264995"/>
      <w:bookmarkStart w:id="841" w:name="_Toc315"/>
      <w:bookmarkEnd w:id="840"/>
      <w:r>
        <w:rPr>
          <w:rtl w:val="true"/>
        </w:rPr>
        <w:t>التمسّک بالاستصحاب علی جواز تقلید المیّت</w:t>
      </w:r>
      <w:bookmarkEnd w:id="841"/>
    </w:p>
    <w:p>
      <w:pPr>
        <w:pStyle w:val="Heading6"/>
        <w:numPr>
          <w:ilvl w:val="5"/>
          <w:numId w:val="1"/>
        </w:numPr>
        <w:rPr/>
      </w:pPr>
      <w:bookmarkStart w:id="842" w:name="__RefHeading___Toc3425951_3224264995"/>
      <w:bookmarkStart w:id="843" w:name="_Toc316"/>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و قد اعتمد القائلون بالجواز علی الاستصحاب، و قرّروه بوجوه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الأخذ بفتوی المجتهد الفلانی فی حال حیاته جائزاً، و الأصل بقاؤه بعدها</w:t>
      </w:r>
      <w:r>
        <w:rPr>
          <w:rFonts w:eastAsia="IRNazanin" w:cs="IRNazanin"/>
          <w:color w:val="111111"/>
          <w:sz w:val="28"/>
          <w:szCs w:val="28"/>
          <w:rtl w:val="true"/>
          <w:lang w:bidi="fa-IR"/>
        </w:rPr>
        <w:t>.</w:t>
      </w:r>
      <w:bookmarkStart w:id="844" w:name="pg12912_112242"/>
    </w:p>
    <w:p>
      <w:pPr>
        <w:pStyle w:val="BookText"/>
        <w:rPr/>
      </w:pPr>
      <w:bookmarkEnd w:id="84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جائز التقلید فی زمن حیاته، فیستصحب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مقلّد جواز الرجوع إلیه فی زمان حیاته، و الأصل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 التی ترجع إلی وجه واحد</w:t>
      </w:r>
      <w:r>
        <w:rPr>
          <w:rFonts w:eastAsia="IRNazanin" w:cs="IRNazanin"/>
          <w:color w:val="111111"/>
          <w:sz w:val="28"/>
          <w:szCs w:val="28"/>
          <w:rtl w:val="true"/>
          <w:lang w:bidi="fa-IR"/>
        </w:rPr>
        <w:t>.</w:t>
      </w:r>
    </w:p>
    <w:p>
      <w:pPr>
        <w:pStyle w:val="Heading6"/>
        <w:numPr>
          <w:ilvl w:val="5"/>
          <w:numId w:val="1"/>
        </w:numPr>
        <w:rPr/>
      </w:pPr>
      <w:bookmarkStart w:id="845" w:name="__RefHeading___Toc3425953_3224264995"/>
      <w:bookmarkStart w:id="846" w:name="_Toc317"/>
      <w:bookmarkEnd w:id="845"/>
      <w:r>
        <w:rPr>
          <w:rtl w:val="true"/>
        </w:rPr>
        <w:t>الإشکالات التی اورد علی الاستصحاب</w:t>
      </w:r>
      <w:bookmarkEnd w:id="846"/>
    </w:p>
    <w:p>
      <w:pPr>
        <w:pStyle w:val="BookText"/>
        <w:rPr/>
      </w:pPr>
      <w:r>
        <w:rPr>
          <w:rFonts w:ascii="Amiri" w:hAnsi="Amiri" w:eastAsia="Amiri" w:cs="Amiri"/>
          <w:color w:val="111111"/>
          <w:sz w:val="28"/>
          <w:sz w:val="28"/>
          <w:szCs w:val="28"/>
          <w:rtl w:val="true"/>
          <w:lang w:bidi="ar-SA"/>
        </w:rPr>
        <w:t>و ردّ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الرجوع لکلّ بالغ عاقل إن کان بنحو القضیة الخارجیة؛ بمعنی أنّ کلّ مکلّف کان موجوداً فی زمانه جاز له الرجوع إلیه فلا یفید بالنسبة إلی الموجودین بعد حیاته فی الأعصار المتأخّرة، و یختصّ الدلیل بمن أدرک حیاته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 وجد فی الخارج و کان مکلّفاً فی کلّ زمان کان له تقلید المجتهد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إجراء الاستصحاب التنجیزی فلا یمکن؛ لعدم إدراک المتأخّرین زمان حیاته، فلا یقین بالنسبة إلیهم، و إن کان بنحو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کانوا موجودین فی حیاته کان لهم ذاک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منع، علی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غفلة عن حقیقة جعل الأحکام الشرعیة علی نحو القضایا الحقیقیة، و قد أوضحنا فی الأبحاث المتقدّمة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علی العنوان الکلّی، له مصادیق کثیرة تدریجیة فی عمود الزمان، فهو بهذا الجعل الواحد علی العنوان الکلّی یکون حجّة عقلائیة علی عامّة المعنونات فی طول الزمان، من دون تعدّد إرادة، و لا جعل حسب تعداد المکلّفین</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الإرادة التشریعیة فی ظرف جعل الأحکام کالإرادة</w:t>
      </w:r>
    </w:p>
    <w:p>
      <w:pPr>
        <w:pStyle w:val="BookText"/>
        <w:rPr/>
      </w:pPr>
      <w:r>
        <w:rPr>
          <w:rFonts w:ascii="IRNazanin" w:hAnsi="IRNazanin" w:eastAsia="IRNazanin"/>
          <w:color w:val="111111"/>
          <w:sz w:val="28"/>
          <w:sz w:val="28"/>
          <w:szCs w:val="28"/>
          <w:rtl w:val="true"/>
          <w:lang w:bidi="fa-IR"/>
        </w:rPr>
        <w:t>التقنینیة بین العقلاء، فکما أنّ الإرادة التقنینیة الدارجة فی أقطار العالم عبارة عن جعل حکم واحد علی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الناس و المالک و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بهذا الجعل الواحد علی عنوانه یصیر حجّة علی مصادیق هذا العنوان مدی الدهور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کانوا موجودین حال الجعل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یتعلّق جعل مستقلّ بکلّ واحد من مصادیقه، و لا إرادة مستقلّة؛ بحیث یکون هناک إرادات و جعلات حسب نفوس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الجعل التشریعی؛ فإنّ جعل من استطاع من الناس مرکزاً و موضوعاً لطلب حجّ البیت لیس معناه تعلّق جعل مستقلّ لکلّ واحد من الأفراد، بل معناه تعلّق الطلب التشریعی الواحد علی العنوان الواحد، لکنّه یصیر بوحدانیته حجّة عند العقلاء لکلّ من تلبّس به فعلًا أو فی المستقبل؛ فإنّ ما هو تمام الموضوع إنّما هو من استطاع؛ أین وجد، و فی أیّ زمان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شککنا فی طروّ النسخ علی هذا الحکم بعد قرن أو قرون کان علینا استصحابه، مع أنّ ما ذکره القائل من الإشکال فی جریان الاستصحاب جارٍ بعینه فیه، بل فی عامّة الاستصحابات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وروده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المجعول علی الموجودین حال التشریع مغایراً لما هو المجعول علی الموجودین بعده، بل هنا جعل واحد و مجعول واحد علی عنوان کلّی، فهذا الجعل المتعلّق علی العنوان الکلّی الذی له مصادیق فی طول الزمان حجّة واحدة علی الکلّ فی عموم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ما ذکره من الشقّین فی کیفیة إجراء الاستصحاب علی نحو القضیة الحقیقیة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معنی الانحلال فی الأحکام حسب تعدّد الأفراد، و معنی الشأنیة</w:t>
      </w:r>
      <w:bookmarkStart w:id="847" w:name="pg12912_112244"/>
    </w:p>
    <w:p>
      <w:pPr>
        <w:pStyle w:val="BookText"/>
        <w:rPr/>
      </w:pPr>
      <w:bookmarkEnd w:id="847"/>
      <w:r>
        <w:rPr>
          <w:rFonts w:ascii="IRNazanin" w:hAnsi="IRNazanin" w:eastAsia="IRNazanin"/>
          <w:color w:val="111111"/>
          <w:sz w:val="28"/>
          <w:sz w:val="28"/>
          <w:szCs w:val="28"/>
          <w:rtl w:val="true"/>
          <w:lang w:bidi="fa-IR"/>
        </w:rPr>
        <w:t>و الفعلیة فیها علی حذوٍ تکرّر منّا بیانه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الناس أو کلّ من له التقلید علی المجتهد الفلانی، کتعلّق وجوب الحجّ علی عنوان من استطاع، فکما یجوز استصحابه عند طروّ الشکّ، هکذا ذاک بلا تفاوت</w:t>
      </w:r>
      <w:r>
        <w:rPr>
          <w:rFonts w:eastAsia="IRNazanin" w:cs="IRNazanin"/>
          <w:color w:val="111111"/>
          <w:sz w:val="28"/>
          <w:szCs w:val="28"/>
          <w:rtl w:val="true"/>
          <w:lang w:bidi="fa-IR"/>
        </w:rPr>
        <w:t>.</w:t>
      </w:r>
    </w:p>
    <w:p>
      <w:pPr>
        <w:pStyle w:val="Heading6"/>
        <w:numPr>
          <w:ilvl w:val="5"/>
          <w:numId w:val="1"/>
        </w:numPr>
        <w:rPr/>
      </w:pPr>
      <w:bookmarkStart w:id="848" w:name="__RefHeading___Toc3425955_3224264995"/>
      <w:bookmarkStart w:id="849" w:name="_Toc318"/>
      <w:bookmarkEnd w:id="848"/>
      <w:r>
        <w:rPr>
          <w:rtl w:val="true"/>
        </w:rPr>
        <w:t>إشکال عدم بقاء موضوع الاستصحاب و الجواب عنه</w:t>
      </w:r>
      <w:bookmarkEnd w:id="849"/>
    </w:p>
    <w:p>
      <w:pPr>
        <w:pStyle w:val="BookText"/>
        <w:rPr/>
      </w:pPr>
      <w:r>
        <w:rPr>
          <w:rFonts w:ascii="IRNazanin" w:hAnsi="IRNazanin" w:eastAsia="IRNazanin"/>
          <w:color w:val="111111"/>
          <w:sz w:val="28"/>
          <w:sz w:val="28"/>
          <w:szCs w:val="28"/>
          <w:rtl w:val="true"/>
          <w:lang w:bidi="fa-IR"/>
        </w:rPr>
        <w:t>الوجه الثانی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الموضوع؛ فإنّ المشهور عند القوم شرطیة بقاء الموضوع فی جریانه</w:t>
      </w:r>
      <w:r>
        <w:rPr>
          <w:rStyle w:val="FootnoteAnchor"/>
          <w:rtl w:val="true"/>
        </w:rPr>
        <w:footnoteReference w:id="1089"/>
      </w:r>
      <w:r>
        <w:rPr>
          <w:rFonts w:ascii="IRNazanin" w:hAnsi="IRNazanin" w:eastAsia="IRNazanin"/>
          <w:color w:val="111111"/>
          <w:sz w:val="28"/>
          <w:sz w:val="28"/>
          <w:szCs w:val="28"/>
          <w:rtl w:val="true"/>
          <w:lang w:bidi="fa-IR"/>
        </w:rPr>
        <w:t>و إن کان التحقیق عندنا اتّحاد القضیة المتیقّنة مع القضیة المشکوک فیها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هو المتیقّن أو ما هو الموضوع للحکم إنّما هو رأی المجتهد و فتواه، و لا رأی للمیّت و لا فتوی له، و لا یتّصف المیّت عند العرف بالعلم و لا بالظنّ، و معه لا بقاء للموضوع و لا اتّحاد للقضیتین</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مدار الفتوی إنّما هو الظنّ الاجتهادی؛ و لذا یقول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أدّی إلیه ظنّی، و کلّ ما أدّی إلیه ظنّی یجوز لی الإفتاء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مات لم یبق له ظنّ و لا علم، فلا یبقی له رأی و لا فتوی، و معه کیف یجوز الاستصحاب</w:t>
      </w:r>
      <w:r>
        <w:rPr>
          <w:rStyle w:val="FootnoteAnchor"/>
          <w:rtl w:val="true"/>
        </w:rPr>
        <w:footnoteReference w:id="10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عمل العقلاء بآراء ذوی الفنون و أصحاب الصنائع و من له شغل التقویم إنّما هو لکون الرأی بنحو الجزم بوجوده الحدوثی طریقاً إلی الواقع، و صفة الطریقیة ثابتة له، کان صاحبه بعد إبراز رأیه حیّاً أو میّتاً؛ فإنّ مناط الحجّیة و ملاک الطریقیة عندهم قائم بنفس الإخبار جزماً عن أمر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أفتی الفقیه بأنّه لا یصحّ الصلاة فی وبر ما لا یؤکل لحمه فنفس هذا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 من غیر دخالة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الواقع، طریق إلیه و منجّز له، و لا ینسلخ هذه الأوصاف عنه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بموته و لا بنومه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بنقضه و تبدّل رأیه و الجزم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السیرات العقلائیة فی العمل بالأمارات،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الوحید فی باب التقلید إنّما هو السیرة العقلائیة</w:t>
      </w:r>
      <w:r>
        <w:rPr>
          <w:rStyle w:val="FootnoteAnchor"/>
          <w:rtl w:val="true"/>
        </w:rPr>
        <w:footnoteReference w:id="1092"/>
      </w:r>
      <w:r>
        <w:rPr>
          <w:rFonts w:ascii="IRNazanin" w:hAnsi="IRNazanin" w:eastAsia="IRNazanin"/>
          <w:color w:val="111111"/>
          <w:sz w:val="28"/>
          <w:sz w:val="28"/>
          <w:szCs w:val="28"/>
          <w:rtl w:val="true"/>
          <w:lang w:bidi="fa-IR"/>
        </w:rPr>
        <w:t>التی عرفت ملاک العمل بها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خارجة عن حدودها؛ فإذا کانت الحجّیة و الطریقیة و التنجیز قائمة بنفس الرأی فقط فلو مات صاحبه و شکّ فی دخالة الحیاة فی جواز العمل به شرعاً فلا مانع من استصحابه؛ لبقاء الموضوع و اتّحاد القضیتین المتیقّنة و المشکوکة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 هو الموضوع أو ما هو المتیقّن إنّما هو رأی الفقیه و جزمه بالحکم و إظهاره طریق إلی الواقع بوجوده الحدوثی، و هو المناط لجواز العمل به فی نظر العقلاء، و قد أمضاه الشرع أیضاً بهذا المناط، لکن نشکّ فی دخالة الحیاة فیه شرعاً علی وجه التعبّد، فلا شکّ فی جواز استصحابه؛ لاتّحاد المتیقّن و المشکوک، و الشکّ</w:t>
      </w:r>
    </w:p>
    <w:p>
      <w:pPr>
        <w:pStyle w:val="BookText"/>
        <w:rPr/>
      </w:pPr>
      <w:r>
        <w:rPr>
          <w:rFonts w:ascii="IRNazanin" w:hAnsi="IRNazanin" w:eastAsia="IRNazanin"/>
          <w:color w:val="111111"/>
          <w:sz w:val="28"/>
          <w:sz w:val="28"/>
          <w:szCs w:val="28"/>
          <w:rtl w:val="true"/>
          <w:lang w:bidi="fa-IR"/>
        </w:rPr>
        <w:t>إنّما هو فی دخالة شرط خارج عمّا هو المناط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الفقیه و إبرازه بصورة الجزم جعل کتابه طریقاً إلی الواقع لدی العقلاء و جائز العمل فی زمان حیاته، و نشکّ فی بقاء جواز العمل علی طبقه بعد موته، و 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الطریقیة و الحجّیة و التنجیز أوصاف إیجابیة و أحکام فعلیة، فیحتاج إلی وجود الموضوع، فکیف یصلح أن یکون الرأی بوجوده الحدوثی موضوعاً لهذه الأحکام الفعلیة، بعد مضی زمان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بوجوده الحدوثی أوجب أن یکون کتابه الموجود فعلًا طریقاً و حجّة و منجّزاً، فهو خروج عن طور البحث الدائر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 الرأی و الجزم بوجودهما الحدوثی جعلا الکتاب أو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حاصل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العمل و حجّة و طریقاً إلی الواقع، و مع الشکّ یستصحب جواز العمل و الحجّیة و الطریقیة و نحوها، و الرأی الذی عدم هو الرأی القائم بنفسه لا الرأی بمعنی حاصل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رحمه الله قد تسلّم جریان الاستصحاب و بقاء الموضوع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بأنّ الفتوی هی عبارة عن نقل الحدیث علی وجه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یدّعیه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الواقع</w:t>
      </w:r>
      <w:r>
        <w:rPr>
          <w:rStyle w:val="FootnoteAnchor"/>
          <w:rtl w:val="true"/>
        </w:rPr>
        <w:footnoteReference w:id="1094"/>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الحجّیة فی الفتوی و الإخبار أمر واحد؛ فإنّ الکاشف عند العقلاء فی إخبار الثقة إنّما هو إخباره جزماً عمّا سمعه و رآه، فلو أخبر بلا جزم لا یصیر طریقاً و لا یتّصف بالکاشفیة، و لا یجوز العمل به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 عن جزم یتّصف بهذه الأوصاف، حتّی بعد موته و عدم بقاء جزمه؛ لأنّ إخباره علی وجه الجزم إنّما جعله حجّة إلی الأبد، ما لم ینقضه نفسه أو حجّة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بقاء أوصافه و أحکامه بعد موت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دخالة حیاته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یستصحب بقاؤها بلا إشکال؛ لاتّحاد القضیتین، أو لبقاء الموضوع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الإشکال و الجواب فی الفتوی جارٍ فیه؛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قد منع جریان الاستصحاب و حکم بعدم بقاء موضوعه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فی الأحکام الظاهریة إنّما یکون موضوعاً لما یترتّب علی المظنون؛ فإنّه هو المقصود من حجّیة الظنّ فی الامور الشرعیة و الأحکام الفرعیة؛ فإنّه یکون وسطاً فی القیاسات التی یطلب فیها ترتیب آثار متعلّقات تلک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إنّ شرب الخمر المظنون حرمته بواسطة أمارة ظنّیة معتبرة إنّما یستفاد الحکم فیه فی مقام العمل و الظاهر بواسطة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الخمر ممّا یظنّ حرمته بواسطة أمارة کذائیة، و کلّ ما یظنّ حرمته فیجب ترتیب آثار الحرمة الواقعیة التی کان الظنّ طریقاً إلیه علی ذلک المظنون؛ فینتج وجوب ترتیب الآثار علی هذه الحرمة المظنونة؛ من لزوم الاجتناب عنها و غیرها من الأحکام</w:t>
      </w:r>
      <w:r>
        <w:rPr>
          <w:rStyle w:val="FootnoteAnchor"/>
          <w:rtl w:val="true"/>
        </w:rPr>
        <w:footnoteReference w:id="1095"/>
      </w:r>
      <w:r>
        <w:rPr>
          <w:rFonts w:ascii="IRNazanin" w:hAnsi="IRNazanin" w:eastAsia="IRNazanin"/>
          <w:color w:val="111111"/>
          <w:sz w:val="28"/>
          <w:sz w:val="28"/>
          <w:szCs w:val="28"/>
          <w:rtl w:val="true"/>
          <w:lang w:bidi="fa-IR"/>
        </w:rPr>
        <w:t>، انتهی بنصّ عبارته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عبارة عن الحجّة المنطقیة، و لیست معنی الحجّیة فی الأمارات وقوعها حدّاً وسطاً لإثبات الحکم الشرعی، بل المراد من الحجّیة فیها لیس إلّا تنجیز الواقع علی فرض صدقها و صحّة عقوبة المکلّف لو تخلّفت، و الحجّیة</w:t>
      </w:r>
    </w:p>
    <w:p>
      <w:pPr>
        <w:pStyle w:val="BookText"/>
        <w:rPr/>
      </w:pPr>
      <w:r>
        <w:rPr>
          <w:rFonts w:ascii="IRNazanin" w:hAnsi="IRNazanin" w:eastAsia="IRNazanin"/>
          <w:color w:val="111111"/>
          <w:sz w:val="28"/>
          <w:sz w:val="28"/>
          <w:szCs w:val="28"/>
          <w:rtl w:val="true"/>
          <w:lang w:bidi="fa-IR"/>
        </w:rPr>
        <w:t>بهذا المعنی لا تختصّ بالأمارات، بل یصحّ إطلاقه علی القطع، بل و بعض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الشرعی إنّما هو مترتّب علی موضوعه الواقعی دون ما قام علیه الأمارة، و لا المظنون بما هو مظنون، کما یفیده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یقال فی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للحجّیة إنّما هو الرأی الموجود فی موطنه و زمن حیاته، فهذا الظنّ المتحقّق فی ظرفه و زمن حیاته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 الذی مات صاحبه و زال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نفی وجوده المقیّد لا یوجب ارتفاع وجوده المطلق عن صحیفة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لأنّ إثبات الحجّیة الفعلیة و جواز العمل کذلک لأمر معدوم فعلًا غیر صحیح، فالمحمول الفعلی الإیجابی یحتاج إلی موضوع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للحجّیة و جواز العمل إنّما هو الظنّ الموجود بقید أنّه موجود، و مع ارتفاعه لا معنی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القضیة حینیة مطلقة؛ بأن کان الموضوع هو الظنّ فی حال الوجود أمکن استصحابه؛ خصوصاً علی ما حقّقنا من عدم شرطیة بقاء الموضوع، و إنّما الشرط اتّحاد القضیتین</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یخلو عن منع و تأمّل،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هو الظنّ الموجود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فالإشکال المتقدّم بحاله؛ لأنّ حمل الحجّیة الفعلیة علی أمر معدوم غیر صحیح</w:t>
      </w:r>
      <w:r>
        <w:rPr>
          <w:rStyle w:val="FootnoteAnchor"/>
          <w:rtl w:val="true"/>
        </w:rPr>
        <w:footnoteReference w:id="1097"/>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الوجود المقیّد لا یلازم سلب وجوده المطلق فی الواقع، علی 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فرق بین ما ذکره القائل و ما اختار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الرأی الجزمی بوجوده الحدوثی طریق و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علی مختاره،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850" w:name="pg12912_112249"/>
    </w:p>
    <w:p>
      <w:pPr>
        <w:pStyle w:val="Heading6"/>
        <w:numPr>
          <w:ilvl w:val="5"/>
          <w:numId w:val="1"/>
        </w:numPr>
        <w:rPr/>
      </w:pPr>
      <w:bookmarkStart w:id="851" w:name="__RefHeading___Toc3425957_3224264995"/>
      <w:bookmarkStart w:id="852" w:name="_Toc319"/>
      <w:bookmarkEnd w:id="850"/>
      <w:bookmarkEnd w:id="851"/>
      <w:r>
        <w:rPr>
          <w:rtl w:val="true"/>
        </w:rPr>
        <w:t>حول الإشکال الآخر علی الاستصحاب</w:t>
      </w:r>
      <w:bookmarkEnd w:id="852"/>
    </w:p>
    <w:p>
      <w:pPr>
        <w:pStyle w:val="BookText"/>
        <w:rPr/>
      </w:pPr>
      <w:r>
        <w:rPr>
          <w:rFonts w:ascii="IRNazanin" w:hAnsi="IRNazanin" w:eastAsia="IRNazanin"/>
          <w:color w:val="111111"/>
          <w:sz w:val="28"/>
          <w:sz w:val="28"/>
          <w:szCs w:val="28"/>
          <w:rtl w:val="true"/>
          <w:lang w:bidi="fa-IR"/>
        </w:rPr>
        <w:t>الوجه الثالث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أصعب حلًاّ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یجب أن یکون إمّا حکماً شرعیاً، أو موضوعاً لحکم شرعی؛ حتّی یصحّ النهی عن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استصحابه فی المقام أحد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العقلائیة و ارتکازهم علی رجوع الجاهل إلی العالم فی فنّه، و لزوم الاتّباع عن ذوی الآراء و صحّة الاحتجاج بها عندهم، و هذا لیس بحکم شرعی و لا موضوع ذو أثر شرعی، فهو غیر قابل للاستصحاب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الشرعیة و جواز العمل علی طبق رأیه، و لکنّه فرع أن یکون فی المقام جعل شرعی؛ سواء کان المجعول هو الحجّیة أو جواز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Style w:val="FootnoteAnchor"/>
          <w:rtl w:val="true"/>
        </w:rPr>
        <w:footnoteReference w:id="1098"/>
      </w:r>
      <w:r>
        <w:rPr>
          <w:rFonts w:ascii="IRNazanin" w:hAnsi="IRNazanin" w:eastAsia="IRNazanin"/>
          <w:color w:val="111111"/>
          <w:sz w:val="28"/>
          <w:sz w:val="28"/>
          <w:szCs w:val="28"/>
          <w:rtl w:val="true"/>
          <w:lang w:bidi="fa-IR"/>
        </w:rPr>
        <w:t>أنّه لیس فی المقام جعل من الشارع، بل الموجود إنّما هو تنفیذ الأمر العقلائی، و لم نجد بین الأدلّة دلیلًا یصحّ الاتّکال علیه یدلّ علی جعل الشارع لزوم العمل برأی الفقیه أو جوازه، فراجع</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الأحکام الواقعیة، و لکنّه أیضاً فرع الشکّ فیها؛ لأنّ الشکّ فیها إمّا أن یکون من أجل الشکّ فی طروّ النسخ إلیها، أو من أجل فقدان شرطه،</w:t>
      </w:r>
    </w:p>
    <w:p>
      <w:pPr>
        <w:pStyle w:val="BookText"/>
        <w:rPr/>
      </w:pPr>
      <w:r>
        <w:rPr>
          <w:rFonts w:ascii="IRNazanin" w:hAnsi="IRNazanin" w:eastAsia="IRNazanin"/>
          <w:color w:val="111111"/>
          <w:sz w:val="28"/>
          <w:sz w:val="28"/>
          <w:szCs w:val="28"/>
          <w:rtl w:val="true"/>
          <w:lang w:bidi="fa-IR"/>
        </w:rPr>
        <w:t>کاحتمال شرطیة حضور الإمام فی صلاة الجمعة، أو من عروض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الشکّ فی المقام مستنداً لإحدی هذه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الأحکام الظاهریة بناءً علی جعل المماثل عقیب فتوی المجتهد، و هو بعد محلّ منع، و لا دلیل علیه، بل الدلیل علی خلافه؛ لأنّ الظاهر هو إمضاء ما هو الدائر بین العقلاء؛ من مراجعة کلّ جاهل إلی خبیر فنّه، بلا تأسیس و لا جعل مماثل، کما قیل فی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المقام مجعول شرعی و لا موضوع لحکم شرعی، بل الموجود هو حجّیة قول أهل الخبرة للجاهل، و لیس هو موضوعاً لحکم شرعی، بل هو موضوع لحکم عقلی، و هو تنجّز الواقع علی المکلّف إذا کان الشارع راضیاً بالسیرة، أو غیر رادع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استصحاب بقاء إمضاء الشارع له و ارتضائه لما هو المرتکز، مدفوع بأنّ الإمضاء و الارتضاء لیس حکماً شرعیاً حتّی یستصحب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الشارع بالعمل و إمضائه و إن لم یکن حکماً شرعیاً لکن مع التعبّد ببقائه یحکم العقل بجواز العمل، فهو مثل الحکم فی ذلک، فتأمّل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 سدّ باب الاستصحاب فی الأحکام التی هی مؤدّیات الأمارات؛ فإنّ الفتوی کما هو أمارة إلی الحکم الواقعی و هکذا الأمارات القائمة علی الأحکام؛ فلو شککنا فی بقاء مؤدّی الأمارة نحکم ببقائه بلا إشکال، و لیکن فتوی الفقیه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المقامین؛ فإنّ الشکّ فی مفاد الأمارات متعلّق ببقاء نفس الوجوب الذی قامت الأمارة علیه؛ و هو حکم شرعی قابل للتعبّد بالبقاء، و إنّما طرأ الشکّ علیه لاحتمال طروّ النسخ علیه أو فقدان شی‌ء نحتمل شرطیته، کالحضور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فالشکّ لم یتعلّق بنفس الوجوب الذی أفتی به المفتی، بل هو علی تقدیر وجوده من أوّل الأمر باقٍ قطعاً، و إنّما الشکّ تعلّق بمقدار حجّیة رأیه و فتواه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الشکّ بمقدار حجّیة الأمارة و کاشفیته شرعاً عن الواقع، و أنّها هل هو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کان أو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یختصّ بحال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الشکّ فی الأمارات فی مورد مثل الشکّ فی مقدار حجّیة فتوی المفتی منعنا الاستصحاب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بلزوم الجزم فی النیة فی أجزاء العبادات و شرائطها یلزم القول بجعل المماثل فی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إتیان کثیر منها رجاءً؛ لعدم قیام الدلیل القطعی علی جزئیتها و شرطیتها، فلا مناص عن القول باستتباع الأمارات أحکاماً علی طبق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لزومه فی العبادات و قد أوضحنا سبیله غیر مرّة، و قلنا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المسألة عقلیة، لا مجال لدعوی الإجماع فیها</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الجزم حاصل من غیر احتیاج إلی القول باستتباع الأمارات أحکاماً مماثلًا لمؤدّیاتها؛ و ذلک لأنّ احتمال الخلاف و الخطأ مغفول عنه للعقلاء عند العمل بالأمارات الدارجة بینهم</w:t>
      </w:r>
      <w:r>
        <w:rPr>
          <w:rFonts w:eastAsia="IRNazanin" w:cs="IRNazanin"/>
          <w:color w:val="111111"/>
          <w:sz w:val="28"/>
          <w:szCs w:val="28"/>
          <w:rtl w:val="true"/>
          <w:lang w:bidi="fa-IR"/>
        </w:rPr>
        <w:t>.</w:t>
      </w:r>
      <w:bookmarkStart w:id="853" w:name="pg12912_112252"/>
    </w:p>
    <w:p>
      <w:pPr>
        <w:pStyle w:val="BookText"/>
        <w:rPr/>
      </w:pPr>
      <w:bookmarkEnd w:id="853"/>
      <w:r>
        <w:rPr>
          <w:rFonts w:ascii="IRNazanin" w:hAnsi="IRNazanin" w:eastAsia="IRNazanin"/>
          <w:color w:val="111111"/>
          <w:sz w:val="28"/>
          <w:sz w:val="28"/>
          <w:szCs w:val="28"/>
          <w:rtl w:val="true"/>
          <w:lang w:bidi="fa-IR"/>
        </w:rPr>
        <w:t>و ما ذکرنا من أنّ بنائهم علی العمل بها بإلغاء احتماله لیس معناه أنّهم یحتملونه ثمّ یلغونه عملًا، بل معناه غفلتهم عن هذا الاحتمال، و لکن لو نبّههم أحد علیه لتنبّهوا، لکنّهم عند عدم التنبیه یعاملون معه بصرافة ارتکازهم معاملة العلم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دونک معاملاتهم السوقیة؛ فهم یبیعون و یشترون علی وجه الجزم، مع أنّ أساسه علی کون البائع مالکاً، و لا طریق لهم غالباً علی الملکیة إلّا الید التی هی أمارتها، و لیس ذلک إلّا لعدم انقداح احتمال الخطأ فی أذهانهم،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استتباعها للحکم الظاهری فی خصوص فتوی الفقیه لیس محصّلًا للجزم؛ فإنّ عمل العامّی بفتوی الفقیه إنّما هو لأجل کونها طریقاً إلی الواقع و کاشفاً عنه، کعملهم علی آراء أهل الخبرة فی سائر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مبنی عملهم فاستتباع فتواه للحکم الظاهری أمر مغفول عنه للمقلّدین، فکیف یکون مناطاً لحصول الجزم؟</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عمل العامّی له کونه کاشفاً عن الحکم الواقعی، و کون صاحبه عالماً بأحکام اللَّه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استتباعها لحکم ظاهری موافق لمؤدّی الأمارة ممّا لا ینقدح فی أذهانهم، و معه کیف یکون محصّلًا للجزم</w:t>
      </w:r>
      <w:r>
        <w:rPr>
          <w:rFonts w:eastAsia="IRNazanin" w:cs="IRNazanin"/>
          <w:color w:val="111111"/>
          <w:sz w:val="28"/>
          <w:szCs w:val="28"/>
          <w:rtl w:val="true"/>
          <w:lang w:bidi="fa-IR"/>
        </w:rPr>
        <w:t>.</w:t>
      </w:r>
    </w:p>
    <w:p>
      <w:pPr>
        <w:pStyle w:val="Heading6"/>
        <w:numPr>
          <w:ilvl w:val="5"/>
          <w:numId w:val="1"/>
        </w:numPr>
        <w:rPr/>
      </w:pPr>
      <w:bookmarkStart w:id="854" w:name="__RefHeading___Toc3425959_3224264995"/>
      <w:bookmarkStart w:id="855" w:name="_Toc320"/>
      <w:bookmarkEnd w:id="854"/>
      <w:r>
        <w:rPr>
          <w:rtl w:val="true"/>
        </w:rPr>
        <w:t>جوابنا عن الشبهة</w:t>
      </w:r>
      <w:bookmarkEnd w:id="85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الحاجة إلی الاستصحاب فی الحکم بجواز البقاء إنّما هو فیما إذا کان فتوی المیّت مخالفاً للحیّ الذی یفتی بجواز البقاء؛ إذ لو کانا متوافقی الفتوی، و کان عامّة فتاواه موافقاً لرأی المجتهد الحیّ لکان له إرجاع العامّی إلی المیّت، من دون حاجة إلی الاستصحاب؛ لقیام الحجّة عنده علی صحّة هذه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الغایة إلّا الوصول إلی هذه الأحکام، من دون دخالة التقلید و الأخذ بالرأی، و إنّما الحاجة إلیه إنّما هی فیما إذا کانا متخالفی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المکلّف أدرک مجتهدین متساویین فی العلم مختلفین فی الفتوی فقد تسالم الأصحاب علی کونه مخیّراً فی الأخذ بواحد منهما؛ لدلیل شرعی دالّ علی التخییر الشرعی واصل إلیهم؛ و إن لم یصل إلینا، أو لأجل السیرة المستمرّة إلی زمن الأئمّة علیهم السلام الکاشفة عن رضاهم و ارتضائهم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الدلیل أو السیرة الکاشفة کان مقتضی القاعدة هو التساقط و العمل بالاحتیاط، کما أوضحناه</w:t>
      </w:r>
      <w:r>
        <w:rPr>
          <w:rStyle w:val="FootnoteAnchor"/>
          <w:rtl w:val="true"/>
        </w:rPr>
        <w:footnoteReference w:id="1101"/>
      </w:r>
      <w:r>
        <w:rPr>
          <w:rFonts w:ascii="IRNazanin" w:hAnsi="IRNazanin" w:eastAsia="IRNazanin"/>
          <w:color w:val="111111"/>
          <w:sz w:val="28"/>
          <w:sz w:val="28"/>
          <w:szCs w:val="28"/>
          <w:rtl w:val="true"/>
          <w:lang w:bidi="fa-IR"/>
        </w:rPr>
        <w:t>، مع أنّهم تسالموا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واحد منهما طرأ الشکّ فی بقاء التخییر الشرعی المتقدّم أو ارتفاعه بفوته، و الأصل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جواز البقاء للمکلّف الذی أدرک حیاة المجتهدین بالغاً و عاقلًا؛ بحیث توجّه إلیه الخطاب الشرعی بالتخییر، و أمّا إذا لم یدرک حیاتهما فلا؛ لعدم الحالة السابقة، و هذا ما یعبّر عنه فی کلام الأصحاب بالتقلید الابتدائی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حرّرناه فی دفع الإشکال الأوّل؛ من أنّ الحکم الثابت للعنوان لا یختصّ بحال الموجودین وقت الخطاب، بل یعمّ کلّ من صدق علیه العنوان؛ و لو بعد مضیّ قرن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إنّما هو فی ثبوت الحکم علی العنوان؛ أعنی المکلّف أو الناس، و لکنّه لم یدلّ دلیل علی ثبوت التخییر الشرعی علی عنوان المکلّف علی هذا النحو، بل المتیقّن من فتوی الأصحاب هو ثبوت التخییر لهذا</w:t>
      </w:r>
      <w:bookmarkStart w:id="856" w:name="pg12912_112254"/>
    </w:p>
    <w:p>
      <w:pPr>
        <w:pStyle w:val="BookText"/>
        <w:rPr/>
      </w:pPr>
      <w:bookmarkEnd w:id="856"/>
      <w:r>
        <w:rPr>
          <w:rFonts w:ascii="IRNazanin" w:hAnsi="IRNazanin" w:eastAsia="IRNazanin"/>
          <w:color w:val="111111"/>
          <w:sz w:val="28"/>
          <w:sz w:val="28"/>
          <w:szCs w:val="28"/>
          <w:rtl w:val="true"/>
          <w:lang w:bidi="fa-IR"/>
        </w:rPr>
        <w:t>الشخص الذی أدرک الفقیهین المتساویین فی العلم المختلفین فی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للمکلّف الذی أدرکهما بالغاً العمل بعامّة فتاویه؛ سواء عمل بها سابقاً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بعد قیام الإجماع علی بطلان تقلید المیّت ابتداءً</w:t>
      </w:r>
      <w:r>
        <w:rPr>
          <w:rStyle w:val="FootnoteAnchor"/>
          <w:rtl w:val="true"/>
        </w:rPr>
        <w:footnoteReference w:id="1102"/>
      </w:r>
      <w:r>
        <w:rPr>
          <w:rFonts w:ascii="IRNazanin" w:hAnsi="IRNazanin" w:eastAsia="IRNazanin"/>
          <w:color w:val="111111"/>
          <w:sz w:val="28"/>
          <w:sz w:val="28"/>
          <w:szCs w:val="28"/>
          <w:rtl w:val="true"/>
          <w:lang w:bidi="fa-IR"/>
        </w:rPr>
        <w:t>هو التفصیل بین ما إذا لم یدرک المکلّف حیاة المجتهد بالغاً فلا یجوز تقلیده أصلًا، و ما إذا أدرکه بالغاً فیجوز له تقلیده و الأخذ بفتاواه، من غیر فرق بین</w:t>
      </w:r>
    </w:p>
    <w:p>
      <w:pPr>
        <w:pStyle w:val="BookText"/>
        <w:rPr/>
      </w:pPr>
      <w:r>
        <w:rPr>
          <w:rFonts w:ascii="IRNazanin" w:hAnsi="IRNazanin" w:eastAsia="IRNazanin"/>
          <w:color w:val="111111"/>
          <w:sz w:val="28"/>
          <w:sz w:val="28"/>
          <w:szCs w:val="28"/>
          <w:rtl w:val="true"/>
          <w:lang w:bidi="fa-IR"/>
        </w:rPr>
        <w:t>الابتدائی و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عمل به سابقاً و ما لم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الإجماع علی عدم جواز الابتدائی مطلقاً تصیر النتیجة التفصیل بین الابتدائی و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مقتضی الاستصحاب</w:t>
      </w:r>
      <w:r>
        <w:rPr>
          <w:rFonts w:eastAsia="IRNazanin" w:cs="IRNazanin"/>
          <w:color w:val="111111"/>
          <w:sz w:val="28"/>
          <w:szCs w:val="28"/>
          <w:rtl w:val="true"/>
          <w:lang w:bidi="fa-IR"/>
        </w:rPr>
        <w:t>.</w:t>
      </w:r>
    </w:p>
    <w:p>
      <w:pPr>
        <w:pStyle w:val="Heading5"/>
        <w:numPr>
          <w:ilvl w:val="4"/>
          <w:numId w:val="1"/>
        </w:numPr>
        <w:rPr/>
      </w:pPr>
      <w:bookmarkStart w:id="857" w:name="__RefHeading___Toc3425961_3224264995"/>
      <w:bookmarkStart w:id="858" w:name="_Toc321"/>
      <w:bookmarkEnd w:id="857"/>
      <w:r>
        <w:rPr>
          <w:rtl w:val="true"/>
        </w:rPr>
        <w:t>الاستدلال ببناء العقلاء علی جواز تقلید المیّت</w:t>
      </w:r>
      <w:bookmarkEnd w:id="858"/>
    </w:p>
    <w:p>
      <w:pPr>
        <w:pStyle w:val="BookText"/>
        <w:rPr/>
      </w:pPr>
      <w:r>
        <w:rPr>
          <w:rFonts w:ascii="IRNazanin" w:hAnsi="IRNazanin" w:eastAsia="IRNazanin"/>
          <w:color w:val="111111"/>
          <w:sz w:val="28"/>
          <w:sz w:val="28"/>
          <w:szCs w:val="28"/>
          <w:rtl w:val="true"/>
          <w:lang w:bidi="fa-IR"/>
        </w:rPr>
        <w:t>لا شکّ أنّهم لا یفرّقون بین رأی المیّت و الحیّ بعد کون المرتکز لدیهم أنّ الآراء کلّها طرق و أمارات إلی الواقع، کسائر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أنّه هل یکفی مجرّد عدم الفرق بینهما بحسب الارتکاز، أو لا بدّ من إثبات أمر آخر؛ و هو بناؤهم علی العمل بقول المیّت و تعارفه لدیهم؛ حتّی یکون بمرأی و مسمع من الشارع، و یستکشف من عدم ردعه رضاه، و من سکوته ارتضاؤه؟</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فإنّه لو لم یجر السیرة بینهم علی العمل بقول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فرض ارتکازهم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للردع موضوع؛ فإنّ ما هو الواجب علی</w:t>
      </w:r>
    </w:p>
    <w:p>
      <w:pPr>
        <w:pStyle w:val="BookText"/>
        <w:rPr/>
      </w:pPr>
      <w:r>
        <w:rPr>
          <w:rFonts w:ascii="IRNazanin" w:hAnsi="IRNazanin" w:eastAsia="IRNazanin"/>
          <w:color w:val="111111"/>
          <w:sz w:val="28"/>
          <w:sz w:val="28"/>
          <w:szCs w:val="28"/>
          <w:rtl w:val="true"/>
          <w:lang w:bidi="fa-IR"/>
        </w:rPr>
        <w:t>الشارع ردعه هو ردّ السیرة التی جرت علیها العقلاء حسب ارتکازهم، و أمّا مع عدم الجری علی طبق الارتکاز فما هو الغرض حاصل من دون 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العمل بالأمارات العقلائیة یتوقّف علی ثبوت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إمضاء الشارع إیّاه بدلیل لفظی، و إمّا عدم ردعه مع کون العمل منهم علیها بمرأی و منظر منه، و الدلیل اللفظی غیر موجود، و عدم الردع غیر محرز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دائرة السیرة أوسع من العمل برأی الحیّ ما دام حیّاً؛ فإنّهم إذا أخذوا الرأی من الحیّ یعملون به؛ حتّی بعد موته، و یجدون أنفسهم غیر محتاجین إلی أن یرجعوا إلی فقیه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السیرة المستمرّة بین العقلاء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ذلک من الأخبار الماضیة التی أرجع الإمام شیعتهم أو السائل إلی فقهائهم أو إلی واحد معیّن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 بن المسیّب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إلیک فی کلّ وقت، فممّن آخذ معالم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المأمون علی الدین و الدنیا</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تظنّ أنّ علی بن المسیّب فهم منه أنّه یجب علیه الرجوع علیه و الأخذ بآرائه، غیر أنّه إذا مات و قضی نحبه تسقط تلک الآراء عن الحجّیة، و یجب علیه الرجوع مرّة ثانیة إلی الإمام حتّی یعیّن فرداً آخر؟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أظنّ أنّه فهم ذلک، بل القطع علی خلافه؛ فلو کان الحیاة شرطاً فی جواز العمل بالرأی لکان علیه علیه السلام التنبیه علیه؛ لشهادة ارتکاز کلّ عاقل علی عدم الفرق</w:t>
      </w:r>
    </w:p>
    <w:p>
      <w:pPr>
        <w:pStyle w:val="BookText"/>
        <w:rPr/>
      </w:pPr>
      <w:r>
        <w:rPr>
          <w:rFonts w:ascii="IRNazanin" w:hAnsi="IRNazanin" w:eastAsia="IRNazanin"/>
          <w:color w:val="111111"/>
          <w:sz w:val="28"/>
          <w:sz w:val="28"/>
          <w:szCs w:val="28"/>
          <w:rtl w:val="true"/>
          <w:lang w:bidi="fa-IR"/>
        </w:rPr>
        <w:t>بین حیاته و مماته فی جواز العمل بکلّ ما تعلّم من العالم؛ سیّما مع کون شقّته بعیدة و انقطع عن الإمام بعد ذهابه إلی شقّته فی تلک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سائر الروایات الواردة فی إرجاع السائلین إلی أشخاص خاصّة، کالأسدی و محمّد بن مسلم و غیرهما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هذه النصوص منصرفة عن التقلید الابتدائی؛ لانصراف الدواعی عن الأخذ عن المجتهد المیّت الذی لم یدرکه و لم یأخذ بآرائه فی حال حیاته مع وجود الحیّ الذی یسهل عنه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الابتدائی کان غیر ممکن فی تلک الأزمنة التی لم یکن ذکر الفتاوی و تدوینها فی کتاب مرسوماً، و کان الرائج تدوین الأحادیث و الروایات؛ صحیحها و ضعیفها، و ما کان یعتمد علیه مؤلّفه أو لا یعتمد فی الاصول و الکتب، فمن أین کان یمکن للعامّی أن یرجع إلی المیّت و یأخذ 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تدوین الحدیث دلیلًا علی الإفتاء به حتّی یستکشف من تدوینه الإفتاء بمضمونه؛ لما عرفت من تدوینهم الصحیح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کان الإفتاء عند السؤال شفاهاً بنفس نقل الروایة، و هو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السیرة علی هذا المنوال إلی زمن الصدوقین إلی أن تطوّر الأمر و صارت تدوین الفتاوی بنقل متون الروایات بحذف إسنادها دارجاً، من غیر تجاوز عن حدود ما وردت فیه الروایات، إلی أن جاء دور التکامل و الاستدلال و التفریع و الاستنتاج، فتوسّع نطاق الفقه و الاجتهاد منذ زمن الشیخ إلی عصرنا الحاضر</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یرشدنا إلی عدم جری التعارف علی الأخذ من المیّت ابتداءً؛ و إن</w:t>
      </w:r>
      <w:bookmarkStart w:id="859" w:name="pg12912_112257"/>
    </w:p>
    <w:p>
      <w:pPr>
        <w:pStyle w:val="BookText"/>
        <w:rPr/>
      </w:pPr>
      <w:bookmarkEnd w:id="859"/>
      <w:r>
        <w:rPr>
          <w:rFonts w:ascii="IRNazanin" w:hAnsi="IRNazanin" w:eastAsia="IRNazanin"/>
          <w:color w:val="111111"/>
          <w:sz w:val="28"/>
          <w:sz w:val="28"/>
          <w:szCs w:val="28"/>
          <w:rtl w:val="true"/>
          <w:lang w:bidi="fa-IR"/>
        </w:rPr>
        <w:t>کان البقاء علی الرأی الذی أخذه عن الحیّ بعد موته دارجاً؛ لقضاء ارتکازهم علی عدم الفرق بین الحیّ و المیّت فی الباب، و لم یرد عنهم ما یوجب ردعه و النهی عنه، لو لم نقل إنّه ورد عنهم ما یکشف عن صحّتها من الإطلاقات التی عرفت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النتیجة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الأساس لجواز البقاء علی رأی الفقیه بعد موته هو بناء العقلاء فلا بدّ من التفصیل بینما إذا اخذ عنه الرأی فی حیاته، و بین ما 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الأخذ عنه ابتداءً بعد فوته بالرجوع إلی رسائله العملیة أو الاعتماد علی نقل الثقات ففی غایة الإشکال؛ لعدم الدلیل علیه من السیرة، بعد کون الأصل الأوّلی هو عدم الحجّیة و عدم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عدم دلالتهما علی تأسیس حکم فی المقام، بل کلّها إرشاد إلی الارتکاز، فلا بدّ من ملاحظة المرشد إلیه، کما أوضحنا حاله عند البحث عن حجّیة رأی المفضول، فراجع</w:t>
      </w:r>
      <w:r>
        <w:rPr>
          <w:rFonts w:eastAsia="IRNazanin" w:cs="IRNazanin"/>
          <w:color w:val="111111"/>
          <w:sz w:val="28"/>
          <w:szCs w:val="28"/>
          <w:rtl w:val="true"/>
          <w:lang w:bidi="fa-IR"/>
        </w:rPr>
        <w:t>.</w:t>
      </w:r>
    </w:p>
    <w:p>
      <w:pPr>
        <w:pStyle w:val="Heading5"/>
        <w:numPr>
          <w:ilvl w:val="4"/>
          <w:numId w:val="1"/>
        </w:numPr>
        <w:rPr/>
      </w:pPr>
      <w:bookmarkStart w:id="860" w:name="__RefHeading___Toc3425963_3224264995"/>
      <w:bookmarkStart w:id="861" w:name="_Toc322"/>
      <w:bookmarkEnd w:id="860"/>
      <w:r>
        <w:rPr>
          <w:rtl w:val="true"/>
        </w:rPr>
        <w:t>فیما إذا اختلف الحیّ و المیّت فی مسألة البقاء</w:t>
      </w:r>
      <w:bookmarkEnd w:id="861"/>
    </w:p>
    <w:p>
      <w:pPr>
        <w:pStyle w:val="BookText"/>
        <w:rPr/>
      </w:pPr>
      <w:r>
        <w:rPr>
          <w:rFonts w:ascii="IRNazanin" w:hAnsi="IRNazanin" w:eastAsia="IRNazanin"/>
          <w:color w:val="111111"/>
          <w:sz w:val="28"/>
          <w:sz w:val="28"/>
          <w:szCs w:val="28"/>
          <w:rtl w:val="true"/>
          <w:lang w:bidi="fa-IR"/>
        </w:rPr>
        <w:t>ذیّل شیخنا الأعظم رحمه الله مسألة البقاء بما 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شخصاً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قلّد مجتهداً آخر یوافق قوله قول الأوّل بقاءً و عدولًا فلا إشکال، و کذا إذا کان مقتضی التقلید الأوّل البقاء و الثانی الرجوع؛ فإنّ هذه الواقعة کإحدی الوقائع التی لا بدّ فیها من التقلید، و لا بدّ من الرجوع عن التقلید الأوّل فیها، و یتفرّع علی رجوعها الرجوع عن سائر الوقائع المقلَّد فیها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فیما إذا کان مقتضی الأوّل الرجوع و مقتضی الثانی البقاء؛ فإنّه یرجع إلی التناقض فی مقتضاهما؛ فإنّ البقاء فی هذه الواقعة یوجب الرجوع؛ و لو عن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الأخذ بعموم الفتوی الثانیة بالنسبة إلی مسألة البقاء و العدول؛ للزوم تخصیص الأکثر لولاه، و لأدائه إلی وجوب العدول، مع أنّ المفتی لا یقول به</w:t>
      </w:r>
      <w:r>
        <w:rPr>
          <w:rStyle w:val="FootnoteAnchor"/>
          <w:rtl w:val="true"/>
        </w:rPr>
        <w:footnoteReference w:id="11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قلّد مجتهداً کان یقول بوجوب الرجوع إلی الحیّ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المکلّف بعد موته غافلًا عن الواقعة و لوازمها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فالمیزان فی صحّة أعماله و عدمها ما أوضحناه سابقاً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فإذا رجع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رجوعه إلی الغیر الحیّ بالاستناد إلی قول المیّت الذی کان یقول بوجوب الرجوع إلی الحیّ، بتوهّم جواز تقلیده فی مسألة الرجوع کان الکلام فی صحّة أعماله و عدمها ما قدّمناه؛ و إن تذکّر بعدم جواز تقلیده فی مسألة الرجوع إلی الحیّ؛ لأنّه أیضاً تقلید المیّت أو تحیّر فیه، و لکنّه رجع إلی الحیّ الذی کان یقول بوجوب البقاء، فلا شکّ فی أنّه یجب علیه البقاء علی رأی الأوّل فی سائر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هذه المسألة الاصولیة التی کان یقول المیّت بوجوب الرجوع إلی الحیّ، و یقول الحیّ بوجوب البقاء فلا یجوز له البقاء علی رأی المیّت؛ لأنّه قلّد فی هذه المسألة المجتهد الحیّ، و معه کیف یجوز له البقاء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التقلید فرع التحیّر، و هو بالرجوع فیها إلی الحیّ ارتفع عنه التحیّر، بل لا یجوز للمفتی الإفتاء له بالبقاء فی خصوص المسألة؛ لکون المیّت مخطئاً عنده فیها، فلیس بشاکّ حتّی یستصحب من عند نفسه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إجراء الاستصحاب من ناحیة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شاکّ بعد رجوعه</w:t>
      </w:r>
      <w:bookmarkStart w:id="862" w:name="pg12912_112259"/>
    </w:p>
    <w:p>
      <w:pPr>
        <w:pStyle w:val="BookText"/>
        <w:rPr/>
      </w:pPr>
      <w:bookmarkEnd w:id="862"/>
      <w:r>
        <w:rPr>
          <w:rFonts w:ascii="IRNazanin" w:hAnsi="IRNazanin" w:eastAsia="IRNazanin"/>
          <w:color w:val="111111"/>
          <w:sz w:val="28"/>
          <w:sz w:val="28"/>
          <w:szCs w:val="28"/>
          <w:rtl w:val="true"/>
          <w:lang w:bidi="fa-IR"/>
        </w:rPr>
        <w:t>فی هذه المسألة إلی الحیّ، و هو أمارة أو بمنزلة الأمارة، و بعد قیامها عنده 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إجراء الاستصحاب من ناحیة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قطع النظر عن قیام الأمارة عند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یختصّ بالمجتهد إنّما هو تشخیص مجاری الاصول، و أمّا نفس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اصولیة کانت أو 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امور مشترکة بین العالم و الجاهل، فإذا عرضه الشکّ الصالح للاستصحاب فإنّما یستصحب الحکم المشترک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الحیّ یخطئ المیّت فی مسألة عدم جواز البقاء، و یری جواز البقاء أو وجوبه، یختلّ أرکان الاستصحاب؛ و هو الشکّ فی الحکم المشترک بین العباد؛ إذ مع قیام الدلیل علی خلاف قول المیّت یرتفع الشکّ من رأس</w:t>
      </w:r>
      <w:r>
        <w:rPr>
          <w:rFonts w:eastAsia="IRNazanin" w:cs="IRNazanin"/>
          <w:color w:val="111111"/>
          <w:sz w:val="28"/>
          <w:szCs w:val="28"/>
          <w:rtl w:val="true"/>
          <w:lang w:bidi="fa-IR"/>
        </w:rPr>
        <w:t>.</w:t>
      </w:r>
    </w:p>
    <w:p>
      <w:pPr>
        <w:pStyle w:val="Heading5"/>
        <w:numPr>
          <w:ilvl w:val="4"/>
          <w:numId w:val="1"/>
        </w:numPr>
        <w:rPr/>
      </w:pPr>
      <w:bookmarkStart w:id="863" w:name="__RefHeading___Toc3425965_3224264995"/>
      <w:bookmarkStart w:id="864" w:name="_Toc323"/>
      <w:bookmarkEnd w:id="863"/>
      <w:r>
        <w:rPr>
          <w:rtl w:val="true"/>
        </w:rPr>
        <w:t>تکمیل</w:t>
      </w:r>
      <w:bookmarkEnd w:id="864"/>
    </w:p>
    <w:p>
      <w:pPr>
        <w:pStyle w:val="BookText"/>
        <w:rPr/>
      </w:pPr>
      <w:r>
        <w:rPr>
          <w:rFonts w:ascii="IRNazanin" w:hAnsi="IRNazanin" w:eastAsia="IRNazanin"/>
          <w:color w:val="111111"/>
          <w:sz w:val="28"/>
          <w:sz w:val="28"/>
          <w:szCs w:val="28"/>
          <w:rtl w:val="true"/>
          <w:lang w:bidi="fa-IR"/>
        </w:rPr>
        <w:t>و بالتدبّر فیما حرّرناه یظهر حال مسألة اخری؛ و هی أنّه لو قلّد مجتهداً فی الفروع ثمّ مات، و قلّد مجتهداً آخر یری لزوم الرجوع إلی المجتهد الحیّ و بطلان البقاء ثمّ مات، و قلّد ثالثاً یقول بلزوم البقاء و حرمة العدول إلی الحیّ فیما تحقّق التقلید، فهل علیه العمل علی طبق آراء المجتهد الأوّل، أو یجب علیه تطبیق عمله علی آراء المجتهد الثانی؟</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لقیام الأمارة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فتوی المجتهد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عدوله عن الأوّل إلی الثانی، و أنّ حکم اللَّه فی حقّه فی الماضی و المستقبل هو لزوم البقاء علی رأی من قلّده فی بدو الأمر، و حرمة العدول عنه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البقاء علی آراء المجتهد الثانی، بتجویز الثالث البقاء فیما</w:t>
      </w:r>
      <w:bookmarkStart w:id="865" w:name="pg12912_112260"/>
    </w:p>
    <w:p>
      <w:pPr>
        <w:pStyle w:val="BookText"/>
        <w:rPr/>
      </w:pPr>
      <w:bookmarkEnd w:id="865"/>
      <w:r>
        <w:rPr>
          <w:rFonts w:ascii="IRNazanin" w:hAnsi="IRNazanin" w:eastAsia="IRNazanin"/>
          <w:color w:val="111111"/>
          <w:sz w:val="28"/>
          <w:sz w:val="28"/>
          <w:szCs w:val="28"/>
          <w:rtl w:val="true"/>
          <w:lang w:bidi="fa-IR"/>
        </w:rPr>
        <w:t>تحقّق التقلید مدفوع بأنّ الثالث الحیّ یخطّئ الثانی فی رأیه بلزوم الرجوع إلی الحیّ، و تخطئة هذه بمنزلة الأمارة الفعلیة بالنسبة إلی العامی؛ فیجب علیه أن یتّبع ما یقوله الحیّ فی هذه المسألة الاصولیة، و ما قوله إلّا بطلان العدول عن الأوّل إلی الثانی فی الزمان الماضی</w:t>
      </w:r>
      <w:r>
        <w:rPr>
          <w:rFonts w:eastAsia="IRNazanin" w:cs="IRNazanin"/>
          <w:color w:val="111111"/>
          <w:sz w:val="28"/>
          <w:szCs w:val="28"/>
          <w:rtl w:val="true"/>
          <w:lang w:bidi="fa-IR"/>
        </w:rPr>
        <w:t>.</w:t>
      </w:r>
    </w:p>
    <w:p>
      <w:pPr>
        <w:pStyle w:val="Heading5"/>
        <w:numPr>
          <w:ilvl w:val="4"/>
          <w:numId w:val="1"/>
        </w:numPr>
        <w:rPr/>
      </w:pPr>
      <w:bookmarkStart w:id="866" w:name="__RefHeading___Toc3425967_3224264995"/>
      <w:bookmarkStart w:id="867" w:name="_Toc324"/>
      <w:bookmarkEnd w:id="866"/>
      <w:r>
        <w:rPr>
          <w:rtl w:val="true"/>
        </w:rPr>
        <w:t>مقالة العلّامة الحائری فی المقام</w:t>
      </w:r>
      <w:bookmarkEnd w:id="867"/>
    </w:p>
    <w:p>
      <w:pPr>
        <w:pStyle w:val="BookText"/>
        <w:rPr/>
      </w:pPr>
      <w:r>
        <w:rPr>
          <w:rFonts w:ascii="IRNazanin" w:hAnsi="IRNazanin" w:eastAsia="IRNazanin"/>
          <w:color w:val="111111"/>
          <w:sz w:val="28"/>
          <w:sz w:val="28"/>
          <w:szCs w:val="28"/>
          <w:rtl w:val="true"/>
          <w:lang w:bidi="fa-IR"/>
        </w:rPr>
        <w:t>ثمّ إنّ شیخنا العلّامة بعد ما نقل فی المقام ما قدّمناه عن الشیخ الأعظم فی صدر البحث أفاد فی المقام ما هذا 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البقاء فی هذه المسألة معتمداً علی رأی المفتی الأوّل هو عدم البقاء فی باقی المسائل، نظیر حجّیة قول السیّد فی الخبر الواحد؛ من حیث إنّ لازم شمول الأدلّة لقوله خروج الباقی، و بعد ما فرّق بین المقامین من أنّه لا یلزم فی المقام التخصیص المستهجن و اللغز و المعمّی؛ لعدم عموم صادر من المعصوم فیه، بخلاف باب حجّیة الخبر الواحد أفاد ما هذا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فی المقام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بکلیهما؛ لأنّ المجتهد بعد ما نزّل نفسه منزلة المقلّد فی کونه شاکّاً رأی هنا طائفتین من الأحکام ثابتتین للمقلّد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فتوی المیّت فی الفروع، و ثانیتهما الفتوی فی الاصول الناظر إلی الفتاوی فی الفروع، و المسقط لها عن الحجّیة؛ فیری أنّ أرکان الاستصحاب فیهما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الأخذ بالفتوی الاصولیة فإنّه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ارید فی الفرعیة استصحاب الأحکام الواقعیة فالشکّ فی اللاحق موجود دون الیقین السابق؛ أمّا الوجدانی فواضح، و أمّا التعبّدی فلارتفاعه بموت المفتی، فصار کالشکّ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الحکم الظاهری الجائی من قبل دلیل اتّباع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استصحابه مقیّداً بفتوی المیّت فالاستصحاب فی المسألة الاصولیة حاکم علیه؛ لأنّ الشکّ فی المسألة الفرعیة مسبّب عن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ذات الحکم الظاهری و جعل کونه مقول قول المیّت جهة تعلیلیة فاحتمال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بسبب سابق فقد سدّ بابه الاستصحاب الحاکم، أو بسبب لاحق فهو مقطوع العدم؛ إذ مفروض الکلام صورة مخالفة فتوی المیّت للحیّ، نعم یحتمل بقاء الحکم الواقعی، لکن لا یکفی ذلک فی الاستصحاب؛ لأنّه مع الحکم الظاهری فی رتبتین و موضوعین فلا یکون أحدهما بقاء الآخر، لکن یجری استصحاب الکلّی، بناءً علی جریانه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حجّیة الفتاوی الفرعیة فاستصحاب الحجّیة فی الاصولیة حاکم علیه؛ لأنّ شکّه مسبّب عنه؛ لأنّ عدم حجّیة تلک الفتاوی أثر الحجّیة هذه، و لیس الأصل مثبتاً؛ لأنّ هذا من الآثار الثابتة لذات الحجّة الأعمّ من الظاهریة و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أخیراً عن جریان الاستصحاب الاصولیة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جریانه الأخذ بخلاف مدلوله، و مثله غیر مشمول لأدلّة الاستصحاب؛ فإنّ مقتضی الأخذ باستصحاب هذه الفتوی سقوط فتاویه عن الحجّیة، و مقتضی سقوطها الرجوع إلی الحیّ، و هو یفتی بوجوب البقاء</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فالأخذ بالاستصحاب فی الاصولیة التی مفادها عدم الأخذ بفتاویه فی الفرعیات لازمه الأخذ فی الفرعیات بها، و هذا باطل؛ و إن کان اللزوم لأجل الرجوع إلی الحیّ، لا لکون مفاد الاستصحاب ذلک؛ إذ لا فرق فی الفساد بین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المسؤول عنه فی الفرعیات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الذی هو المرجع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مخالفة الحیّ للمیّت فی نفس الفروع مع إفتائه بالبقاء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الفتوی الاصولیة فنفسها مسئول عنها، و یکون الحیّ هو المرجع فیها، و فی هذه المسألة لا معنی للاستصحاب، بعد أن یری الحیّ خطأ المیّت، فلا حالة سابقة حتّی تستصحب</w:t>
      </w:r>
      <w:r>
        <w:rPr>
          <w:rStyle w:val="FootnoteAnchor"/>
          <w:rtl w:val="true"/>
        </w:rPr>
        <w:footnoteReference w:id="11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رحمه الله مواقع للنظر،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جریان الاستصحاب فی الأحکام الواقعیة لیس لأجل عدم الیقین السابق بکلا شقّیه الوجدانی و التعبّدی، بل هو غیر جارٍ و إن فرض وجود الیقین السابق؛ لتقوّم الاستصحاب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السابق و الشکّ فی الشی‌ء شکّاً فی البقاء، و لیس الشکّ فی المقام شکّاً فی بقائه؛ لأنّ الشکّ فی بقاء الأحکام الکلّیة الواقعیة إنّما یتصوّر إذا کان الشکّ مسبّباً عن احتمال النسخ أو احتمال فقدان الشرط أو احتمال وجدان المانع، و لیس المقام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الشکّ فیه ممحّض فی حجّیة الفتوی و جواز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بالسببیة و التصویب کان الشکّ فی البقاء لتطرّق أحد الاحتمالات المتقدّمة، لکنّه باطل عندنا</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منع استصحاب الأحکام الفرعیة لأجل حکومة الاستصحاب فی الاصولیة علیه ممنوع؛ لأنّ الشکّ فی بقاء الأحکام الفرعیة لیس مسبّباً عن الشکّ فی الاصولیة، بل کلاهما مسبّبان عن أمر ثالث؛ و هو الشکّ فی اعتبار الحیاة فی المفتی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فالمجتهد إذا قام مقام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شکّه فی جواز العمل علی فتاوی المیّت فی الاصول و الفروع ناشئاً من الشکّ فی اعتبار الحیاة فی المفتی، و جواز العمل فی کلّ منهما مضادّ للآخر؛ إذ مقتضی جواز کلّ عدم جواز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 إرجاع الحیّ المقلّدَ إلی المیّت کون شکّه فی الاصولیة سبباً و فی الفروعیة مسبّباً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المفروض؛ إذ المفروض أنّه بعد لم یقلّد فیها عن الحیّ، و إلّا فلا یبقی له فیها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الشکّ فی إحدی الفتواءین مسبّباً عن الاخری لا یوجب حکومة الأصل الجاری فی ناحیة السبب علی الجاری فی المسبّب، و قد أوضحنا حاله فی خاتمة الاستصحاب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مجمل ما قلناه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تعارض بین السببی و المسبّبی؛ لاختلاف موضوعهما، و أنّهما فردان عرضیان</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معه لا وجه لحکومة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الجاری فی ناحیة السبب ینقّح موضوع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فالحاکم إنّما هو الدلیل الاجتهادی الذی نقّح موضوعه الأصل السببی، دون الأصل السببی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غسل الثوب النجس بماء مشکوک الکرّیة، و ضمّ ما هو أمر وجدانی</w:t>
      </w:r>
    </w:p>
    <w:p>
      <w:pPr>
        <w:pStyle w:val="BookText"/>
        <w:rPr/>
      </w:pPr>
      <w:r>
        <w:rPr>
          <w:rFonts w:ascii="IRNazanin" w:hAnsi="IRNazanin" w:eastAsia="IRNazanin"/>
          <w:color w:val="111111"/>
          <w:sz w:val="28"/>
          <w:sz w:val="28"/>
          <w:szCs w:val="28"/>
          <w:rtl w:val="true"/>
          <w:lang w:bidi="fa-IR"/>
        </w:rPr>
        <w:t>بما هو مفاد الاستصحاب یصیر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الثوب النجس قد غسل بماء محکوم بالکرّیة شرعاً، و یصیر هذا المحصّل صغری لکبری شرعیة؛ و هو أنّ کلّ متنجّس قد غسل بماء الکرّ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الکبری الشرعیة حاکمة علی الأصل الجاری فی ناحیة المسبّب؛ أعنی أصالة بقاء النجاسة 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الأصل المسبّبی هو أنّ هذا الثوب المشکوک طهارته و نجاسته محکوم بالنجاسة، و لسان الدلیل الاجتهادی حاکم علی هذا الأصل حسب ما قرّر فی محلّه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کفایة الأصل السببی فی المقام، من دون احتیاج إلی الدلیل الاجتهادی،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التعبّد ببقاء الکرّیة شرعاً هو ترتیب آثارها الشرعیة، التی منها 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مقتضی الاستصحاب إنّما هو عدم جواز نقض الیقین بالشکّ؛ أعنی الحکم ببقاء الکرّیة فقط، و أمّا ترتیب الآثار فإنّما هو بالدلیل الاجتهادی دون نفس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یدور فی الألسن من أنّ مفاد الاستصحاب فی الأحکام إنّما هو إبقاؤها، و أمّا فی الموضوعات فإنّما هو ترتیب آثارها ممّا لا سند له، بل مقتضی الاستصحاب فی کلا الموردین أمر واحد؛ و هو الحکم ببقاء ما تعلّق به الیقین؛ موضوعاً کان أو حکماً، و أمّا ترتیب الأثر بعد إحراز بقاء الموضوع بالأصل فإنّما هو علی عاتق الدلیل الاجتهادی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اتّحاد دلیل الاستصحاب فی الموردین، فکما أنّ</w:t>
      </w:r>
    </w:p>
    <w:p>
      <w:pPr>
        <w:pStyle w:val="BookText"/>
        <w:rPr/>
      </w:pPr>
      <w:r>
        <w:rPr>
          <w:rFonts w:ascii="IRNazanin" w:hAnsi="IRNazanin" w:eastAsia="IRNazanin"/>
          <w:color w:val="111111"/>
          <w:sz w:val="28"/>
          <w:sz w:val="28"/>
          <w:szCs w:val="28"/>
          <w:rtl w:val="true"/>
          <w:lang w:bidi="fa-IR"/>
        </w:rPr>
        <w:t>معنی الاستصحاب فی الأحکام إنّما هو بقاء ذواتها فکذلک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الموضوع المستصحب مصداقاً للکبری الشرعیة الاجتهادیة لما صحّ استصحابه، و لا التعبّد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معنی استصحاب الکرّیة إنّما هو طهارة الثوب، من دون احتیاج إلی الدلیل الاجتهادی، لکنّه لا یستلزم تقدّم الأصل السببی علی المسبّبی، فکما أنّ معنی بقاء الکرّیة و البناء علیها هو طهارة الثوب المغسول به، فهکذا مفاد الاستصحاب فی ناحیة المسبّب إنّما هو الحکم ببقاء النجاسة فی الثوب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من استصحاب بقاء النجاسة فیه سلب الکرّیة عن الماء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مثبت، بل الحکم ببقائها فیه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التفکیک بین کرّیة الماء و طهارته، و عدم کرّیته و نجاسته غیر صحیح جدّاً؛ فإنّ التفکیک بین اللازم و الملزوم فی الأحکام الظاهریة جائز واقع،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حرّرناه هناک، و علیک بالمراجعة إلی محلّه تفصیلًا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قلناه من عدم حکومة الأصل الجاری فی المسألة الاصولیة علی الجاری فی ناحیة الفروع؛ لعدم دخول المجری فی الاصولیة تحت دلیل اجتهادی حاکم علی الأصل المسبّبی</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کون مفاده فی الاصولیة عدم جواز العمل بفتاوی المیّت عند الشکّ لا یوجب تقدّمه علی ما مفاده جواز العمل بفتاواه لدیه؛ إذ کلاهما مسبّبان عن أمر ثالث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أیضاً فی إحدی شقوق کلامه؛ أعنی قوله من حکومة استصحاب الحجّیة فی المسألة الاصولیة علی استصحابها فی الفروع؛ لکون الشکّ سببیاً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أوضحناه فی محلّه</w:t>
      </w:r>
      <w:r>
        <w:rPr>
          <w:rStyle w:val="FootnoteAnchor"/>
          <w:rtl w:val="true"/>
        </w:rPr>
        <w:footnoteReference w:id="1112"/>
      </w:r>
      <w:r>
        <w:rPr>
          <w:rFonts w:ascii="IRNazanin" w:hAnsi="IRNazanin" w:eastAsia="IRNazanin"/>
          <w:color w:val="111111"/>
          <w:sz w:val="28"/>
          <w:sz w:val="28"/>
          <w:szCs w:val="28"/>
          <w:rtl w:val="true"/>
          <w:lang w:bidi="fa-IR"/>
        </w:rPr>
        <w:t>من عدم جریان استصحاب الحجّیة؛ لا الشرعیة و لا العقلائیة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کلیهما مسبّبان عن أمر ثالث، کما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الشقّ مشترک مع الشقّ المتقدّم؛ بیاناً و إشکالًا،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من منع جریان استصحاب الحکم الظاهری إذا جعل کونه مقول قول المیّت جهة تعلیلیة؛ لأجل أنّ احتمال ثبوته بسبب سابق فقد سدّ بابه الاستصحاب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فی الفرض المتقدّم بتقدّم الأصل السببی علی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نفی المسبّب بنفی سببه من أوضح مصادیق الاصول المثبتة؛ و إن کان السبب شرعیاً؛ لأنّ ترتیب المسبّب علی سببه من الأحکام العقلیة مطلقاً؛ سواء کان المسبّب شرعیاً أو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الترتیب مثل المسبّب أیضاً شرعیاً کان لما ذکره مجال،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إذا غلی أو نشّ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غیر موجود فی المقام</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جریان استصحاب الکلّی الجامع بین الحکم الظاهری و الواقعی، بناءً علی جریانه فی القسم الثالث؛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الجامع فی الأحکام الشرعیة أمر انتزاعی غیر مجعول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غیر مشکوک البقاء، علی ما عرفت منّا توضیحه</w:t>
      </w:r>
      <w:r>
        <w:rPr>
          <w:rStyle w:val="FootnoteAnchor"/>
          <w:rtl w:val="true"/>
        </w:rPr>
        <w:footnoteReference w:id="1113"/>
      </w:r>
      <w:r>
        <w:rPr>
          <w:rFonts w:ascii="IRNazanin" w:hAnsi="IRNazanin" w:eastAsia="IRNazanin"/>
          <w:color w:val="111111"/>
          <w:sz w:val="28"/>
          <w:sz w:val="28"/>
          <w:szCs w:val="28"/>
          <w:rtl w:val="true"/>
          <w:lang w:bidi="fa-IR"/>
        </w:rPr>
        <w:t>فإنّ الشکّ فی بقائه إنّما فیما إذا کان</w:t>
      </w:r>
    </w:p>
    <w:p>
      <w:pPr>
        <w:pStyle w:val="BookText"/>
        <w:rPr/>
      </w:pPr>
      <w:r>
        <w:rPr>
          <w:rFonts w:ascii="IRNazanin" w:hAnsi="IRNazanin" w:eastAsia="IRNazanin"/>
          <w:color w:val="111111"/>
          <w:sz w:val="28"/>
          <w:sz w:val="28"/>
          <w:szCs w:val="28"/>
          <w:rtl w:val="true"/>
          <w:lang w:bidi="fa-IR"/>
        </w:rPr>
        <w:t>الشکّ ناشئاً من احتمال النسخ أو فقدان الشرط أو وجدان المانع، و الاحتمالات الثلاثة غیر 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بتقدّم الأصل السببی علی المسبّبی یسقط الحکم الظاهری؛ لما اعترف رحمه الله من حکومة الأصل الجاری فی ناحیة المسألة الاصولیة علی الفرعیة، و معه لا علم بالأحکام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بالحکومة یسقط الحکم الظاهری، و بسقوطه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الحکم الواقعی، لسرایة الشکّ إلی السابق، و معه لا علم بالجامع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الکلّی إنّما یجری إذا علم بالجامع فعلًا و شکّ فی بقائه، و هو غیر نظیر المقام، الذی إذا انعدم أحد الفردین ینعدم الآخر من الأوّل، أو ینعدم الدلیل علی ثبوته من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اختاره فی آخر کلامه من عدم جریان الاستصحاب فی الاصولیة؛ فإنّ مقتضی جریانه الأخذ بخلاف مدلوله؛ فإنّ مقتضی الأخذ باستصحاب هذا الفتوی سقوط فتاواه عن الحجّیة، و مقتضی سقوطها الرجوع إلی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غیر وجیه؛ فإنّ مقتضی الاستصحاب و إن کان سقوط حجّیة فتاواه الفرعیة إلّا أنّ الرجوع إلی الغیر لیس أمراً لازماً له؛ لإمکان العمل بالاحتیاط بعد 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الفتاوی عن الحجّیة أمر، و الرجوع إلی الغیر أمر آخر غیر ملازم معه، و سقوطها عن الحجّیة و إن جاء من قبل الاستصحاب إلّا أنّ الرجوع إلی الغیر لیس من لوازمه و شؤونه</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رجع إلی الغیر، و کان فتوی الغیر لزوم البقاء علی رأی المیّت یلزم منه حجّیة فتاواه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فاتّصافها بالحجّیة بعد سقوطها عنها لیس من جانب الاستصحاب، بل لأجل الرجوع إلی الغیر، و هو رحمه الله و إن أشار إلی ما ذکرنا لکنّه لم یجب عنه بجواب مقنع،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منصرف عن هذا المورد، منقوض بالأصل المسبّبی و الأصلین المتعارضین؛ لأنّ إجراء الاستصحاب لغایة السقوط أسوأ حالًا من المقام؛ لما عرفت أنّ الأخذ بالفتاوی الفرعیة الساقطة عن الحجّیة بالأصل الجاری فی المسألة الاصولیة إنّما هو لأجل دلیل آخر، مثله أو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الإشکال فی الموارد الثلاثة إنّما یتّجه إذا کان الدلیل خاصّاً وارداً لبیان مورد من تلک الموارد، و أمّا إذا کان الدلیل إطلاق الکبری الواردة فی باب الاستصحاب فلا مجال لما ذکر من التوهّم، و کم فرق بین تعرّض الدلیل لخصوص المورد و بین شموله له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سقوط الاستصحاب فی الاصولیة؛ لکون الحیّ هو المرجع فیها، و فی هذه المسألة لا معنی للاستصحاب بعد أن یری الحیّ خطأ المیّت، مدفوع بما أفاده رحمه الله فی صدر البحث؛ فإنّ ما ذکره إنّما یصحّ لو کان المستصحِب هو المجتهد، و أراد إجراء الاستصحاب لنفسه، و لکنّه غیر مفروض البحث؛ فإنّ المستصحِب إنّما هو العامّی دون المفتی، و هو بعدُ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فی صدر البحث،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المقام فتواءان لا یمکن الأخذ بکلیهما؛ لأنّ المجتهد لمّا نزّل نفسه منزلة المقلّد فی کونه شاکّاً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نزّل نفسه منزلة العامّی فی الشکّ فی الواقعة</w:t>
      </w:r>
      <w:r>
        <w:rPr>
          <w:rFonts w:eastAsia="IRNazanin" w:cs="IRNazanin"/>
          <w:color w:val="111111"/>
          <w:sz w:val="28"/>
          <w:szCs w:val="28"/>
          <w:rtl w:val="true"/>
          <w:lang w:bidi="fa-IR"/>
        </w:rPr>
        <w:t>.</w:t>
      </w:r>
      <w:bookmarkStart w:id="868" w:name="pg12912_112269"/>
    </w:p>
    <w:p>
      <w:pPr>
        <w:pStyle w:val="Heading4"/>
        <w:numPr>
          <w:ilvl w:val="3"/>
          <w:numId w:val="1"/>
        </w:numPr>
        <w:rPr/>
      </w:pPr>
      <w:bookmarkStart w:id="869" w:name="__RefHeading___Toc3425969_3224264995"/>
      <w:bookmarkStart w:id="870" w:name="_Toc325"/>
      <w:bookmarkEnd w:id="868"/>
      <w:bookmarkEnd w:id="869"/>
      <w:r>
        <w:rPr>
          <w:rtl w:val="true"/>
        </w:rPr>
        <w:t>القول فی تبدّل الاجتهاد</w:t>
      </w:r>
      <w:bookmarkEnd w:id="870"/>
    </w:p>
    <w:p>
      <w:pPr>
        <w:pStyle w:val="BookText"/>
        <w:rPr/>
      </w:pPr>
      <w:r>
        <w:rPr>
          <w:rFonts w:ascii="IRNazanin" w:hAnsi="IRNazanin" w:eastAsia="IRNazanin"/>
          <w:color w:val="111111"/>
          <w:sz w:val="28"/>
          <w:sz w:val="28"/>
          <w:szCs w:val="28"/>
          <w:rtl w:val="true"/>
          <w:lang w:bidi="fa-IR"/>
        </w:rPr>
        <w:t>لو اضمحلّ الاجتهاد السابق و تبدّل إلی اجتهاد آخر یخالفه، فهل یحتاج إلی الإعادة أو القضاء أو لا؟</w:t>
      </w:r>
    </w:p>
    <w:p>
      <w:pPr>
        <w:pStyle w:val="BookText"/>
        <w:rPr/>
      </w:pPr>
      <w:r>
        <w:rPr>
          <w:rFonts w:ascii="IRNazanin" w:hAnsi="IRNazanin" w:eastAsia="IRNazanin"/>
          <w:color w:val="111111"/>
          <w:sz w:val="28"/>
          <w:sz w:val="28"/>
          <w:szCs w:val="28"/>
          <w:rtl w:val="true"/>
          <w:lang w:bidi="fa-IR"/>
        </w:rPr>
        <w:t>فتارة یقع الکلام فی عمل نفس المجتهد، و اخری فی عمل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عمل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ما اخترناه فی باب الإجزاء من التفصیل بین الأمارات و الاصول، بالإجزاء فی الثانی دون الأوّل، و قد أطلنا الکلام فی توضیحه و تفصیله فی الجزء الأوّل عند البحث عن مسألة الإجزاء، فلا حاجة إلی التکرار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عن هذا التفصیل هنا فی کلتا الدورتین، غیر أنّا أسقطنا هذه المباحث عند الطبع لما أوضحناه فی محلّه؛ روماً للاختصار و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عمل 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إجراء هذا التفصیل فیه؛ بالإجزاء فیما إذا کان مدرک مجتهده الاصول، و عدمه فیما إذا کان دلیل حکمه الأمارات؟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المجتهد تعیین وظائف العباد مطلقاً؛ واقعاً و ظاهراً، فکما</w:t>
      </w:r>
    </w:p>
    <w:p>
      <w:pPr>
        <w:pStyle w:val="BookText"/>
        <w:rPr/>
      </w:pPr>
      <w:r>
        <w:rPr>
          <w:rFonts w:ascii="IRNazanin" w:hAnsi="IRNazanin" w:eastAsia="IRNazanin"/>
          <w:color w:val="111111"/>
          <w:sz w:val="28"/>
          <w:sz w:val="28"/>
          <w:szCs w:val="28"/>
          <w:rtl w:val="true"/>
          <w:lang w:bidi="fa-IR"/>
        </w:rPr>
        <w:t>أنّ العمل بالوظائف الظاهریة یفید الإجزاء بالنسبة إلی عمل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لحکومتها علی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بالنسبة إلی عمل مقلّدیه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 فی حقّ المقلّد مطلقاً؛ سواء استند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الاصول أم إلی الأمارات؛ فإنّ مدرک العامّی فی الحکم الذی طبّق عمله علی وفقه إنّما هو رأی مرجعه و حکمه، و هو أمارة إلی تکالیفه الشرعیة، و قد أوضحنا فی مسألة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الحجّة علی تخلّف الأمارة لا یوجب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 حکمه لیست الاصول الحکمیة؛ من البراءة و الاستصحاب و الأمارات و الروایات الواردة فی حکم المسألة؛ إذ هی متوجّهة إلی الشاکّ، و العامّی لیس بشاکّ و لا بمتیقّن؛ فلا معنی لتوجّه تلک الخطابات إلیه؛ إذ هی تقصد من تفحّص عن موارد البیان، و یئس عن وروده، و العامّی لیس کذلک، و معه کیف یشمله أدلّة الاصول؟</w:t>
      </w:r>
    </w:p>
    <w:p>
      <w:pPr>
        <w:pStyle w:val="BookText"/>
        <w:rPr/>
      </w:pPr>
      <w:r>
        <w:rPr>
          <w:rFonts w:ascii="IRNazanin" w:hAnsi="IRNazanin" w:eastAsia="IRNazanin"/>
          <w:color w:val="111111"/>
          <w:sz w:val="28"/>
          <w:sz w:val="28"/>
          <w:szCs w:val="28"/>
          <w:rtl w:val="true"/>
          <w:lang w:bidi="fa-IR"/>
        </w:rPr>
        <w:t>فلا یجری فی حقّه الاصول حتّی تحرز مصداق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الدلیل عند المجتهد فی موارد الشکّ هی الاصول الجاریة لا یوجب رکون المقلِّد إلیها، بل إنّما هی یرکن إلی رأی المجتهد؛ للبناء العملی و الارتکاز الفطری، من غیر توجّه إلی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العقلاء إلی أهل الخبرة إنّما هو لأجل إلغاء احتمال الخلاف، کما هو شأن العمل بالأمارات، و قد أمضاه الشارع علی هذا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فاضمحلال الاجتهاد السابق عند المقلّد یصیر بمنزلة تخلّف الأمارة و تبیّن خطئها عند المجتهد، فکما لا یوجب ذاک الإجزاء فهکذا فی المقام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یمکن أن یشمل أدلّة الاصول العامّی و تکون مستند عمله، مع أنّ</w:t>
      </w:r>
    </w:p>
    <w:p>
      <w:pPr>
        <w:pStyle w:val="BookText"/>
        <w:rPr/>
      </w:pPr>
      <w:r>
        <w:rPr>
          <w:rFonts w:ascii="IRNazanin" w:hAnsi="IRNazanin" w:eastAsia="IRNazanin"/>
          <w:color w:val="111111"/>
          <w:sz w:val="28"/>
          <w:sz w:val="28"/>
          <w:szCs w:val="28"/>
          <w:rtl w:val="true"/>
          <w:lang w:bidi="fa-IR"/>
        </w:rPr>
        <w:t>العامّی لیس بشاکّ و لا بفاحص و لا بآیس عن البیان، کما هو الحال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المقلّد خارجاً عن مصبّ أدلّة الاصول فلما ذا یفتی المجتهد بمضمونها، و یقول للمقلِّد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بنتائجها، مع أنّها أحکام مترتّبة علی الشاکّ، و لا یتعدّی إلی غیره، و المقلّد لیس بشاکّ و لا بمتیقّن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یجوز للمجتهد الذی تمّ عنده البیان العمل بالأُصول باعتبار أنّه لیس بشاکّ، فهکذا لا یجوز للمقلِّد العمل بنتائجها؛ لخروجه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عامّ، و المجتهد نائب عنه فی فهم الخطاب و بیانه،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یرجع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الإجزاء، و هو خلاف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و إن کان خاصّاً للشاکّ إلّا أنّ المجتهد إذا کان متیقّناً بحکم اللَّه تعالی الکلّی المشترک بین جمیع العباد، ثمّ شکّ فی نسخه فما هو المشکوک لیس هو الحکم الاختصاصی، بل حکم اللَّه المشترک بین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المستصحَب إنّما هو ذاک الحکم المشترک الغیر المختصّ، فیجوز له أن یطبّق عمله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یفتی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ما أدرک إنّما هو حکم اللَّه المشترک، و ما استصحبه حکم کلّی راجع إلی جمیع العباد، و معه کیف لا یجوز له أن یفتی بمضمونه؟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یجوز إذا قامت الأمارة علی حکم اللَّه المشترک الإفتاء بمضمونه من دون غمض، فکذا إذا استصحب حکم اللَّه المشترک، أو دلّت الاصول علی عدم فعلیة ذلک الحکم المشترک، و إذا أفتی لا مناص للمقلِّد عن الأخذ به؛ للفطرة المرتکزة من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بما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الإجزاء بالنسبة إلی نفس المجتهد دون مقلّدیه، إذا استند إلی الاصول؛ لکون مستنده الاصول الحاکمة علی الواقع دون مقلِّدیه، فهم مستندون إلی الأمارة؛ أعنی رأی الغیر و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نجعجع بالقلم عن الإفاضة، حامدین شاکرین للَّه عزّ و جلّ، و قد بقی أبحاث طفیفة لم یتعرّض لها سیّدنا الاستاذ، دام ظلّه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لاح بدر تمام تلک الرسالة، و بتمامها تمّت الدورة الاصولیة فی منتصف شهر شعبان المعظّم من شهور عام ألف و ثلاثمائة و سبعین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قم، عاصمة العلم و الدین، عند جوار الحضرة الفاطمیة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أعدنا النظر علیه ثانیاً فی الدورة الأخیرة، و أضفنا إلیه ما أفاده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الدورة، و ذلک فی مختتم عام ألف و ثلاثمائة و سبعة و سبعین، و تمّ تألیفها و تبییضها و تهذیبها بید مؤلّفه محمّد جعفر السبحانی التبریزی فی الیوم الثالث من شهر شعبان، یوم میلاد الإمام الطاهر السبط علیه السلام فی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و الحمد للَّه أوّلًا و آخراً و ظاهراً و باطناً</w:t>
      </w:r>
      <w:r>
        <w:rPr>
          <w:rFonts w:eastAsia="IRNazanin" w:cs="IRNazanin"/>
          <w:color w:val="111111"/>
          <w:sz w:val="28"/>
          <w:szCs w:val="28"/>
          <w:rtl w:val="true"/>
          <w:lang w:bidi="fa-IR"/>
        </w:rPr>
        <w:t>.</w:t>
      </w:r>
      <w:bookmarkStart w:id="871" w:name="pg12912_112273"/>
    </w:p>
    <w:p>
      <w:pPr>
        <w:pStyle w:val="Heading2"/>
        <w:numPr>
          <w:ilvl w:val="1"/>
          <w:numId w:val="1"/>
        </w:numPr>
        <w:rPr/>
      </w:pPr>
      <w:bookmarkStart w:id="872" w:name="__RefHeading___Toc3425971_3224264995"/>
      <w:bookmarkStart w:id="873" w:name="_Toc326"/>
      <w:bookmarkEnd w:id="871"/>
      <w:bookmarkEnd w:id="872"/>
      <w:r>
        <w:rPr>
          <w:rtl w:val="true"/>
        </w:rPr>
        <w:t>الفهارس العامّة</w:t>
      </w:r>
      <w:bookmarkEnd w:id="873"/>
    </w:p>
    <w:p>
      <w:pPr>
        <w:pStyle w:val="Heading3"/>
        <w:numPr>
          <w:ilvl w:val="2"/>
          <w:numId w:val="1"/>
        </w:numPr>
        <w:rPr/>
      </w:pPr>
      <w:bookmarkStart w:id="874" w:name="__RefHeading___Toc3425973_3224264995"/>
      <w:bookmarkStart w:id="875" w:name="_Toc327"/>
      <w:bookmarkEnd w:id="874"/>
      <w:r>
        <w:rPr>
          <w:rtl w:val="true"/>
        </w:rPr>
        <w:t>اشارة</w:t>
      </w:r>
      <w:bookmarkEnd w:id="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bookmarkStart w:id="876" w:name="pg12912_112275"/>
    </w:p>
    <w:p>
      <w:pPr>
        <w:pStyle w:val="Heading3"/>
        <w:numPr>
          <w:ilvl w:val="2"/>
          <w:numId w:val="1"/>
        </w:numPr>
        <w:rPr/>
      </w:pPr>
      <w:bookmarkStart w:id="877" w:name="__RefHeading___Toc3425975_3224264995"/>
      <w:bookmarkStart w:id="878" w:name="_Toc328"/>
      <w:bookmarkEnd w:id="876"/>
      <w:bookmarkEnd w:id="877"/>
      <w:r>
        <w:rPr>
          <w:rtl w:val="true"/>
        </w:rPr>
        <w:t>فهرس الآیات</w:t>
      </w:r>
      <w:bookmarkEnd w:id="878"/>
    </w:p>
    <w:p>
      <w:pPr>
        <w:pStyle w:val="BookText"/>
        <w:rPr/>
      </w:pP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فَلا رَفَثَ وَ لا فُسُوقَ وَ لا جِدالَ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کُلُوا و اشرَبُوا حَتّی یَتَبَیَّنَ لکُمُ الخَیطُ الأَبیَضُ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 لا تُمْسِکُوهُنَّ ضِراراً لِتَعْتَدُوا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یُضارَّ کاتِبٌ وَ لا شَهِیْدٌ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وَ المُطَلَّقاتُ یَتَرَبَّصنَ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الدِّینَ عِنْدَ الإِسْلامُ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سَارِعُوا إلی مَغفِرةٍ مِنْ رَبِّکمْ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إِنَّمَا التَّوْبَةُ عَلَی لِلَّذِینَ یَعْمَلُونَ السُّوءَ بِجَهالَةٍ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لِلرِّجَالِ نَصِیبٌ مِمّا تَرَکَ الوالِدانِ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بَعْدِ وَصِیَّةٍ یُوصی بِها أَوْ دَیْنٍ غَیْرَ مُضارٍّ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 احِلَّ لَکُمْ مَا وَراءَ ذَلِکُمْ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 لَو کانَ مِنْ عِندِ غَیرِ لَوَجَدُوا فِیهِ اختِلافاً کَثِیراً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مَا أَرْسَلْنَا مِنْ رَسُولٍ إِلَّا لِیُطَاعَ بِإِذْنِ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حُرّمَت عَلَیکُمُ المَیتَةُ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السَّارِقُ و السَّارِقَةُ فَاقْطَعُوا أَیدِیَهُما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فَاغْسِلُوا وُجُوهَکُم وَ أَیدِیَکُم إلی المَرافِقِ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هُمُ الفاسِقُون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هُمُ الظّالِمُون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جَاءَ بِالحَسَنَةِ فَلَهُ عَشْرُ أَمثَالِهَا وَ مَنْ جَاءَ بِالسَّیئَةِ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عَلَی ما لا تَعْلَمُونَ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تَفْتَرُونَ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أَنَّ الظَّنَّ لا یُغْنِی مِنَ الْحَقِّ شَیْئاً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 إِنْ هَذَا إِلّا مَلَکٌ کَرِیمٌ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سْئَلِ الْقَرْیَةَ الَّتِی کُنّا فِیها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وَ اسْتَبَقَا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فَلا تَقُلْ لَهُما 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 لا تَقْرَبُوا الزِّنی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لَیْسَ لَکَ بِهِ عِلْمٌ إنَّ السَّمْعَ وَ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فِی الْحَیاةِ أَنْ تَقُولَ لا مِساسَ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وَ جاهِدُوا فِی حَقَّ جِهادِهِ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 تَقُولُونَ بِأَفْواهِکُمْ ما لَیْسَ لَکُمْ بِهِ عِلْمٌ وَ تَحْسَبُونَهُ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آیاتِ تُنْکِرُونَ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لِیُنْفِقْ ذُو سَعَةٍ مِنْ سَعَتِهِ وَ مَنْ قُدِرَ عَلَیْهِ رِزْقُهُ فَلْیُنْفِقْ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لا تُضارُّوهُنَّ لِتُضَیِّقُوا عَلَیْهِنَّ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bookmarkStart w:id="879" w:name="pg12912_112281"/>
    </w:p>
    <w:p>
      <w:pPr>
        <w:pStyle w:val="Heading3"/>
        <w:numPr>
          <w:ilvl w:val="2"/>
          <w:numId w:val="1"/>
        </w:numPr>
        <w:rPr/>
      </w:pPr>
      <w:bookmarkStart w:id="880" w:name="__RefHeading___Toc3425977_3224264995"/>
      <w:bookmarkStart w:id="881" w:name="_Toc329"/>
      <w:bookmarkEnd w:id="879"/>
      <w:bookmarkEnd w:id="880"/>
      <w:r>
        <w:rPr>
          <w:rtl w:val="true"/>
        </w:rPr>
        <w:t>فهرس الروایات</w:t>
      </w:r>
      <w:bookmarkEnd w:id="881"/>
    </w:p>
    <w:p>
      <w:pPr>
        <w:pStyle w:val="BookText"/>
        <w:rPr/>
      </w:pPr>
      <w:r>
        <w:rPr>
          <w:rFonts w:ascii="IRNazanin" w:hAnsi="IRNazanin" w:eastAsia="IRNazanin"/>
          <w:color w:val="111111"/>
          <w:sz w:val="28"/>
          <w:sz w:val="28"/>
          <w:szCs w:val="28"/>
          <w:rtl w:val="true"/>
          <w:lang w:bidi="fa-IR"/>
        </w:rPr>
        <w:t xml:space="preserve">ائت فقیه البلد فاستفته من أمرک، فإذا أفتاک بشی‌ء فخذ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اتّقوا الحکومة؛ فإنّ الحکومة إنّما هی للإمام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أجاز رسول اللَّه شهادة شاهد مع یمین طالب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اجعلوا بینکم رجلًا قد عرف حلالنا و حرامنا؛ فإنّی قد جعلته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اجلس فی مسجد المدینة و أفت الناس، فإنّی أحبّ أن یری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إحدی الجهالتین أهون من الاخری؛ الجهالة بأنّ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اختر للحکم بین الناس أفضل رعیتک فی نفسک ممّن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اختلاف امتی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اختلافهم نحو الحدیث، و إن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أخوک دینک فاحتط لدینک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إذا أردت حدیثاً فعلیک بهذا الجالس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إذا استیقن أنّه زاد فی صلاته المکتوبة لم یعتدّ بها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إذا اشتبه الأمر علیکم فقفوا عنده و ردّوه إلینا حتّی نشرح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إذا أصبتم بمثل هذا فلم تدروا فعلیکم الاحتیاط حتّی تسألوا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إذا کان کذلک فارجه حتّی تلقی إمامک؛ فإنّ الوقوف عند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أری لک أن تنتظر حتّی تذهب الحمرة، و تأخذ بالحائطة لدینک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اسجد فی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الإسلام یزید و لا ینقص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الإسلام یزید و لا ینقص، فورث المسلم من أخیه الیهودی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الإسلام یعلو و لا یُعلی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اشتر من رجل مسلم و لا تسأل عن شی‌ء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اغسل ثوبک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ألا و إنّ طلب العلم أوجب علیکم من طلب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أمن أجل مکان واحد یجعل فیه المیتة حرم جمیع ما فی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إنّ العلماء ورثة الأنبیاء، إنّ الأنبیاء لم یورّثوا دیناراً و لا درهماً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إنّ العلماء ورثة الأنبیاء، و ذلک أنّ الأنبیاء لم یورثوا درهماً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إنّ اللَّه احتجّ علی الناس بما آتاهم و عرّفهم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اللَّه أحلّ حلالًا و حرّم حراماً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اللَّه حرّم المیتة من کلّ شی‌ء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أنّ اللَّه سکت عن أشیاء لم یسکت عنها نسیاناً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 اللَّه کتب علیکم 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المشرکین و استحیوا شیوخهم و صبیانهم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إنّ أمر اللَّه عجیب، إلّا أنّه قد احتجّ علیکم بما عرّفکم من نفسه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زعیم الجیش، فاذهب بسریتک إلی قطر من أقطار الشام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أنتم أفقه الناس إذا عرفتم معانی کلامنا، إنّ الکلمة لتنصرف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أنّ رسول اللَّه کتب کتاباً بین المهاجرین و الأنصار و من لحق بهم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إنّ سَمُرة بن جُندب کان له عذق فی حائط لرجل من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إنّ سمرة بن جندب کان له عَذْق و کان طریقه إلیه فی جوف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إنّ عوام الیهود کانوا قد عرفوا علمائهم بالکذب الصراح، و بأکل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أنّ فضل العالم علی العابد کفضل القمر علی سائر النجوم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إنّ فی أخبارنا محکماً کمحکم القرآن، و متشابهاً کمتشابه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إن کان الوکیل أمضی الأمر الذی وکّل فیه قبل العزل فإنّ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إن کانت الاولی أخذت ماء الأخیرة لم یکن لصاحب الأخیرة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إن کان خلط الحرام حلالًا فاختلطا جمیعاً فلم یعرف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إن کان خلط الحلال بالحرام فاختلطا جمیعاً فلا یعرف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إنّک لم تستخفّ بالفأرة، و إنّما استخففت بدینک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إنّ لکلّ ملک حمی، و إنّ حمی اللَّه حلاله و حرامه، و المشتبهات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إنّما أتی شیئاً حلالًا، و لیس بعاص للَّه، إنّما عصی سیّده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إنّما علینا إلقاء الاصول و علیکم أن تفرّعوا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إنّما یحتجّ علی العباد بما آتاهم و عرّفهم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یهلک الناس لأنّهم لا یسألون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أنّ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یحتجّ علی العباد بما آتاهم و عرّفهم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أنّه یقال للعبد یوم القیامة هل علمت، فإن قال نعم قیل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إنّ هؤلاء القوم سنح لهم شیطان اغترّهم بالشبهة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أن یکون النخلة و النخلتان للرجل فی حائط الآخر، فیختلفون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إیّاکم أن یحاکم بعضکم بعضاً إلی أهل الجور، و لکن انظروا إلی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بلغنی أنّک تقعد فی الجامع فتفتی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بلی قد رکعت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تفقّهوا فی الدین؛ فإنّه من لم یتفقّه منکم فی الدین فهو أعرابی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الجدّ أولی بذلک ما لم یکن مضارّاً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حدّثنی أبی أنّ رسول اللَّه قد قضی بشاهد و یمین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الحکم ما حکم به أعدلهما و أفقههما و أصدقهما 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حلال بیّن و حرام بیّن و شبهات بین ذلک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خذوا بما رووا، و ذروا ما رأوا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خلق اللَّه الماء طهوراً لا ینجّسه شی‌ء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ذاک إلی سیّده؛ إن شاء أجازه و إن شاء فرّق بینهما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رجل قضی بالحقّ و هو لا یعلم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یطلّق حتّی إذا کادت أن یخلو أجلها راجعها، ثمّ طلّقها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النسیان، و ما اکرهوا علیه، و ما لا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روی حدیثنا و نظر فی حلالنا و حرامنا و عرف أحکامنا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فیه حلال و حرام فهو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سباب المؤمن فسوق، و قتاله کفر، و أکل لحمه من معصیة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فی سیل وادی مهزور للزرع إلی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الصلاة لا تترک بحال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الصلح جائز بین المسلمین إلّا صلحاً أحلّ حراماً أو حرّم حلالًا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صلّوا کما رأیتمونی اصلّی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طلب العلم فریضة علی کل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عاص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أزعم أنّه حرام، و قل له أن لا یفعل إلّا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عدل الإمام أن یدفع ما عنده إلی الإمام الذی بعده، و أمر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العلماء امناء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حسب أن لا یضرّ إحداهما بالأخری إن شاء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علیک بالأسدی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علینا إلقاء الاصول و علیکم التفریع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العمری ثقتی، فما أدّی إلیک عنّی فعنّی یؤدّی، و ما قال 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فارجه حتّی تلقی إمامک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فإنّ دمائکم و أموالکم علیکم حرام، کحرمة یومکم هذا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فانظر إلی ما تقضمه من هذا المقضم، فما اشتبه علیک علمه فالفظه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فأمضه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فرق من جهة و استواء من جهة؛ أمّا من حیث الاستواء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فشکّک لیس بشی‌ء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فما جری علیه الماء فقد طهر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فما یمنعک عن محمّد بن مسلم الثقفی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فهمت ما ذکرتما، فاصمدا فی دینکما علی کلّ مسنّ فی حبّنا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فیا عجبا، و ما لی لا أعجب من خطأ هذه الفرق علی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الغنم السائمة زکاة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قال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حلالی حلال إلی یوم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تبیّن لک رشده فاتّبعه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قال رسول اللَّه إنّما أقضی بینکم بالبیّنات و الأیمان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القراءة سنّة و التشهّد سنّة، و لا تنقض السنّة الفریضة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قضی رسول اللَّه بالشفعة بین الشرکاء فی الأرضین و المساکین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قضی رسول اللَّه بین أهل المدینة فی مشارب النخل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رسول اللَّه فی أهل البوادی أن لا یمنعوا فضل ماء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قضی النبی فی رجل باع نخلًا و استثنی علیه نخلة، فقضی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إذا وقعت بینکم خصومة أو تداری فی شی‌ء 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کان رسول اللَّه إذا أراد أن یبعث سریة دعاهم، فاجلسهم بین یدیه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کان رسول اللَّه یحکم بین الناس بالبیّنات و الإیمان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کان رسول اللَّه یقضی بشاهد واحد مع یمین صاحب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کان لسمرة بن جندب نخلة فی حائط بنی فلان، فکان إذا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کفّ و اسکت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یسعکم فیما ینزل بکم ممّا لا تعلمون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کلّ شی‌ء طاهر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کلّ شی‌ء فیه حلال و حرام فهو لک حلال حتّی تعرف الحرام بعینه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کلّ شی‌ء لک حلال حتّی تعرف أنّه حرام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کلّ شی‌ء لک حلال حتّی تعلم أنّه حرام بعینه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کلّ شی‌ء لک حلال حتّی یجیئک شاهدان یشهدان أنّ فیه میتة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کلّ شی‌ء مطلق حتّی یرد فیه نهی أو أمر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کلّ شی‌ء نظیف حتّی تعلم أنّه قذر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کلّ ما اضطرّ إلیه ابن آدم فقد أحلّه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ما کان فیه حلال و حرام فهو لک حلال حتّی تعرف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الکمال کلّ الکمال التفقّه فی الدین، و الصبر علی النائبة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لا إخصاء فی الإسلام و لا بنیان کنیسة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لا إیلاء حتّی یدخل 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أمّا إذا کان بجهالة فلیتزوّجها بعد ما تنقضی عدّتها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لا بأس به حتّی یعرف الحرام بعینه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لا، بل علیهما أن یجزی کلّ واحد منهما جزاء الصید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لا تجتمع امّتی علی الضلالة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لا تصلّ فیما لا یؤکل لحمه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لا تصلّ فی وبر ما لا یؤکل لحمه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لا تقتلوا القوم حتّی یبدؤکم؛ فإنّکم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لا تلبس الحریر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لا جلب و لا جنب و لا اعتراض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لا جَلَب و لا جَنَب و لا شِغار فی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لا حمی إلّا ما حمی اللَّه و 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لا حمی فی الأراک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حمی فی الإسلام و لا مُناجشة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لا سبق إلّا فی خُفّ أو حافر أو نصل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لا سهو فی سهو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لا سهو فی نافلة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لا سهو لمن أقرّ علی نفسه بسهو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سهو مع حفظ الإمام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لا شکّ لکثیر الشکّ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لا صرورة فی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لا صُمات یوم إلی اللیل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لا ضرر و لا ضرار علی مؤمن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لا ضرر و لا ضرار فی الإسلام، فالإسلام یزید المسلم خیراً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لا طلاق إلّا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شاهدین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طلاق إلّا علی طهر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طلاق إلّا ما ارید به الطلاق و لا ظهار إلّا ما ارید به الظهار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طلاق فیما لا تملک، و لا عتق فیما لا تملک، و لا بیع فیما لا تملک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طلاق قبل النکاح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طلاق للسکران الذی لا یعقل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ظهار إلّا فی طهر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لا عتق قبل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غشّ بین المسلمین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لا نذر فیما لا یملکه ابن آدم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لا نذر فی معصیة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لا نکاح للعبد و لا طلاق إلّا بإذن مولاه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لأنّک کنت علی یقین من طهارتک فشککت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لأنّه زاد فی فرض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لا ورع کالوقوف عند الشبهة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لا هجر بین المسلمین فوق ثلاثة أیّام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لا یترک، و ذلک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یترک الصلاة بحال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لا یُتم بعد احتلام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یحلّ لأحد أن یتصرّف فی مال غیره بغیر إذنه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لا یحلّ لأحد أن یتصرّف فی مال غیره بغیر إذنه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لا یمین إلّا باللَّه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لا یمین فی استکراه و لا علی سکر و لا علی معصیة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یمین فی قطیعة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یمین فیما لا یبذل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لا یمین فی معصیة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لا یمین للولد مع والده و لا للمملوک مع مولاه، و لا للمرأة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لا یمین لمکره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لا ینبغی للرجل أن یطلّق امرأته ثمّ یراجعها، و لیس فیه حاجة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لا ینبغی للرجل أن یمتنع من جماع المرأة، فیضارّ بها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لصاحب الدرهمین خمس ما بلغ،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الرأس و الجلد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لقد سألتنی عن طعام یعجبنی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لو أنّ رجلًا ورث من أبیه مالًا، و قد عرف أنّ فی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لو أنّ رجلًا تزوّج بجاریة رضیعة، فأرضعتها امرأته فسد النکاح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لو أنّ العباد إذا جهلوا وقفوا و لم یجحدوا لم یکفروا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لو کان الأمر إلینا أجزنا شهادة الرجل الواحد إذا علم منه خیر مع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لو لا أن أشقّ علی امّتی لأمرتهم بالسواک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اللهمّ العن بنی امیة قاطبة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لیس یُجبر علی ذلک، إلّا أن یکون وجب ذلک لصاحب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الواجد یحلّ عقوبته و عرضه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ما أدّیا إلیک عنّی فعنّی یؤدّیان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الماء إذا بلغ قدر کرّ لم ینجّسه 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الماء کلّه طاهر حتّی تعلم أنّه قذر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متی لبست قمیصک، أبعد ما لبّیت أم قبل؟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مجاری الامور و الأحکام علی أیدی العلماء باللَّه، الامناء علی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مطل الغنی ظلم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المطلّقة الحبلی یُنفق علیها حتّی تضع حملها، و هی أحقّ بولدها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معاشر الناس ما یقرّبکم إلی الجنّة و یبعّدکم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المغصوب کلّه مردود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 أوصی و لم یحفِ و لم یضارّ کان کمن تصدّق فی حیاته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من تحاکم إلیهم فی حقّ أو باطل فإنّما تحاکم إلی الطاغوت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من ردّ متشابه القرآن إلی محکمه فقد هدی إلی صراط 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من زاد فی صلاته فعلیه الإعادة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من زکریا بن آدم القمّی المأمون علی الدین و الدنیا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من سلک طریقاً یطلب فیه علماً سلک اللَّه به طریقاً إلی الجنّة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من منع فضل الماء لیمنع به الکلاء منعه اللَّه فضل رحمته یوم القیامة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من وکّل رجلًا علی إمضاء أمر من الامور فالوکالة ثابتة أبداً حتّی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عند شروطهم إلّا ما حرّم حلالًا أو أحلّ حراماً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نعم، إذا انقضت عدّتها فهو معذور فی أن یتزوّجها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الوکیل إذا وکّل، ثمّ قام عن المجلس فأمره ماضٍ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و اجلس لهم العصرین فأفت المستفتی و علّم الجاهل و ذاکر العالم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و إلّا فإنّه علی یقین من وضوئه، و لا ینقض الیقین بالشکّ أبداً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 إن کان رسول اللَّه لم یقله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أمّا الحوادث الواقعة فارجعوا فیها إلی رواة حدیثنا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و أمر اختلف فیه، فردّه إلی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ضرر و لا ضرار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 قضی رسول اللَّه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الاولی أخذت ماء الأخیرة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الوقوف عند الشبهات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الوقوف فی الشبهة خیرٌ من الاقتحام فی الهلکة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 کلّ شی‌ء أمسسته الماء فقد انقیته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 لا شفعة إلّا لشریک غیر مقاسم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و لکنّه ینقض الشکّ بالیقین، و یتمّ علی الیقین فیبنی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 ما خالف کتاب اللَّه فدعوه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 ما لم تجدوه فی شی‌ء من هذه الوجوه فردّوا إلینا علمه فنحن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 من أضرّ بامرأة، حتّی تفتدی منه نفسها لم یرض اللَّه 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ضارّ مسلماً فلیس منّا، و لسنا منه فی الدنیا و الآخرة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و یجعلها فریضة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ویحک و ما یؤمنک أن أقول نعم؟ و اللَّه لو قلت نعم لوجب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هذا و أشباهه یعرف من کتاب اللَّه؛ قال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هو حین یتوضّأ أذکر منه حین یشکّ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یا أخا عبد قیس، إن وضح لک أمر فاقبله، و إلّا فاسکت تسلم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یا بنیّ دع القول فیما لا تعرف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یا زرارة قاله رسول اللَّه و نزل به الکتاب عن اللَّه عزّ و جلّ،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یتقاسمان بحقائب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یتّقی اللَّه، و یعمل فی ذلک بالمعروف، و لا یضرّ أخاه المؤمن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یرجئه حتّی یلقی من یخبره، فهو فی سعة حتّی یلقاه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ینظر إلی ما کان من روایتهم عنّا فی ذلک الذی حکما به 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ینظران إلی من کان منکم ممّن قد روی حدیثنا و نظر فی حلالنا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ینظر ما وافق حکمه حکم الکتاب و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882" w:name="pg12912_112295"/>
    </w:p>
    <w:p>
      <w:pPr>
        <w:pStyle w:val="Heading3"/>
        <w:numPr>
          <w:ilvl w:val="2"/>
          <w:numId w:val="1"/>
        </w:numPr>
        <w:rPr/>
      </w:pPr>
      <w:bookmarkStart w:id="883" w:name="__RefHeading___Toc3425979_3224264995"/>
      <w:bookmarkStart w:id="884" w:name="_Toc330"/>
      <w:bookmarkEnd w:id="882"/>
      <w:bookmarkEnd w:id="883"/>
      <w:r>
        <w:rPr>
          <w:rtl w:val="true"/>
        </w:rPr>
        <w:t>فهرس مصادر التحقیق</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عشریة فی الصلاة الیومیة، الشیخ محمّد بن حسین العاملی المعروف بالشیخ البهائی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الحسون، قم، مکتبة آیة اللَّه المرعشی،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رسائل فقهیة و 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المفید،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التقریرات، السیّد أبو القاسم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بحث المحقّق النائینی، قم، مکتبة المصطفوی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أهل اللّجاج،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اسوة،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المقدّسة، 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الشیخ محمّد بن حسین العاملی المعروف بالشیخ البهائی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قم، مؤسسة النشر الإسلامی،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الطالبین إلی نهج المسترشدین، جمال الدین مقداد بن عبد اللَّه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الهدایة فی التعلیقة علی الکفایة،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الوسائل فی شرح الرسائل، المیرزا موسی بن جعفر بن المولی أحمد التبریزی، الطبعة الحجریة، طهران، دار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فی شرح إشکالات القواعد، فخر المحقّقین الشیخ أبو طالب محمّد بن الحسن بن یوسف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العلّامة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الفوائد فی شرح الفرائد، العلّامة میرزا محمّد حسن الآشتیانی، الطبعة الحجریة، قم، مکتبة آیة اللَّه المرعشی،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الشیخ هاشم الآملی، تقریرات المحقّق العراقی، الطبعة الحجریة،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السیّد هاشم بن سلیمان بن إسماعیل بن عبد الجواد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قم، دار الکتب العلمیة،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جلال الدین السیوطی، مع تعلیقة مصطفی الحسینی الدشتی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السیّد محمّد مرتضی الزبیدی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نشر دار 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 أحمد حبیب قصیر العاملی،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الاعتقاد، أبو جعفر محمّد بن محمّد بن الحسن نصیر الدین الطوسی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جواد الحسینی الجلالی، قم، مکتب الإعلام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 بهمنیار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الشهید مرتضی المطهری، طهران، مؤسسة دانشگاه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علیهم السلام، أبو محمّد بن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جمال الدین حسن بن یوسف بن المطهّر، 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الاصول، الشیخ علی بن فتح اللَّه النهاوندی، الطبعة الحجریة،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الترجیح،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رُرح الجنان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w:t>
      </w:r>
    </w:p>
    <w:p>
      <w:pPr>
        <w:pStyle w:val="BookText"/>
        <w:rPr/>
      </w:pPr>
      <w:r>
        <w:rPr>
          <w:rFonts w:ascii="IRNazanin" w:hAnsi="IRNazanin" w:eastAsia="IRNazanin"/>
          <w:color w:val="111111"/>
          <w:sz w:val="28"/>
          <w:sz w:val="28"/>
          <w:szCs w:val="28"/>
          <w:rtl w:val="true"/>
          <w:lang w:bidi="fa-IR"/>
        </w:rPr>
        <w:t xml:space="preserve">علی بن محمّد بن أحمد الخزاعی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الحاج المیرزا أبی الحسن الشعرانی، طهران، 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أبو النضر محمّد بن مسعود بن محمّد بن عیّاش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أبو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السیّد الطیب الموسوی الجزائری، الطبعة الثالثة، قم، دار الکتاب،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محمّد بن عمر الخطیب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إلی الإمام العسکری علیه السلام، تحقیق مدرسة الإمام المهدی علیه السلام، قم، مطبعة مهر،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الشیخ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هاشم الرسولی المحلاتی، قم،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المجدّد الشیرازی، الشیخ علی الروزدری، قم، مؤسسة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الاصول، حسین التقوی الاشتهاردی، تقریرات بحث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الشیخ عبد اللَّه بن محمّد حسن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قم، بالأُوفست عن طبعة النجف الأشرف، المطبعة المرتضویة،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أبو جعفر محمّد بن علی بن الحسین بن بابویه القمّی،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و السیّد هاشم الحسینی الطهرانی، قم، مؤسسة النشر الإسلامی،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السیّد حسن الموسوی الخرسان، طهران، دار الکتب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أبو جعفر بن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الصدوق،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المیرزا أبو القاسم بن الحسن الجیلانی المحقّق القمّی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عبد العلیم البردونی،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المحقّق الثانی علی بن الحسین بن عبد العالی الکرکی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لإحیاء التراث، قم، مؤسسة آل البیت علیهم السلام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أو الأشعثیات 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یرویه أبو علی محمّد بن محمّد الأشعث، طهران، مکتبة نینوی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الشیخ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عدة من الفضلاء، الطبعة السادسة، طهران، دار الکتب الإسلامیة</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النضید فی شرح کتاب التجرید، العلّامة الحلّی جمال الدین حسن بن یوسف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بیدار،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تهذیب المنطق، المولی عبد اللَّه بن شهاب الدین الحسین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فرائد الاصول، الحاج آقا رضا بن محمّد هادی الهمدانی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کفایة الاصول، الشیخ علی القوچانی، قم، مکتبة الوجدانی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کفایة الاصول، المیرزا أبو الحسن المشکینی، قم، منشورات دار الحکمة،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المکاسب، الشیخ محمّد حسین الغروی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قم، دار الذخائر،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المکاسب، الشیخ میرزا علی الإیروانی الغروی، الطبعة الثانیة، طهران، مطبعة رشدیة،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المکاسب، العلّامة 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قم، مؤسسة إسماعیلیان،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أحکام العترة الطاهرة، الشیخ یوسف بن أحمد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فی الأسفار العقلیة الأربعة، صدر المتألهین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المحقّق الحائری، الطبعة الاولی، قم، مطبعة مهر،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الشیخ عبد الکریم الحائری الیزدی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فی حاشیة علی الفرائد، الآخوند محمّد کاظم الهروی الخراسانی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الطبع و النشر التابعة لوزارة الثقافة و الإرشاد الإسلامی،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اللآلی، الشیخ محمّد بن علی الأحسائی، مخطوط فی المکتبة المرعشیة تحت رقم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النجفیة، یوسف بن أحمد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النثیر، الحافظ عبد الرحمن السیوطی، القاهرة، دار المعارف،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فی فقه الإمامیة، الشهید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القاضی نعمان بن محمّد بن منصور بن أحمد بن حیّون التمیمی المغربی، قم، مؤسسة آل البیت علیهم السلام لإحیاء التراث، بالأُوفست عن طبعة القاهرة، دار المعارف،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الفرزدق، أبو فراس همّام بن غالب الملقب بالفرزدق، قدم له مجید طراد، الطبعة الثالثة، بیروت، دار الکتاب العربی،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فی شرح الإرشاد، المحقّق السبزواری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 قم،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اصول الشریعة، أبو القاسم علی بن الحسین الموسوی،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أبو القاسم گرجی، الطبعة الاولی، طهران، جامعة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فی أحکام الشریعة، الشهید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أبو العباس أحمد بن علی بن أحمد النجاشی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موسی الشبیری الزنجانی، الطبعة الاولی، قم، 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أبو القاسم علی بن الحسین الموسوی المعروف بالشریف المرتضی و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العشرة،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الفشارکیة، السیّد محمّد الطباطبائی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بمناسبة الذکری المئویة الثانیة لمیلاد الشیخ الأنصاری،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المحشی،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المصطفوی، مخطوط،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بعض الأفاضل إلی علماء مدینة السلام، ضمن رسائل الشیخ الرئیس أبی علی الحسین بن عبد اللَّه بن سینا، قم، مکتبة بیدار</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الصلاة فی المشکوک، المیرزا محمّد حسین الغروی النائینی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شرحها الشیخ جعفر الغروی النائینی، قم، مؤسسة آل البیت علیهم السلام لإحیاء التراث،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فی بیان أحکام الشرع بالدلائل، السیّد علی بن محمّد علی الطباطبائی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الاصول، الشیخ محمّد بن حسین العاملی المعروف بالشیخ البهائی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أبو جعفر محمّد بن منصور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قم، مؤسسة النشر الإسلامی،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أبو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فؤاد عبد الباقی،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أبو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الجنان،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أبو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محمّد شاکر،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علی بن عمر الدارقطنی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أبو محمّد عبد اللَّه بن عبد الرحمن السمرقندی الدارمی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أبو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أبو عبد الرحمن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 الحرام، المحقّق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علی ألفیة ابن مالک، عبد اللَّه بن عقیل العقیلی الهمدانی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المکتبة التجاریة،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و التنبیهات، المحقّق نصیر الدین محمّد بن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الکتاب،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العقائد، علاء الدین علی بن محمّد القوشجی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الرضی و بیدار،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الشمسیة، قطب الدین محمّد بن محمّد الرازی البویهی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إیران، الطبعة الحجریة،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العضدی علی مختصر ابن الحاجب، عبد الرحمن بن أحمد بن عبد الغفار، تصحیح أحمد رامز الشهیر بشهری المدرس،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محمّد داود القیصری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سید جلال الدین الآشتیانی، طهران،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الکافیة فی النحو، رضی الدین محمّد بن الحسن الأسترآبادی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المطالع، قطب الدین محمّد بن محمّد الرازی البویهی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الکتبی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مسعود بن عمر بن عبد اللَّه المعروف بسعد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الرحمن عمیرة، الطبعة الاولی، قم، منشورات الرضی،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المنظومة، المولی هادی بن مهدی السبزواری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السادسة،</w:t>
      </w:r>
    </w:p>
    <w:p>
      <w:pPr>
        <w:pStyle w:val="BookText"/>
        <w:rPr/>
      </w:pPr>
      <w:r>
        <w:rPr>
          <w:rFonts w:ascii="IRNazanin" w:hAnsi="IRNazanin" w:eastAsia="IRNazanin"/>
          <w:color w:val="111111"/>
          <w:sz w:val="28"/>
          <w:sz w:val="28"/>
          <w:szCs w:val="28"/>
          <w:rtl w:val="true"/>
          <w:lang w:bidi="fa-IR"/>
        </w:rPr>
        <w:t xml:space="preserve">قم، مکتبة العلّامة،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السیّد الشریف 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السیّد محمّد بدر الدین النسعانی، قم، منشورات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بالأُوفست عن طبعة مصر،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الشیخ الرئیس أبو علی حسین بن عبد اللَّه 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الإلهام فی شرح تجرید الکلام، المولی عبد الرزاق بن علی بن الحسین اللاهیجی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نشر مهدوی،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الربوبیة فی المناهج السلوکیة، محمّد بن إبراهیم صدر الدین الشیرازی المعروف بصدر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 و تصحیح السیّد جمال الدین الآشتیانی، الطبعة الثانیة، مشهد، مرکز نشر دانشگاهی،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عبد الغفور عطّار، الطبعة الثانیة، بیروت، دار العلم للملایین،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أبو عبد اللَّه محمّد بن إسماعیل البخاری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الشیخ قاسم الشمّاعی الرفاعی، الطبعة الاولی، بیروت، دار القلم،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أبو 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فؤاد عبد الباقی، الطبعة الثانیة، بیروت،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بمناسبة الذکری المئویة الثانیة لمیلاد الشیخ الأنصاری،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المحقّق الشیخ عبد الکریم الحائری الیزدی المهرجردی المیبدی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الاصول، السیّد إبراهیم القزوینی،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 الإرادة،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الشیخ محمّد الفاضل اللنکرانی، تقریرات بحث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بمناسبة الذکری المئویة الثانیة لمیلاد الشیخ الأنصاری،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فی اصول الفقه،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رضا الأنصاری القمّی، قم، مطبعة ستارة،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تعلیقات أعلام العصر و مراجع الشیعة الإمامیة، الطبعة الثالثة، طهران، المکتبة العلمیة الإسلامیة،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النجف الأشرف، المکتبة الحیدریة،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العزیزیة فی الأحادیث الدینیة، محمّد بن علی بن إبراهیم الأحسائی، 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العراقی، الطبعة الاولی، قم، مطبعة سید الشهداء،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السیّد مهدی الحسینی اللاجوردی، الطبعة الثانیة، منشورات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العوائد من درر الفوائد، المیرزا محمّد الثقفی الطهرانی، چاپخانه حیدری،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النزوع إلی علم الاصول و الفروع، السیّد حمزة بن علی بن زهرة الحلبی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 البهادری، الطبعة الاولی، قم، مؤسسة الإمام الصادق علیه السلام،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بمناسبة الذکری المئویة الثانیة لمیلاد الشیخ الأنصاری،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الاصول الفقهیّة، الشیخ محمّد حسین بن عبد الرحیم الطهرانی الأصفهانی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إحیاء العلوم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علیه السلام، تحقیق مؤسسة آل البیت علیهم السلام لإحیاء التراث، الطبعة الاولی، مشهد، المؤتمر العالمی للإمام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بن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طهران،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الآخوند الخراسانی المولی محمّد کاظم بن حسین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سید مهدی شمس الدین، طهران، وزارة الإرشاد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الشیخ محمّد علی الکاظمی الخراسانی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بحث المیرزا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صادق بحر العلوم، قم، مکتب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الطوسیة، الشیخ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 محمّد أمین الأسترآبادی،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شیخ الشریعة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و القابوس الوسیط، أبو طاهر مجد 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میر محمّد باقر بن شمس الدین محمّد 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انتشارات دانشگاه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لإحیاء التراث، الطبعة الاولی، قم، مؤسسة آل البیت علیهم السلام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الحاج میرزا محمّد حسن الآشتیانی، قم، منشورات دار الهجرة</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فی مسائل الحلال و الحرام، العلّامة الحسن بن یوسف بن علی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میرزا أبو القاسم القمّی بن المولی محمّد حسین الجیلانی المعروف بالمیرزا القمّی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الأوّل، الطبعة الحجریة، طهران، المکتبة العلمیة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المجلّد الثانی، المطبوع فی دار الخلافة، طهران، باهتمام محمّد مهدی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ثقة الإسلام أبو جعفر محمّد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الطبعة الثالثة، طهران، دار الکتب الإسلامیة،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سلیم بن قیس الکوفی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عن خفیّات مبهمات الشریعة الغرّاء، الشیخ جعفر بن خضر المعروف بکاشف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منشورات المهدوی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العلّامة الحلّی، جمال الدین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حسن حسن زاده الآملی، الطبعة الاولی، قم، مؤسسة النشر الإسلامی،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الآخوند الخراسانی المولی محمّد کاظم بن حسین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طهران، مکتبة الصدوق،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الأفعال،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أبو الفتح محمّد بن علی بن عثمان الکراجکی، قم، دار الذخائر،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بالأُوفست عن طبعة البولاق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الاصول،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بحث السیّد المحقّق حسین البروجردی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المشرقیة فی علم الإلهیات و الطبیعیات، محمّد بن عمر الخطیب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قم، مکتبة بیدار،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شمس الدین السرخسی الحنفی محمّد بن أحمد 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بالأُوفست عن طبعته السابقة،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الإمامیة، أبو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المرتضویة لإحیاء الآثار الجعفریة،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النیّرین، فخر الدین الطریحی،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مکتبة الهلال،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أبو علی أمین الإسلام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هاشم الرسولی المحلّاتی،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فی شرح إرشاد الأذهان، أحمد بن محمّد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قم، مؤسسة النشر الإسلامی،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أبو زکریا یحیی بن شرف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جلال الدین الحسینی، المحدّث الارموی، الطبعة الثانیة، قم،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فی علم اصول الفقه، محمّد بن عمر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المکتبة العصریة،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فی أحکام الشریعة، العلّامة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فی شرح شرائع الإسلام، السیّد محمّد بن علی الموسوی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قم، مؤسسة آل البیت علیهم السلام لإحیاء التراث،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العلّامة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إلی تنقیح شرائع الإسلام، زین الدین بن علی العاملی الجبعی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الحاج المیرزا حسین المحدّث النوری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لإحیاء التراث، الطبعة الاولی، قم، مؤسسة آل البیت علیهم السلام لإحیاء التراث،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المستصفی فی علم الاصول، 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الذخائر،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بالأُوفست عن المطبعة الأمیریة بمصر،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فی أحکام الشریعة،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قم، مؤسسة آل البیت علیهم السلام لإحیاء التراث،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الإمام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الحدیث،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آقا حسین بن جمال الدین محمّد الخوانساری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الحاج آقا رضا بن محمّد هادی الهمدانی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أحمد بن محمّد بن علی المقری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دار الهجرة،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الأنظار، الشیخ أبو القاسم الکلانتری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بحث الشیخ الأعظم الأنصاری، قم، مؤسسة آل البیت علیهم السلام لإحیاء التراث، 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العالیة من العلم الإلهی، محمّد بن عمر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المطوّل فی شرح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بن عمر بن عبد اللَّه المعروف بسعد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العلمیة الإسلامیة،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الاصول، المحقّق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السیّد محمّد حسین الرضوی، الطبعة الاولی، قم، مؤسسة آل البیت علیهم السلام لإحیاء التراث،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منصور جمال الدین 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قم، مؤسسة النشر الإسلامی،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المحقّق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سیّد الشهداء علیه السلام،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الاصول، الشیخ محمّد الفاضل اللنکرانی، تقریرات بحث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فی اصول الفقه، أبو الحسین محمّد بن علی بن الطیّب البصری المعتزلی، بیروت، دار الکتب العلمیة،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الحافظ 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أبو محمّد عبد اللَّه بن أحمد بن محمّد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عن کتب الأعاریب، ابن هشام أبو محمّد عبد اللَّه بن یوسف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سیّد الشهداء علیه السلام،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الاصول، السیّد محمّد الطباطبائی، قم، مؤسسة آل البیت علیهم السلام لإحیاء التراث، بالأُوفست عن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 یوسف بن أبی بکر محمّد بن علی السکاکی،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الاصول، الشیخ ضیاء الدین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الفکر الإسلامی،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الإمام الهادی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الأعظم مرتضی بن محمّد أمین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بمناسبة الذکری المئویة الثانیة لمیلاد الشیخ الأنصاری،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أبو جعفر رشید الدین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محمّد حسین دانش الآشتیانی و السیّد هاشم الرسولی المحلّاتی، قم، مکتبة العلّامة</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الأحکام و الاصول، أحمد بن محمّد مهدی أبی ذر النراقی،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إلی علم الاصول، الإمام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تنظیم و نشر آثار الإمام الخمینی قدس سره،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فی تحقیق المذهب، العلّامة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و الأعلام، اشترک فی تألیفه عدّة من المحقّقین، بیروت، دار المشرق،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المنخول من تعلیقات الاصول، 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حسن هیتو، الطبعة الثالثة، بیروت، دار الفکر،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شرح المکاسب، الشیخ موسی بن محمّد النجفی الخوانساری، تقریرات أبحاث استاذه الشیخ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أطراف الحدیث النبوی الشریف، إعداد أبو هاجر محمّد السعید بن بسیونی زغلول، بیروت، عالم التراث،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القاسم علی بن الحسین الموسوی المعروف بالشریف المرتضی و علم الهدی، قم، مکتبة آیة اللَّه المرعشی،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محمّد بن الحسن الطوسی، 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حسینعلی المنتظری، قم، نشر تفکّر،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الأفکار، الشیخ محمّد تقی البروجردی النجفی، تقریرات بحث المحقّق آغا ضیاء</w:t>
      </w:r>
    </w:p>
    <w:p>
      <w:pPr>
        <w:pStyle w:val="BookText"/>
        <w:rPr/>
      </w:pPr>
      <w:r>
        <w:rPr>
          <w:rFonts w:ascii="IRNazanin" w:hAnsi="IRNazanin" w:eastAsia="IRNazanin"/>
          <w:color w:val="111111"/>
          <w:sz w:val="28"/>
          <w:sz w:val="28"/>
          <w:szCs w:val="28"/>
          <w:rtl w:val="true"/>
          <w:lang w:bidi="fa-IR"/>
        </w:rPr>
        <w:t xml:space="preserve">الدین العراقی، 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الشیخ محمّد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لإحیاء التراث، الطبعة الاولی، قم، مؤسسة آل البیت علیهم السلام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مجدّد الدین أبو السعادات المبارک بن محمّد الجزری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کلام مولانا أمیر المؤمنین علیه السلام، الشریف الرضی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الدکتور صبحی الصالح، قم، دار الهجرة،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محمّد بن المرتضی المولی محسن المعروف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أصفهان، مکتبة الإمام أمیر المؤمنین علیه السلام،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فی اصول الفقه، المولی عبد اللَّه بن محمّد البشروی الخراسانی المعروف بالفاضل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حسین الرضوی الکشمیری، قم، مجمع الفکر الإسلامی،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مسائل الشریعة، الشیخ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الأذهان، الشیخ أبو المجد محمّد رضا النجفی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فی شرح معالم الدین، الشیخ محمّد 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 علیهم السلام لإحیاء التراث، بالأُوفست عن الطبعة الحجریة</w:t>
      </w:r>
      <w:r>
        <w:rPr>
          <w:rFonts w:eastAsia="IRNazanin" w:cs="IRNazanin"/>
          <w:color w:val="111111"/>
          <w:sz w:val="28"/>
          <w:szCs w:val="28"/>
          <w:rtl w:val="true"/>
          <w:lang w:bidi="fa-IR"/>
        </w:rPr>
        <w:t>.</w:t>
      </w:r>
      <w:bookmarkStart w:id="885" w:name="pg12912_112317"/>
    </w:p>
    <w:p>
      <w:pPr>
        <w:pStyle w:val="Heading3"/>
        <w:numPr>
          <w:ilvl w:val="2"/>
          <w:numId w:val="1"/>
        </w:numPr>
        <w:rPr/>
      </w:pPr>
      <w:bookmarkStart w:id="886" w:name="__RefHeading___Toc3425981_3224264995"/>
      <w:bookmarkStart w:id="887" w:name="_Toc331"/>
      <w:bookmarkEnd w:id="885"/>
      <w:bookmarkEnd w:id="886"/>
      <w:r>
        <w:rPr>
          <w:rtl w:val="true"/>
        </w:rPr>
        <w:t>فهرس المحتویات</w:t>
      </w:r>
      <w:bookmarkEnd w:id="887"/>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العملیة القول فی البراءة 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حالات المکلّف و ذکر مجاری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تقدیم الأمارات علی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مناط البحث فی جمیع أقسام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حول استدلال الاصولیّین علی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الاستدلال بالآیات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الاستدلال بالروایات علی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للشبهات الحکمیة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الرفع 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حکومة حدیث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المصحّح لإسناد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للُامور العدمیة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للأجزاء و الشرائط و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نسیان الجزء و الشرط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نسیان الأسباب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الاضطرار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رافعیة الإکراه بالمعنی الأخصّ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العبادة بالحدیث عند الشکّ فی المانعیة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الصمد بن بشیر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ابن الطیّار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بن عمر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فی معنی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بالإجماع و العقل علی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جولة حول وجوب دفع الضرر المحتمل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حول استدلال الأخباریّین علی وجوب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الاستدلال بالآیات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الاستدلال علی وجوب الاحتیاط بالسنّة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الاستدلال علی وجوب الاحتیاط بالدلیل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استدلال عقلی آخر للأخباری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الحظر</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تنبیهات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الأصل الموضوعی علی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حول أصالة عدم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صور الشکّ فی حلّیة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الاحتمالات فی حقیقة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مقتضی الأصل فی الاحتمالات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أصالة عدم التذکیة فی الشبهة الحکمیة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کلام المحقّق الحائری فی المقام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حول استصحاب العدم الأزلی عند الشکّ فی القابلیة للتذکیة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بیان اعتبارات القضایا السالبة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التحقیق فی جریان أصالة عدم التذکیة فی المحتملات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تفصیل المحقّق الهمدانی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أصالة عدم التذکیة فی الشبهة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إشکال الاحتیاط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تصحیح عبادیة الشی‌ء بأوامر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الاستدلال لإمکان الاحتیاط بأخبار من بلغ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القول فی مفاد أخبار من بلغ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استفادة الاستحباب الشرعی من أخبار من بلغ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المحذورین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مقتضی الأصل فی تساوی المحذورین من حیث الأهمیة مع وحدة 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جریان الأصل العقلی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جریان الأصل الشرعی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مقتضی الأصل فی اختلاف المحذورین من حیث الأهمیة مع وحدة 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هل التخییر فی صورة تعدّد الواقعة بدوی أو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تتمیم فی دوران الأمر بین المحذورین فی التعبّدیات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القول فی الشکّ فی المکلّف به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المتباینین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ضابط الشکّ فی المکلّف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تنقیح محلّ النزاع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تقیید الأدلّة الواقعیة بجواز الترخیص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الکلام فی المخالفة القطعیة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یقع البحث فی جهتین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الترخیص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الترخیص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مقالة الشیخ فی وجه عدم جریان الاصول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تفصیل المحقّق النائینی بین الاصول التنزیلیة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الکلام فی الموافقة القطعیة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جواز الترخیص فی بعض أطراف العلم الإجمالی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جواز الترخیص فی بعض أطراف العلم الإجمالی إثباتاً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حول استفادة الترخیص فی بعض الأطراف من الأدلّة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الحائری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حول رجوع الترخیص فی البعض إلی جعل البدلیة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تنجیز العلم الإجمالی فی التدریجیات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اضطرّ إلی أحد الأطراف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الاضطرار إلی بعض الأطراف المعیّن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الاضطرار إلی بعض الأطراف الغیر المعیّن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المحقّق الخراسانی فی الکتاب و هامشه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شرطیة الابتلاء لتنجیز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الفرق بین الخطابات القانونیة و الشخصیة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مقتضی الأصل عند الشکّ فی الخروج عن محلّ الابتلاء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توضیح حالها فی ضمن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تنقیح محلّ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عدم وجوب الاحتیاط فی الشبهة 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ضابط الشبهة 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مخالفة القطعیة فی الشبهة التحریمیة الغیر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 حکم الشکّ البدوی عن بعض الأطراف الغیر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الشبهة الوجوبیة الغیر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ملاقی الشبهة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تحقیق الحال فیه فی ضمن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ملاقی النجس بعنوانه من 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الملاقاة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فی 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الأصل العقلی فی صور الملاقاة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الأصل الشرعی فی صور الملاقاة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فذلکة البحث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شبهة التفکیک بین قاعدتی الطهارة و الحلّ فی الملاقی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شیخنا العلّامة من الجواب حول الشبهة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عند الشکّ فی نجاسة الملاقی بعنوانه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الاحتیاط عند الجهل بالموضوع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النیة لو کان المعلوم بالإجمال من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لو کان المعلوم بالإجمال واجبین مترتبین شرعاً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و الأکثر الارتباطیین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تنقیح المقال یتوقّف علی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الأقل و الأکثر الاستقلالیین و الارتباطیین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 المحتملة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یقع الکلام فی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الأقلّ و الأکثر من قبیل الکلّ و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بیان امور لجریان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تقریب جریان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الإشکالات الثمانیة علی جریان البراءة العقلیة عن الأکثر و دفعها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جریان البراءة الشرعیة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الأقلّ و الأکثر من قبیل المطلق و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 الأکثر فی الأسباب و المحصّلات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بیان الحقّ فی الأسباب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عدم جریان البراءة فی الأسباب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الموضوعیة من الأقلّ و الأکثر الارتباطیین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الأقسام المتصوّرة فی الشبهة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بیان حال الأقسام فی ضمن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الأقسام فیما إذا کان الحکم نفسیاً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الأقسام فیما إذا کان الحکم غیریاً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الرکنیة فی الأجزاء و الشرائط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هاهنا مقامات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یقتضیه الأصل العقلی بالنسبة إلی النقیصة السهویة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إشکال الشیخ الأعظم علی جریان البراءة بعدم إمکان خطاب الناسی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التحقیق فی الجواب و ذکر أجوبة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تفصیل المحقّق النائینی بین نسیان المستوعب للوقت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یقتضیه الأصل الشرعی فی النقیصة السهویة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صحّة التمسّک بحدیث الرفع فی رفع جزئیة المنسی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فیما أورد المحقّق العراقی علی 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الزیادة العمدیة و السهویة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تصویر الزیادة فی الجزئیة و الشرطیة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عدم مبطلیة الزیادة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التمسّک بالاستصحاب لإثبات صحّة العمل مع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تقتضیه القواعد الثانویة فی الزیادة و النقیصة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مقتضی الروایات الواردة فی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حال النسبة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کلام المحقّق النائینی فیما تحقّق به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تعذّر أحد قیود المأمور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القواعد الأوّلیة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فی جریان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فی جریان 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القواعد الثانویة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التمسّک بالاستصحاب لإثبات وجوب باقی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التمسّک بقاعدة المیسور لإثبات وجوب باقی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الکلام فی مفاد النبوی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الکلام فی مفاد العلوی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الکلام فی مفاد العلوی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توضیح محتملات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اعتبار صدق المیسور فی جریان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المرجع فی تعیین المیسور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جریان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فی حسن الاحتیاط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الإشکال فی مطلق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الإشکال المختصّ بالاحتیاط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الإشکال فی الاحتیاط فیما قامت الأمارة علی خلافه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شرائط جریان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الفحص فی الشبهات الحکمیة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اعتبار الفحص فی الشبهات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کیفیة وجوب التعلّم و مناط استحقاق عقاب التارک للفحص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بحث و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تارک الفحص هل یستحقّ العقاب عند المخالفة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أفاده المحقّق الخراسانی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انجرّ ترک الفحص إلی ترک واجب 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حول کلام المحقّق الأردبیلی و صاحب المدارک فی وجوب التعلّم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إشکال تنافی الصحّة و استحقاق العقوبة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فی مسألتی الجهر و الإخفات و القصر و التمام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مناط صحّة عمل الجاهل و بطلانه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أجوبة المحقّقین عن إشکال التنافی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شرائط جریان 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نیل الأوطار</w:t>
      </w:r>
    </w:p>
    <w:p>
      <w:pPr>
        <w:pStyle w:val="BookText"/>
        <w:rPr/>
      </w:pPr>
      <w:r>
        <w:rPr>
          <w:rFonts w:ascii="IRNazanin" w:hAnsi="IRNazanin" w:eastAsia="IRNazanin"/>
          <w:color w:val="111111"/>
          <w:sz w:val="28"/>
          <w:sz w:val="28"/>
          <w:szCs w:val="28"/>
          <w:rtl w:val="true"/>
          <w:lang w:bidi="fa-IR"/>
        </w:rPr>
        <w:t xml:space="preserve">فی بیان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الأحادیث المربوطة بالمقام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ما ورد فی جوامع الحدیث للشیعة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ما ورد فی جوامع الحدیث للعامّة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الروایات المتحدة المضمون مع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إشکالات تذییل حدیث الشفعة و منع فضل الماء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شیخ الشریعة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حلّ العقدة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تذییل القاعدة بکلمتی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الحدیث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الضرر و الضرار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الفرق بین الضرر و الضرار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الهیئة الترکیبیة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الوجوه المحتملة أو المنقولة حول کلام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فی الوجوه المتصوّرة للحقیقة الادعائیة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حول کلام بعض الأعاظم فی توضیح مفاد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نقد الوجوه المذکورة حول کلام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الإشکالات المشترکة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الإشکالات غیر المشترکة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حول ما أفاده شیخ الشریعة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حول المختار فی معنی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الغایة من المقالة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فذلکة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دفع توهّم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اشتمال الروایة علی ما یخالف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حکومة القاعدة علی أدلّة الأحکام الأوّلیة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تحمّل الضرر و الإکراه علی الإضرار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الضرر و الحرج و غیرهما من 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إشکال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 xml:space="preserve">فی الاجتهاد و التقلید ذکر مناصب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یقع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منصب الإفتاء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من لا یجوز له الرجوع إلی 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من یجوز له العمل بفتوی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من یجوز له التصدّی لمقام الإفتاء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منصبی القضاء و الحکومة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مقتضی القواعد الأوّلیة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ثبوت منصبی الحکومة و القضاء للنبی و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الاستدلال علی ثبوت منصبی الحکومة و القضاء للفقیه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الاستدلال بالضرورة و حکم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الاستدلال بالروایات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دلالة المقبولة بوجوه اخر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دلالة المقبولة علی اشتراط الاجتهاد المطلق فی المنصب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ما بقی من 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حول جواز القضاء للعامّی مستقلًاّ أو بنصب الحاکم أو بالتوکیل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استقلال العامّی فی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جواز نصب العامّی للقضاء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جواز توکیل الفقیه العامّی للقضاء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القول فیمن یؤخذ عنه الفتوی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مقتضی الأصل الأوّلی وجوب تقلید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مقتضی بناء العقلاء فی باب تقلید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العقلاء علی أصل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شبهة عدم وجود هذا البناء فی زمن الأئمّة</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الأوّل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الثانی عن الشبهة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مناط بناء العقلاء فی رجوع الجاهل إلی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هل ترجیح قول الأعلم عند العقلاء لزومی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حال الأدلّة الشرعیة فی لزوم تقلید الأعلم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استدلال القائلین بجواز تقلید المفضول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و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جواز تقلید المفضول بالروایات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استدلال القائلین بوجوب الرجوع إلی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المجتهدین المتساویین مع اختلاف فتواهما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الاستدلال علی التخییر بین المتساویین بالروایات العلاجیة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هل التخییر بدوی أو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اشتراط الحیاة فی المفتی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التمسّک بالاستصحاب علی جواز تقلید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الإشکالات التی اورد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إشکال عدم بقاء موضوع الاستصحاب و 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الإشکال الآخر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جوابنا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الاستدلال ببناء العقلاء علی جواز تقلید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فیما إذا اختلف الحیّ و المیّت فی مسألة 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مقالة العلّامة الحائری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القول فی تبدّل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الفهارس العامّة فهرس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فهرس 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ضمن تراث الشیخ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ما یمسک عنه الصائم،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حدّ الزنا،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الرسالة جاهزة للطبع و علّقنا علیها بعض التعالیق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مقدّمات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المحقّق الیزدی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الحجّ، أبواب تروک الإحرام،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منه الصوم،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الحجّ، أبواب بقیة کفّارات الإحرام،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الشیخ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الراوندی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الاحتجاج و المستدرک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هو الفرق بین طرف العلم و متعلّقه؛ فإنّ ما لا یقبل الإجمال و التردّد إنّما هو الطرف؛ ضرورة أنّ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داخلة تحت مقولة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الامور العامّة التی لها نحو إضافة إلی المعلوم، و له نحو تشخّص معه، فلا یعقل أن یتشخّص بأمر مردّد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الطرف هنا هو الوجوب، و قد تعلّق به العلم و تطرّف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یقبل التردّد فإنّما هو متعلّقه و حواشیه؛ أعنی الظهر و العصر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الإمام الخمینی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المحقّق الحائری فی مجلس درسه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وجه آخر، و إن شئت فاجعله خامس الوجوه؛ و هو أخذ السالبة المحصّلة جزءًا للموضوع مع تقییدها بوجود الموضوع، و یعلم حکمه عمّا أوضحه الاستاذ دام ظلّه فی الوجوه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سیّدنا الاستاذ ذکر احتمالات عدیدة للتذکیة و مقابلها، و أوضح ما هو الموضوع للحلّ و الطهارة و مقابلیهما، و لمّا کان التصدیق الفقهی محتاجاً إلی تنقیح هذه الوجوه بالمراجعة إلی مصادرها أسقطنا کلّ ما أفاده عند طبع هذه الأوراق؛ روماً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یأتی فی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الشیخ المحدّث الأکبر عامّة روایات الباب فی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مقدّمات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مقدّمات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ضمن تراث الشیخ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التسامح فی أدلّة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مقدّمات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فی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الدورة السابقة فی المقام عن عدّة مسائل؛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النهی و جریان الأصل فیما إذا ترکه مرّة،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الأمر بین التعیین و التخییر، و أنّ الأصل مع أیّهما،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الأمر بین الواجب العینی أو الکفائی، و أنّ مقتضی الأصل ما هو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القوانین المحکمة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کلمات الشیخ بعد أسطر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القوانین المحکمة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المغنی،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الأحادیث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مقدّمات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عبد اللَّه بن سلیمان التی تقدّمت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الإمام الخمینی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المحقّق الیزدی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الخمس، أبواب ما یجب فیه الخمس،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کلامه فی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المضاف،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الإمام الخمینی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مجلس بحثه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فی مجلس درسه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بحث سیّدنا الاستاذ فی الدورة السابقة حول کلامه، و طوی عنه الکلام فی هذه الدورة و عن غیره من المباحث غیر الهامّة، فشکّر اللَّه مساعیه الجمیلة فی تهذیب اصول الفقه و تنقیحه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انظر رسالة الصلاة فی المشکوک، المحقّق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المحکمة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یأتی من المناقشة فی صحّة النسبة فی الإشکال الخامس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انظر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و الآیات،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الاستحاضة،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تخریجه فی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ضمن تراث الشیخ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الإمام الخمینی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عدم معقولیة الترتّب فی المقام؛ فإنّ الموضوع للأمر الثانوی إنّما هو العصیان بترک القصر فی تمام الوقت؛ سواء کان شرطاً بوجوده الخارجی أو بوجوده اللحاظی، و هو غیر متحقّق فی المقام؛ لأنّ المفروض بقاء الوقت، و لا یحصل العصیان إلّا بانقضائه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الذبائح،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الأغسال المسنونة،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سیجی‌ء ما یؤیّده فی روایة عبادة بن الصامت من أنّه صلی الله علیه و آله و سلم قضی بین أهل المدینة فی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یمنع نقع 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البئر 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الماشیة إنّما ترعی بقرب الماء، فإذا منع من فضل الماء فقد منع من الکلاء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الشفعة،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الإمام أحمد بن محمّد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و ما یناسبه،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الخلع و المباراة،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ما وقف علیه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وقفنا علی عدّة روایات اخر فلننقلها تکمیلًا للبحث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الروایات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الأغسال المسنونة،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وجوبه و 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الصوم، أبواب وجوب الصوم و نیته،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ما تجب فیه الزکاة و ما تستحبّ فیه،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کتاب الشفعة،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الاستئناس من قضاء لقضاء آخر، فوجد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مناسباً لأن یکون علّة للتشریع أو نکتة له، فأضافه إلیه، و فصّل بینهما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الزیادة الواقعة فی مرسلة الصدوق من هذا القبیل أیضاً؛ لارتکاز هذه الکلمة فی ذهنه، و أنّ الحکم حکم 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یمکن أن یقال بالوجه الأوّل، و لا یرد علیه ما ذکره؛ بمعنی أنّ الراوی اعتقد أنّ مصبّ الحکم هو نفی الضرر عن المؤمن دون الکافر، فأضاف ما ذکر؛ زعماً أنّه المراد من الحدیث، و الزیادة و النقیصة فی الحدیث عند نقله بالمعنی شائع إذا لم یخلّ بالغرض عند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 محمّد بن مسلم عن أبی جعفر علیه السلام عن الزیادة و ضدّها عند نقل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معناه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تقارب هذه المعانی الکثیرة التی ذکرها أئمّة اللغة؛ بحیث یمکن إرجاعها إلی معنی واحد، کما لا یخفی تقارب ما یفهم منه عرفاً مع هذه المعانی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استدرکناه من الروایات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 أحکامه،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 قدس سره علی ما ذکره من الفرق آثاراً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ذکره المحقّق الخراسانی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تعلیقته علی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من أظهر الاحتمالات فسوف نرجع إلیه عند نقد الأحوال،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فی الصفحة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و أولیاء العقد،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الإمام أحمد بن محمّد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14870</w:t>
      </w:r>
      <w:r>
        <w:rPr>
          <w:rFonts w:ascii="IRNazanin" w:hAnsi="IRNazanin" w:eastAsia="IRNazanin"/>
          <w:b w:val="false"/>
          <w:b w:val="false"/>
          <w:bCs w:val="false"/>
          <w:i w:val="false"/>
          <w:i w:val="false"/>
          <w:iCs w:val="false"/>
          <w:color w:val="333333"/>
          <w:sz w:val="20"/>
          <w:sz w:val="20"/>
          <w:szCs w:val="20"/>
          <w:rtl w:val="true"/>
        </w:rPr>
        <w:t xml:space="preserve">، موسوعة أطراف الحدیث النبوی الشریف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الإیلاء و الکفّارات، أبواب الإیلاء،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ضمن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الأیمان، أبواب النذر و العهد،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أحکام العقود،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بعید جدّاً مع تظافر الأوامر علی وجوب قتل المشرکین من اللَّه تعالی فی الذکر الحکیم، و أنّه یجب قتلهم أینما ثقفوا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الإمام أحمد بن محمّد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الفوائد الرجالیة،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العین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تصحیح آخر السند لا یفی بتصحیح الوسائط، و قد تقدّم عن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التصریح بأنّ ما رواه أحمد لیس حجّة عندنا،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ردّ بعض الأعاظم؛ حیث تسلّم وروده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غرضه الاستئناس و توفیر الشواهد و القرائن علی أنّ الحکم حکم مولوی سلطانی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کلامه فی 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حاشیة المکاسب، المحقّق الأصفهانی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المحقّق الإیروانی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ضمن تراث الشیخ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 التقیة،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ضمن تراث الشیخ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دونک نقل عبارته الموجودة فی تقریراته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نشأ ضرر من حکومة لا ضرر فلا یمکن أن یکون ناظراً إلی هذا الضرر؛ لأنّ المحکوم لا بدّ أن یکون متقدّماً فی الرتبة علی الحاکم حتّی یکون شارحاً له و ناظراً إلیه، و المفروض أنّ هذا الضرر الحادث متأخّر فی الرتبة عن قاعدة لا ضرر، و لعلّ بین التعبیرین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لو وقف القادر علی الاستنباط أنّ خطأه فی الاجتهاد أکثر من خطأ غیره و أنّ صواب الغیر و إصابته للواقع أکثر من صوابه و إصابته، کما هو الحال فی العالم و الأعلم، فالرجوع إلی الغیر و جواز ترک الاستنباط قوی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الاستدلال الفقهی لا یتوقّف علی معرفة صناعة المنطق أصلًا، و أنّ الفطرة السلیمة و الذوق الفقهی غنی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الکتب المدوّنة الفقهیة إلی أعصارنا؛ فإنّک لا تجد فقیهاً فحلًا یستدلّ علی حکم شرعی بهذه القواعد الصناعیة؛ اللهمّ نادراً، و لعلّه لصوغ ما أدرکه بالذوق الفقهی فی قالب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الفوائد الرجالیة، الوحید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شأنه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إِنَّا جَعَلْناکَ خَلِیفَةً فِی الْأَرْضِ فَاحْکُمْ بَیْنَ النَّاسِ بِالْحَقِّ وَ لا تَتَّبِعِ الْهَوی فَیُضِلَّکَ عَنْ سَبِیلِ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دلّت بحکم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الحکم بالحقّ من شؤون الخلافة، فهو بما أنّه خلیفة من اللَّه جاز له الحکم بالحقّ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دیات الأعضاء،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الإضافة إلی المتکلّم لأجل إخراج المخالف، الناظر إلی الفتاوی الصادرة عن الخلفاء و الصحابة و الفقهاء من بعدهم، لا لإخراج العامّی الشیعی الناظر إلی فتاوی مقلَّده،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السائل کان بصدد السؤال عن القضاء من أوّل الأمر قبل هذا الصدر المفید للعموم،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رجلین من أصحابنا یکون بینهما منازعة فی دین أو 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فإنّ النزاع فیهما نزاع فی مسألة قضائیة لا حکومیة،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فتحاکما إلی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یفید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الرجوع إلیه لأجل القضاء، فلا یدلّ علی ثبوت شأن السلطان للفقیه،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ورثة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إمّا أن یکون إنشاءً أو إخباراً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مشهورة لاشتهار العمل بها علی ما قیل؛ و إن کانت ضعیفة السند، و دونک سندها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تدقیق علمی خارج عن مستوی الأفهام العرفیة؛ فإنّ العرف یعدّ الجمیع من الدرّة إلی الذرّة أهل 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دونک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بإسناده المذکور فی المشیخة عن أحمد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 و سنده إلیه صحیح علی الأقوی إذ لیس فیها ما یمکن القدح به إلّا الحسن بن علی الوشّاء و هو ثقة علی الأقوی، کیف لقد أطرأه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وجوه هذه الطائفة، و بقوله کان هذا الشیخ عیناً من عیون الطائفة، و روی عنه 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نظراء ابن أبی عمیر و محمّد بن عیسی، و الحسین بن سعید و اضرابهم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خدیجة و وثّقه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و وثّقه الشیخ فی موضع و ضعّفه فی الفهرست، و مع ذلک فهو ثقة للإتقان الذی نشاهده فی 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أنّ أمیر المؤمنین خاطب شریحاً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مجلساً لا یجلسه إلّا نبی أو وصی نبی أو 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خاطب به علیه السلام إیّاه حین نصبه قاضیاً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أراد أنّه داخل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صحّ له علیه السلام نصبه مع اقتداره علی العزل و نصب الآخر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الفقهاء لو کانوا أوصیاء الأنبیاء علیهم السلام فهم عندئذٍ منصوبون للقضاء من جانب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معنی لنصب الإمام إیّاهم علی القضاء و الحکومة؛ فإنّ هذا المنصب علی هذا الوجه اعطی لهم من جانبه تعالی، کما اعطی لنبیه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واضح؛ فإنّ 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التقریب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مجعول و لا موضوع لأثر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ما هو الأصل فی اشتراط الاجتهاد المطلق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معنی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لکم الأخذ بروایاتهم؛ لکونهم رووها عن مشایخهم و أئمّتهم فی حال الاستقامة، و عدم الانحراف عن مذهب الحقّ، و ذروا ما رأوا من العقائد؛ أی لا یضرّ تلک العقائد الباطلة الحادثة بعد طیلة سنین لما رووها من قبل، فیخرج الروایة عن صلاحیة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کونه ظاهراً فی المعنی المصطلح فی هذه الأعصار محلّ تأمّل، و قد استعمل فی الذکر الحکیم فی نفس إلقاء الحکم بلا جهد و اجتهاد، مثل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یَسْتَفْتُونَکَ قُلِ اللَّهُ یُفْتِیکُمْ فِی الْکَلالَةِ إِنِ امْرُؤٌ هَلَکَ لَیْسَ لَهُ وَلَدٌ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الشیخ الأنصاری،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الشیخ الأنصاری،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الروایات فی الصفحة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کنایة عن مزاولته و ممارسته بأخبارهم حتّی یکون بطانة لأسرارهم، و یعرف الصحیح عن الزائف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الاجتهاد و التقلید، الشیخ الأنصاری،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القوانین المحکمة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الحجّیة و جواز العمل و تطبیق العمل علیه من الامور الاعتباریة الدارجة بین العقلاء، و لیست من الحقائق الخارجیة الأصلیة التی یحتاج ثبوتها الفعلی إلی الموضوع الفعلی، و أیّ محذور أن یکون الظنّ الموجود فی محلّه موضوعاً لجواز الاحتجاج علی نحو الإطلاق؟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لازم ما ذکر انهدام الضابطة المقرّرة فی باب الاستصحاب؛ من لزوم کون المستصحب حکماً شرعیاً أو موضوعاً لحکم شرعی، بل هنا شقّ ثالث؛ و هو کونه موضوعاً لحکم عقلی، کالمقام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الروایات فی الصفحة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رسالة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image" Target="media/image2.jpeg"/><Relationship Id="rId738" Type="http://schemas.openxmlformats.org/officeDocument/2006/relationships/image" Target="media/image2.jpeg"/><Relationship Id="rId739" Type="http://schemas.openxmlformats.org/officeDocument/2006/relationships/footer" Target="footer732.xml"/><Relationship Id="rId740" Type="http://schemas.openxmlformats.org/officeDocument/2006/relationships/footnotes" Target="footnotes.xml"/><Relationship Id="rId741" Type="http://schemas.openxmlformats.org/officeDocument/2006/relationships/numbering" Target="numbering.xml"/><Relationship Id="rId742" Type="http://schemas.openxmlformats.org/officeDocument/2006/relationships/fontTable" Target="fontTable.xml"/><Relationship Id="rId743" Type="http://schemas.openxmlformats.org/officeDocument/2006/relationships/settings" Target="settings.xml"/><Relationship Id="rId7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741</Pages>
  <Words>82876</Words>
  <Characters>345436</Characters>
  <CharactersWithSpaces>424770</CharactersWithSpaces>
  <Paragraphs>3543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2026-08-23T22:02:26Z</dcterms:created>
  <dc:creator>ghaemiyeh.com</dc:creator>
  <dc:description/>
  <dc:language>en-US</dc:language>
  <cp:lastModifiedBy/>
  <dcterms:modified xsi:type="dcterms:W3CDTF">2026-08-24T01:32:44Z</dcterms:modified>
  <cp:revision>1</cp:revision>
  <dc:subject/>
  <dc:title>تهذیب الاصول جلد 3</dc:title>
</cp:coreProperties>
</file>

<file path=docProps/custom.xml><?xml version="1.0" encoding="utf-8"?>
<Properties xmlns="http://schemas.openxmlformats.org/officeDocument/2006/custom-properties" xmlns:vt="http://schemas.openxmlformats.org/officeDocument/2006/docPropsVTypes"/>
</file>