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3801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2380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23805_3224264995">
            <w:r>
              <w:rPr>
                <w:webHidden/>
                <w:rStyle w:val="IndexLink"/>
                <w:rtl w:val="true"/>
              </w:rPr>
              <w:t>مقدمة التحقیق</w:t>
            </w:r>
            <w:r>
              <w:rPr>
                <w:rStyle w:val="IndexLink"/>
                <w:rtl w:val="true"/>
              </w:rPr>
              <w:tab/>
            </w:r>
            <w:r>
              <w:rPr>
                <w:rStyle w:val="IndexLink"/>
              </w:rPr>
              <w:t>9</w:t>
            </w:r>
          </w:hyperlink>
        </w:p>
        <w:p>
          <w:pPr>
            <w:pStyle w:val="Contents3"/>
            <w:tabs>
              <w:tab w:val="clear" w:pos="8459"/>
              <w:tab w:val="right" w:pos="9026" w:leader="dot"/>
            </w:tabs>
            <w:rPr/>
          </w:pPr>
          <w:hyperlink w:anchor="__RefHeading___Toc3023807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023809_3224264995">
            <w:r>
              <w:rPr>
                <w:webHidden/>
                <w:rStyle w:val="IndexLink"/>
                <w:rtl w:val="true"/>
              </w:rPr>
              <w:t>حیاة المؤلف فی سطور</w:t>
            </w:r>
            <w:r>
              <w:rPr>
                <w:rStyle w:val="IndexLink"/>
                <w:rtl w:val="true"/>
              </w:rPr>
              <w:t>:</w:t>
              <w:tab/>
            </w:r>
            <w:r>
              <w:rPr>
                <w:rStyle w:val="IndexLink"/>
              </w:rPr>
              <w:t>11</w:t>
            </w:r>
          </w:hyperlink>
        </w:p>
        <w:p>
          <w:pPr>
            <w:pStyle w:val="Contents3"/>
            <w:tabs>
              <w:tab w:val="clear" w:pos="8459"/>
              <w:tab w:val="right" w:pos="9026" w:leader="dot"/>
            </w:tabs>
            <w:rPr/>
          </w:pPr>
          <w:hyperlink w:anchor="__RefHeading___Toc3023811_3224264995">
            <w:r>
              <w:rPr>
                <w:webHidden/>
                <w:rStyle w:val="IndexLink"/>
                <w:rtl w:val="true"/>
              </w:rPr>
              <w:t>منهجنا فی تحقیق الکتاب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3023813_3224264995">
            <w:r>
              <w:rPr>
                <w:webHidden/>
                <w:rStyle w:val="IndexLink"/>
                <w:rtl w:val="true"/>
              </w:rPr>
              <w:t>المقدمة و تشتمل علی امور</w:t>
            </w:r>
            <w:r>
              <w:rPr>
                <w:rStyle w:val="IndexLink"/>
                <w:rtl w:val="true"/>
              </w:rPr>
              <w:tab/>
            </w:r>
            <w:r>
              <w:rPr>
                <w:rStyle w:val="IndexLink"/>
              </w:rPr>
              <w:t>14</w:t>
            </w:r>
          </w:hyperlink>
        </w:p>
        <w:p>
          <w:pPr>
            <w:pStyle w:val="Contents3"/>
            <w:tabs>
              <w:tab w:val="clear" w:pos="8459"/>
              <w:tab w:val="right" w:pos="9026" w:leader="dot"/>
            </w:tabs>
            <w:rPr/>
          </w:pPr>
          <w:hyperlink w:anchor="__RefHeading___Toc3023815_322426499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023817_3224264995">
            <w:r>
              <w:rPr>
                <w:webHidden/>
                <w:rStyle w:val="IndexLink"/>
                <w:rtl w:val="true"/>
              </w:rPr>
              <w:t>الأمر الأوّل فی موضوع کل علم</w:t>
            </w:r>
            <w:r>
              <w:rPr>
                <w:rStyle w:val="IndexLink"/>
                <w:rtl w:val="true"/>
              </w:rPr>
              <w:tab/>
            </w:r>
            <w:r>
              <w:rPr>
                <w:rStyle w:val="IndexLink"/>
              </w:rPr>
              <w:t>15</w:t>
            </w:r>
          </w:hyperlink>
        </w:p>
        <w:p>
          <w:pPr>
            <w:pStyle w:val="Contents3"/>
            <w:tabs>
              <w:tab w:val="clear" w:pos="8459"/>
              <w:tab w:val="right" w:pos="9026" w:leader="dot"/>
            </w:tabs>
            <w:rPr/>
          </w:pPr>
          <w:hyperlink w:anchor="__RefHeading___Toc3023819_3224264995">
            <w:r>
              <w:rPr>
                <w:webHidden/>
                <w:rStyle w:val="IndexLink"/>
                <w:rtl w:val="true"/>
              </w:rPr>
              <w:t>الأمر الثانی فی تمایز العلوم</w:t>
            </w:r>
            <w:r>
              <w:rPr>
                <w:rStyle w:val="IndexLink"/>
                <w:rtl w:val="true"/>
              </w:rPr>
              <w:tab/>
            </w:r>
            <w:r>
              <w:rPr>
                <w:rStyle w:val="IndexLink"/>
              </w:rPr>
              <w:t>19</w:t>
            </w:r>
          </w:hyperlink>
        </w:p>
        <w:p>
          <w:pPr>
            <w:pStyle w:val="Contents3"/>
            <w:tabs>
              <w:tab w:val="clear" w:pos="8459"/>
              <w:tab w:val="right" w:pos="9026" w:leader="dot"/>
            </w:tabs>
            <w:rPr/>
          </w:pPr>
          <w:hyperlink w:anchor="__RefHeading___Toc3023821_3224264995">
            <w:r>
              <w:rPr>
                <w:webHidden/>
                <w:rStyle w:val="IndexLink"/>
                <w:rtl w:val="true"/>
              </w:rPr>
              <w:t>الأمر الثالث فی تعریف علم الاصول و ضابطة مسائله</w:t>
            </w:r>
            <w:r>
              <w:rPr>
                <w:rStyle w:val="IndexLink"/>
                <w:rtl w:val="true"/>
              </w:rPr>
              <w:tab/>
            </w:r>
            <w:r>
              <w:rPr>
                <w:rStyle w:val="IndexLink"/>
              </w:rPr>
              <w:t>25</w:t>
            </w:r>
          </w:hyperlink>
        </w:p>
        <w:p>
          <w:pPr>
            <w:pStyle w:val="Contents3"/>
            <w:tabs>
              <w:tab w:val="clear" w:pos="8459"/>
              <w:tab w:val="right" w:pos="9026" w:leader="dot"/>
            </w:tabs>
            <w:rPr/>
          </w:pPr>
          <w:hyperlink w:anchor="__RefHeading___Toc3023823_3224264995">
            <w:r>
              <w:rPr>
                <w:webHidden/>
                <w:rStyle w:val="IndexLink"/>
                <w:rtl w:val="true"/>
              </w:rPr>
              <w:t>الأمر الرابع فی الوضع و فیه مباحث</w:t>
            </w:r>
            <w:r>
              <w:rPr>
                <w:rStyle w:val="IndexLink"/>
                <w:rtl w:val="true"/>
              </w:rPr>
              <w:t>:</w:t>
              <w:tab/>
            </w:r>
            <w:r>
              <w:rPr>
                <w:rStyle w:val="IndexLink"/>
              </w:rPr>
              <w:t>31</w:t>
            </w:r>
          </w:hyperlink>
        </w:p>
        <w:p>
          <w:pPr>
            <w:pStyle w:val="Contents4"/>
            <w:tabs>
              <w:tab w:val="clear" w:pos="8176"/>
              <w:tab w:val="right" w:pos="9026" w:leader="dot"/>
            </w:tabs>
            <w:rPr/>
          </w:pPr>
          <w:hyperlink w:anchor="__RefHeading___Toc3023825_3224264995">
            <w:r>
              <w:rPr>
                <w:webHidden/>
                <w:rStyle w:val="IndexLink"/>
                <w:rtl w:val="true"/>
              </w:rPr>
              <w:t>المبحث الأوّل</w:t>
            </w:r>
            <w:r>
              <w:rPr>
                <w:rStyle w:val="IndexLink"/>
                <w:rtl w:val="true"/>
              </w:rPr>
              <w:t xml:space="preserve">: </w:t>
            </w:r>
            <w:r>
              <w:rPr>
                <w:rStyle w:val="IndexLink"/>
                <w:rtl w:val="true"/>
              </w:rPr>
              <w:t>فی معنی الوضع</w:t>
            </w:r>
            <w:r>
              <w:rPr>
                <w:rStyle w:val="IndexLink"/>
                <w:rtl w:val="true"/>
              </w:rPr>
              <w:tab/>
            </w:r>
            <w:r>
              <w:rPr>
                <w:rStyle w:val="IndexLink"/>
              </w:rPr>
              <w:t>31</w:t>
            </w:r>
          </w:hyperlink>
        </w:p>
        <w:p>
          <w:pPr>
            <w:pStyle w:val="Contents4"/>
            <w:tabs>
              <w:tab w:val="clear" w:pos="8176"/>
              <w:tab w:val="right" w:pos="9026" w:leader="dot"/>
            </w:tabs>
            <w:rPr/>
          </w:pPr>
          <w:hyperlink w:anchor="__RefHeading___Toc3023827_3224264995">
            <w:r>
              <w:rPr>
                <w:webHidden/>
                <w:rStyle w:val="IndexLink"/>
                <w:rtl w:val="true"/>
              </w:rPr>
              <w:t>المبحث الثانی</w:t>
            </w:r>
            <w:r>
              <w:rPr>
                <w:rStyle w:val="IndexLink"/>
                <w:rtl w:val="true"/>
              </w:rPr>
              <w:t xml:space="preserve">: </w:t>
            </w:r>
            <w:r>
              <w:rPr>
                <w:rStyle w:val="IndexLink"/>
                <w:rtl w:val="true"/>
              </w:rPr>
              <w:t>فی الواضع</w:t>
            </w:r>
            <w:r>
              <w:rPr>
                <w:rStyle w:val="IndexLink"/>
                <w:rtl w:val="true"/>
              </w:rPr>
              <w:tab/>
            </w:r>
            <w:r>
              <w:rPr>
                <w:rStyle w:val="IndexLink"/>
              </w:rPr>
              <w:t>33</w:t>
            </w:r>
          </w:hyperlink>
        </w:p>
        <w:p>
          <w:pPr>
            <w:pStyle w:val="Contents4"/>
            <w:tabs>
              <w:tab w:val="clear" w:pos="8176"/>
              <w:tab w:val="right" w:pos="9026" w:leader="dot"/>
            </w:tabs>
            <w:rPr/>
          </w:pPr>
          <w:hyperlink w:anchor="__RefHeading___Toc3023829_3224264995">
            <w:r>
              <w:rPr>
                <w:webHidden/>
                <w:rStyle w:val="IndexLink"/>
                <w:rtl w:val="true"/>
              </w:rPr>
              <w:t>المبحث الثالث</w:t>
            </w:r>
            <w:r>
              <w:rPr>
                <w:rStyle w:val="IndexLink"/>
                <w:rtl w:val="true"/>
              </w:rPr>
              <w:t xml:space="preserve">: </w:t>
            </w:r>
            <w:r>
              <w:rPr>
                <w:rStyle w:val="IndexLink"/>
                <w:rtl w:val="true"/>
              </w:rPr>
              <w:t>فی أقسام الوضع</w:t>
            </w:r>
            <w:r>
              <w:rPr>
                <w:rStyle w:val="IndexLink"/>
                <w:rtl w:val="true"/>
              </w:rPr>
              <w:tab/>
            </w:r>
            <w:r>
              <w:rPr>
                <w:rStyle w:val="IndexLink"/>
              </w:rPr>
              <w:t>34</w:t>
            </w:r>
          </w:hyperlink>
        </w:p>
        <w:p>
          <w:pPr>
            <w:pStyle w:val="Contents5"/>
            <w:tabs>
              <w:tab w:val="clear" w:pos="7892"/>
              <w:tab w:val="right" w:pos="9026" w:leader="dot"/>
            </w:tabs>
            <w:rPr/>
          </w:pPr>
          <w:hyperlink w:anchor="__RefHeading___Toc3023831_322426499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023833_3224264995">
            <w:r>
              <w:rPr>
                <w:webHidden/>
                <w:rStyle w:val="IndexLink"/>
                <w:rtl w:val="true"/>
              </w:rPr>
              <w:t>لکن یرد علیه</w:t>
            </w:r>
            <w:r>
              <w:rPr>
                <w:rStyle w:val="IndexLink"/>
                <w:rtl w:val="true"/>
              </w:rPr>
              <w:t>:</w:t>
              <w:tab/>
            </w:r>
            <w:r>
              <w:rPr>
                <w:rStyle w:val="IndexLink"/>
              </w:rPr>
              <w:t>35</w:t>
            </w:r>
          </w:hyperlink>
        </w:p>
        <w:p>
          <w:pPr>
            <w:pStyle w:val="Contents5"/>
            <w:tabs>
              <w:tab w:val="clear" w:pos="7892"/>
              <w:tab w:val="right" w:pos="9026" w:leader="dot"/>
            </w:tabs>
            <w:rPr/>
          </w:pPr>
          <w:hyperlink w:anchor="__RefHeading___Toc3023835_3224264995">
            <w:r>
              <w:rPr>
                <w:webHidden/>
                <w:rStyle w:val="IndexLink"/>
                <w:rtl w:val="true"/>
              </w:rPr>
              <w:t>تبصرة</w:t>
            </w:r>
            <w:r>
              <w:rPr>
                <w:rStyle w:val="IndexLink"/>
                <w:rtl w:val="true"/>
              </w:rPr>
              <w:t>:</w:t>
              <w:tab/>
            </w:r>
            <w:r>
              <w:rPr>
                <w:rStyle w:val="IndexLink"/>
              </w:rPr>
              <w:t>41</w:t>
            </w:r>
          </w:hyperlink>
        </w:p>
        <w:p>
          <w:pPr>
            <w:pStyle w:val="Contents4"/>
            <w:tabs>
              <w:tab w:val="clear" w:pos="8176"/>
              <w:tab w:val="right" w:pos="9026" w:leader="dot"/>
            </w:tabs>
            <w:rPr/>
          </w:pPr>
          <w:hyperlink w:anchor="__RefHeading___Toc3023837_3224264995">
            <w:r>
              <w:rPr>
                <w:webHidden/>
                <w:rStyle w:val="IndexLink"/>
                <w:rtl w:val="true"/>
              </w:rPr>
              <w:t>المبحث الرابع</w:t>
            </w:r>
            <w:r>
              <w:rPr>
                <w:rStyle w:val="IndexLink"/>
                <w:rtl w:val="true"/>
              </w:rPr>
              <w:t xml:space="preserve">: </w:t>
            </w:r>
            <w:r>
              <w:rPr>
                <w:rStyle w:val="IndexLink"/>
                <w:rtl w:val="true"/>
              </w:rPr>
              <w:t>فی وضع الحروف</w:t>
            </w:r>
            <w:r>
              <w:rPr>
                <w:rStyle w:val="IndexLink"/>
                <w:rtl w:val="true"/>
              </w:rPr>
              <w:tab/>
            </w:r>
            <w:r>
              <w:rPr>
                <w:rStyle w:val="IndexLink"/>
              </w:rPr>
              <w:t>42</w:t>
            </w:r>
          </w:hyperlink>
        </w:p>
        <w:p>
          <w:pPr>
            <w:pStyle w:val="Contents5"/>
            <w:tabs>
              <w:tab w:val="clear" w:pos="7892"/>
              <w:tab w:val="right" w:pos="9026" w:leader="dot"/>
            </w:tabs>
            <w:rPr/>
          </w:pPr>
          <w:hyperlink w:anchor="__RefHeading___Toc3023839_3224264995">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3023841_3224264995">
            <w:r>
              <w:rPr>
                <w:webHidden/>
                <w:rStyle w:val="IndexLink"/>
                <w:rtl w:val="true"/>
              </w:rPr>
              <w:t>و یرد علیه</w:t>
            </w:r>
            <w:r>
              <w:rPr>
                <w:rStyle w:val="IndexLink"/>
                <w:rtl w:val="true"/>
              </w:rPr>
              <w:t>:</w:t>
              <w:tab/>
            </w:r>
            <w:r>
              <w:rPr>
                <w:rStyle w:val="IndexLink"/>
              </w:rPr>
              <w:t>50</w:t>
            </w:r>
          </w:hyperlink>
        </w:p>
        <w:p>
          <w:pPr>
            <w:pStyle w:val="Contents5"/>
            <w:tabs>
              <w:tab w:val="clear" w:pos="7892"/>
              <w:tab w:val="right" w:pos="9026" w:leader="dot"/>
            </w:tabs>
            <w:rPr/>
          </w:pPr>
          <w:hyperlink w:anchor="__RefHeading___Toc3023843_3224264995">
            <w:r>
              <w:rPr>
                <w:webHidden/>
                <w:rStyle w:val="IndexLink"/>
                <w:rtl w:val="true"/>
              </w:rPr>
              <w:t>و علی الثانی فیُشکَل أیضاً</w:t>
            </w:r>
            <w:r>
              <w:rPr>
                <w:rStyle w:val="IndexLink"/>
                <w:rtl w:val="true"/>
              </w:rPr>
              <w:t>:</w:t>
              <w:tab/>
            </w:r>
            <w:r>
              <w:rPr>
                <w:rStyle w:val="IndexLink"/>
              </w:rPr>
              <w:t>51</w:t>
            </w:r>
          </w:hyperlink>
        </w:p>
        <w:p>
          <w:pPr>
            <w:pStyle w:val="Contents4"/>
            <w:tabs>
              <w:tab w:val="clear" w:pos="8176"/>
              <w:tab w:val="right" w:pos="9026" w:leader="dot"/>
            </w:tabs>
            <w:rPr/>
          </w:pPr>
          <w:hyperlink w:anchor="__RefHeading___Toc3023845_3224264995">
            <w:r>
              <w:rPr>
                <w:webHidden/>
                <w:rStyle w:val="IndexLink"/>
                <w:rtl w:val="true"/>
              </w:rPr>
              <w:t>المبحث الخامس</w:t>
            </w:r>
            <w:r>
              <w:rPr>
                <w:rStyle w:val="IndexLink"/>
                <w:rtl w:val="true"/>
              </w:rPr>
              <w:t xml:space="preserve">: </w:t>
            </w:r>
            <w:r>
              <w:rPr>
                <w:rStyle w:val="IndexLink"/>
                <w:rtl w:val="true"/>
              </w:rPr>
              <w:t>فی بیان أوضاع هیئات الجمل التامّة و الناقصة و الإنشائیّة و الإخباریّة و غیرها</w:t>
            </w:r>
            <w:r>
              <w:rPr>
                <w:rStyle w:val="IndexLink"/>
                <w:rtl w:val="true"/>
              </w:rPr>
              <w:tab/>
            </w:r>
            <w:r>
              <w:rPr>
                <w:rStyle w:val="IndexLink"/>
              </w:rPr>
              <w:t>56</w:t>
            </w:r>
          </w:hyperlink>
        </w:p>
        <w:p>
          <w:pPr>
            <w:pStyle w:val="Contents5"/>
            <w:tabs>
              <w:tab w:val="clear" w:pos="7892"/>
              <w:tab w:val="right" w:pos="9026" w:leader="dot"/>
            </w:tabs>
            <w:rPr/>
          </w:pPr>
          <w:hyperlink w:anchor="__RefHeading___Toc3023847_3224264995">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023849_3224264995">
            <w:r>
              <w:rPr>
                <w:webHidden/>
                <w:rStyle w:val="IndexLink"/>
                <w:rtl w:val="true"/>
              </w:rPr>
              <w:t>تکملة</w:t>
            </w:r>
            <w:r>
              <w:rPr>
                <w:rStyle w:val="IndexLink"/>
                <w:rtl w:val="true"/>
              </w:rPr>
              <w:t>:</w:t>
              <w:tab/>
            </w:r>
            <w:r>
              <w:rPr>
                <w:rStyle w:val="IndexLink"/>
              </w:rPr>
              <w:t>60</w:t>
            </w:r>
          </w:hyperlink>
        </w:p>
        <w:p>
          <w:pPr>
            <w:pStyle w:val="Contents4"/>
            <w:tabs>
              <w:tab w:val="clear" w:pos="8176"/>
              <w:tab w:val="right" w:pos="9026" w:leader="dot"/>
            </w:tabs>
            <w:rPr/>
          </w:pPr>
          <w:hyperlink w:anchor="__RefHeading___Toc3023851_3224264995">
            <w:r>
              <w:rPr>
                <w:webHidden/>
                <w:rStyle w:val="IndexLink"/>
                <w:rtl w:val="true"/>
              </w:rPr>
              <w:t>المبحث السادس فی بیان أوضاع أسماء الإشارات و الضمائر و الموصولات</w:t>
            </w:r>
            <w:r>
              <w:rPr>
                <w:rStyle w:val="IndexLink"/>
                <w:rtl w:val="true"/>
              </w:rPr>
              <w:tab/>
            </w:r>
            <w:r>
              <w:rPr>
                <w:rStyle w:val="IndexLink"/>
              </w:rPr>
              <w:t>63</w:t>
            </w:r>
          </w:hyperlink>
        </w:p>
        <w:p>
          <w:pPr>
            <w:pStyle w:val="Contents5"/>
            <w:tabs>
              <w:tab w:val="clear" w:pos="7892"/>
              <w:tab w:val="right" w:pos="9026" w:leader="dot"/>
            </w:tabs>
            <w:rPr/>
          </w:pPr>
          <w:hyperlink w:anchor="__RefHeading___Toc3023853_3224264995">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023855_3224264995">
            <w:r>
              <w:rPr>
                <w:webHidden/>
                <w:rStyle w:val="IndexLink"/>
                <w:rtl w:val="true"/>
              </w:rPr>
              <w:t>خاتمة</w:t>
            </w:r>
            <w:r>
              <w:rPr>
                <w:rStyle w:val="IndexLink"/>
                <w:rtl w:val="true"/>
              </w:rPr>
              <w:t>:</w:t>
              <w:tab/>
            </w:r>
            <w:r>
              <w:rPr>
                <w:rStyle w:val="IndexLink"/>
              </w:rPr>
              <w:t>65</w:t>
            </w:r>
          </w:hyperlink>
        </w:p>
        <w:p>
          <w:pPr>
            <w:pStyle w:val="Contents3"/>
            <w:tabs>
              <w:tab w:val="clear" w:pos="8459"/>
              <w:tab w:val="right" w:pos="9026" w:leader="dot"/>
            </w:tabs>
            <w:rPr/>
          </w:pPr>
          <w:hyperlink w:anchor="__RefHeading___Toc3023857_3224264995">
            <w:r>
              <w:rPr>
                <w:webHidden/>
                <w:rStyle w:val="IndexLink"/>
                <w:rtl w:val="true"/>
              </w:rPr>
              <w:t>الأمر الخامس فی وضع المجازات</w:t>
            </w:r>
            <w:r>
              <w:rPr>
                <w:rStyle w:val="IndexLink"/>
                <w:rtl w:val="true"/>
              </w:rPr>
              <w:tab/>
            </w:r>
            <w:r>
              <w:rPr>
                <w:rStyle w:val="IndexLink"/>
              </w:rPr>
              <w:t>66</w:t>
            </w:r>
          </w:hyperlink>
        </w:p>
        <w:p>
          <w:pPr>
            <w:pStyle w:val="Contents4"/>
            <w:tabs>
              <w:tab w:val="clear" w:pos="8176"/>
              <w:tab w:val="right" w:pos="9026" w:leader="dot"/>
            </w:tabs>
            <w:rPr/>
          </w:pPr>
          <w:hyperlink w:anchor="__RefHeading___Toc3023859_322426499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023861_3224264995">
            <w:r>
              <w:rPr>
                <w:webHidden/>
                <w:rStyle w:val="IndexLink"/>
                <w:rtl w:val="true"/>
              </w:rPr>
              <w:t>تبصرة</w:t>
            </w:r>
            <w:r>
              <w:rPr>
                <w:rStyle w:val="IndexLink"/>
                <w:rtl w:val="true"/>
              </w:rPr>
              <w:t>:</w:t>
              <w:tab/>
            </w:r>
            <w:r>
              <w:rPr>
                <w:rStyle w:val="IndexLink"/>
              </w:rPr>
              <w:t>69</w:t>
            </w:r>
          </w:hyperlink>
        </w:p>
        <w:p>
          <w:pPr>
            <w:pStyle w:val="Contents3"/>
            <w:tabs>
              <w:tab w:val="clear" w:pos="8459"/>
              <w:tab w:val="right" w:pos="9026" w:leader="dot"/>
            </w:tabs>
            <w:rPr/>
          </w:pPr>
          <w:hyperlink w:anchor="__RefHeading___Toc3023863_3224264995">
            <w:r>
              <w:rPr>
                <w:webHidden/>
                <w:rStyle w:val="IndexLink"/>
                <w:rtl w:val="true"/>
              </w:rPr>
              <w:t>الأمر السادس إطلاق اللّفظ و إرادة نوعه أو شخصه</w:t>
            </w:r>
            <w:r>
              <w:rPr>
                <w:rStyle w:val="IndexLink"/>
                <w:rtl w:val="true"/>
              </w:rPr>
              <w:tab/>
            </w:r>
            <w:r>
              <w:rPr>
                <w:rStyle w:val="IndexLink"/>
              </w:rPr>
              <w:t>70</w:t>
            </w:r>
          </w:hyperlink>
        </w:p>
        <w:p>
          <w:pPr>
            <w:pStyle w:val="Contents4"/>
            <w:tabs>
              <w:tab w:val="clear" w:pos="8176"/>
              <w:tab w:val="right" w:pos="9026" w:leader="dot"/>
            </w:tabs>
            <w:rPr/>
          </w:pPr>
          <w:hyperlink w:anchor="__RefHeading___Toc3023865_3224264995">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023867_3224264995">
            <w:r>
              <w:rPr>
                <w:webHidden/>
                <w:rStyle w:val="IndexLink"/>
                <w:rtl w:val="true"/>
              </w:rPr>
              <w:t>تنبیه</w:t>
            </w:r>
            <w:r>
              <w:rPr>
                <w:rStyle w:val="IndexLink"/>
                <w:rtl w:val="true"/>
              </w:rPr>
              <w:t>:</w:t>
              <w:tab/>
            </w:r>
            <w:r>
              <w:rPr>
                <w:rStyle w:val="IndexLink"/>
              </w:rPr>
              <w:t>73</w:t>
            </w:r>
          </w:hyperlink>
        </w:p>
        <w:p>
          <w:pPr>
            <w:pStyle w:val="Contents4"/>
            <w:tabs>
              <w:tab w:val="clear" w:pos="8176"/>
              <w:tab w:val="right" w:pos="9026" w:leader="dot"/>
            </w:tabs>
            <w:rPr/>
          </w:pPr>
          <w:hyperlink w:anchor="__RefHeading___Toc3023869_3224264995">
            <w:r>
              <w:rPr>
                <w:webHidden/>
                <w:rStyle w:val="IndexLink"/>
                <w:rtl w:val="true"/>
              </w:rPr>
              <w:t>فائدة</w:t>
            </w:r>
            <w:r>
              <w:rPr>
                <w:rStyle w:val="IndexLink"/>
                <w:rtl w:val="true"/>
              </w:rPr>
              <w:t>:</w:t>
              <w:tab/>
            </w:r>
            <w:r>
              <w:rPr>
                <w:rStyle w:val="IndexLink"/>
              </w:rPr>
              <w:t>73</w:t>
            </w:r>
          </w:hyperlink>
        </w:p>
        <w:p>
          <w:pPr>
            <w:pStyle w:val="Contents4"/>
            <w:tabs>
              <w:tab w:val="clear" w:pos="8176"/>
              <w:tab w:val="right" w:pos="9026" w:leader="dot"/>
            </w:tabs>
            <w:rPr/>
          </w:pPr>
          <w:hyperlink w:anchor="__RefHeading___Toc3023871_3224264995">
            <w:r>
              <w:rPr>
                <w:webHidden/>
                <w:rStyle w:val="IndexLink"/>
                <w:rtl w:val="true"/>
              </w:rPr>
              <w:t>تنبیهات</w:t>
            </w:r>
            <w:r>
              <w:rPr>
                <w:rStyle w:val="IndexLink"/>
                <w:rtl w:val="true"/>
              </w:rPr>
              <w:tab/>
            </w:r>
            <w:r>
              <w:rPr>
                <w:rStyle w:val="IndexLink"/>
              </w:rPr>
              <w:t>77</w:t>
            </w:r>
          </w:hyperlink>
        </w:p>
        <w:p>
          <w:pPr>
            <w:pStyle w:val="Contents3"/>
            <w:tabs>
              <w:tab w:val="clear" w:pos="8459"/>
              <w:tab w:val="right" w:pos="9026" w:leader="dot"/>
            </w:tabs>
            <w:rPr/>
          </w:pPr>
          <w:hyperlink w:anchor="__RefHeading___Toc3023873_3224264995">
            <w:r>
              <w:rPr>
                <w:webHidden/>
                <w:rStyle w:val="IndexLink"/>
                <w:rtl w:val="true"/>
              </w:rPr>
              <w:t>الأمر السابع فی علائم الحقیقة و المجاز و هی امور</w:t>
            </w:r>
            <w:r>
              <w:rPr>
                <w:rStyle w:val="IndexLink"/>
                <w:rtl w:val="true"/>
              </w:rPr>
              <w:t>:</w:t>
              <w:tab/>
            </w:r>
            <w:r>
              <w:rPr>
                <w:rStyle w:val="IndexLink"/>
              </w:rPr>
              <w:t>81</w:t>
            </w:r>
          </w:hyperlink>
        </w:p>
        <w:p>
          <w:pPr>
            <w:pStyle w:val="Contents4"/>
            <w:tabs>
              <w:tab w:val="clear" w:pos="8176"/>
              <w:tab w:val="right" w:pos="9026" w:leader="dot"/>
            </w:tabs>
            <w:rPr/>
          </w:pPr>
          <w:hyperlink w:anchor="__RefHeading___Toc3023875_3224264995">
            <w:r>
              <w:rPr>
                <w:webHidden/>
                <w:rStyle w:val="IndexLink"/>
                <w:rtl w:val="true"/>
              </w:rPr>
              <w:t>الأمر الأوّل</w:t>
            </w:r>
            <w:r>
              <w:rPr>
                <w:rStyle w:val="IndexLink"/>
                <w:rtl w:val="true"/>
              </w:rPr>
              <w:t xml:space="preserve">: </w:t>
            </w:r>
            <w:r>
              <w:rPr>
                <w:rStyle w:val="IndexLink"/>
                <w:rtl w:val="true"/>
              </w:rPr>
              <w:t>فی التبادر</w:t>
            </w:r>
            <w:r>
              <w:rPr>
                <w:rStyle w:val="IndexLink"/>
                <w:rtl w:val="true"/>
              </w:rPr>
              <w:tab/>
            </w:r>
            <w:r>
              <w:rPr>
                <w:rStyle w:val="IndexLink"/>
              </w:rPr>
              <w:t>81</w:t>
            </w:r>
          </w:hyperlink>
        </w:p>
        <w:p>
          <w:pPr>
            <w:pStyle w:val="Contents4"/>
            <w:tabs>
              <w:tab w:val="clear" w:pos="8176"/>
              <w:tab w:val="right" w:pos="9026" w:leader="dot"/>
            </w:tabs>
            <w:rPr/>
          </w:pPr>
          <w:hyperlink w:anchor="__RefHeading___Toc3023877_3224264995">
            <w:r>
              <w:rPr>
                <w:webHidden/>
                <w:rStyle w:val="IndexLink"/>
                <w:rtl w:val="true"/>
              </w:rPr>
              <w:t>الأمر الثانی</w:t>
            </w:r>
            <w:r>
              <w:rPr>
                <w:rStyle w:val="IndexLink"/>
                <w:rtl w:val="true"/>
              </w:rPr>
              <w:t xml:space="preserve">: </w:t>
            </w:r>
            <w:r>
              <w:rPr>
                <w:rStyle w:val="IndexLink"/>
                <w:rtl w:val="true"/>
              </w:rPr>
              <w:t>صحّة السلب و صحّة الحمل</w:t>
            </w:r>
            <w:r>
              <w:rPr>
                <w:rStyle w:val="IndexLink"/>
                <w:rtl w:val="true"/>
              </w:rPr>
              <w:tab/>
            </w:r>
            <w:r>
              <w:rPr>
                <w:rStyle w:val="IndexLink"/>
              </w:rPr>
              <w:t>85</w:t>
            </w:r>
          </w:hyperlink>
        </w:p>
        <w:p>
          <w:pPr>
            <w:pStyle w:val="Contents4"/>
            <w:tabs>
              <w:tab w:val="clear" w:pos="8176"/>
              <w:tab w:val="right" w:pos="9026" w:leader="dot"/>
            </w:tabs>
            <w:rPr/>
          </w:pPr>
          <w:hyperlink w:anchor="__RefHeading___Toc3023879_3224264995">
            <w:r>
              <w:rPr>
                <w:webHidden/>
                <w:rStyle w:val="IndexLink"/>
                <w:rtl w:val="true"/>
              </w:rPr>
              <w:t>الأمر الثالث</w:t>
            </w:r>
            <w:r>
              <w:rPr>
                <w:rStyle w:val="IndexLink"/>
                <w:rtl w:val="true"/>
              </w:rPr>
              <w:t xml:space="preserve">: </w:t>
            </w:r>
            <w:r>
              <w:rPr>
                <w:rStyle w:val="IndexLink"/>
                <w:rtl w:val="true"/>
              </w:rPr>
              <w:t>الاطّراد</w:t>
            </w:r>
            <w:r>
              <w:rPr>
                <w:rStyle w:val="IndexLink"/>
                <w:rtl w:val="true"/>
              </w:rPr>
              <w:tab/>
            </w:r>
            <w:r>
              <w:rPr>
                <w:rStyle w:val="IndexLink"/>
              </w:rPr>
              <w:t>89</w:t>
            </w:r>
          </w:hyperlink>
        </w:p>
        <w:p>
          <w:pPr>
            <w:pStyle w:val="Contents3"/>
            <w:tabs>
              <w:tab w:val="clear" w:pos="8459"/>
              <w:tab w:val="right" w:pos="9026" w:leader="dot"/>
            </w:tabs>
            <w:rPr/>
          </w:pPr>
          <w:hyperlink w:anchor="__RefHeading___Toc3023881_3224264995">
            <w:r>
              <w:rPr>
                <w:webHidden/>
                <w:rStyle w:val="IndexLink"/>
                <w:rtl w:val="true"/>
              </w:rPr>
              <w:t>الأمر الثامن فی تعارض الأحوال</w:t>
            </w:r>
            <w:r>
              <w:rPr>
                <w:rStyle w:val="IndexLink"/>
                <w:rtl w:val="true"/>
              </w:rPr>
              <w:tab/>
            </w:r>
            <w:r>
              <w:rPr>
                <w:rStyle w:val="IndexLink"/>
              </w:rPr>
              <w:t>91</w:t>
            </w:r>
          </w:hyperlink>
        </w:p>
        <w:p>
          <w:pPr>
            <w:pStyle w:val="Contents3"/>
            <w:tabs>
              <w:tab w:val="clear" w:pos="8459"/>
              <w:tab w:val="right" w:pos="9026" w:leader="dot"/>
            </w:tabs>
            <w:rPr/>
          </w:pPr>
          <w:hyperlink w:anchor="__RefHeading___Toc3023883_3224264995">
            <w:r>
              <w:rPr>
                <w:webHidden/>
                <w:rStyle w:val="IndexLink"/>
                <w:rtl w:val="true"/>
              </w:rPr>
              <w:t>الأمر التاسع الکلام فی الحقیقة الشرعیّة</w:t>
            </w:r>
            <w:r>
              <w:rPr>
                <w:rStyle w:val="IndexLink"/>
                <w:rtl w:val="true"/>
              </w:rPr>
              <w:tab/>
            </w:r>
            <w:r>
              <w:rPr>
                <w:rStyle w:val="IndexLink"/>
              </w:rPr>
              <w:t>96</w:t>
            </w:r>
          </w:hyperlink>
        </w:p>
        <w:p>
          <w:pPr>
            <w:pStyle w:val="Contents4"/>
            <w:tabs>
              <w:tab w:val="clear" w:pos="8176"/>
              <w:tab w:val="right" w:pos="9026" w:leader="dot"/>
            </w:tabs>
            <w:rPr/>
          </w:pPr>
          <w:hyperlink w:anchor="__RefHeading___Toc3023885_322426499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023887_3224264995">
            <w:r>
              <w:rPr>
                <w:webHidden/>
                <w:rStyle w:val="IndexLink"/>
                <w:rtl w:val="true"/>
              </w:rPr>
              <w:t>لکن لا یخفی ما فی هذا الجواب</w:t>
            </w:r>
            <w:r>
              <w:rPr>
                <w:rStyle w:val="IndexLink"/>
                <w:rtl w:val="true"/>
              </w:rPr>
              <w:t>:</w:t>
              <w:tab/>
            </w:r>
            <w:r>
              <w:rPr>
                <w:rStyle w:val="IndexLink"/>
              </w:rPr>
              <w:t>97</w:t>
            </w:r>
          </w:hyperlink>
        </w:p>
        <w:p>
          <w:pPr>
            <w:pStyle w:val="Contents3"/>
            <w:tabs>
              <w:tab w:val="clear" w:pos="8459"/>
              <w:tab w:val="right" w:pos="9026" w:leader="dot"/>
            </w:tabs>
            <w:rPr/>
          </w:pPr>
          <w:hyperlink w:anchor="__RefHeading___Toc3023889_3224264995">
            <w:r>
              <w:rPr>
                <w:webHidden/>
                <w:rStyle w:val="IndexLink"/>
                <w:rtl w:val="true"/>
              </w:rPr>
              <w:t>الأمر العاشر فی الصحیح و الأعمّ</w:t>
            </w:r>
            <w:r>
              <w:rPr>
                <w:rStyle w:val="IndexLink"/>
                <w:rtl w:val="true"/>
              </w:rPr>
              <w:tab/>
            </w:r>
            <w:r>
              <w:rPr>
                <w:rStyle w:val="IndexLink"/>
              </w:rPr>
              <w:t>100</w:t>
            </w:r>
          </w:hyperlink>
        </w:p>
        <w:p>
          <w:pPr>
            <w:pStyle w:val="Contents4"/>
            <w:tabs>
              <w:tab w:val="clear" w:pos="8176"/>
              <w:tab w:val="right" w:pos="9026" w:leader="dot"/>
            </w:tabs>
            <w:rPr/>
          </w:pPr>
          <w:hyperlink w:anchor="__RefHeading___Toc3023891_3224264995">
            <w:r>
              <w:rPr>
                <w:webHidden/>
                <w:rStyle w:val="IndexLink"/>
                <w:rtl w:val="true"/>
              </w:rPr>
              <w:t>تحریر محلّ النزاع</w:t>
            </w:r>
            <w:r>
              <w:rPr>
                <w:rStyle w:val="IndexLink"/>
                <w:rtl w:val="true"/>
              </w:rPr>
              <w:tab/>
            </w:r>
            <w:r>
              <w:rPr>
                <w:rStyle w:val="IndexLink"/>
              </w:rPr>
              <w:t>100</w:t>
            </w:r>
          </w:hyperlink>
        </w:p>
        <w:p>
          <w:pPr>
            <w:pStyle w:val="Contents4"/>
            <w:tabs>
              <w:tab w:val="clear" w:pos="8176"/>
              <w:tab w:val="right" w:pos="9026" w:leader="dot"/>
            </w:tabs>
            <w:rPr/>
          </w:pPr>
          <w:hyperlink w:anchor="__RefHeading___Toc3023893_3224264995">
            <w:r>
              <w:rPr>
                <w:webHidden/>
                <w:rStyle w:val="IndexLink"/>
                <w:rtl w:val="true"/>
              </w:rPr>
              <w:t>الحقّ فی تحریر محلّ النزاع</w:t>
            </w:r>
            <w:r>
              <w:rPr>
                <w:rStyle w:val="IndexLink"/>
                <w:rtl w:val="true"/>
              </w:rPr>
              <w:tab/>
            </w:r>
            <w:r>
              <w:rPr>
                <w:rStyle w:val="IndexLink"/>
              </w:rPr>
              <w:t>103</w:t>
            </w:r>
          </w:hyperlink>
        </w:p>
        <w:p>
          <w:pPr>
            <w:pStyle w:val="Contents4"/>
            <w:tabs>
              <w:tab w:val="clear" w:pos="8176"/>
              <w:tab w:val="right" w:pos="9026" w:leader="dot"/>
            </w:tabs>
            <w:rPr/>
          </w:pPr>
          <w:hyperlink w:anchor="__RefHeading___Toc3023895_3224264995">
            <w:r>
              <w:rPr>
                <w:webHidden/>
                <w:rStyle w:val="IndexLink"/>
                <w:rtl w:val="true"/>
              </w:rPr>
              <w:t>و أمّا الشرائط فهی علی أقسام</w:t>
            </w:r>
            <w:r>
              <w:rPr>
                <w:rStyle w:val="IndexLink"/>
                <w:rtl w:val="true"/>
              </w:rPr>
              <w:tab/>
            </w:r>
            <w:r>
              <w:rPr>
                <w:rStyle w:val="IndexLink"/>
              </w:rPr>
              <w:t>104</w:t>
            </w:r>
          </w:hyperlink>
        </w:p>
        <w:p>
          <w:pPr>
            <w:pStyle w:val="Contents4"/>
            <w:tabs>
              <w:tab w:val="clear" w:pos="8176"/>
              <w:tab w:val="right" w:pos="9026" w:leader="dot"/>
            </w:tabs>
            <w:rPr/>
          </w:pPr>
          <w:hyperlink w:anchor="__RefHeading___Toc3023897_3224264995">
            <w:r>
              <w:rPr>
                <w:webHidden/>
                <w:rStyle w:val="IndexLink"/>
                <w:rtl w:val="true"/>
              </w:rPr>
              <w:t>فالذی ینبغی البحث عنه فی المقام أمران</w:t>
            </w:r>
            <w:r>
              <w:rPr>
                <w:rStyle w:val="IndexLink"/>
                <w:rtl w:val="true"/>
              </w:rPr>
              <w:tab/>
            </w:r>
            <w:r>
              <w:rPr>
                <w:rStyle w:val="IndexLink"/>
              </w:rPr>
              <w:t>106</w:t>
            </w:r>
          </w:hyperlink>
        </w:p>
        <w:p>
          <w:pPr>
            <w:pStyle w:val="Contents5"/>
            <w:tabs>
              <w:tab w:val="clear" w:pos="7892"/>
              <w:tab w:val="right" w:pos="9026" w:leader="dot"/>
            </w:tabs>
            <w:rPr/>
          </w:pPr>
          <w:hyperlink w:anchor="__RefHeading___Toc3023899_3224264995">
            <w:r>
              <w:rPr>
                <w:webHidden/>
                <w:rStyle w:val="IndexLink"/>
                <w:rtl w:val="true"/>
              </w:rPr>
              <w:t>الأمر الأوّل</w:t>
            </w:r>
            <w:r>
              <w:rPr>
                <w:rStyle w:val="IndexLink"/>
                <w:rtl w:val="true"/>
              </w:rPr>
              <w:tab/>
            </w:r>
            <w:r>
              <w:rPr>
                <w:rStyle w:val="IndexLink"/>
              </w:rPr>
              <w:t>106</w:t>
            </w:r>
          </w:hyperlink>
        </w:p>
        <w:p>
          <w:pPr>
            <w:pStyle w:val="Contents5"/>
            <w:tabs>
              <w:tab w:val="clear" w:pos="7892"/>
              <w:tab w:val="right" w:pos="9026" w:leader="dot"/>
            </w:tabs>
            <w:rPr/>
          </w:pPr>
          <w:hyperlink w:anchor="__RefHeading___Toc3023901_3224264995">
            <w:r>
              <w:rPr>
                <w:webHidden/>
                <w:rStyle w:val="IndexLink"/>
                <w:rtl w:val="true"/>
              </w:rPr>
              <w:t>الأمر الثانی</w:t>
            </w:r>
            <w:r>
              <w:rPr>
                <w:rStyle w:val="IndexLink"/>
                <w:rtl w:val="true"/>
              </w:rPr>
              <w:tab/>
            </w:r>
            <w:r>
              <w:rPr>
                <w:rStyle w:val="IndexLink"/>
              </w:rPr>
              <w:t>107</w:t>
            </w:r>
          </w:hyperlink>
        </w:p>
        <w:p>
          <w:pPr>
            <w:pStyle w:val="Contents4"/>
            <w:tabs>
              <w:tab w:val="clear" w:pos="8176"/>
              <w:tab w:val="right" w:pos="9026" w:leader="dot"/>
            </w:tabs>
            <w:rPr/>
          </w:pPr>
          <w:hyperlink w:anchor="__RefHeading___Toc3023903_3224264995">
            <w:r>
              <w:rPr>
                <w:webHidden/>
                <w:rStyle w:val="IndexLink"/>
                <w:rtl w:val="true"/>
              </w:rPr>
              <w:t>فی ضرورة الجامع علی القولین</w:t>
            </w:r>
            <w:r>
              <w:rPr>
                <w:rStyle w:val="IndexLink"/>
                <w:rtl w:val="true"/>
              </w:rPr>
              <w:tab/>
            </w:r>
            <w:r>
              <w:rPr>
                <w:rStyle w:val="IndexLink"/>
              </w:rPr>
              <w:t>108</w:t>
            </w:r>
          </w:hyperlink>
        </w:p>
        <w:p>
          <w:pPr>
            <w:pStyle w:val="Contents4"/>
            <w:tabs>
              <w:tab w:val="clear" w:pos="8176"/>
              <w:tab w:val="right" w:pos="9026" w:leader="dot"/>
            </w:tabs>
            <w:rPr/>
          </w:pPr>
          <w:hyperlink w:anchor="__RefHeading___Toc3023905_3224264995">
            <w:r>
              <w:rPr>
                <w:webHidden/>
                <w:rStyle w:val="IndexLink"/>
                <w:rtl w:val="true"/>
              </w:rPr>
              <w:t>فی تصویر الجامع عند الصحیحی</w:t>
            </w:r>
            <w:r>
              <w:rPr>
                <w:rStyle w:val="IndexLink"/>
                <w:rtl w:val="true"/>
              </w:rPr>
              <w:tab/>
            </w:r>
            <w:r>
              <w:rPr>
                <w:rStyle w:val="IndexLink"/>
              </w:rPr>
              <w:t>108</w:t>
            </w:r>
          </w:hyperlink>
        </w:p>
        <w:p>
          <w:pPr>
            <w:pStyle w:val="Contents4"/>
            <w:tabs>
              <w:tab w:val="clear" w:pos="8176"/>
              <w:tab w:val="right" w:pos="9026" w:leader="dot"/>
            </w:tabs>
            <w:rPr/>
          </w:pPr>
          <w:hyperlink w:anchor="__RefHeading___Toc3023907_3224264995">
            <w:r>
              <w:rPr>
                <w:webHidden/>
                <w:rStyle w:val="IndexLink"/>
                <w:rtl w:val="true"/>
              </w:rPr>
              <w:t>فی تصویر الجامع عند المحقّق العراقی</w:t>
            </w:r>
            <w:r>
              <w:rPr>
                <w:rStyle w:val="IndexLink"/>
                <w:rtl w:val="true"/>
              </w:rPr>
              <w:tab/>
            </w:r>
            <w:r>
              <w:rPr>
                <w:rStyle w:val="IndexLink"/>
              </w:rPr>
              <w:t>109</w:t>
            </w:r>
          </w:hyperlink>
        </w:p>
        <w:p>
          <w:pPr>
            <w:pStyle w:val="Contents4"/>
            <w:tabs>
              <w:tab w:val="clear" w:pos="8176"/>
              <w:tab w:val="right" w:pos="9026" w:leader="dot"/>
            </w:tabs>
            <w:rPr/>
          </w:pPr>
          <w:hyperlink w:anchor="__RefHeading___Toc3023909_3224264995">
            <w:r>
              <w:rPr>
                <w:webHidden/>
                <w:rStyle w:val="IndexLink"/>
                <w:rtl w:val="true"/>
              </w:rPr>
              <w:t>فی تصویر الجامع عند المحقّق الأصفهانی</w:t>
            </w:r>
            <w:r>
              <w:rPr>
                <w:rStyle w:val="IndexLink"/>
                <w:rtl w:val="true"/>
              </w:rPr>
              <w:tab/>
            </w:r>
            <w:r>
              <w:rPr>
                <w:rStyle w:val="IndexLink"/>
              </w:rPr>
              <w:t>111</w:t>
            </w:r>
          </w:hyperlink>
        </w:p>
        <w:p>
          <w:pPr>
            <w:pStyle w:val="Contents4"/>
            <w:tabs>
              <w:tab w:val="clear" w:pos="8176"/>
              <w:tab w:val="right" w:pos="9026" w:leader="dot"/>
            </w:tabs>
            <w:rPr/>
          </w:pPr>
          <w:hyperlink w:anchor="__RefHeading___Toc3023911_3224264995">
            <w:r>
              <w:rPr>
                <w:webHidden/>
                <w:rStyle w:val="IndexLink"/>
                <w:rtl w:val="true"/>
              </w:rPr>
              <w:t>التحقیق فی تصویر الجامع</w:t>
            </w:r>
            <w:r>
              <w:rPr>
                <w:rStyle w:val="IndexLink"/>
                <w:rtl w:val="true"/>
              </w:rPr>
              <w:tab/>
            </w:r>
            <w:r>
              <w:rPr>
                <w:rStyle w:val="IndexLink"/>
              </w:rPr>
              <w:t>112</w:t>
            </w:r>
          </w:hyperlink>
        </w:p>
        <w:p>
          <w:pPr>
            <w:pStyle w:val="Contents4"/>
            <w:tabs>
              <w:tab w:val="clear" w:pos="8176"/>
              <w:tab w:val="right" w:pos="9026" w:leader="dot"/>
            </w:tabs>
            <w:rPr/>
          </w:pPr>
          <w:hyperlink w:anchor="__RefHeading___Toc3023913_3224264995">
            <w:r>
              <w:rPr>
                <w:webHidden/>
                <w:rStyle w:val="IndexLink"/>
                <w:rtl w:val="true"/>
              </w:rPr>
              <w:t>فی أدلّة الصحیحی</w:t>
            </w:r>
            <w:r>
              <w:rPr>
                <w:rStyle w:val="IndexLink"/>
                <w:rtl w:val="true"/>
              </w:rPr>
              <w:tab/>
            </w:r>
            <w:r>
              <w:rPr>
                <w:rStyle w:val="IndexLink"/>
              </w:rPr>
              <w:t>115</w:t>
            </w:r>
          </w:hyperlink>
        </w:p>
        <w:p>
          <w:pPr>
            <w:pStyle w:val="Contents5"/>
            <w:tabs>
              <w:tab w:val="clear" w:pos="7892"/>
              <w:tab w:val="right" w:pos="9026" w:leader="dot"/>
            </w:tabs>
            <w:rPr/>
          </w:pPr>
          <w:hyperlink w:anchor="__RefHeading___Toc3023915_3224264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023917_3224264995">
            <w:r>
              <w:rPr>
                <w:webHidden/>
                <w:rStyle w:val="IndexLink"/>
                <w:rtl w:val="true"/>
              </w:rPr>
              <w:t>فی الاستدلال بالتبادر</w:t>
            </w:r>
            <w:r>
              <w:rPr>
                <w:rStyle w:val="IndexLink"/>
                <w:rtl w:val="true"/>
              </w:rPr>
              <w:tab/>
            </w:r>
            <w:r>
              <w:rPr>
                <w:rStyle w:val="IndexLink"/>
              </w:rPr>
              <w:t>115</w:t>
            </w:r>
          </w:hyperlink>
        </w:p>
        <w:p>
          <w:pPr>
            <w:pStyle w:val="Contents5"/>
            <w:tabs>
              <w:tab w:val="clear" w:pos="7892"/>
              <w:tab w:val="right" w:pos="9026" w:leader="dot"/>
            </w:tabs>
            <w:rPr/>
          </w:pPr>
          <w:hyperlink w:anchor="__RefHeading___Toc3023919_3224264995">
            <w:r>
              <w:rPr>
                <w:webHidden/>
                <w:rStyle w:val="IndexLink"/>
                <w:rtl w:val="true"/>
              </w:rPr>
              <w:t>فی الاستدلال بصحّة السلب عن الفاسدة</w:t>
            </w:r>
            <w:r>
              <w:rPr>
                <w:rStyle w:val="IndexLink"/>
                <w:rtl w:val="true"/>
              </w:rPr>
              <w:tab/>
            </w:r>
            <w:r>
              <w:rPr>
                <w:rStyle w:val="IndexLink"/>
              </w:rPr>
              <w:t>117</w:t>
            </w:r>
          </w:hyperlink>
        </w:p>
        <w:p>
          <w:pPr>
            <w:pStyle w:val="Contents5"/>
            <w:tabs>
              <w:tab w:val="clear" w:pos="7892"/>
              <w:tab w:val="right" w:pos="9026" w:leader="dot"/>
            </w:tabs>
            <w:rPr/>
          </w:pPr>
          <w:hyperlink w:anchor="__RefHeading___Toc3023921_3224264995">
            <w:r>
              <w:rPr>
                <w:webHidden/>
                <w:rStyle w:val="IndexLink"/>
                <w:rtl w:val="true"/>
              </w:rPr>
              <w:t>استدلال الصحیحی بالأخبار</w:t>
            </w:r>
            <w:r>
              <w:rPr>
                <w:rStyle w:val="IndexLink"/>
                <w:rtl w:val="true"/>
              </w:rPr>
              <w:tab/>
            </w:r>
            <w:r>
              <w:rPr>
                <w:rStyle w:val="IndexLink"/>
              </w:rPr>
              <w:t>118</w:t>
            </w:r>
          </w:hyperlink>
        </w:p>
        <w:p>
          <w:pPr>
            <w:pStyle w:val="Contents5"/>
            <w:tabs>
              <w:tab w:val="clear" w:pos="7892"/>
              <w:tab w:val="right" w:pos="9026" w:leader="dot"/>
            </w:tabs>
            <w:rPr/>
          </w:pPr>
          <w:hyperlink w:anchor="__RefHeading___Toc3023923_3224264995">
            <w:r>
              <w:rPr>
                <w:webHidden/>
                <w:rStyle w:val="IndexLink"/>
                <w:rtl w:val="true"/>
              </w:rPr>
              <w:t>القطع بالوضع للمرکّبات التامّة</w:t>
            </w:r>
            <w:r>
              <w:rPr>
                <w:rStyle w:val="IndexLink"/>
                <w:rtl w:val="true"/>
              </w:rPr>
              <w:tab/>
            </w:r>
            <w:r>
              <w:rPr>
                <w:rStyle w:val="IndexLink"/>
              </w:rPr>
              <w:t>119</w:t>
            </w:r>
          </w:hyperlink>
        </w:p>
        <w:p>
          <w:pPr>
            <w:pStyle w:val="Contents5"/>
            <w:tabs>
              <w:tab w:val="clear" w:pos="7892"/>
              <w:tab w:val="right" w:pos="9026" w:leader="dot"/>
            </w:tabs>
            <w:rPr/>
          </w:pPr>
          <w:hyperlink w:anchor="__RefHeading___Toc3023925_3224264995">
            <w:r>
              <w:rPr>
                <w:webHidden/>
                <w:rStyle w:val="IndexLink"/>
                <w:rtl w:val="true"/>
              </w:rPr>
              <w:t>وجه آخر للاستدلال بالتبادر و صحّة السلب</w:t>
            </w:r>
            <w:r>
              <w:rPr>
                <w:rStyle w:val="IndexLink"/>
                <w:rtl w:val="true"/>
              </w:rPr>
              <w:tab/>
            </w:r>
            <w:r>
              <w:rPr>
                <w:rStyle w:val="IndexLink"/>
              </w:rPr>
              <w:t>119</w:t>
            </w:r>
          </w:hyperlink>
        </w:p>
        <w:p>
          <w:pPr>
            <w:pStyle w:val="Contents4"/>
            <w:tabs>
              <w:tab w:val="clear" w:pos="8176"/>
              <w:tab w:val="right" w:pos="9026" w:leader="dot"/>
            </w:tabs>
            <w:rPr/>
          </w:pPr>
          <w:hyperlink w:anchor="__RefHeading___Toc3023927_3224264995">
            <w:r>
              <w:rPr>
                <w:webHidden/>
                <w:rStyle w:val="IndexLink"/>
                <w:rtl w:val="true"/>
              </w:rPr>
              <w:t>فی أدلّة الأعمّی</w:t>
            </w:r>
            <w:r>
              <w:rPr>
                <w:rStyle w:val="IndexLink"/>
                <w:rtl w:val="true"/>
              </w:rPr>
              <w:tab/>
            </w:r>
            <w:r>
              <w:rPr>
                <w:rStyle w:val="IndexLink"/>
              </w:rPr>
              <w:t>120</w:t>
            </w:r>
          </w:hyperlink>
        </w:p>
        <w:p>
          <w:pPr>
            <w:pStyle w:val="Contents5"/>
            <w:tabs>
              <w:tab w:val="clear" w:pos="7892"/>
              <w:tab w:val="right" w:pos="9026" w:leader="dot"/>
            </w:tabs>
            <w:rPr/>
          </w:pPr>
          <w:hyperlink w:anchor="__RefHeading___Toc3023929_3224264995">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023931_3224264995">
            <w:r>
              <w:rPr>
                <w:webHidden/>
                <w:rStyle w:val="IndexLink"/>
                <w:rtl w:val="true"/>
              </w:rPr>
              <w:t>مناقشة الآخوند لدلیل النذر</w:t>
            </w:r>
            <w:r>
              <w:rPr>
                <w:rStyle w:val="IndexLink"/>
                <w:rtl w:val="true"/>
              </w:rPr>
              <w:tab/>
            </w:r>
            <w:r>
              <w:rPr>
                <w:rStyle w:val="IndexLink"/>
              </w:rPr>
              <w:t>121</w:t>
            </w:r>
          </w:hyperlink>
        </w:p>
        <w:p>
          <w:pPr>
            <w:pStyle w:val="Contents5"/>
            <w:tabs>
              <w:tab w:val="clear" w:pos="7892"/>
              <w:tab w:val="right" w:pos="9026" w:leader="dot"/>
            </w:tabs>
            <w:rPr/>
          </w:pPr>
          <w:hyperlink w:anchor="__RefHeading___Toc3023933_3224264995">
            <w:r>
              <w:rPr>
                <w:webHidden/>
                <w:rStyle w:val="IndexLink"/>
                <w:rtl w:val="true"/>
              </w:rPr>
              <w:t xml:space="preserve">فی الإیراد علی ما فی </w:t>
            </w:r>
            <w:r>
              <w:rPr>
                <w:rStyle w:val="IndexLink"/>
                <w:rtl w:val="true"/>
              </w:rPr>
              <w:t>«</w:t>
            </w:r>
            <w:r>
              <w:rPr>
                <w:rStyle w:val="IndexLink"/>
                <w:rtl w:val="true"/>
              </w:rPr>
              <w:t>الکفایة</w:t>
            </w:r>
            <w:r>
              <w:rPr>
                <w:rStyle w:val="IndexLink"/>
                <w:rtl w:val="true"/>
              </w:rPr>
              <w:t>»</w:t>
              <w:tab/>
            </w:r>
            <w:r>
              <w:rPr>
                <w:rStyle w:val="IndexLink"/>
              </w:rPr>
              <w:t>122</w:t>
            </w:r>
          </w:hyperlink>
        </w:p>
        <w:p>
          <w:pPr>
            <w:pStyle w:val="Contents4"/>
            <w:tabs>
              <w:tab w:val="clear" w:pos="8176"/>
              <w:tab w:val="right" w:pos="9026" w:leader="dot"/>
            </w:tabs>
            <w:rPr/>
          </w:pPr>
          <w:hyperlink w:anchor="__RefHeading___Toc3023935_3224264995">
            <w:r>
              <w:rPr>
                <w:webHidden/>
                <w:rStyle w:val="IndexLink"/>
                <w:rtl w:val="true"/>
              </w:rPr>
              <w:t>الکلام فی ثمرة هذا النزاع</w:t>
            </w:r>
            <w:r>
              <w:rPr>
                <w:rStyle w:val="IndexLink"/>
                <w:rtl w:val="true"/>
              </w:rPr>
              <w:tab/>
            </w:r>
            <w:r>
              <w:rPr>
                <w:rStyle w:val="IndexLink"/>
              </w:rPr>
              <w:t>123</w:t>
            </w:r>
          </w:hyperlink>
        </w:p>
        <w:p>
          <w:pPr>
            <w:pStyle w:val="Contents5"/>
            <w:tabs>
              <w:tab w:val="clear" w:pos="7892"/>
              <w:tab w:val="right" w:pos="9026" w:leader="dot"/>
            </w:tabs>
            <w:rPr/>
          </w:pPr>
          <w:hyperlink w:anchor="__RefHeading___Toc3023937_322426499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023939_3224264995">
            <w:r>
              <w:rPr>
                <w:webHidden/>
                <w:rStyle w:val="IndexLink"/>
                <w:rtl w:val="true"/>
              </w:rPr>
              <w:t>نعم استشکل فیه بوجهین آخرین</w:t>
            </w:r>
            <w:r>
              <w:rPr>
                <w:rStyle w:val="IndexLink"/>
                <w:rtl w:val="true"/>
              </w:rPr>
              <w:t>:</w:t>
              <w:tab/>
            </w:r>
            <w:r>
              <w:rPr>
                <w:rStyle w:val="IndexLink"/>
              </w:rPr>
              <w:t>124</w:t>
            </w:r>
          </w:hyperlink>
        </w:p>
        <w:p>
          <w:pPr>
            <w:pStyle w:val="Contents5"/>
            <w:tabs>
              <w:tab w:val="clear" w:pos="7892"/>
              <w:tab w:val="right" w:pos="9026" w:leader="dot"/>
            </w:tabs>
            <w:rPr/>
          </w:pPr>
          <w:hyperlink w:anchor="__RefHeading___Toc3023941_3224264995">
            <w:r>
              <w:rPr>
                <w:webHidden/>
                <w:rStyle w:val="IndexLink"/>
                <w:rtl w:val="true"/>
              </w:rPr>
              <w:t>الإشکال فی جریان البراءة علی مذهب الآخوند</w:t>
            </w:r>
            <w:r>
              <w:rPr>
                <w:rStyle w:val="IndexLink"/>
                <w:rtl w:val="true"/>
              </w:rPr>
              <w:tab/>
            </w:r>
            <w:r>
              <w:rPr>
                <w:rStyle w:val="IndexLink"/>
              </w:rPr>
              <w:t>128</w:t>
            </w:r>
          </w:hyperlink>
        </w:p>
        <w:p>
          <w:pPr>
            <w:pStyle w:val="Contents5"/>
            <w:tabs>
              <w:tab w:val="clear" w:pos="7892"/>
              <w:tab w:val="right" w:pos="9026" w:leader="dot"/>
            </w:tabs>
            <w:rPr/>
          </w:pPr>
          <w:hyperlink w:anchor="__RefHeading___Toc3023943_3224264995">
            <w:r>
              <w:rPr>
                <w:webHidden/>
                <w:rStyle w:val="IndexLink"/>
                <w:rtl w:val="true"/>
              </w:rPr>
              <w:t>فی جریان النزاع فی المعاملات</w:t>
            </w:r>
            <w:r>
              <w:rPr>
                <w:rStyle w:val="IndexLink"/>
                <w:rtl w:val="true"/>
              </w:rPr>
              <w:tab/>
            </w:r>
            <w:r>
              <w:rPr>
                <w:rStyle w:val="IndexLink"/>
              </w:rPr>
              <w:t>129</w:t>
            </w:r>
          </w:hyperlink>
        </w:p>
        <w:p>
          <w:pPr>
            <w:pStyle w:val="Contents6"/>
            <w:tabs>
              <w:tab w:val="clear" w:pos="7609"/>
              <w:tab w:val="right" w:pos="9026" w:leader="dot"/>
            </w:tabs>
            <w:rPr/>
          </w:pPr>
          <w:hyperlink w:anchor="__RefHeading___Toc3023945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023947_3224264995">
            <w:r>
              <w:rPr>
                <w:webHidden/>
                <w:rStyle w:val="IndexLink"/>
                <w:rtl w:val="true"/>
              </w:rPr>
              <w:t>فی أقسام البیع عند المحقّق العراقی و مناقشتها</w:t>
            </w:r>
            <w:r>
              <w:rPr>
                <w:rStyle w:val="IndexLink"/>
                <w:rtl w:val="true"/>
              </w:rPr>
              <w:tab/>
            </w:r>
            <w:r>
              <w:rPr>
                <w:rStyle w:val="IndexLink"/>
              </w:rPr>
              <w:t>129</w:t>
            </w:r>
          </w:hyperlink>
        </w:p>
        <w:p>
          <w:pPr>
            <w:pStyle w:val="Contents6"/>
            <w:tabs>
              <w:tab w:val="clear" w:pos="7609"/>
              <w:tab w:val="right" w:pos="9026" w:leader="dot"/>
            </w:tabs>
            <w:rPr/>
          </w:pPr>
          <w:hyperlink w:anchor="__RefHeading___Toc3023949_3224264995">
            <w:r>
              <w:rPr>
                <w:webHidden/>
                <w:rStyle w:val="IndexLink"/>
                <w:rtl w:val="true"/>
              </w:rPr>
              <w:t>النزاع فی المعاملات مع وضعها للأسباب</w:t>
            </w:r>
            <w:r>
              <w:rPr>
                <w:rStyle w:val="IndexLink"/>
                <w:rtl w:val="true"/>
              </w:rPr>
              <w:tab/>
            </w:r>
            <w:r>
              <w:rPr>
                <w:rStyle w:val="IndexLink"/>
              </w:rPr>
              <w:t>132</w:t>
            </w:r>
          </w:hyperlink>
        </w:p>
        <w:p>
          <w:pPr>
            <w:pStyle w:val="Contents6"/>
            <w:tabs>
              <w:tab w:val="clear" w:pos="7609"/>
              <w:tab w:val="right" w:pos="9026" w:leader="dot"/>
            </w:tabs>
            <w:rPr/>
          </w:pPr>
          <w:hyperlink w:anchor="__RefHeading___Toc3023951_3224264995">
            <w:r>
              <w:rPr>
                <w:webHidden/>
                <w:rStyle w:val="IndexLink"/>
                <w:rtl w:val="true"/>
              </w:rPr>
              <w:t>فی نفی ثمرة النزاع فی المعاملات</w:t>
            </w:r>
            <w:r>
              <w:rPr>
                <w:rStyle w:val="IndexLink"/>
                <w:rtl w:val="true"/>
              </w:rPr>
              <w:tab/>
            </w:r>
            <w:r>
              <w:rPr>
                <w:rStyle w:val="IndexLink"/>
              </w:rPr>
              <w:t>133</w:t>
            </w:r>
          </w:hyperlink>
        </w:p>
        <w:p>
          <w:pPr>
            <w:pStyle w:val="Contents6"/>
            <w:tabs>
              <w:tab w:val="clear" w:pos="7609"/>
              <w:tab w:val="right" w:pos="9026" w:leader="dot"/>
            </w:tabs>
            <w:rPr/>
          </w:pPr>
          <w:hyperlink w:anchor="__RefHeading___Toc3023953_3224264995">
            <w:r>
              <w:rPr>
                <w:webHidden/>
                <w:rStyle w:val="IndexLink"/>
                <w:rtl w:val="true"/>
              </w:rPr>
              <w:t>الإشکال علی وضع المعاملات للمسبّبات و حلّه</w:t>
            </w:r>
            <w:r>
              <w:rPr>
                <w:rStyle w:val="IndexLink"/>
                <w:rtl w:val="true"/>
              </w:rPr>
              <w:tab/>
            </w:r>
            <w:r>
              <w:rPr>
                <w:rStyle w:val="IndexLink"/>
              </w:rPr>
              <w:t>134</w:t>
            </w:r>
          </w:hyperlink>
        </w:p>
        <w:p>
          <w:pPr>
            <w:pStyle w:val="Contents6"/>
            <w:tabs>
              <w:tab w:val="clear" w:pos="7609"/>
              <w:tab w:val="right" w:pos="9026" w:leader="dot"/>
            </w:tabs>
            <w:rPr/>
          </w:pPr>
          <w:hyperlink w:anchor="__RefHeading___Toc3023955_3224264995">
            <w:r>
              <w:rPr>
                <w:webHidden/>
                <w:rStyle w:val="IndexLink"/>
                <w:rtl w:val="true"/>
              </w:rPr>
              <w:t>انصراف أدلّة المعاملات إلی العرفیة منها</w:t>
            </w:r>
            <w:r>
              <w:rPr>
                <w:rStyle w:val="IndexLink"/>
                <w:rtl w:val="true"/>
              </w:rPr>
              <w:tab/>
            </w:r>
            <w:r>
              <w:rPr>
                <w:rStyle w:val="IndexLink"/>
              </w:rPr>
              <w:t>136</w:t>
            </w:r>
          </w:hyperlink>
        </w:p>
        <w:p>
          <w:pPr>
            <w:pStyle w:val="Contents5"/>
            <w:tabs>
              <w:tab w:val="clear" w:pos="7892"/>
              <w:tab w:val="right" w:pos="9026" w:leader="dot"/>
            </w:tabs>
            <w:rPr/>
          </w:pPr>
          <w:hyperlink w:anchor="__RefHeading___Toc3023957_3224264995">
            <w:r>
              <w:rPr>
                <w:webHidden/>
                <w:rStyle w:val="IndexLink"/>
                <w:rtl w:val="true"/>
              </w:rPr>
              <w:t>خاتمة</w:t>
            </w:r>
            <w:r>
              <w:rPr>
                <w:rStyle w:val="IndexLink"/>
                <w:rtl w:val="true"/>
              </w:rPr>
              <w:t xml:space="preserve">: </w:t>
            </w:r>
            <w:r>
              <w:rPr>
                <w:rStyle w:val="IndexLink"/>
                <w:rtl w:val="true"/>
              </w:rPr>
              <w:t>فی أنحاء اعتبار أجزاء الماهیات و شروطها و أحکامها</w:t>
            </w:r>
            <w:r>
              <w:rPr>
                <w:rStyle w:val="IndexLink"/>
                <w:rtl w:val="true"/>
              </w:rPr>
              <w:tab/>
            </w:r>
            <w:r>
              <w:rPr>
                <w:rStyle w:val="IndexLink"/>
              </w:rPr>
              <w:t>137</w:t>
            </w:r>
          </w:hyperlink>
        </w:p>
        <w:p>
          <w:pPr>
            <w:pStyle w:val="Contents6"/>
            <w:tabs>
              <w:tab w:val="clear" w:pos="7609"/>
              <w:tab w:val="right" w:pos="9026" w:leader="dot"/>
            </w:tabs>
            <w:rPr/>
          </w:pPr>
          <w:hyperlink w:anchor="__RefHeading___Toc3023959_3224264995">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023961_3224264995">
            <w:r>
              <w:rPr>
                <w:webHidden/>
                <w:rStyle w:val="IndexLink"/>
                <w:rtl w:val="true"/>
              </w:rPr>
              <w:t>الإشکال فی الماهیّات الاعتباریّة و دفعه</w:t>
            </w:r>
            <w:r>
              <w:rPr>
                <w:rStyle w:val="IndexLink"/>
                <w:rtl w:val="true"/>
              </w:rPr>
              <w:tab/>
            </w:r>
            <w:r>
              <w:rPr>
                <w:rStyle w:val="IndexLink"/>
              </w:rPr>
              <w:t>139</w:t>
            </w:r>
          </w:hyperlink>
        </w:p>
        <w:p>
          <w:pPr>
            <w:pStyle w:val="Contents3"/>
            <w:tabs>
              <w:tab w:val="clear" w:pos="8459"/>
              <w:tab w:val="right" w:pos="9026" w:leader="dot"/>
            </w:tabs>
            <w:rPr/>
          </w:pPr>
          <w:hyperlink w:anchor="__RefHeading___Toc3023963_3224264995">
            <w:r>
              <w:rPr>
                <w:webHidden/>
                <w:rStyle w:val="IndexLink"/>
                <w:rtl w:val="true"/>
              </w:rPr>
              <w:t>الأمر الحادی عشر فی الاشتراک و فیه مباحث</w:t>
            </w:r>
            <w:r>
              <w:rPr>
                <w:rStyle w:val="IndexLink"/>
                <w:rtl w:val="true"/>
              </w:rPr>
              <w:t>:</w:t>
              <w:tab/>
            </w:r>
            <w:r>
              <w:rPr>
                <w:rStyle w:val="IndexLink"/>
              </w:rPr>
              <w:t>141</w:t>
            </w:r>
          </w:hyperlink>
        </w:p>
        <w:p>
          <w:pPr>
            <w:pStyle w:val="Contents4"/>
            <w:tabs>
              <w:tab w:val="clear" w:pos="8176"/>
              <w:tab w:val="right" w:pos="9026" w:leader="dot"/>
            </w:tabs>
            <w:rPr/>
          </w:pPr>
          <w:hyperlink w:anchor="__RefHeading___Toc3023965_3224264995">
            <w:r>
              <w:rPr>
                <w:webHidden/>
                <w:rStyle w:val="IndexLink"/>
                <w:rtl w:val="true"/>
              </w:rPr>
              <w:t>المبحث الأوّل</w:t>
            </w:r>
            <w:r>
              <w:rPr>
                <w:rStyle w:val="IndexLink"/>
                <w:rtl w:val="true"/>
              </w:rPr>
              <w:t xml:space="preserve">: </w:t>
            </w:r>
            <w:r>
              <w:rPr>
                <w:rStyle w:val="IndexLink"/>
                <w:rtl w:val="true"/>
              </w:rPr>
              <w:t>فی إمکان الاشتراک</w:t>
            </w:r>
            <w:r>
              <w:rPr>
                <w:rStyle w:val="IndexLink"/>
                <w:rtl w:val="true"/>
              </w:rPr>
              <w:tab/>
            </w:r>
            <w:r>
              <w:rPr>
                <w:rStyle w:val="IndexLink"/>
              </w:rPr>
              <w:t>141</w:t>
            </w:r>
          </w:hyperlink>
        </w:p>
        <w:p>
          <w:pPr>
            <w:pStyle w:val="Contents5"/>
            <w:tabs>
              <w:tab w:val="clear" w:pos="7892"/>
              <w:tab w:val="right" w:pos="9026" w:leader="dot"/>
            </w:tabs>
            <w:rPr/>
          </w:pPr>
          <w:hyperlink w:anchor="__RefHeading___Toc3023967_3224264995">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023969_3224264995">
            <w:r>
              <w:rPr>
                <w:webHidden/>
                <w:rStyle w:val="IndexLink"/>
                <w:rtl w:val="true"/>
              </w:rPr>
              <w:t>أدلّة القائلین بامتناع الاشتراک</w:t>
            </w:r>
            <w:r>
              <w:rPr>
                <w:rStyle w:val="IndexLink"/>
                <w:rtl w:val="true"/>
              </w:rPr>
              <w:tab/>
            </w:r>
            <w:r>
              <w:rPr>
                <w:rStyle w:val="IndexLink"/>
              </w:rPr>
              <w:t>141</w:t>
            </w:r>
          </w:hyperlink>
        </w:p>
        <w:p>
          <w:pPr>
            <w:pStyle w:val="Contents5"/>
            <w:tabs>
              <w:tab w:val="clear" w:pos="7892"/>
              <w:tab w:val="right" w:pos="9026" w:leader="dot"/>
            </w:tabs>
            <w:rPr/>
          </w:pPr>
          <w:hyperlink w:anchor="__RefHeading___Toc3023971_3224264995">
            <w:r>
              <w:rPr>
                <w:webHidden/>
                <w:rStyle w:val="IndexLink"/>
                <w:rtl w:val="true"/>
              </w:rPr>
              <w:t>أدلّة القائلین بوجوب الاشتراک</w:t>
            </w:r>
            <w:r>
              <w:rPr>
                <w:rStyle w:val="IndexLink"/>
                <w:rtl w:val="true"/>
              </w:rPr>
              <w:tab/>
            </w:r>
            <w:r>
              <w:rPr>
                <w:rStyle w:val="IndexLink"/>
              </w:rPr>
              <w:t>144</w:t>
            </w:r>
          </w:hyperlink>
        </w:p>
        <w:p>
          <w:pPr>
            <w:pStyle w:val="Contents4"/>
            <w:tabs>
              <w:tab w:val="clear" w:pos="8176"/>
              <w:tab w:val="right" w:pos="9026" w:leader="dot"/>
            </w:tabs>
            <w:rPr/>
          </w:pPr>
          <w:hyperlink w:anchor="__RefHeading___Toc3023973_3224264995">
            <w:r>
              <w:rPr>
                <w:webHidden/>
                <w:rStyle w:val="IndexLink"/>
                <w:rtl w:val="true"/>
              </w:rPr>
              <w:t>المبحث الثانی</w:t>
            </w:r>
            <w:r>
              <w:rPr>
                <w:rStyle w:val="IndexLink"/>
                <w:rtl w:val="true"/>
              </w:rPr>
              <w:t xml:space="preserve">: </w:t>
            </w:r>
            <w:r>
              <w:rPr>
                <w:rStyle w:val="IndexLink"/>
                <w:rtl w:val="true"/>
              </w:rPr>
              <w:t>فی استعمال اللّفظ فی أکثر من معنی</w:t>
            </w:r>
            <w:r>
              <w:rPr>
                <w:rStyle w:val="IndexLink"/>
                <w:rtl w:val="true"/>
              </w:rPr>
              <w:tab/>
            </w:r>
            <w:r>
              <w:rPr>
                <w:rStyle w:val="IndexLink"/>
              </w:rPr>
              <w:t>145</w:t>
            </w:r>
          </w:hyperlink>
        </w:p>
        <w:p>
          <w:pPr>
            <w:pStyle w:val="Contents5"/>
            <w:tabs>
              <w:tab w:val="clear" w:pos="7892"/>
              <w:tab w:val="right" w:pos="9026" w:leader="dot"/>
            </w:tabs>
            <w:rPr/>
          </w:pPr>
          <w:hyperlink w:anchor="__RefHeading___Toc3023975_3224264995">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023977_3224264995">
            <w:r>
              <w:rPr>
                <w:webHidden/>
                <w:rStyle w:val="IndexLink"/>
                <w:rtl w:val="true"/>
              </w:rPr>
              <w:t>فی تحریر محلّ النزاع</w:t>
            </w:r>
            <w:r>
              <w:rPr>
                <w:rStyle w:val="IndexLink"/>
                <w:rtl w:val="true"/>
              </w:rPr>
              <w:tab/>
            </w:r>
            <w:r>
              <w:rPr>
                <w:rStyle w:val="IndexLink"/>
              </w:rPr>
              <w:t>145</w:t>
            </w:r>
          </w:hyperlink>
        </w:p>
        <w:p>
          <w:pPr>
            <w:pStyle w:val="Contents5"/>
            <w:tabs>
              <w:tab w:val="clear" w:pos="7892"/>
              <w:tab w:val="right" w:pos="9026" w:leader="dot"/>
            </w:tabs>
            <w:rPr/>
          </w:pPr>
          <w:hyperlink w:anchor="__RefHeading___Toc3023979_3224264995">
            <w:r>
              <w:rPr>
                <w:webHidden/>
                <w:rStyle w:val="IndexLink"/>
                <w:rtl w:val="true"/>
              </w:rPr>
              <w:t xml:space="preserve">استدلال صاحب </w:t>
            </w:r>
            <w:r>
              <w:rPr>
                <w:rStyle w:val="IndexLink"/>
                <w:rtl w:val="true"/>
              </w:rPr>
              <w:t>«</w:t>
            </w:r>
            <w:r>
              <w:rPr>
                <w:rStyle w:val="IndexLink"/>
                <w:rtl w:val="true"/>
              </w:rPr>
              <w:t>الکفایة</w:t>
            </w:r>
            <w:r>
              <w:rPr>
                <w:rStyle w:val="IndexLink"/>
                <w:rtl w:val="true"/>
              </w:rPr>
              <w:t xml:space="preserve">» </w:t>
            </w:r>
            <w:r>
              <w:rPr>
                <w:rStyle w:val="IndexLink"/>
                <w:rtl w:val="true"/>
              </w:rPr>
              <w:t>علی الامتناع</w:t>
            </w:r>
            <w:r>
              <w:rPr>
                <w:rStyle w:val="IndexLink"/>
                <w:rtl w:val="true"/>
              </w:rPr>
              <w:tab/>
            </w:r>
            <w:r>
              <w:rPr>
                <w:rStyle w:val="IndexLink"/>
              </w:rPr>
              <w:t>146</w:t>
            </w:r>
          </w:hyperlink>
        </w:p>
        <w:p>
          <w:pPr>
            <w:pStyle w:val="Contents5"/>
            <w:tabs>
              <w:tab w:val="clear" w:pos="7892"/>
              <w:tab w:val="right" w:pos="9026" w:leader="dot"/>
            </w:tabs>
            <w:rPr/>
          </w:pPr>
          <w:hyperlink w:anchor="__RefHeading___Toc3023981_3224264995">
            <w:r>
              <w:rPr>
                <w:webHidden/>
                <w:rStyle w:val="IndexLink"/>
                <w:rtl w:val="true"/>
              </w:rPr>
              <w:t>استدلالات ضعیفة علی الامتناع</w:t>
            </w:r>
            <w:r>
              <w:rPr>
                <w:rStyle w:val="IndexLink"/>
                <w:rtl w:val="true"/>
              </w:rPr>
              <w:tab/>
            </w:r>
            <w:r>
              <w:rPr>
                <w:rStyle w:val="IndexLink"/>
              </w:rPr>
              <w:t>147</w:t>
            </w:r>
          </w:hyperlink>
        </w:p>
        <w:p>
          <w:pPr>
            <w:pStyle w:val="Contents5"/>
            <w:tabs>
              <w:tab w:val="clear" w:pos="7892"/>
              <w:tab w:val="right" w:pos="9026" w:leader="dot"/>
            </w:tabs>
            <w:rPr/>
          </w:pPr>
          <w:hyperlink w:anchor="__RefHeading___Toc3023983_3224264995">
            <w:r>
              <w:rPr>
                <w:webHidden/>
                <w:rStyle w:val="IndexLink"/>
                <w:rtl w:val="true"/>
              </w:rPr>
              <w:t>کلام المحقّق العراقی فی المقام و مناقشته</w:t>
            </w:r>
            <w:r>
              <w:rPr>
                <w:rStyle w:val="IndexLink"/>
                <w:rtl w:val="true"/>
              </w:rPr>
              <w:tab/>
            </w:r>
            <w:r>
              <w:rPr>
                <w:rStyle w:val="IndexLink"/>
              </w:rPr>
              <w:t>149</w:t>
            </w:r>
          </w:hyperlink>
        </w:p>
        <w:p>
          <w:pPr>
            <w:pStyle w:val="Contents5"/>
            <w:tabs>
              <w:tab w:val="clear" w:pos="7892"/>
              <w:tab w:val="right" w:pos="9026" w:leader="dot"/>
            </w:tabs>
            <w:rPr/>
          </w:pPr>
          <w:hyperlink w:anchor="__RefHeading___Toc3023985_3224264995">
            <w:r>
              <w:rPr>
                <w:webHidden/>
                <w:rStyle w:val="IndexLink"/>
                <w:rtl w:val="true"/>
              </w:rPr>
              <w:t xml:space="preserve">تفصیل صاحب </w:t>
            </w:r>
            <w:r>
              <w:rPr>
                <w:rStyle w:val="IndexLink"/>
                <w:rtl w:val="true"/>
              </w:rPr>
              <w:t>«</w:t>
            </w:r>
            <w:r>
              <w:rPr>
                <w:rStyle w:val="IndexLink"/>
                <w:rtl w:val="true"/>
              </w:rPr>
              <w:t>المعالم</w:t>
            </w:r>
            <w:r>
              <w:rPr>
                <w:rStyle w:val="IndexLink"/>
                <w:rtl w:val="true"/>
              </w:rPr>
              <w:t xml:space="preserve">» </w:t>
            </w:r>
            <w:r>
              <w:rPr>
                <w:rStyle w:val="IndexLink"/>
                <w:rtl w:val="true"/>
              </w:rPr>
              <w:t>فی المقام و مناقشته</w:t>
            </w:r>
            <w:r>
              <w:rPr>
                <w:rStyle w:val="IndexLink"/>
                <w:rtl w:val="true"/>
              </w:rPr>
              <w:tab/>
            </w:r>
            <w:r>
              <w:rPr>
                <w:rStyle w:val="IndexLink"/>
              </w:rPr>
              <w:t>150</w:t>
            </w:r>
          </w:hyperlink>
        </w:p>
        <w:p>
          <w:pPr>
            <w:pStyle w:val="Contents5"/>
            <w:tabs>
              <w:tab w:val="clear" w:pos="7892"/>
              <w:tab w:val="right" w:pos="9026" w:leader="dot"/>
            </w:tabs>
            <w:rPr/>
          </w:pPr>
          <w:hyperlink w:anchor="__RefHeading___Toc3023987_3224264995">
            <w:r>
              <w:rPr>
                <w:webHidden/>
                <w:rStyle w:val="IndexLink"/>
                <w:rtl w:val="true"/>
              </w:rPr>
              <w:t>فی دلالة أخبار البطون علی وقوع الاشتراک</w:t>
            </w:r>
            <w:r>
              <w:rPr>
                <w:rStyle w:val="IndexLink"/>
                <w:rtl w:val="true"/>
              </w:rPr>
              <w:tab/>
            </w:r>
            <w:r>
              <w:rPr>
                <w:rStyle w:val="IndexLink"/>
              </w:rPr>
              <w:t>152</w:t>
            </w:r>
          </w:hyperlink>
        </w:p>
        <w:p>
          <w:pPr>
            <w:pStyle w:val="Contents3"/>
            <w:tabs>
              <w:tab w:val="clear" w:pos="8459"/>
              <w:tab w:val="right" w:pos="9026" w:leader="dot"/>
            </w:tabs>
            <w:rPr/>
          </w:pPr>
          <w:hyperlink w:anchor="__RefHeading___Toc3023989_3224264995">
            <w:r>
              <w:rPr>
                <w:webHidden/>
                <w:rStyle w:val="IndexLink"/>
                <w:rtl w:val="true"/>
              </w:rPr>
              <w:t>الأمر الثانی عشر فی المشتق</w:t>
            </w:r>
            <w:r>
              <w:rPr>
                <w:rStyle w:val="IndexLink"/>
                <w:rtl w:val="true"/>
              </w:rPr>
              <w:tab/>
            </w:r>
            <w:r>
              <w:rPr>
                <w:rStyle w:val="IndexLink"/>
              </w:rPr>
              <w:t>153</w:t>
            </w:r>
          </w:hyperlink>
        </w:p>
        <w:p>
          <w:pPr>
            <w:pStyle w:val="Contents4"/>
            <w:tabs>
              <w:tab w:val="clear" w:pos="8176"/>
              <w:tab w:val="right" w:pos="9026" w:leader="dot"/>
            </w:tabs>
            <w:rPr/>
          </w:pPr>
          <w:hyperlink w:anchor="__RefHeading___Toc3023991_3224264995">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023993_3224264995">
            <w:r>
              <w:rPr>
                <w:webHidden/>
                <w:rStyle w:val="IndexLink"/>
                <w:rtl w:val="true"/>
              </w:rPr>
              <w:t>الأمر الأوّل</w:t>
            </w:r>
            <w:r>
              <w:rPr>
                <w:rStyle w:val="IndexLink"/>
                <w:rtl w:val="true"/>
              </w:rPr>
              <w:t xml:space="preserve">: </w:t>
            </w:r>
            <w:r>
              <w:rPr>
                <w:rStyle w:val="IndexLink"/>
                <w:rtl w:val="true"/>
              </w:rPr>
              <w:t>فی أنّ المسألة عقلیة أم لغویّة</w:t>
            </w:r>
            <w:r>
              <w:rPr>
                <w:rStyle w:val="IndexLink"/>
                <w:rtl w:val="true"/>
              </w:rPr>
              <w:tab/>
            </w:r>
            <w:r>
              <w:rPr>
                <w:rStyle w:val="IndexLink"/>
              </w:rPr>
              <w:t>153</w:t>
            </w:r>
          </w:hyperlink>
        </w:p>
        <w:p>
          <w:pPr>
            <w:pStyle w:val="Contents5"/>
            <w:tabs>
              <w:tab w:val="clear" w:pos="7892"/>
              <w:tab w:val="right" w:pos="9026" w:leader="dot"/>
            </w:tabs>
            <w:rPr/>
          </w:pPr>
          <w:hyperlink w:anchor="__RefHeading___Toc3023995_3224264995">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023997_3224264995">
            <w:r>
              <w:rPr>
                <w:webHidden/>
                <w:rStyle w:val="IndexLink"/>
                <w:rtl w:val="true"/>
              </w:rPr>
              <w:t>مناقشة کلام المحقّق النائینی فی المقام</w:t>
            </w:r>
            <w:r>
              <w:rPr>
                <w:rStyle w:val="IndexLink"/>
                <w:rtl w:val="true"/>
              </w:rPr>
              <w:tab/>
            </w:r>
            <w:r>
              <w:rPr>
                <w:rStyle w:val="IndexLink"/>
              </w:rPr>
              <w:t>155</w:t>
            </w:r>
          </w:hyperlink>
        </w:p>
        <w:p>
          <w:pPr>
            <w:pStyle w:val="Contents4"/>
            <w:tabs>
              <w:tab w:val="clear" w:pos="8176"/>
              <w:tab w:val="right" w:pos="9026" w:leader="dot"/>
            </w:tabs>
            <w:rPr/>
          </w:pPr>
          <w:hyperlink w:anchor="__RefHeading___Toc3023999_3224264995">
            <w:r>
              <w:rPr>
                <w:webHidden/>
                <w:rStyle w:val="IndexLink"/>
                <w:rtl w:val="true"/>
              </w:rPr>
              <w:t>الأمر الثانی</w:t>
            </w:r>
            <w:r>
              <w:rPr>
                <w:rStyle w:val="IndexLink"/>
                <w:rtl w:val="true"/>
              </w:rPr>
              <w:t xml:space="preserve">: </w:t>
            </w:r>
            <w:r>
              <w:rPr>
                <w:rStyle w:val="IndexLink"/>
                <w:rtl w:val="true"/>
              </w:rPr>
              <w:t>فی أقسام المفاهیم و أحکامها</w:t>
            </w:r>
            <w:r>
              <w:rPr>
                <w:rStyle w:val="IndexLink"/>
                <w:rtl w:val="true"/>
              </w:rPr>
              <w:tab/>
            </w:r>
            <w:r>
              <w:rPr>
                <w:rStyle w:val="IndexLink"/>
              </w:rPr>
              <w:t>156</w:t>
            </w:r>
          </w:hyperlink>
        </w:p>
        <w:p>
          <w:pPr>
            <w:pStyle w:val="Contents5"/>
            <w:tabs>
              <w:tab w:val="clear" w:pos="7892"/>
              <w:tab w:val="right" w:pos="9026" w:leader="dot"/>
            </w:tabs>
            <w:rPr/>
          </w:pPr>
          <w:hyperlink w:anchor="__RefHeading___Toc3024001_3224264995">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3024003_3224264995">
            <w:r>
              <w:rPr>
                <w:webHidden/>
                <w:rStyle w:val="IndexLink"/>
                <w:rtl w:val="true"/>
              </w:rPr>
              <w:t>المفاهیم المنتزعة غیر المشتقّة و کلام فخر المحقّقین</w:t>
            </w:r>
            <w:r>
              <w:rPr>
                <w:rStyle w:val="IndexLink"/>
                <w:rtl w:val="true"/>
              </w:rPr>
              <w:tab/>
            </w:r>
            <w:r>
              <w:rPr>
                <w:rStyle w:val="IndexLink"/>
              </w:rPr>
              <w:t>157</w:t>
            </w:r>
          </w:hyperlink>
        </w:p>
        <w:p>
          <w:pPr>
            <w:pStyle w:val="Contents5"/>
            <w:tabs>
              <w:tab w:val="clear" w:pos="7892"/>
              <w:tab w:val="right" w:pos="9026" w:leader="dot"/>
            </w:tabs>
            <w:rPr/>
          </w:pPr>
          <w:hyperlink w:anchor="__RefHeading___Toc3024005_3224264995">
            <w:r>
              <w:rPr>
                <w:webHidden/>
                <w:rStyle w:val="IndexLink"/>
                <w:rtl w:val="true"/>
              </w:rPr>
              <w:t>فی دخول أسماء الزمان فی محلّ النزاع</w:t>
            </w:r>
            <w:r>
              <w:rPr>
                <w:rStyle w:val="IndexLink"/>
                <w:rtl w:val="true"/>
              </w:rPr>
              <w:tab/>
            </w:r>
            <w:r>
              <w:rPr>
                <w:rStyle w:val="IndexLink"/>
              </w:rPr>
              <w:t>160</w:t>
            </w:r>
          </w:hyperlink>
        </w:p>
        <w:p>
          <w:pPr>
            <w:pStyle w:val="Contents5"/>
            <w:tabs>
              <w:tab w:val="clear" w:pos="7892"/>
              <w:tab w:val="right" w:pos="9026" w:leader="dot"/>
            </w:tabs>
            <w:rPr/>
          </w:pPr>
          <w:hyperlink w:anchor="__RefHeading___Toc3024007_3224264995">
            <w:r>
              <w:rPr>
                <w:webHidden/>
                <w:rStyle w:val="IndexLink"/>
                <w:rtl w:val="true"/>
              </w:rPr>
              <w:t>کلام المحقّق النائینی فی المقام و مناقشته</w:t>
            </w:r>
            <w:r>
              <w:rPr>
                <w:rStyle w:val="IndexLink"/>
                <w:rtl w:val="true"/>
              </w:rPr>
              <w:tab/>
            </w:r>
            <w:r>
              <w:rPr>
                <w:rStyle w:val="IndexLink"/>
              </w:rPr>
              <w:t>163</w:t>
            </w:r>
          </w:hyperlink>
        </w:p>
        <w:p>
          <w:pPr>
            <w:pStyle w:val="Contents4"/>
            <w:tabs>
              <w:tab w:val="clear" w:pos="8176"/>
              <w:tab w:val="right" w:pos="9026" w:leader="dot"/>
            </w:tabs>
            <w:rPr/>
          </w:pPr>
          <w:hyperlink w:anchor="__RefHeading___Toc3024009_3224264995">
            <w:r>
              <w:rPr>
                <w:webHidden/>
                <w:rStyle w:val="IndexLink"/>
                <w:rtl w:val="true"/>
              </w:rPr>
              <w:t>الأمر الثالث</w:t>
            </w:r>
            <w:r>
              <w:rPr>
                <w:rStyle w:val="IndexLink"/>
                <w:rtl w:val="true"/>
              </w:rPr>
              <w:t xml:space="preserve">: </w:t>
            </w:r>
            <w:r>
              <w:rPr>
                <w:rStyle w:val="IndexLink"/>
                <w:rtl w:val="true"/>
              </w:rPr>
              <w:t>أصل المشتقّات و الخلاف فیه</w:t>
            </w:r>
            <w:r>
              <w:rPr>
                <w:rStyle w:val="IndexLink"/>
                <w:rtl w:val="true"/>
              </w:rPr>
              <w:tab/>
            </w:r>
            <w:r>
              <w:rPr>
                <w:rStyle w:val="IndexLink"/>
              </w:rPr>
              <w:t>164</w:t>
            </w:r>
          </w:hyperlink>
        </w:p>
        <w:p>
          <w:pPr>
            <w:pStyle w:val="Contents5"/>
            <w:tabs>
              <w:tab w:val="clear" w:pos="7892"/>
              <w:tab w:val="right" w:pos="9026" w:leader="dot"/>
            </w:tabs>
            <w:rPr/>
          </w:pPr>
          <w:hyperlink w:anchor="__RefHeading___Toc3024011_322426499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024013_3224264995">
            <w:r>
              <w:rPr>
                <w:webHidden/>
                <w:rStyle w:val="IndexLink"/>
                <w:rtl w:val="true"/>
              </w:rPr>
              <w:t>و یمکن الإشکال علیه أیضاً</w:t>
            </w:r>
            <w:r>
              <w:rPr>
                <w:rStyle w:val="IndexLink"/>
                <w:rtl w:val="true"/>
              </w:rPr>
              <w:t>:</w:t>
              <w:tab/>
            </w:r>
            <w:r>
              <w:rPr>
                <w:rStyle w:val="IndexLink"/>
              </w:rPr>
              <w:t>165</w:t>
            </w:r>
          </w:hyperlink>
        </w:p>
        <w:p>
          <w:pPr>
            <w:pStyle w:val="Contents5"/>
            <w:tabs>
              <w:tab w:val="clear" w:pos="7892"/>
              <w:tab w:val="right" w:pos="9026" w:leader="dot"/>
            </w:tabs>
            <w:rPr/>
          </w:pPr>
          <w:hyperlink w:anchor="__RefHeading___Toc3024015_3224264995">
            <w:r>
              <w:rPr>
                <w:webHidden/>
                <w:rStyle w:val="IndexLink"/>
                <w:rtl w:val="true"/>
              </w:rPr>
              <w:t>و یمکن الجواب عن هذه الإشکالات</w:t>
            </w:r>
            <w:r>
              <w:rPr>
                <w:rStyle w:val="IndexLink"/>
                <w:rtl w:val="true"/>
              </w:rPr>
              <w:t>:</w:t>
              <w:tab/>
            </w:r>
            <w:r>
              <w:rPr>
                <w:rStyle w:val="IndexLink"/>
              </w:rPr>
              <w:t>166</w:t>
            </w:r>
          </w:hyperlink>
        </w:p>
        <w:p>
          <w:pPr>
            <w:pStyle w:val="Contents4"/>
            <w:tabs>
              <w:tab w:val="clear" w:pos="8176"/>
              <w:tab w:val="right" w:pos="9026" w:leader="dot"/>
            </w:tabs>
            <w:rPr/>
          </w:pPr>
          <w:hyperlink w:anchor="__RefHeading___Toc3024017_3224264995">
            <w:r>
              <w:rPr>
                <w:webHidden/>
                <w:rStyle w:val="IndexLink"/>
                <w:rtl w:val="true"/>
              </w:rPr>
              <w:t>الأمر الرابع</w:t>
            </w:r>
            <w:r>
              <w:rPr>
                <w:rStyle w:val="IndexLink"/>
                <w:rtl w:val="true"/>
              </w:rPr>
              <w:t xml:space="preserve">: </w:t>
            </w:r>
            <w:r>
              <w:rPr>
                <w:rStyle w:val="IndexLink"/>
                <w:rtl w:val="true"/>
              </w:rPr>
              <w:t>فی کیفیّة وضع الأفعال و بیان مدالیلها</w:t>
            </w:r>
            <w:r>
              <w:rPr>
                <w:rStyle w:val="IndexLink"/>
                <w:rtl w:val="true"/>
              </w:rPr>
              <w:tab/>
            </w:r>
            <w:r>
              <w:rPr>
                <w:rStyle w:val="IndexLink"/>
              </w:rPr>
              <w:t>168</w:t>
            </w:r>
          </w:hyperlink>
        </w:p>
        <w:p>
          <w:pPr>
            <w:pStyle w:val="Contents4"/>
            <w:tabs>
              <w:tab w:val="clear" w:pos="8176"/>
              <w:tab w:val="right" w:pos="9026" w:leader="dot"/>
            </w:tabs>
            <w:rPr/>
          </w:pPr>
          <w:hyperlink w:anchor="__RefHeading___Toc3024019_3224264995">
            <w:r>
              <w:rPr>
                <w:webHidden/>
                <w:rStyle w:val="IndexLink"/>
                <w:rtl w:val="true"/>
              </w:rPr>
              <w:t>الأمر الخامس</w:t>
            </w:r>
            <w:r>
              <w:rPr>
                <w:rStyle w:val="IndexLink"/>
                <w:rtl w:val="true"/>
              </w:rPr>
              <w:t xml:space="preserve">: </w:t>
            </w:r>
            <w:r>
              <w:rPr>
                <w:rStyle w:val="IndexLink"/>
                <w:rtl w:val="true"/>
              </w:rPr>
              <w:t>فی اختلاف مبادئ المشتقّات</w:t>
            </w:r>
            <w:r>
              <w:rPr>
                <w:rStyle w:val="IndexLink"/>
                <w:rtl w:val="true"/>
              </w:rPr>
              <w:tab/>
            </w:r>
            <w:r>
              <w:rPr>
                <w:rStyle w:val="IndexLink"/>
              </w:rPr>
              <w:t>170</w:t>
            </w:r>
          </w:hyperlink>
        </w:p>
        <w:p>
          <w:pPr>
            <w:pStyle w:val="Contents4"/>
            <w:tabs>
              <w:tab w:val="clear" w:pos="8176"/>
              <w:tab w:val="right" w:pos="9026" w:leader="dot"/>
            </w:tabs>
            <w:rPr/>
          </w:pPr>
          <w:hyperlink w:anchor="__RefHeading___Toc3024021_3224264995">
            <w:r>
              <w:rPr>
                <w:webHidden/>
                <w:rStyle w:val="IndexLink"/>
                <w:rtl w:val="true"/>
              </w:rPr>
              <w:t>الأمر السادس</w:t>
            </w:r>
            <w:r>
              <w:rPr>
                <w:rStyle w:val="IndexLink"/>
                <w:rtl w:val="true"/>
              </w:rPr>
              <w:t xml:space="preserve">: </w:t>
            </w:r>
            <w:r>
              <w:rPr>
                <w:rStyle w:val="IndexLink"/>
                <w:rtl w:val="true"/>
              </w:rPr>
              <w:t>فی المقصود فی الحال فی عنوان البحث</w:t>
            </w:r>
            <w:r>
              <w:rPr>
                <w:rStyle w:val="IndexLink"/>
                <w:rtl w:val="true"/>
              </w:rPr>
              <w:tab/>
            </w:r>
            <w:r>
              <w:rPr>
                <w:rStyle w:val="IndexLink"/>
              </w:rPr>
              <w:t>172</w:t>
            </w:r>
          </w:hyperlink>
        </w:p>
        <w:p>
          <w:pPr>
            <w:pStyle w:val="Contents4"/>
            <w:tabs>
              <w:tab w:val="clear" w:pos="8176"/>
              <w:tab w:val="right" w:pos="9026" w:leader="dot"/>
            </w:tabs>
            <w:rPr/>
          </w:pPr>
          <w:hyperlink w:anchor="__RefHeading___Toc3024023_3224264995">
            <w:r>
              <w:rPr>
                <w:webHidden/>
                <w:rStyle w:val="IndexLink"/>
                <w:rtl w:val="true"/>
              </w:rPr>
              <w:t>الأمر السابع</w:t>
            </w:r>
            <w:r>
              <w:rPr>
                <w:rStyle w:val="IndexLink"/>
                <w:rtl w:val="true"/>
              </w:rPr>
              <w:t xml:space="preserve">: </w:t>
            </w:r>
            <w:r>
              <w:rPr>
                <w:rStyle w:val="IndexLink"/>
                <w:rtl w:val="true"/>
              </w:rPr>
              <w:t>فی الجامع علی الأعمّ</w:t>
            </w:r>
            <w:r>
              <w:rPr>
                <w:rStyle w:val="IndexLink"/>
                <w:rtl w:val="true"/>
              </w:rPr>
              <w:tab/>
            </w:r>
            <w:r>
              <w:rPr>
                <w:rStyle w:val="IndexLink"/>
              </w:rPr>
              <w:t>174</w:t>
            </w:r>
          </w:hyperlink>
        </w:p>
        <w:p>
          <w:pPr>
            <w:pStyle w:val="Contents4"/>
            <w:tabs>
              <w:tab w:val="clear" w:pos="8176"/>
              <w:tab w:val="right" w:pos="9026" w:leader="dot"/>
            </w:tabs>
            <w:rPr/>
          </w:pPr>
          <w:hyperlink w:anchor="__RefHeading___Toc3024025_3224264995">
            <w:r>
              <w:rPr>
                <w:webHidden/>
                <w:rStyle w:val="IndexLink"/>
                <w:rtl w:val="true"/>
              </w:rPr>
              <w:t>الأمر الثامن</w:t>
            </w:r>
            <w:r>
              <w:rPr>
                <w:rStyle w:val="IndexLink"/>
                <w:rtl w:val="true"/>
              </w:rPr>
              <w:t xml:space="preserve">: </w:t>
            </w:r>
            <w:r>
              <w:rPr>
                <w:rStyle w:val="IndexLink"/>
                <w:rtl w:val="true"/>
              </w:rPr>
              <w:t>فی الأصل عند الشک فی المقام</w:t>
            </w:r>
            <w:r>
              <w:rPr>
                <w:rStyle w:val="IndexLink"/>
                <w:rtl w:val="true"/>
              </w:rPr>
              <w:tab/>
            </w:r>
            <w:r>
              <w:rPr>
                <w:rStyle w:val="IndexLink"/>
              </w:rPr>
              <w:t>175</w:t>
            </w:r>
          </w:hyperlink>
        </w:p>
        <w:p>
          <w:pPr>
            <w:pStyle w:val="Contents4"/>
            <w:tabs>
              <w:tab w:val="clear" w:pos="8176"/>
              <w:tab w:val="right" w:pos="9026" w:leader="dot"/>
            </w:tabs>
            <w:rPr/>
          </w:pPr>
          <w:hyperlink w:anchor="__RefHeading___Toc3024027_3224264995">
            <w:r>
              <w:rPr>
                <w:webHidden/>
                <w:rStyle w:val="IndexLink"/>
                <w:rtl w:val="true"/>
              </w:rPr>
              <w:t>الأقوال فی المسألة و مناقشتها</w:t>
            </w:r>
            <w:r>
              <w:rPr>
                <w:rStyle w:val="IndexLink"/>
                <w:rtl w:val="true"/>
              </w:rPr>
              <w:tab/>
            </w:r>
            <w:r>
              <w:rPr>
                <w:rStyle w:val="IndexLink"/>
              </w:rPr>
              <w:t>175</w:t>
            </w:r>
          </w:hyperlink>
        </w:p>
        <w:p>
          <w:pPr>
            <w:pStyle w:val="Contents5"/>
            <w:tabs>
              <w:tab w:val="clear" w:pos="7892"/>
              <w:tab w:val="right" w:pos="9026" w:leader="dot"/>
            </w:tabs>
            <w:rPr/>
          </w:pPr>
          <w:hyperlink w:anchor="__RefHeading___Toc3024029_3224264995">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024031_3224264995">
            <w:r>
              <w:rPr>
                <w:webHidden/>
                <w:rStyle w:val="IndexLink"/>
                <w:rtl w:val="true"/>
              </w:rPr>
              <w:t>الحقّ فی المسألة و أدلّة الأخصّی</w:t>
            </w:r>
            <w:r>
              <w:rPr>
                <w:rStyle w:val="IndexLink"/>
                <w:rtl w:val="true"/>
              </w:rPr>
              <w:tab/>
            </w:r>
            <w:r>
              <w:rPr>
                <w:rStyle w:val="IndexLink"/>
              </w:rPr>
              <w:t>176</w:t>
            </w:r>
          </w:hyperlink>
        </w:p>
        <w:p>
          <w:pPr>
            <w:pStyle w:val="Contents6"/>
            <w:tabs>
              <w:tab w:val="clear" w:pos="7609"/>
              <w:tab w:val="right" w:pos="9026" w:leader="dot"/>
            </w:tabs>
            <w:rPr/>
          </w:pPr>
          <w:hyperlink w:anchor="__RefHeading___Toc3024033_3224264995">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024035_3224264995">
            <w:r>
              <w:rPr>
                <w:webHidden/>
                <w:rStyle w:val="IndexLink"/>
                <w:rtl w:val="true"/>
              </w:rPr>
              <w:t>و أمّا الاستدلالات المذکورة فی کتب الاصولیین فهی مخدوشة</w:t>
            </w:r>
            <w:r>
              <w:rPr>
                <w:rStyle w:val="IndexLink"/>
                <w:rtl w:val="true"/>
              </w:rPr>
              <w:t>:</w:t>
              <w:tab/>
            </w:r>
            <w:r>
              <w:rPr>
                <w:rStyle w:val="IndexLink"/>
              </w:rPr>
              <w:t>176</w:t>
            </w:r>
          </w:hyperlink>
        </w:p>
        <w:p>
          <w:pPr>
            <w:pStyle w:val="Contents5"/>
            <w:tabs>
              <w:tab w:val="clear" w:pos="7892"/>
              <w:tab w:val="right" w:pos="9026" w:leader="dot"/>
            </w:tabs>
            <w:rPr/>
          </w:pPr>
          <w:hyperlink w:anchor="__RefHeading___Toc3024037_3224264995">
            <w:r>
              <w:rPr>
                <w:webHidden/>
                <w:rStyle w:val="IndexLink"/>
                <w:rtl w:val="true"/>
              </w:rPr>
              <w:t>أدلّة الأعمّی و مناقشتها</w:t>
            </w:r>
            <w:r>
              <w:rPr>
                <w:rStyle w:val="IndexLink"/>
                <w:rtl w:val="true"/>
              </w:rPr>
              <w:tab/>
            </w:r>
            <w:r>
              <w:rPr>
                <w:rStyle w:val="IndexLink"/>
              </w:rPr>
              <w:t>178</w:t>
            </w:r>
          </w:hyperlink>
        </w:p>
        <w:p>
          <w:pPr>
            <w:pStyle w:val="Contents4"/>
            <w:tabs>
              <w:tab w:val="clear" w:pos="8176"/>
              <w:tab w:val="right" w:pos="9026" w:leader="dot"/>
            </w:tabs>
            <w:rPr/>
          </w:pPr>
          <w:hyperlink w:anchor="__RefHeading___Toc3024039_3224264995">
            <w:r>
              <w:rPr>
                <w:webHidden/>
                <w:rStyle w:val="IndexLink"/>
                <w:rtl w:val="true"/>
              </w:rPr>
              <w:t>و ینبغی التنبیه علی امور</w:t>
            </w:r>
            <w:r>
              <w:rPr>
                <w:rStyle w:val="IndexLink"/>
                <w:rtl w:val="true"/>
              </w:rPr>
              <w:tab/>
            </w:r>
            <w:r>
              <w:rPr>
                <w:rStyle w:val="IndexLink"/>
              </w:rPr>
              <w:t>181</w:t>
            </w:r>
          </w:hyperlink>
        </w:p>
        <w:p>
          <w:pPr>
            <w:pStyle w:val="Contents5"/>
            <w:tabs>
              <w:tab w:val="clear" w:pos="7892"/>
              <w:tab w:val="right" w:pos="9026" w:leader="dot"/>
            </w:tabs>
            <w:rPr/>
          </w:pPr>
          <w:hyperlink w:anchor="__RefHeading___Toc3024041_3224264995">
            <w:r>
              <w:rPr>
                <w:webHidden/>
                <w:rStyle w:val="IndexLink"/>
                <w:rtl w:val="true"/>
              </w:rPr>
              <w:t>الأمر الأوّل</w:t>
            </w:r>
            <w:r>
              <w:rPr>
                <w:rStyle w:val="IndexLink"/>
                <w:rtl w:val="true"/>
              </w:rPr>
              <w:t xml:space="preserve">: </w:t>
            </w:r>
            <w:r>
              <w:rPr>
                <w:rStyle w:val="IndexLink"/>
                <w:rtl w:val="true"/>
              </w:rPr>
              <w:t>الأقوال فی ترکیب المشتقّ و بساطته و الحقّ فیها</w:t>
            </w:r>
            <w:r>
              <w:rPr>
                <w:rStyle w:val="IndexLink"/>
                <w:rtl w:val="true"/>
              </w:rPr>
              <w:tab/>
            </w:r>
            <w:r>
              <w:rPr>
                <w:rStyle w:val="IndexLink"/>
              </w:rPr>
              <w:t>181</w:t>
            </w:r>
          </w:hyperlink>
        </w:p>
        <w:p>
          <w:pPr>
            <w:pStyle w:val="Contents5"/>
            <w:tabs>
              <w:tab w:val="clear" w:pos="7892"/>
              <w:tab w:val="right" w:pos="9026" w:leader="dot"/>
            </w:tabs>
            <w:rPr/>
          </w:pPr>
          <w:hyperlink w:anchor="__RefHeading___Toc3024043_3224264995">
            <w:r>
              <w:rPr>
                <w:webHidden/>
                <w:rStyle w:val="IndexLink"/>
                <w:rtl w:val="true"/>
              </w:rPr>
              <w:t>الأمر الثانی</w:t>
            </w:r>
            <w:r>
              <w:rPr>
                <w:rStyle w:val="IndexLink"/>
                <w:rtl w:val="true"/>
              </w:rPr>
              <w:t xml:space="preserve">: </w:t>
            </w:r>
            <w:r>
              <w:rPr>
                <w:rStyle w:val="IndexLink"/>
                <w:rtl w:val="true"/>
              </w:rPr>
              <w:t>فی حمل المشتقّات علی الذات المقدّسة</w:t>
            </w:r>
            <w:r>
              <w:rPr>
                <w:rStyle w:val="IndexLink"/>
                <w:rtl w:val="true"/>
              </w:rPr>
              <w:tab/>
            </w:r>
            <w:r>
              <w:rPr>
                <w:rStyle w:val="IndexLink"/>
              </w:rPr>
              <w:t>192</w:t>
            </w:r>
          </w:hyperlink>
        </w:p>
        <w:p>
          <w:pPr>
            <w:pStyle w:val="Contents6"/>
            <w:tabs>
              <w:tab w:val="clear" w:pos="7609"/>
              <w:tab w:val="right" w:pos="9026" w:leader="dot"/>
            </w:tabs>
            <w:rPr/>
          </w:pPr>
          <w:hyperlink w:anchor="__RefHeading___Toc3024045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024047_3224264995">
            <w:r>
              <w:rPr>
                <w:webHidden/>
                <w:rStyle w:val="IndexLink"/>
                <w:rtl w:val="true"/>
              </w:rPr>
              <w:t>و یمکن دفع الإشکال بوجوه</w:t>
            </w:r>
            <w:r>
              <w:rPr>
                <w:rStyle w:val="IndexLink"/>
                <w:rtl w:val="true"/>
              </w:rPr>
              <w:t>:</w:t>
              <w:tab/>
            </w:r>
            <w:r>
              <w:rPr>
                <w:rStyle w:val="IndexLink"/>
              </w:rPr>
              <w:t>194</w:t>
            </w:r>
          </w:hyperlink>
        </w:p>
        <w:p>
          <w:pPr>
            <w:pStyle w:val="Contents2"/>
            <w:tabs>
              <w:tab w:val="clear" w:pos="8743"/>
              <w:tab w:val="right" w:pos="9026" w:leader="dot"/>
            </w:tabs>
            <w:rPr/>
          </w:pPr>
          <w:hyperlink w:anchor="__RefHeading___Toc3024049_3224264995">
            <w:r>
              <w:rPr>
                <w:webHidden/>
                <w:rStyle w:val="IndexLink"/>
                <w:rtl w:val="true"/>
              </w:rPr>
              <w:t>المطلب الأوّل فی الأوامر و فیه فصول</w:t>
            </w:r>
            <w:r>
              <w:rPr>
                <w:rStyle w:val="IndexLink"/>
                <w:rtl w:val="true"/>
              </w:rPr>
              <w:t>:</w:t>
              <w:tab/>
            </w:r>
            <w:r>
              <w:rPr>
                <w:rStyle w:val="IndexLink"/>
              </w:rPr>
              <w:t>197</w:t>
            </w:r>
          </w:hyperlink>
        </w:p>
        <w:p>
          <w:pPr>
            <w:pStyle w:val="Contents3"/>
            <w:tabs>
              <w:tab w:val="clear" w:pos="8459"/>
              <w:tab w:val="right" w:pos="9026" w:leader="dot"/>
            </w:tabs>
            <w:rPr/>
          </w:pPr>
          <w:hyperlink w:anchor="__RefHeading___Toc3024051_3224264995">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3024053_3224264995">
            <w:r>
              <w:rPr>
                <w:webHidden/>
                <w:rStyle w:val="IndexLink"/>
                <w:rtl w:val="true"/>
              </w:rPr>
              <w:t>الفصل الأوّل فی بیان الموضوع له لمادّة الأمر</w:t>
            </w:r>
            <w:r>
              <w:rPr>
                <w:rStyle w:val="IndexLink"/>
                <w:rtl w:val="true"/>
              </w:rPr>
              <w:tab/>
            </w:r>
            <w:r>
              <w:rPr>
                <w:rStyle w:val="IndexLink"/>
              </w:rPr>
              <w:t>198</w:t>
            </w:r>
          </w:hyperlink>
        </w:p>
        <w:p>
          <w:pPr>
            <w:pStyle w:val="Contents3"/>
            <w:tabs>
              <w:tab w:val="clear" w:pos="8459"/>
              <w:tab w:val="right" w:pos="9026" w:leader="dot"/>
            </w:tabs>
            <w:rPr/>
          </w:pPr>
          <w:hyperlink w:anchor="__RefHeading___Toc3024055_3224264995">
            <w:r>
              <w:rPr>
                <w:webHidden/>
                <w:rStyle w:val="IndexLink"/>
                <w:rtl w:val="true"/>
              </w:rPr>
              <w:t>الفصل الثانی فی معانی مادّة الأمر</w:t>
            </w:r>
            <w:r>
              <w:rPr>
                <w:rStyle w:val="IndexLink"/>
                <w:rtl w:val="true"/>
              </w:rPr>
              <w:tab/>
            </w:r>
            <w:r>
              <w:rPr>
                <w:rStyle w:val="IndexLink"/>
              </w:rPr>
              <w:t>200</w:t>
            </w:r>
          </w:hyperlink>
        </w:p>
        <w:p>
          <w:pPr>
            <w:pStyle w:val="Contents3"/>
            <w:tabs>
              <w:tab w:val="clear" w:pos="8459"/>
              <w:tab w:val="right" w:pos="9026" w:leader="dot"/>
            </w:tabs>
            <w:rPr/>
          </w:pPr>
          <w:hyperlink w:anchor="__RefHeading___Toc3024057_3224264995">
            <w:r>
              <w:rPr>
                <w:webHidden/>
                <w:rStyle w:val="IndexLink"/>
                <w:rtl w:val="true"/>
              </w:rPr>
              <w:t>الفصل الثالث فی اعتبار العلوّ و الاستعلاء فی الأمر</w:t>
            </w:r>
            <w:r>
              <w:rPr>
                <w:rStyle w:val="IndexLink"/>
                <w:rtl w:val="true"/>
              </w:rPr>
              <w:tab/>
            </w:r>
            <w:r>
              <w:rPr>
                <w:rStyle w:val="IndexLink"/>
              </w:rPr>
              <w:t>202</w:t>
            </w:r>
          </w:hyperlink>
        </w:p>
        <w:p>
          <w:pPr>
            <w:pStyle w:val="Contents3"/>
            <w:tabs>
              <w:tab w:val="clear" w:pos="8459"/>
              <w:tab w:val="right" w:pos="9026" w:leader="dot"/>
            </w:tabs>
            <w:rPr/>
          </w:pPr>
          <w:hyperlink w:anchor="__RefHeading___Toc3024059_3224264995">
            <w:r>
              <w:rPr>
                <w:webHidden/>
                <w:rStyle w:val="IndexLink"/>
                <w:rtl w:val="true"/>
              </w:rPr>
              <w:t>الفصل الرابع فی المعنی الحقیقی لمادّة الأمر</w:t>
            </w:r>
            <w:r>
              <w:rPr>
                <w:rStyle w:val="IndexLink"/>
                <w:rtl w:val="true"/>
              </w:rPr>
              <w:tab/>
            </w:r>
            <w:r>
              <w:rPr>
                <w:rStyle w:val="IndexLink"/>
              </w:rPr>
              <w:t>204</w:t>
            </w:r>
          </w:hyperlink>
        </w:p>
        <w:p>
          <w:pPr>
            <w:pStyle w:val="Contents3"/>
            <w:tabs>
              <w:tab w:val="clear" w:pos="8459"/>
              <w:tab w:val="right" w:pos="9026" w:leader="dot"/>
            </w:tabs>
            <w:rPr/>
          </w:pPr>
          <w:hyperlink w:anchor="__RefHeading___Toc3024061_3224264995">
            <w:r>
              <w:rPr>
                <w:webHidden/>
                <w:rStyle w:val="IndexLink"/>
                <w:rtl w:val="true"/>
              </w:rPr>
              <w:t>الفصل الخامس فی اتّحاد الطلب و الإرادة</w:t>
            </w:r>
            <w:r>
              <w:rPr>
                <w:rStyle w:val="IndexLink"/>
                <w:rtl w:val="true"/>
              </w:rPr>
              <w:tab/>
            </w:r>
            <w:r>
              <w:rPr>
                <w:rStyle w:val="IndexLink"/>
              </w:rPr>
              <w:t>207</w:t>
            </w:r>
          </w:hyperlink>
        </w:p>
        <w:p>
          <w:pPr>
            <w:pStyle w:val="Contents4"/>
            <w:tabs>
              <w:tab w:val="clear" w:pos="8176"/>
              <w:tab w:val="right" w:pos="9026" w:leader="dot"/>
            </w:tabs>
            <w:rPr/>
          </w:pPr>
          <w:hyperlink w:anchor="__RefHeading___Toc3024063_3224264995">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024065_3224264995">
            <w:r>
              <w:rPr>
                <w:webHidden/>
                <w:rStyle w:val="IndexLink"/>
                <w:rtl w:val="true"/>
              </w:rPr>
              <w:t>و اجیبَ عن ذلک بوجوه</w:t>
            </w:r>
            <w:r>
              <w:rPr>
                <w:rStyle w:val="IndexLink"/>
                <w:rtl w:val="true"/>
              </w:rPr>
              <w:t>:</w:t>
              <w:tab/>
            </w:r>
            <w:r>
              <w:rPr>
                <w:rStyle w:val="IndexLink"/>
              </w:rPr>
              <w:t>223</w:t>
            </w:r>
          </w:hyperlink>
        </w:p>
        <w:p>
          <w:pPr>
            <w:pStyle w:val="Contents4"/>
            <w:tabs>
              <w:tab w:val="clear" w:pos="8176"/>
              <w:tab w:val="right" w:pos="9026" w:leader="dot"/>
            </w:tabs>
            <w:rPr/>
          </w:pPr>
          <w:hyperlink w:anchor="__RefHeading___Toc3024067_3224264995">
            <w:r>
              <w:rPr>
                <w:webHidden/>
                <w:rStyle w:val="IndexLink"/>
                <w:rtl w:val="true"/>
              </w:rPr>
              <w:t>و فی هذا الجواب نظر</w:t>
            </w:r>
            <w:r>
              <w:rPr>
                <w:rStyle w:val="IndexLink"/>
                <w:rtl w:val="true"/>
              </w:rPr>
              <w:t>:</w:t>
              <w:tab/>
            </w:r>
            <w:r>
              <w:rPr>
                <w:rStyle w:val="IndexLink"/>
              </w:rPr>
              <w:t>224</w:t>
            </w:r>
          </w:hyperlink>
        </w:p>
        <w:p>
          <w:pPr>
            <w:pStyle w:val="Contents4"/>
            <w:tabs>
              <w:tab w:val="clear" w:pos="8176"/>
              <w:tab w:val="right" w:pos="9026" w:leader="dot"/>
            </w:tabs>
            <w:rPr/>
          </w:pPr>
          <w:hyperlink w:anchor="__RefHeading___Toc3024069_3224264995">
            <w:r>
              <w:rPr>
                <w:webHidden/>
                <w:rStyle w:val="IndexLink"/>
                <w:rtl w:val="true"/>
              </w:rPr>
              <w:t>خاتمة</w:t>
            </w:r>
            <w:r>
              <w:rPr>
                <w:rStyle w:val="IndexLink"/>
                <w:rtl w:val="true"/>
              </w:rPr>
              <w:tab/>
            </w:r>
            <w:r>
              <w:rPr>
                <w:rStyle w:val="IndexLink"/>
              </w:rPr>
              <w:t>241</w:t>
            </w:r>
          </w:hyperlink>
        </w:p>
        <w:p>
          <w:pPr>
            <w:pStyle w:val="Contents3"/>
            <w:tabs>
              <w:tab w:val="clear" w:pos="8459"/>
              <w:tab w:val="right" w:pos="9026" w:leader="dot"/>
            </w:tabs>
            <w:rPr/>
          </w:pPr>
          <w:hyperlink w:anchor="__RefHeading___Toc3024071_3224264995">
            <w:r>
              <w:rPr>
                <w:webHidden/>
                <w:rStyle w:val="IndexLink"/>
                <w:rtl w:val="true"/>
              </w:rPr>
              <w:t>الفصل السادس فی معانی صیغة الأمر</w:t>
            </w:r>
            <w:r>
              <w:rPr>
                <w:rStyle w:val="IndexLink"/>
                <w:rtl w:val="true"/>
              </w:rPr>
              <w:tab/>
            </w:r>
            <w:r>
              <w:rPr>
                <w:rStyle w:val="IndexLink"/>
              </w:rPr>
              <w:t>243</w:t>
            </w:r>
          </w:hyperlink>
        </w:p>
        <w:p>
          <w:pPr>
            <w:pStyle w:val="Contents3"/>
            <w:tabs>
              <w:tab w:val="clear" w:pos="8459"/>
              <w:tab w:val="right" w:pos="9026" w:leader="dot"/>
            </w:tabs>
            <w:rPr/>
          </w:pPr>
          <w:hyperlink w:anchor="__RefHeading___Toc3024073_3224264995">
            <w:r>
              <w:rPr>
                <w:webHidden/>
                <w:rStyle w:val="IndexLink"/>
                <w:rtl w:val="true"/>
              </w:rPr>
              <w:t>الفصل السابع فی أنّ صیغة الأمر هل هی موضوعة للوجوب، أو الاستحباب، أو لمطلق الطلب؟</w:t>
            </w:r>
            <w:r>
              <w:rPr>
                <w:rStyle w:val="IndexLink"/>
                <w:rtl w:val="true"/>
              </w:rPr>
              <w:tab/>
            </w:r>
            <w:r>
              <w:rPr>
                <w:rStyle w:val="IndexLink"/>
              </w:rPr>
              <w:t>245</w:t>
            </w:r>
          </w:hyperlink>
        </w:p>
        <w:p>
          <w:pPr>
            <w:pStyle w:val="Contents4"/>
            <w:tabs>
              <w:tab w:val="clear" w:pos="8176"/>
              <w:tab w:val="right" w:pos="9026" w:leader="dot"/>
            </w:tabs>
            <w:rPr/>
          </w:pPr>
          <w:hyperlink w:anchor="__RefHeading___Toc3024075_3224264995">
            <w:r>
              <w:rPr>
                <w:webHidden/>
                <w:rStyle w:val="IndexLink"/>
                <w:rtl w:val="true"/>
              </w:rPr>
              <w:t>[</w:t>
            </w:r>
            <w:r>
              <w:rPr>
                <w:rStyle w:val="IndexLink"/>
                <w:rtl w:val="true"/>
              </w:rPr>
              <w:t>أمّا فی الإیجاد التکوینی</w:t>
            </w:r>
            <w:r>
              <w:rPr>
                <w:rStyle w:val="IndexLink"/>
                <w:rtl w:val="true"/>
              </w:rPr>
              <w:t>]</w:t>
              <w:tab/>
            </w:r>
            <w:r>
              <w:rPr>
                <w:rStyle w:val="IndexLink"/>
              </w:rPr>
              <w:t>245</w:t>
            </w:r>
          </w:hyperlink>
        </w:p>
        <w:p>
          <w:pPr>
            <w:pStyle w:val="Contents4"/>
            <w:tabs>
              <w:tab w:val="clear" w:pos="8176"/>
              <w:tab w:val="right" w:pos="9026" w:leader="dot"/>
            </w:tabs>
            <w:rPr/>
          </w:pPr>
          <w:hyperlink w:anchor="__RefHeading___Toc3024077_3224264995">
            <w:r>
              <w:rPr>
                <w:webHidden/>
                <w:rStyle w:val="IndexLink"/>
                <w:rtl w:val="true"/>
              </w:rPr>
              <w:t>و أمّا الإیجاد التشریعی</w:t>
            </w:r>
            <w:r>
              <w:rPr>
                <w:rStyle w:val="IndexLink"/>
                <w:rtl w:val="true"/>
              </w:rPr>
              <w:t>:</w:t>
              <w:tab/>
            </w:r>
            <w:r>
              <w:rPr>
                <w:rStyle w:val="IndexLink"/>
              </w:rPr>
              <w:t>245</w:t>
            </w:r>
          </w:hyperlink>
        </w:p>
        <w:p>
          <w:pPr>
            <w:pStyle w:val="Contents5"/>
            <w:tabs>
              <w:tab w:val="clear" w:pos="7892"/>
              <w:tab w:val="right" w:pos="9026" w:leader="dot"/>
            </w:tabs>
            <w:rPr/>
          </w:pPr>
          <w:hyperlink w:anchor="__RefHeading___Toc3024079_3224264995">
            <w:r>
              <w:rPr>
                <w:webHidden/>
                <w:rStyle w:val="IndexLink"/>
                <w:rtl w:val="true"/>
              </w:rPr>
              <w:t>[</w:t>
            </w:r>
            <w:r>
              <w:rPr>
                <w:rStyle w:val="IndexLink"/>
                <w:rtl w:val="true"/>
              </w:rPr>
              <w:t>أمّا فی الجمل الإنشائیة</w:t>
            </w:r>
            <w:r>
              <w:rPr>
                <w:rStyle w:val="IndexLink"/>
                <w:rtl w:val="true"/>
              </w:rPr>
              <w:t>]</w:t>
              <w:tab/>
            </w:r>
            <w:r>
              <w:rPr>
                <w:rStyle w:val="IndexLink"/>
              </w:rPr>
              <w:t>245</w:t>
            </w:r>
          </w:hyperlink>
        </w:p>
        <w:p>
          <w:pPr>
            <w:pStyle w:val="Contents5"/>
            <w:tabs>
              <w:tab w:val="clear" w:pos="7892"/>
              <w:tab w:val="right" w:pos="9026" w:leader="dot"/>
            </w:tabs>
            <w:rPr/>
          </w:pPr>
          <w:hyperlink w:anchor="__RefHeading___Toc3024081_3224264995">
            <w:r>
              <w:rPr>
                <w:webHidden/>
                <w:rStyle w:val="IndexLink"/>
                <w:rtl w:val="true"/>
              </w:rPr>
              <w:t>و أمّا الجُمل الإخباریّة الصادرة فی مقام الإنشاء</w:t>
            </w:r>
            <w:r>
              <w:rPr>
                <w:rStyle w:val="IndexLink"/>
                <w:rtl w:val="true"/>
              </w:rPr>
              <w:tab/>
            </w:r>
            <w:r>
              <w:rPr>
                <w:rStyle w:val="IndexLink"/>
              </w:rPr>
              <w:t>253</w:t>
            </w:r>
          </w:hyperlink>
        </w:p>
        <w:p>
          <w:pPr>
            <w:pStyle w:val="Contents3"/>
            <w:tabs>
              <w:tab w:val="clear" w:pos="8459"/>
              <w:tab w:val="right" w:pos="9026" w:leader="dot"/>
            </w:tabs>
            <w:rPr/>
          </w:pPr>
          <w:hyperlink w:anchor="__RefHeading___Toc3024083_3224264995">
            <w:r>
              <w:rPr>
                <w:webHidden/>
                <w:rStyle w:val="IndexLink"/>
                <w:rtl w:val="true"/>
              </w:rPr>
              <w:t>الفصل الثامن فی الواجب التوصّلی و التعبّدی</w:t>
            </w:r>
            <w:r>
              <w:rPr>
                <w:rStyle w:val="IndexLink"/>
                <w:rtl w:val="true"/>
              </w:rPr>
              <w:tab/>
            </w:r>
            <w:r>
              <w:rPr>
                <w:rStyle w:val="IndexLink"/>
              </w:rPr>
              <w:t>255</w:t>
            </w:r>
          </w:hyperlink>
        </w:p>
        <w:p>
          <w:pPr>
            <w:pStyle w:val="Contents4"/>
            <w:tabs>
              <w:tab w:val="clear" w:pos="8176"/>
              <w:tab w:val="right" w:pos="9026" w:leader="dot"/>
            </w:tabs>
            <w:rPr/>
          </w:pPr>
          <w:hyperlink w:anchor="__RefHeading___Toc3024085_3224264995">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3024087_3224264995">
            <w:r>
              <w:rPr>
                <w:webHidden/>
                <w:rStyle w:val="IndexLink"/>
                <w:rtl w:val="true"/>
              </w:rPr>
              <w:t>أمّا الإشکالات</w:t>
            </w:r>
            <w:r>
              <w:rPr>
                <w:rStyle w:val="IndexLink"/>
                <w:rtl w:val="true"/>
              </w:rPr>
              <w:t>:</w:t>
              <w:tab/>
            </w:r>
            <w:r>
              <w:rPr>
                <w:rStyle w:val="IndexLink"/>
              </w:rPr>
              <w:t>265</w:t>
            </w:r>
          </w:hyperlink>
        </w:p>
        <w:p>
          <w:pPr>
            <w:pStyle w:val="Contents4"/>
            <w:tabs>
              <w:tab w:val="clear" w:pos="8176"/>
              <w:tab w:val="right" w:pos="9026" w:leader="dot"/>
            </w:tabs>
            <w:rPr/>
          </w:pPr>
          <w:hyperlink w:anchor="__RefHeading___Toc3024089_3224264995">
            <w:r>
              <w:rPr>
                <w:webHidden/>
                <w:rStyle w:val="IndexLink"/>
                <w:rtl w:val="true"/>
              </w:rPr>
              <w:t>نعم اورد علیه إشکالات</w:t>
            </w:r>
            <w:r>
              <w:rPr>
                <w:rStyle w:val="IndexLink"/>
                <w:rtl w:val="true"/>
              </w:rPr>
              <w:t>:</w:t>
              <w:tab/>
            </w:r>
            <w:r>
              <w:rPr>
                <w:rStyle w:val="IndexLink"/>
              </w:rPr>
              <w:t>268</w:t>
            </w:r>
          </w:hyperlink>
        </w:p>
        <w:p>
          <w:pPr>
            <w:pStyle w:val="Contents4"/>
            <w:tabs>
              <w:tab w:val="clear" w:pos="8176"/>
              <w:tab w:val="right" w:pos="9026" w:leader="dot"/>
            </w:tabs>
            <w:rPr/>
          </w:pPr>
          <w:hyperlink w:anchor="__RefHeading___Toc3024091_3224264995">
            <w:r>
              <w:rPr>
                <w:webHidden/>
                <w:rStyle w:val="IndexLink"/>
                <w:rtl w:val="true"/>
              </w:rPr>
              <w:t>فصل</w:t>
            </w:r>
            <w:r>
              <w:rPr>
                <w:rStyle w:val="IndexLink"/>
                <w:rtl w:val="true"/>
              </w:rPr>
              <w:t>:</w:t>
              <w:tab/>
            </w:r>
            <w:r>
              <w:rPr>
                <w:rStyle w:val="IndexLink"/>
              </w:rPr>
              <w:t>274</w:t>
            </w:r>
          </w:hyperlink>
        </w:p>
        <w:p>
          <w:pPr>
            <w:pStyle w:val="Contents3"/>
            <w:tabs>
              <w:tab w:val="clear" w:pos="8459"/>
              <w:tab w:val="right" w:pos="9026" w:leader="dot"/>
            </w:tabs>
            <w:rPr/>
          </w:pPr>
          <w:hyperlink w:anchor="__RefHeading___Toc3024093_3224264995">
            <w:r>
              <w:rPr>
                <w:webHidden/>
                <w:rStyle w:val="IndexLink"/>
                <w:rtl w:val="true"/>
              </w:rPr>
              <w:t>الفصل التاسع فی المرّة و التکرار</w:t>
            </w:r>
            <w:r>
              <w:rPr>
                <w:rStyle w:val="IndexLink"/>
                <w:rtl w:val="true"/>
              </w:rPr>
              <w:tab/>
            </w:r>
            <w:r>
              <w:rPr>
                <w:rStyle w:val="IndexLink"/>
              </w:rPr>
              <w:t>277</w:t>
            </w:r>
          </w:hyperlink>
        </w:p>
        <w:p>
          <w:pPr>
            <w:pStyle w:val="Contents3"/>
            <w:tabs>
              <w:tab w:val="clear" w:pos="8459"/>
              <w:tab w:val="right" w:pos="9026" w:leader="dot"/>
            </w:tabs>
            <w:rPr/>
          </w:pPr>
          <w:hyperlink w:anchor="__RefHeading___Toc3024095_3224264995">
            <w:r>
              <w:rPr>
                <w:webHidden/>
                <w:rStyle w:val="IndexLink"/>
                <w:rtl w:val="true"/>
              </w:rPr>
              <w:t>الفصل العاشر فی الفور و التراخی</w:t>
            </w:r>
            <w:r>
              <w:rPr>
                <w:rStyle w:val="IndexLink"/>
                <w:rtl w:val="true"/>
              </w:rPr>
              <w:tab/>
            </w:r>
            <w:r>
              <w:rPr>
                <w:rStyle w:val="IndexLink"/>
              </w:rPr>
              <w:t>283</w:t>
            </w:r>
          </w:hyperlink>
        </w:p>
        <w:p>
          <w:pPr>
            <w:pStyle w:val="Contents3"/>
            <w:tabs>
              <w:tab w:val="clear" w:pos="8459"/>
              <w:tab w:val="right" w:pos="9026" w:leader="dot"/>
            </w:tabs>
            <w:rPr/>
          </w:pPr>
          <w:hyperlink w:anchor="__RefHeading___Toc3024097_3224264995">
            <w:r>
              <w:rPr>
                <w:webHidden/>
                <w:rStyle w:val="IndexLink"/>
                <w:rtl w:val="true"/>
              </w:rPr>
              <w:t>الفصل الحادی عشر فی الإجزاء</w:t>
            </w:r>
            <w:r>
              <w:rPr>
                <w:rStyle w:val="IndexLink"/>
                <w:rtl w:val="true"/>
              </w:rPr>
              <w:tab/>
            </w:r>
            <w:r>
              <w:rPr>
                <w:rStyle w:val="IndexLink"/>
              </w:rPr>
              <w:t>287</w:t>
            </w:r>
          </w:hyperlink>
        </w:p>
        <w:p>
          <w:pPr>
            <w:pStyle w:val="Contents4"/>
            <w:tabs>
              <w:tab w:val="clear" w:pos="8176"/>
              <w:tab w:val="right" w:pos="9026" w:leader="dot"/>
            </w:tabs>
            <w:rPr/>
          </w:pPr>
          <w:hyperlink w:anchor="__RefHeading___Toc3024099_3224264995">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024101_3224264995">
            <w:r>
              <w:rPr>
                <w:webHidden/>
                <w:rStyle w:val="IndexLink"/>
                <w:rtl w:val="true"/>
              </w:rPr>
              <w:t>الأمر الأوّل</w:t>
            </w:r>
            <w:r>
              <w:rPr>
                <w:rStyle w:val="IndexLink"/>
                <w:rtl w:val="true"/>
              </w:rPr>
              <w:tab/>
            </w:r>
            <w:r>
              <w:rPr>
                <w:rStyle w:val="IndexLink"/>
              </w:rPr>
              <w:t>287</w:t>
            </w:r>
          </w:hyperlink>
        </w:p>
        <w:p>
          <w:pPr>
            <w:pStyle w:val="Contents4"/>
            <w:tabs>
              <w:tab w:val="clear" w:pos="8176"/>
              <w:tab w:val="right" w:pos="9026" w:leader="dot"/>
            </w:tabs>
            <w:rPr/>
          </w:pPr>
          <w:hyperlink w:anchor="__RefHeading___Toc3024103_3224264995">
            <w:r>
              <w:rPr>
                <w:webHidden/>
                <w:rStyle w:val="IndexLink"/>
                <w:rtl w:val="true"/>
              </w:rPr>
              <w:t>الأمر الثانی</w:t>
            </w:r>
            <w:r>
              <w:rPr>
                <w:rStyle w:val="IndexLink"/>
                <w:rtl w:val="true"/>
              </w:rPr>
              <w:tab/>
            </w:r>
            <w:r>
              <w:rPr>
                <w:rStyle w:val="IndexLink"/>
              </w:rPr>
              <w:t>289</w:t>
            </w:r>
          </w:hyperlink>
        </w:p>
        <w:p>
          <w:pPr>
            <w:pStyle w:val="Contents4"/>
            <w:tabs>
              <w:tab w:val="clear" w:pos="8176"/>
              <w:tab w:val="right" w:pos="9026" w:leader="dot"/>
            </w:tabs>
            <w:rPr/>
          </w:pPr>
          <w:hyperlink w:anchor="__RefHeading___Toc3024105_3224264995">
            <w:r>
              <w:rPr>
                <w:webHidden/>
                <w:rStyle w:val="IndexLink"/>
                <w:rtl w:val="true"/>
              </w:rPr>
              <w:t>الأمر الثالث</w:t>
            </w:r>
            <w:r>
              <w:rPr>
                <w:rStyle w:val="IndexLink"/>
                <w:rtl w:val="true"/>
              </w:rPr>
              <w:tab/>
            </w:r>
            <w:r>
              <w:rPr>
                <w:rStyle w:val="IndexLink"/>
              </w:rPr>
              <w:t>289</w:t>
            </w:r>
          </w:hyperlink>
        </w:p>
        <w:p>
          <w:pPr>
            <w:pStyle w:val="Contents4"/>
            <w:tabs>
              <w:tab w:val="clear" w:pos="8176"/>
              <w:tab w:val="right" w:pos="9026" w:leader="dot"/>
            </w:tabs>
            <w:rPr/>
          </w:pPr>
          <w:hyperlink w:anchor="__RefHeading___Toc3024107_3224264995">
            <w:r>
              <w:rPr>
                <w:webHidden/>
                <w:rStyle w:val="IndexLink"/>
                <w:rtl w:val="true"/>
              </w:rPr>
              <w:t>الأمر الرابع</w:t>
            </w:r>
            <w:r>
              <w:rPr>
                <w:rStyle w:val="IndexLink"/>
                <w:rtl w:val="true"/>
              </w:rPr>
              <w:tab/>
            </w:r>
            <w:r>
              <w:rPr>
                <w:rStyle w:val="IndexLink"/>
              </w:rPr>
              <w:t>290</w:t>
            </w:r>
          </w:hyperlink>
        </w:p>
        <w:p>
          <w:pPr>
            <w:pStyle w:val="Contents4"/>
            <w:tabs>
              <w:tab w:val="clear" w:pos="8176"/>
              <w:tab w:val="right" w:pos="9026" w:leader="dot"/>
            </w:tabs>
            <w:rPr/>
          </w:pPr>
          <w:hyperlink w:anchor="__RefHeading___Toc3024109_3224264995">
            <w:r>
              <w:rPr>
                <w:webHidden/>
                <w:rStyle w:val="IndexLink"/>
                <w:rtl w:val="true"/>
              </w:rPr>
              <w:t>الأمر الخامس</w:t>
            </w:r>
            <w:r>
              <w:rPr>
                <w:rStyle w:val="IndexLink"/>
                <w:rtl w:val="true"/>
              </w:rPr>
              <w:tab/>
            </w:r>
            <w:r>
              <w:rPr>
                <w:rStyle w:val="IndexLink"/>
              </w:rPr>
              <w:t>290</w:t>
            </w:r>
          </w:hyperlink>
        </w:p>
        <w:p>
          <w:pPr>
            <w:pStyle w:val="Contents4"/>
            <w:tabs>
              <w:tab w:val="clear" w:pos="8176"/>
              <w:tab w:val="right" w:pos="9026" w:leader="dot"/>
            </w:tabs>
            <w:rPr/>
          </w:pPr>
          <w:hyperlink w:anchor="__RefHeading___Toc3024111_3224264995">
            <w:r>
              <w:rPr>
                <w:webHidden/>
                <w:rStyle w:val="IndexLink"/>
                <w:rtl w:val="true"/>
              </w:rPr>
              <w:t>الأمر السادس</w:t>
            </w:r>
            <w:r>
              <w:rPr>
                <w:rStyle w:val="IndexLink"/>
                <w:rtl w:val="true"/>
              </w:rPr>
              <w:tab/>
            </w:r>
            <w:r>
              <w:rPr>
                <w:rStyle w:val="IndexLink"/>
              </w:rPr>
              <w:t>291</w:t>
            </w:r>
          </w:hyperlink>
        </w:p>
        <w:p>
          <w:pPr>
            <w:pStyle w:val="Contents4"/>
            <w:tabs>
              <w:tab w:val="clear" w:pos="8176"/>
              <w:tab w:val="right" w:pos="9026" w:leader="dot"/>
            </w:tabs>
            <w:rPr/>
          </w:pPr>
          <w:hyperlink w:anchor="__RefHeading___Toc3024113_3224264995">
            <w:r>
              <w:rPr>
                <w:webHidden/>
                <w:rStyle w:val="IndexLink"/>
                <w:rtl w:val="true"/>
              </w:rPr>
              <w:t>هنا مقامات من البحث</w:t>
            </w:r>
            <w:r>
              <w:rPr>
                <w:rStyle w:val="IndexLink"/>
                <w:rtl w:val="true"/>
              </w:rPr>
              <w:tab/>
            </w:r>
            <w:r>
              <w:rPr>
                <w:rStyle w:val="IndexLink"/>
              </w:rPr>
              <w:t>293</w:t>
            </w:r>
          </w:hyperlink>
        </w:p>
        <w:p>
          <w:pPr>
            <w:pStyle w:val="Contents5"/>
            <w:tabs>
              <w:tab w:val="clear" w:pos="7892"/>
              <w:tab w:val="right" w:pos="9026" w:leader="dot"/>
            </w:tabs>
            <w:rPr/>
          </w:pPr>
          <w:hyperlink w:anchor="__RefHeading___Toc3024115_3224264995">
            <w:r>
              <w:rPr>
                <w:webHidden/>
                <w:rStyle w:val="IndexLink"/>
                <w:rtl w:val="true"/>
              </w:rPr>
              <w:t>المقام الأوّل</w:t>
            </w:r>
            <w:r>
              <w:rPr>
                <w:rStyle w:val="IndexLink"/>
                <w:rtl w:val="true"/>
              </w:rPr>
              <w:t xml:space="preserve">: </w:t>
            </w:r>
            <w:r>
              <w:rPr>
                <w:rStyle w:val="IndexLink"/>
                <w:rtl w:val="true"/>
              </w:rPr>
              <w:t>إجزاء الاضطراری و الظاهری عن نفسه</w:t>
            </w:r>
            <w:r>
              <w:rPr>
                <w:rStyle w:val="IndexLink"/>
                <w:rtl w:val="true"/>
              </w:rPr>
              <w:tab/>
            </w:r>
            <w:r>
              <w:rPr>
                <w:rStyle w:val="IndexLink"/>
              </w:rPr>
              <w:t>293</w:t>
            </w:r>
          </w:hyperlink>
        </w:p>
        <w:p>
          <w:pPr>
            <w:pStyle w:val="Contents5"/>
            <w:tabs>
              <w:tab w:val="clear" w:pos="7892"/>
              <w:tab w:val="right" w:pos="9026" w:leader="dot"/>
            </w:tabs>
            <w:rPr/>
          </w:pPr>
          <w:hyperlink w:anchor="__RefHeading___Toc3024117_3224264995">
            <w:r>
              <w:rPr>
                <w:webHidden/>
                <w:rStyle w:val="IndexLink"/>
                <w:rtl w:val="true"/>
              </w:rPr>
              <w:t>المقام الثانی</w:t>
            </w:r>
            <w:r>
              <w:rPr>
                <w:rStyle w:val="IndexLink"/>
                <w:rtl w:val="true"/>
              </w:rPr>
              <w:t xml:space="preserve">: </w:t>
            </w:r>
            <w:r>
              <w:rPr>
                <w:rStyle w:val="IndexLink"/>
                <w:rtl w:val="true"/>
              </w:rPr>
              <w:t>إجزاء الاضطراری عن الواقع</w:t>
            </w:r>
            <w:r>
              <w:rPr>
                <w:rStyle w:val="IndexLink"/>
                <w:rtl w:val="true"/>
              </w:rPr>
              <w:tab/>
            </w:r>
            <w:r>
              <w:rPr>
                <w:rStyle w:val="IndexLink"/>
              </w:rPr>
              <w:t>296</w:t>
            </w:r>
          </w:hyperlink>
        </w:p>
        <w:p>
          <w:pPr>
            <w:pStyle w:val="Contents5"/>
            <w:tabs>
              <w:tab w:val="clear" w:pos="7892"/>
              <w:tab w:val="right" w:pos="9026" w:leader="dot"/>
            </w:tabs>
            <w:rPr/>
          </w:pPr>
          <w:hyperlink w:anchor="__RefHeading___Toc3024119_3224264995">
            <w:r>
              <w:rPr>
                <w:webHidden/>
                <w:rStyle w:val="IndexLink"/>
                <w:rtl w:val="true"/>
              </w:rPr>
              <w:t>المقام الثالث</w:t>
            </w:r>
            <w:r>
              <w:rPr>
                <w:rStyle w:val="IndexLink"/>
                <w:rtl w:val="true"/>
              </w:rPr>
              <w:t xml:space="preserve">: </w:t>
            </w:r>
            <w:r>
              <w:rPr>
                <w:rStyle w:val="IndexLink"/>
                <w:rtl w:val="true"/>
              </w:rPr>
              <w:t>إجزاء الظاهری عن الواقع</w:t>
            </w:r>
            <w:r>
              <w:rPr>
                <w:rStyle w:val="IndexLink"/>
                <w:rtl w:val="true"/>
              </w:rPr>
              <w:tab/>
            </w:r>
            <w:r>
              <w:rPr>
                <w:rStyle w:val="IndexLink"/>
              </w:rPr>
              <w:t>301</w:t>
            </w:r>
          </w:hyperlink>
        </w:p>
        <w:p>
          <w:pPr>
            <w:pStyle w:val="Contents6"/>
            <w:tabs>
              <w:tab w:val="clear" w:pos="7609"/>
              <w:tab w:val="right" w:pos="9026" w:leader="dot"/>
            </w:tabs>
            <w:rPr/>
          </w:pPr>
          <w:hyperlink w:anchor="__RefHeading___Toc3024121_3224264995">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3024123_3224264995">
            <w:r>
              <w:rPr>
                <w:webHidden/>
                <w:rStyle w:val="IndexLink"/>
                <w:rtl w:val="true"/>
              </w:rPr>
              <w:t>فهنا وجوه ثلاثة</w:t>
            </w:r>
            <w:r>
              <w:rPr>
                <w:rStyle w:val="IndexLink"/>
                <w:rtl w:val="true"/>
              </w:rPr>
              <w:t>:</w:t>
              <w:tab/>
            </w:r>
            <w:r>
              <w:rPr>
                <w:rStyle w:val="IndexLink"/>
              </w:rPr>
              <w:t>301</w:t>
            </w:r>
          </w:hyperlink>
        </w:p>
        <w:p>
          <w:pPr>
            <w:pStyle w:val="Contents6"/>
            <w:tabs>
              <w:tab w:val="clear" w:pos="7609"/>
              <w:tab w:val="right" w:pos="9026" w:leader="dot"/>
            </w:tabs>
            <w:rPr/>
          </w:pPr>
          <w:hyperlink w:anchor="__RefHeading___Toc3024125_3224264995">
            <w:r>
              <w:rPr>
                <w:webHidden/>
                <w:rStyle w:val="IndexLink"/>
                <w:rtl w:val="true"/>
              </w:rPr>
              <w:t>لکن أورد علیه بوجوه</w:t>
            </w:r>
            <w:r>
              <w:rPr>
                <w:rStyle w:val="IndexLink"/>
                <w:rtl w:val="true"/>
              </w:rPr>
              <w:t>:</w:t>
              <w:tab/>
            </w:r>
            <w:r>
              <w:rPr>
                <w:rStyle w:val="IndexLink"/>
              </w:rPr>
              <w:t>303</w:t>
            </w:r>
          </w:hyperlink>
        </w:p>
        <w:p>
          <w:pPr>
            <w:pStyle w:val="Contents2"/>
            <w:tabs>
              <w:tab w:val="clear" w:pos="8743"/>
              <w:tab w:val="right" w:pos="9026" w:leader="dot"/>
            </w:tabs>
            <w:rPr/>
          </w:pPr>
          <w:hyperlink w:anchor="__RefHeading___Toc3024127_3224264995">
            <w:r>
              <w:rPr>
                <w:webHidden/>
                <w:rStyle w:val="IndexLink"/>
                <w:rtl w:val="true"/>
              </w:rPr>
              <w:t>فهرس الموضوعات</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6_133099"/>
      <w:bookmarkStart w:id="1" w:name="pg12886_133099"/>
      <w:bookmarkEnd w:id="1"/>
    </w:p>
    <w:p>
      <w:pPr>
        <w:pStyle w:val="Heading2"/>
        <w:numPr>
          <w:ilvl w:val="1"/>
          <w:numId w:val="1"/>
        </w:numPr>
        <w:rPr/>
      </w:pPr>
      <w:bookmarkStart w:id="2" w:name="pg12886_133099"/>
      <w:bookmarkStart w:id="3" w:name="__RefHeading___Toc302380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اشتهاردی،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التقوی الاشتهاردی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هر جلد متفاوت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۱۲۳۱۰</w:t>
      </w:r>
    </w:p>
    <w:p>
      <w:pPr>
        <w:pStyle w:val="Heading2"/>
        <w:numPr>
          <w:ilvl w:val="1"/>
          <w:numId w:val="1"/>
        </w:numPr>
        <w:rPr/>
      </w:pPr>
      <w:bookmarkStart w:id="5" w:name="__RefHeading___Toc3023803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تنقیح الاصول</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الموسوی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الشیخ حسین التقوی الاشتهاردی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التقوی الإشتهاردی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bookmarkStart w:id="7" w:name="pg12886_133101"/>
    </w:p>
    <w:p>
      <w:pPr>
        <w:pStyle w:val="Heading2"/>
        <w:numPr>
          <w:ilvl w:val="1"/>
          <w:numId w:val="1"/>
        </w:numPr>
        <w:rPr/>
      </w:pPr>
      <w:bookmarkStart w:id="8" w:name="__RefHeading___Toc3023805_3224264995"/>
      <w:bookmarkStart w:id="9" w:name="_Toc3"/>
      <w:bookmarkEnd w:id="7"/>
      <w:bookmarkEnd w:id="8"/>
      <w:r>
        <w:rPr>
          <w:rtl w:val="true"/>
        </w:rPr>
        <w:t>مقدمة التحقیق</w:t>
      </w:r>
      <w:bookmarkEnd w:id="9"/>
    </w:p>
    <w:p>
      <w:pPr>
        <w:pStyle w:val="Heading3"/>
        <w:numPr>
          <w:ilvl w:val="2"/>
          <w:numId w:val="1"/>
        </w:numPr>
        <w:rPr/>
      </w:pPr>
      <w:bookmarkStart w:id="10" w:name="__RefHeading___Toc3023807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الحمد للَّه علی هدایته لدینه، و التوفیق لما دعا إلیه من سبیله، و صلّی اللَّه علی خاتم أنبیائه سیّد الخلق، و الصادع بالحق، البشیر النذیر، السراج المنیر، الطهر الطاهر، و العلم الزاخر، أبی القاسم محمّد صلّی اللَّه علیه و علی آله أئمة الهدی، و مصابیح الدجی، و العروة الوثقی، بهم نهتدی فی الظلماء، و نتسنّم ذروة العلیاء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سارت مؤسسة تنظیم و نشر آثار الإمام الخمینی قدس سره الشریف سیراً حثیثاً، و خطت خطوات واسعة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 یوم تأسیسها و لحدّ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إحیاء و نشر تراث الإسلام الأصیل، و الدین المحمّدی السامی الخالص، المنبثق من النور المتألق، و النابع من المعین الفیّاض المتدفّق، الثر بالعطاء، و المفعم بالرواء، و المعطّر من أریج وحی السماء، المتموج بالخیرات، و المتوّج بالبرکات، أعنی به زعیم المسلمین، و حامی المستضعفین، و قائد الأحرار الرسالیین، و فخر الملّة، مُحیی علوم المرسلین، و المقتفی نهج الأئمة الطاهرین، سماحة آیة اللَّه العظمی الإمام السیّد روح اللَّه الموسوی الخمینی نوَّر اللَّه تعالی مضجعه الشریف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کرَّس هذا الرجل العظیم حیاته الزاهرة، و استنفد وسعه و وجوده الطاهر، للدفاع عن حیاض الشریعة المقدّسة، و الذب عن حقیقة الدین، و إرساء دعائم الرسالة الخالدة المبارکة، و وقف طویلًا بوجه طواغی الغی، و أحزاب البدع، و أعداء الحق، و ضواری الفتنة، فرکب الأهوال، و نازل الأعداء، بعزیمة جبّارة، و همة نافذة،</w:t>
      </w:r>
    </w:p>
    <w:p>
      <w:pPr>
        <w:pStyle w:val="BookText"/>
        <w:rPr/>
      </w:pPr>
      <w:r>
        <w:rPr>
          <w:rFonts w:ascii="IRNazanin" w:hAnsi="IRNazanin" w:eastAsia="IRNazanin"/>
          <w:color w:val="111111"/>
          <w:sz w:val="28"/>
          <w:sz w:val="28"/>
          <w:szCs w:val="28"/>
          <w:rtl w:val="true"/>
          <w:lang w:bidi="fa-IR"/>
        </w:rPr>
        <w:t>حتی ضعضع اللَّه تعالی أرکان أعدائه، و أطاش سهامهم، و ردّهم بغیظهم علی أعقابهم، لا یلوی آخرهم علی 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کانت من نشاطات و أعمال مؤسستنا هذه، نشر آثار و أفکار و بیانات و تألیفات سماحة السیّد الإمام الخمینی قدس سره الشریف، و إخراجها و بثها إلی عالم الثقافة و المعرفة بصورة رائعة، و تحقیق علمی شیّق، لینهل من ذلک رواد الحقیقة و طلابه، و لیقتبسوا من أنواره قبسات تضی‌ء لهم مهیع الحق و منهاجه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فإنَّ الآثار العلمیة الفقهیة و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الإمام قدس سره یمکن تقسیمها إلی قسمین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 السیّد الإمام قدس سره بقلمه الشریف و یده المبارکة، و هی کثیرة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أنوار الهدایة فی التعلیقة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الخلل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تلامیذ السیّد الإمام أیّدهم اللَّه تعالی من تقریرات دروسه فی علم الفقه و اصوله، و هی کثیرة أیضاً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آیة اللَّه الشیخ فاضل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تقریرات آیة اللَّه الشیخ جعفر السبحانی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تقریرات آیة اللَّه الشیخ محمّد واعظزاده الخراسانی</w:t>
      </w:r>
      <w:r>
        <w:rPr>
          <w:rFonts w:eastAsia="IRNazanin" w:cs="IRNazanin"/>
          <w:color w:val="111111"/>
          <w:sz w:val="28"/>
          <w:szCs w:val="28"/>
          <w:rtl w:val="true"/>
          <w:lang w:bidi="fa-IR"/>
        </w:rPr>
        <w:t>.</w:t>
      </w:r>
      <w:bookmarkStart w:id="12" w:name="pg12886_133103"/>
    </w:p>
    <w:p>
      <w:pPr>
        <w:pStyle w:val="BookText"/>
        <w:rPr/>
      </w:pPr>
      <w:bookmarkEnd w:id="12"/>
      <w:r>
        <w:rPr>
          <w:rFonts w:ascii="IRNazanin" w:hAnsi="IRNazanin" w:eastAsia="IRNazanin"/>
          <w:color w:val="111111"/>
          <w:sz w:val="28"/>
          <w:sz w:val="28"/>
          <w:szCs w:val="28"/>
          <w:rtl w:val="true"/>
          <w:lang w:bidi="fa-IR"/>
        </w:rPr>
        <w:t>و تقریرات آیة اللَّه الشیخ محمّد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تقریرات آیة اللَّه السیّد محمّد حسن المرتضوی اللنگرودی،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الکتاب الماثل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المشتمل علی دورة کاملة فی علم اصول الفقه، و هی من أبحاث سماحة السیّد الإمام الخمینی قدس سره و التی کان قد ألقاها علی تلامذته العظام فی مدینة قم المقدّسة عش آل محمّد علیهم السلام، و هی بقلم علم من أعلام هذه الحوزة العلمیة المبارکة و هو سماحة آیة اللَّه المحقق الشیخ حسین نجل المغفور له آیة اللَّه الحاج الشیخ یحیی التقوی الاشتهاردی</w:t>
      </w:r>
      <w:r>
        <w:rPr>
          <w:rFonts w:eastAsia="IRNazanin" w:cs="IRNazanin"/>
          <w:color w:val="111111"/>
          <w:sz w:val="28"/>
          <w:szCs w:val="28"/>
          <w:rtl w:val="true"/>
          <w:lang w:bidi="fa-IR"/>
        </w:rPr>
        <w:t>.</w:t>
      </w:r>
    </w:p>
    <w:p>
      <w:pPr>
        <w:pStyle w:val="Heading3"/>
        <w:numPr>
          <w:ilvl w:val="2"/>
          <w:numId w:val="1"/>
        </w:numPr>
        <w:rPr/>
      </w:pPr>
      <w:bookmarkStart w:id="13" w:name="__RefHeading___Toc3023809_3224264995"/>
      <w:bookmarkStart w:id="14" w:name="_Toc5"/>
      <w:bookmarkEnd w:id="13"/>
      <w:r>
        <w:rPr>
          <w:rtl w:val="true"/>
        </w:rPr>
        <w:t>حیاة المؤلف فی سطور</w:t>
      </w:r>
      <w:r>
        <w:rPr>
          <w:rtl w:val="true"/>
        </w:rPr>
        <w:t>:</w:t>
      </w:r>
      <w:bookmarkEnd w:id="14"/>
    </w:p>
    <w:p>
      <w:pPr>
        <w:pStyle w:val="BookText"/>
        <w:rPr/>
      </w:pPr>
      <w:r>
        <w:rPr>
          <w:rFonts w:ascii="IRNazanin" w:hAnsi="IRNazanin" w:eastAsia="IRNazanin"/>
          <w:color w:val="111111"/>
          <w:sz w:val="28"/>
          <w:sz w:val="28"/>
          <w:szCs w:val="28"/>
          <w:rtl w:val="true"/>
          <w:lang w:bidi="fa-IR"/>
        </w:rPr>
        <w:t xml:space="preserve">کان مولده الشریف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اشتهارد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المقدّمات من والده سماحة آیة اللَّه الشیخ یحیی التقوی قدس سره، و أنهی عنده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إلی مدینة قم المقدّسة للالتحاق بحوزتها العلمیة المبارکة فی حدود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السطوح و أتقنها علی أیدی کبار العلماء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الشهید الشیخ الصدوقی رضوان اللَّه علیه، و آیة اللَّه الشهید الشیخ المطهری رضوان اللَّه علیه، و آیة اللَّه الشیخ آقا باقر البروجردی حفظه اللَّه تعالی، و المرحوم آیة اللَّه الشیخ المجاهدی التبریزی، و المرحوم آیة اللَّه الشیخ عبد الجواد الأصفهانی، و المرحوم آیة اللَّه الحاج آقا جواد الخندق‌آبادی، و آیة اللَّه المیرزا علی أصغر الطهرانی حفظه اللَّه تعالی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 درس الخارج عند آیة اللَّه العظمی السیّد حسین البروجردی قدس سره، و عند سماحة آیة اللَّه العظمی الإمام السیّد الخمینی قدس سره، و سماحة آیة اللَّه العظمی السیّد</w:t>
      </w:r>
      <w:bookmarkStart w:id="15" w:name="pg12886_133104"/>
    </w:p>
    <w:p>
      <w:pPr>
        <w:pStyle w:val="BookText"/>
        <w:rPr/>
      </w:pPr>
      <w:bookmarkEnd w:id="15"/>
      <w:r>
        <w:rPr>
          <w:rFonts w:ascii="IRNazanin" w:hAnsi="IRNazanin" w:eastAsia="IRNazanin"/>
          <w:color w:val="111111"/>
          <w:sz w:val="28"/>
          <w:sz w:val="28"/>
          <w:szCs w:val="28"/>
          <w:rtl w:val="true"/>
          <w:lang w:bidi="fa-IR"/>
        </w:rPr>
        <w:t>محمّد رضا الگلپایگانی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درس الخارج عند سماحة الإمام الخمینی قدس سره الشریف فی علم اصول الفقه، و کان من ثمرته هذا الکتاب المبارک الذی نقدّمه و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w:t>
      </w:r>
    </w:p>
    <w:p>
      <w:pPr>
        <w:pStyle w:val="Heading3"/>
        <w:numPr>
          <w:ilvl w:val="2"/>
          <w:numId w:val="1"/>
        </w:numPr>
        <w:rPr/>
      </w:pPr>
      <w:bookmarkStart w:id="16" w:name="__RefHeading___Toc3023811_3224264995"/>
      <w:bookmarkStart w:id="17" w:name="_Toc6"/>
      <w:bookmarkEnd w:id="16"/>
      <w:r>
        <w:rPr>
          <w:rtl w:val="true"/>
        </w:rPr>
        <w:t>منهجنا فی تحقیق الکتاب</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نص الکتاب علی المنهج المتداول فی هذا الفن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الآیات القرآنیة المبارکة و ذلک بذکر السورة و رقم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الأحادیث و الآثار الشریفة و عزوها إلی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أقوال العلماء من منابعها و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ندعو أصحاب الفضیلة من العلماء الأعلام و حجج الإسلام من الذین تشرّفوا بالحضور عند سماحة السیّد الإمام قدس سره الشریف و نهلوا من نمیره المُترع، أن یتفضلوا علینا بتزویدنا ما بحوزتهم من تقریرات و کتابات و مذکرات، أثبتوها من محضر درسه المبارک، و سجلوها من إفاداته القدسیة، لتقوم المؤسسة بواجبها من نشرها و بثها، لیعمّ نفعها، و ینعم المختصون بها، و لیستفید منها طلاب الحوزات العلمیة، و تتبرک بها المؤسسات الثقافیة، و لهم منّا بذلک خالص المودة، و فائق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مؤسسة تنظیم و نشر آثار الإمام الخمینی قدس سره</w:t>
      </w:r>
    </w:p>
    <w:p>
      <w:pPr>
        <w:pStyle w:val="BookText"/>
        <w:rPr/>
      </w:pPr>
      <w:r>
        <w:rPr>
          <w:rFonts w:ascii="Amiri" w:hAnsi="Amiri" w:eastAsia="Amiri" w:cs="Amiri"/>
          <w:color w:val="111111"/>
          <w:sz w:val="28"/>
          <w:sz w:val="28"/>
          <w:szCs w:val="28"/>
          <w:rtl w:val="true"/>
          <w:lang w:bidi="ar-SA"/>
        </w:rPr>
        <w:t>فرع قم المقدّسة</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لمعرفته، و خصّنا بولایته، و وفّقنا لطاعته، و الصلاةُ و السلامُ علی خاتم رُسله، و أشرف خلقه، و أفضل بریّته، محمّد صلّی الله علیه و علی آله المعصومین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وصل إلی فهمی القاصر و ذهنی الفاتر من إفادات سیّدنا الأعظم، و استاذنا الأفخم، کهف المُستضعفین، و ملجأ المسلمین، و قامع اصول المُستکبرین، و هادم أبنیة الظالمین؛ آیة اللَّه العظمی الحاجّ السیّد روح اللَّه الموسوی الخمینی قدس سره، قرَّرتُه تذکرة لنفسی و لمن یرید الرجوع إلیه؛ لیکون ذخراً لی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سمیتُه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تنقیح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رتّبتُه علی مُقدّمةٍ و فصول</w:t>
      </w:r>
      <w:r>
        <w:rPr>
          <w:rFonts w:eastAsia="Amiri" w:cs="Amiri" w:ascii="Amiri" w:hAnsi="Amiri"/>
          <w:color w:val="111111"/>
          <w:sz w:val="28"/>
          <w:szCs w:val="28"/>
          <w:rtl w:val="true"/>
          <w:lang w:bidi="ar-SA"/>
        </w:rPr>
        <w:t>:</w:t>
      </w:r>
      <w:bookmarkStart w:id="18" w:name="pg12886_133107"/>
    </w:p>
    <w:p>
      <w:pPr>
        <w:pStyle w:val="Heading2"/>
        <w:numPr>
          <w:ilvl w:val="1"/>
          <w:numId w:val="1"/>
        </w:numPr>
        <w:rPr/>
      </w:pPr>
      <w:bookmarkStart w:id="19" w:name="__RefHeading___Toc3023813_3224264995"/>
      <w:bookmarkStart w:id="20" w:name="_Toc7"/>
      <w:bookmarkEnd w:id="18"/>
      <w:bookmarkEnd w:id="19"/>
      <w:r>
        <w:rPr>
          <w:rtl w:val="true"/>
        </w:rPr>
        <w:t>المقدمة و تشتمل علی امور</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023815_3224264995"/>
      <w:bookmarkStart w:id="22" w:name="_Toc8"/>
      <w:bookmarkEnd w:id="21"/>
      <w:r>
        <w:rPr>
          <w:rtl w:val="true"/>
        </w:rPr>
        <w:t>اشارة</w:t>
      </w:r>
      <w:bookmarkStart w:id="23" w:name="pg12886_133109"/>
      <w:bookmarkEnd w:id="22"/>
    </w:p>
    <w:p>
      <w:pPr>
        <w:pStyle w:val="Heading3"/>
        <w:numPr>
          <w:ilvl w:val="2"/>
          <w:numId w:val="1"/>
        </w:numPr>
        <w:rPr/>
      </w:pPr>
      <w:bookmarkStart w:id="24" w:name="__RefHeading___Toc3023817_3224264995"/>
      <w:bookmarkStart w:id="25" w:name="_Toc9"/>
      <w:bookmarkEnd w:id="23"/>
      <w:bookmarkEnd w:id="24"/>
      <w:r>
        <w:rPr>
          <w:rtl w:val="true"/>
        </w:rPr>
        <w:t>الأمر الأوّل فی موضوع کل علم</w:t>
      </w:r>
      <w:bookmarkEnd w:id="25"/>
    </w:p>
    <w:p>
      <w:pPr>
        <w:pStyle w:val="BookText"/>
        <w:rPr/>
      </w:pPr>
      <w:r>
        <w:rPr>
          <w:rFonts w:ascii="Amiri" w:hAnsi="Amiri" w:eastAsia="Amiri" w:cs="Amiri"/>
          <w:color w:val="111111"/>
          <w:sz w:val="28"/>
          <w:sz w:val="28"/>
          <w:szCs w:val="28"/>
          <w:rtl w:val="true"/>
          <w:lang w:bidi="ar-SA"/>
        </w:rPr>
        <w:t>کلّ علم عبارة عن عدة من القضایا دُوِّنت تدریجاً؛ لأغراض مُختلفة تشترکُ فی ترتّب بعض الفوائد علیها، فالأحکامُ التصدیقیّة من کلّ علم هو ذلک العلمُ بعینه، و لیس من العلوم ما دُوِّنت جمیع مسائله دفعةً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کانت الأغراض فی تدوین مسائل علم واحدٍ مُختلفة، کنیل الجائزة من السلطان، و نحوه من الأغراض الدنیویّة و الاخرویّة الداعیة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المنطق مثلًا عبارة عن عدّة من القضایا، دُوِّنت لأغراض مُختلفة مُشترکة فی ترتّب فائدة واحدة علیها؛ بحسب الاعتبار و السِّنخ، و هی حفظ الفکر عن الخطأ، فوحدة تلک الفائدة اعتباریّة لا حقیقیّة؛ لترکّبها من الموضوع و المحمول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فساد 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من کُلِّ علم أمر واحد</w:t>
      </w:r>
      <w:r>
        <w:rPr>
          <w:rStyle w:val="FootnoteAnchor"/>
          <w:rtl w:val="true"/>
        </w:rPr>
        <w:footnoteReference w:id="2"/>
      </w:r>
      <w:r>
        <w:rPr>
          <w:rFonts w:ascii="IRNazanin" w:hAnsi="IRNazanin" w:eastAsia="IRNazanin"/>
          <w:color w:val="111111"/>
          <w:sz w:val="28"/>
          <w:sz w:val="28"/>
          <w:szCs w:val="28"/>
          <w:rtl w:val="true"/>
          <w:lang w:bidi="fa-IR"/>
        </w:rPr>
        <w:t>، و کأنّه التبس علیه الغرض بالفائدة المترتّبة علی مسائله، فإنّها کما عرفت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القضایا المبحوث عنها فی العلوم، إمّا حقیقیّة کما فی غالب العلوم کالفقه؛ إذ الموضوع فی مسائله لیس خارجیّاً، و لیس المراد من قولهم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الخارجی فقط، بل المرادُ کلّما وُجد خمر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خارجیّة، کما فی مسائل علم التأریخ و الهیئة و الجغرافیا و نحوها؛ فإنّ البحث فی الأوّل إنّما هو عن الموضوعات الخارجیّة المُعیّنة من الأنبیاء و السلاطین و غیرهم، و فی الثانی عن أحوال الأفلاک و النجوم و أوضاعها، و هی من الموجودات الخارجیّة، و لیس الموضوع فی مسائله کلّیّاً، بل هو هذا الفلک و ذاک الکوکب و نحوهما، و فی الثالث عن أحوال البلاد و القُری الموجودة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الموضوع فی علم شخصاً خارجیّاً واحداً حقیقیّاً، کعلم العرفان، فإنّ البحث فیه إنّما هو عن المبدأ البارئ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یتّحد موضوع العلم مع موضوعات مسائله، کعلم الفلسفة الذی موضوعه الوجود، و موضوعات مسائله أیضاً الموجودات، و إنّما الفرق بینهما غالباً هو الفرق بین الطبیعی و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یتّحد موضوع العلم مع موضوع بعض مسائله، و قد یکون موضوع المسألة فیه من أجزاء موضوع العلم، کالشمس، و القمر، و نحوهما ممّا هو موضوع المسألة فی علم الهیئة، و هما من أجزاء موضوع علم الهیئة، الذی هو مجموع الأفلاک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المسائل هو موضوع ذلک العلم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یظهر لک ما فی کلام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الفرق بین موضوع کلّ علم و بین موضوعات مسائله، هو الفرق بین الطبیعی و أفراده</w:t>
      </w:r>
      <w:r>
        <w:rPr>
          <w:rStyle w:val="FootnoteAnchor"/>
          <w:rtl w:val="true"/>
        </w:rPr>
        <w:footnoteReference w:id="3"/>
      </w:r>
      <w:r>
        <w:rPr>
          <w:rFonts w:ascii="IRNazanin" w:hAnsi="IRNazanin" w:eastAsia="IRNazanin"/>
          <w:color w:val="111111"/>
          <w:sz w:val="28"/>
          <w:sz w:val="28"/>
          <w:szCs w:val="28"/>
          <w:rtl w:val="true"/>
          <w:lang w:bidi="fa-IR"/>
        </w:rPr>
        <w:t>فإنّه بنحو الإطلاق ممنوع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أفاده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موضوع کلّ علم هو ما یُبحث فیه عن عوارضه</w:t>
      </w:r>
    </w:p>
    <w:p>
      <w:pPr>
        <w:pStyle w:val="BookText"/>
        <w:rPr/>
      </w:pPr>
      <w:r>
        <w:rPr>
          <w:rFonts w:ascii="Amiri" w:hAnsi="Amiri" w:eastAsia="Amiri" w:cs="Amiri"/>
          <w:color w:val="111111"/>
          <w:sz w:val="28"/>
          <w:sz w:val="28"/>
          <w:szCs w:val="28"/>
          <w:rtl w:val="true"/>
          <w:lang w:bidi="ar-SA"/>
        </w:rPr>
        <w:t>الذاتیّة</w:t>
      </w:r>
      <w:r>
        <w:rPr>
          <w:rStyle w:val="FootnoteAnchor"/>
          <w:rtl w:val="true"/>
        </w:rPr>
        <w:footnoteReference w:id="4"/>
      </w:r>
      <w:r>
        <w:rPr>
          <w:rFonts w:ascii="Amiri" w:hAnsi="Amiri" w:eastAsia="Amiri" w:cs="Amiri"/>
          <w:color w:val="111111"/>
          <w:sz w:val="28"/>
          <w:sz w:val="28"/>
          <w:szCs w:val="28"/>
          <w:rtl w:val="true"/>
          <w:lang w:bidi="ar-SA"/>
        </w:rPr>
        <w:t>أیضاً غیرُ سدیدٍ، بل موضوع کلّ علم هو ما یُبحث فیه عن أحواله العُرفیّة، سواء کان عروضُها لنفسه أم لجزئه أم لأمرٍ خارج مساوٍ لهُ أم أعمّ أم 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انقدح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یتحتّم أن یکون لکلّ علم موضوع یُبحث فیه عن عوارضه الذاتیّة، و إلّا یلزم خروج أغلب مسائل العلم عن ذلک العلم؛ و أنّها ذکرت فیه استطراداً، کعلم الفقه، إذ لو فُرض أنّ موضوعه هو أفعالُ المکلّفین کما هو المعروف</w:t>
      </w:r>
      <w:r>
        <w:rPr>
          <w:rStyle w:val="FootnoteAnchor"/>
          <w:rtl w:val="true"/>
        </w:rPr>
        <w:footnoteReference w:id="5"/>
      </w:r>
      <w:r>
        <w:rPr>
          <w:rFonts w:ascii="IRNazanin" w:hAnsi="IRNazanin" w:eastAsia="IRNazanin"/>
          <w:color w:val="111111"/>
          <w:sz w:val="28"/>
          <w:sz w:val="28"/>
          <w:szCs w:val="28"/>
          <w:rtl w:val="true"/>
          <w:lang w:bidi="fa-IR"/>
        </w:rPr>
        <w:t>فهو و إن صحّ بالنسبة إلی بعض مسائله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إلّا أنّ أکثر مسائله لیست کذلک، کقولهم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کمسائل الإرث و الضمانات و نحوها، ممّا لا یُبحث فیها عن العوارض الذاتیّة لأفعال المُکلّفین، و کعلم الفلسفة، فإنّ ما ذکروه و إن صحّ فی بعض مسائله،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لکنّه لا یتمّ بالنسبة إلی أکثر مسائله، کمباحث الماهیّة التی هی من أهمّ مباحث الفلسفة، و مباحث الأعدام و المعاد و نحوها، ممّا لا یکون موضوع المسائل فیها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أنّه لا بدّ أن یکون لکل علم موضوع یُبحث فیه عن عوارضه الذاتیّة</w:t>
      </w:r>
      <w:r>
        <w:rPr>
          <w:rStyle w:val="FootnoteAnchor"/>
          <w:rtl w:val="true"/>
        </w:rPr>
        <w:footnoteReference w:id="6"/>
      </w:r>
      <w:r>
        <w:rPr>
          <w:rFonts w:ascii="IRNazanin" w:hAnsi="IRNazanin" w:eastAsia="IRNazanin"/>
          <w:color w:val="111111"/>
          <w:sz w:val="28"/>
          <w:sz w:val="28"/>
          <w:szCs w:val="28"/>
          <w:rtl w:val="true"/>
          <w:lang w:bidi="fa-IR"/>
        </w:rPr>
        <w:t>ممّا لم ینهض علیها دلیل من آیة أو روایة أو برهان بل الوجدان شاهد علی خلافها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القُدماء ذکروا أنّ العوارضَ الذاتیّة هی التی تُنتزع عن الذات بلا واسطة</w:t>
      </w:r>
      <w:r>
        <w:rPr>
          <w:rStyle w:val="FootnoteAnchor"/>
          <w:rtl w:val="true"/>
        </w:rPr>
        <w:footnoteReference w:id="7"/>
      </w:r>
      <w:r>
        <w:rPr>
          <w:rFonts w:ascii="IRNazanin" w:hAnsi="IRNazanin" w:eastAsia="IRNazanin"/>
          <w:color w:val="111111"/>
          <w:sz w:val="28"/>
          <w:sz w:val="28"/>
          <w:szCs w:val="28"/>
          <w:rtl w:val="true"/>
          <w:lang w:bidi="fa-IR"/>
        </w:rPr>
        <w:t>و حیث إنّه یستلزم خروج کثیر من مباحث کلّ علم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العوارض الذاتیّة هی ما یعرض الشی‌ءَ و لو بواسطة أمرٍ خارج مساوٍ له أو أخصّ منه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الدعوی أیضاً ممّا لا شاهد لها، و لم یقم علیها برهان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أنّه یتحتّمُ أن یکون لکلّ علم موضوعٌ یُبحث فیه عنه، و لعلّ هذا الذی ذکروه إنّما هو لبیان أقرب الطرق إلی الواقع</w:t>
      </w:r>
      <w:r>
        <w:rPr>
          <w:rFonts w:eastAsia="IRNazanin" w:cs="IRNazanin"/>
          <w:color w:val="111111"/>
          <w:sz w:val="28"/>
          <w:szCs w:val="28"/>
          <w:rtl w:val="true"/>
          <w:lang w:bidi="fa-IR"/>
        </w:rPr>
        <w:t>.</w:t>
      </w:r>
      <w:bookmarkStart w:id="26" w:name="pg12886_133113"/>
    </w:p>
    <w:p>
      <w:pPr>
        <w:pStyle w:val="Heading3"/>
        <w:numPr>
          <w:ilvl w:val="2"/>
          <w:numId w:val="1"/>
        </w:numPr>
        <w:rPr/>
      </w:pPr>
      <w:bookmarkStart w:id="27" w:name="__RefHeading___Toc3023819_3224264995"/>
      <w:bookmarkStart w:id="28" w:name="_Toc10"/>
      <w:bookmarkEnd w:id="26"/>
      <w:bookmarkEnd w:id="27"/>
      <w:r>
        <w:rPr>
          <w:rtl w:val="true"/>
        </w:rPr>
        <w:t>الأمر الثانی فی تمایز العلوم</w:t>
      </w:r>
      <w:bookmarkEnd w:id="28"/>
    </w:p>
    <w:p>
      <w:pPr>
        <w:pStyle w:val="BookText"/>
        <w:rPr/>
      </w:pPr>
      <w:r>
        <w:rPr>
          <w:rFonts w:ascii="IRNazanin" w:hAnsi="IRNazanin" w:eastAsia="IRNazanin"/>
          <w:color w:val="111111"/>
          <w:sz w:val="28"/>
          <w:sz w:val="28"/>
          <w:szCs w:val="28"/>
          <w:rtl w:val="true"/>
          <w:lang w:bidi="fa-IR"/>
        </w:rPr>
        <w:t>اختلفوا فی أنّ تمایز العلوم هل هو بتمایز الموضوعات، أو بتمایز المحمولات، أو بتمایز الموضوعات المحیَّثة بالحیثیّة الفعلیّة، أو الاستعدادیة، أو غیر ذلک</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منهم أنّه لا بدّ أن یکون هناک شی‌ء واحد تتمایز به العلوم بعضها عن بعض، و إنّما الاختلاف هو فی أنّه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و لا یتحتّم تمایزها بأمرٍ واحدٍ، و العلوم کسائر موجودات العالم، فکما أنّه لا یُبحث مثلًا عن أنّه بِمَ امتاز الحجرُ عن الإنسان، و البقرُ عن الغنم، فکذلک العلوم لا تحتاج إلی البحث عن أنّه بِمَ امتاز بعضها عن بعضها الآخر، بل بعض العلوم ممتاز عن بعض بالموضوع، و بعضها بالمحمول، و بعضها بالموضوع و المحمول معاً، و بعضها ممتاز عن الآخر فی مرتبة الذات، کعلم الفقه و الهیئة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وحدة العلم مع تشتّت الموضوعات و العوارض هو وحدة الغرض منها، بأن یکون الغرض و المهمّ من هذه المسائل بأجمعها أمراً واحداً، فمع وحدة الغرض من مسائل متعدّدة، یتّحد العلم، و تعدّ جمیع تلک المسائل علماً واحداً، تُفرد بالتدوین و إن تشتّتت الموضوعات و کذلک المحمولات، و إذا تعدّدت الأغراض عُدَّ العلمُ مُتعدّداً بتعدّدها و إن اتّحدت الموضوعات؛ و ذلک لوجهین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یُعتبر بین الأثر و المؤثِّر السِّنخیّة، و إلّا لأثّر کلُّ شی‌ءٍ فی کلِّ شی‌ءٍ،</w:t>
      </w:r>
    </w:p>
    <w:p>
      <w:pPr>
        <w:pStyle w:val="BookText"/>
        <w:rPr/>
      </w:pPr>
      <w:r>
        <w:rPr>
          <w:rFonts w:ascii="IRNazanin" w:hAnsi="IRNazanin" w:eastAsia="IRNazanin"/>
          <w:color w:val="111111"/>
          <w:sz w:val="28"/>
          <w:sz w:val="28"/>
          <w:szCs w:val="28"/>
          <w:rtl w:val="true"/>
          <w:lang w:bidi="fa-IR"/>
        </w:rPr>
        <w:t>و حینئذٍ فلا یمکن أن یکون لعلم واحد أثران و غرضان، فإنّ الواحد لا یصدر منه إلّا الواحد، و لا یصدر الواحد إلّا من الواحد، فتعدّد الغرض دلیل علی تعدّد العلم، و وحدته علی وحدته</w:t>
      </w:r>
      <w:r>
        <w:rPr>
          <w:rStyle w:val="FootnoteAnchor"/>
          <w:rtl w:val="true"/>
        </w:rPr>
        <w:footnoteReference w:id="10"/>
      </w:r>
      <w:r>
        <w:rPr>
          <w:rFonts w:ascii="IRNazanin" w:hAnsi="IRNazanin" w:eastAsia="IRNazanin"/>
          <w:color w:val="111111"/>
          <w:sz w:val="28"/>
          <w:sz w:val="28"/>
          <w:szCs w:val="28"/>
          <w:rtl w:val="true"/>
          <w:lang w:bidi="fa-IR"/>
        </w:rPr>
        <w:t>و هو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العلوم إنّما هو بتمایُز الأغراض</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الأغراض ناش و مُسبَّب عن تعدّد العلوم فی مرتبة ذاتها؛ لاستحالة وحدة العلوم فی مرحلة الذات و تعدّد الغرض علی مبناه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الأغراض و وحدتها مُسبّبان عن وحدة العلم و تعدّده فی مرتبة الذات، فمع تعدُّده فی مرتبة الذات لا تصل النوبة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تمایزه و تعدّده بالأغراض، فإنّه نظیر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تمایُز الإنسان عن الحجر هو بالإنصات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المسائل ما یُبحث عنها فی علمین، کالبحث عن صیغ العموم، و أنّ الألف و اللّام هل تفید العموم أو لا، فی علمی البیان و الاصول، فلو کان امتیاز العلوم بالموضوعات أو المحمولات لزم اتّحاد العلمین مع أنّهما متعدِّدان، فلا بدَّ أن یکون امتیازها بالأغراض، و أنّ البحث فی مسائل مشترکة بین علمین أو أکثر فی کلٍّ منها لغرض غیر ما هو الغرض منها فی علم آخر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إیراد مسألة واحدة فی علمین أو أکثر، و البحث عنها فیهما لا ینثلم به وحدتها، بل هی مسألة واحدة یُبحث عنها تارةً فی علم لغرض، کفهم خصوصیّات کلمات العرب، و فی علم آخر لغرضِ فهم خصوصیّات ألفاظ الکتاب و السنّة؛ لاستنباط الأحکام الشرعیّة، و إلّا فالمسألة واحدة سواءً اتّحد الغرض منها أو تعدّد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عدوله قدس سره عمّا ذکره القوم فی وجه امتیاز العلوم، هو ما ذکرهُ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یلزم أن یکون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علم علماً علی حِدَة، کما هو واضح لمن له أدنی تأمّل، فالاختلاف بحسب الموضوع أو المحمول لا یوجب تعدُّد العلوم، کما لا یوجب وحدتها وحدته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یعکس علیه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أنّه لا بدّ لکل علم من موضوع یُبحث فیه عن عوارضه الذاتیّة، جامع لشتات موضوعات مسائله، و أنّ النسبة بینه و بین موضوعات مسائله هی نسبة الطبیعی إلی أفراده، و أغمضنا النظر عمّا أوردنا علیه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مراد المشهور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تمایز العلوم بتمایز الموضوعات، هو موضوعات العلوم، لا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موضوعات المسائل، فلها جهة اشتراک تتّحد فیها و تلک الجهة، کفعل المکلّف فی الفقه، و الکلمة المستعدّة لعروض الحرکات علی آخرها فی النحو، أو المستعدّة لعروض الصحّة و الاعتلال لذاتها فی علم الصرف، و نحو ذلک، و امتیازُها إنّما هو بالعوارض و الخصوصیّات الشخصیّة، کامتیاز أفراد الإنسان بها مع اشتراکها فی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امتیاز العلوم إنّما هو بتمایز الموضوعات، لا یستلزم أن یکون کلّ باب أو کلّ مسألة من کلّ علم علماً علی حِدة، بل هو لازم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امتیاز العلوم إنّما هو بتمایز الأغراض، کما هو مذهبه قدس سره؛ لما سبق من أنّ مسائل أغلب العلوم دُوِّنت تدریجاً و أنّ مسائل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النحو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مُنحصرة فی عدّة قلیلة منها، ثمّ زِید علیها تدریجاً بمرور الدهور و کرور الأیام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اختلاف الأغراض فی مسائل علم واحد؛ بأنْ اخترع أحد مسألة لأخذ الجائزة، و بعض مسألة اخری منه للتقرّب إلی اللَّه، و بعض مسألة اخری للتقرّب إلی</w:t>
      </w:r>
    </w:p>
    <w:p>
      <w:pPr>
        <w:pStyle w:val="BookText"/>
        <w:rPr/>
      </w:pPr>
      <w:r>
        <w:rPr>
          <w:rFonts w:ascii="IRNazanin" w:hAnsi="IRNazanin" w:eastAsia="IRNazanin"/>
          <w:color w:val="111111"/>
          <w:sz w:val="28"/>
          <w:sz w:val="28"/>
          <w:szCs w:val="28"/>
          <w:rtl w:val="true"/>
          <w:lang w:bidi="fa-IR"/>
        </w:rPr>
        <w:t>السلطانِ أو الجاه و الشهرة، و غیر ذلک من الأغراض الداعیة إلی ذلک، کما هو المشاهد بالعیان، و مع ذلک لا یلزم أن یکون العلم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مسائل کثیرة، دُوِّنت کلّ واحدة منها لغرض غیرِ الغرض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علوماً مُتعدّدةً، کما هو لازم مذهبه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تمایز العلوم بتمایز الأغراض، و هو کرٌّ علی ما 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إلّا من الواحد</w:t>
      </w:r>
      <w:r>
        <w:rPr>
          <w:rStyle w:val="FootnoteAnchor"/>
          <w:rtl w:val="true"/>
        </w:rPr>
        <w:footnoteReference w:id="14"/>
      </w:r>
      <w:r>
        <w:rPr>
          <w:rFonts w:ascii="IRNazanin" w:hAnsi="IRNazanin" w:eastAsia="IRNazanin"/>
          <w:color w:val="111111"/>
          <w:sz w:val="28"/>
          <w:sz w:val="28"/>
          <w:szCs w:val="28"/>
          <w:rtl w:val="true"/>
          <w:lang w:bidi="fa-IR"/>
        </w:rPr>
        <w:t>فهو غیر مربوط بهذه المسائل، بل المُراد منه البسیط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الإشکال الذی قدّمناه، ذکره المحقّق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موضوع علم الفلسفة هو الموجود بما هو موجود، فهو و إنْ صحّ بالنسبة إلی بعض مسائله،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واحد، و الوجود بسیط، و غیر ذلک، لکنّه لا یصحّ بالنسبة إلی أکثر مسائله، بل جعل الوجود فیها محمولًا لا موضوعاً،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موجود، و الفلک موجود، و القمر موجود و نحو ذلک، فصار الوجود عرضاً لشی‌ءٍ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موجود، و الفلک موجود،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الوجود فی القضیّة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الوجود هل یتعیَّن بالإلهیّة، أو الفلکیّة و القمریّة، أو لا، فیصیر الموجود موضوعاً فیها، فلا إشکال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هذا الدفع لإشکالٍ فی المقام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إنّ الموضوع لعلم الاصول هو عنوان الحجّة فی الفقه</w:t>
      </w:r>
      <w:r>
        <w:rPr>
          <w:rStyle w:val="FootnoteAnchor"/>
          <w:rtl w:val="true"/>
        </w:rPr>
        <w:footnoteReference w:id="16"/>
      </w:r>
      <w:r>
        <w:rPr>
          <w:rFonts w:ascii="IRNazanin" w:hAnsi="IRNazanin" w:eastAsia="IRNazanin"/>
          <w:color w:val="111111"/>
          <w:sz w:val="28"/>
          <w:sz w:val="28"/>
          <w:szCs w:val="28"/>
          <w:rtl w:val="true"/>
          <w:lang w:bidi="fa-IR"/>
        </w:rPr>
        <w:t>فیرد علیه الإشکال بأنّه صحیح بالنسبة إلی قلیل من مسائله، و لا یصحّ بالنسبة إلی کثیرٍ من مسائله، مثل قولهم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الواحد حجّة، و الاستصحاب حجّة، و نحوهما ممّا جعل عنوان الحجّة فی القضیّة</w:t>
      </w:r>
    </w:p>
    <w:p>
      <w:pPr>
        <w:pStyle w:val="BookText"/>
        <w:rPr/>
      </w:pPr>
      <w:r>
        <w:rPr>
          <w:rFonts w:ascii="IRNazanin" w:hAnsi="IRNazanin" w:eastAsia="IRNazanin"/>
          <w:color w:val="111111"/>
          <w:sz w:val="28"/>
          <w:sz w:val="28"/>
          <w:szCs w:val="28"/>
          <w:rtl w:val="true"/>
          <w:lang w:bidi="fa-IR"/>
        </w:rPr>
        <w:t>محمولًا لا موضوعاً، بل الموضوعُ فیها شی‌ءٌ آخر غیر أفراد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جعل الحجّة موضوعاً لعلم الاصول، فیدفع هذا الإشکال بما ذکره السبزواری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 و نحوه، هل تتعیّن الحجّة بخبر الواحد أو الإجماع و غیره، أو لا؟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استقامة هذا الدفع فی الفلسفة، أنّه غیر مستقیم فی المقام أیضاً، و لا یحتاج إلی هذه التعسّفات و التأویلات البعیدة عن الأفهام؛ لعدم قیام دلیل علی أنّه لا بدّ لکلّ علم من موضوع واحد، یتّحد مع موضوعات مسائله عیناً، و عدم الشاهد علی أنّه لا بدّ أن یُبحث فی کلّ علم عن العوارض الذاتیّة لموضوعه؛ فإنّ الوجوب و الحرمة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یُبحث عنها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العوارض الذاتیّة للصلاة و الصوم و نحوهما، المُنتزعة عنها لذاتها أو لجزئها أو لأمرٍ مساوٍ لها أو أخصّ، المتّحدة معها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الخارج ظرف سقوط التکلیف لا ثبوته، بل الوجوب و نحوه من الأحکام الشرعیّة امور اعتباریّة اعتبرها الشارع تعالی، و تُعتبر عند أمر الشارع بشی‌ءٍ أو زجره عن شی‌ءٍ، و کذلک مسائل الفلسفة، فإنّ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البارئ ممتنع</w:t>
      </w:r>
      <w:r>
        <w:rPr>
          <w:rStyle w:val="FootnoteAnchor"/>
          <w:rtl w:val="true"/>
        </w:rPr>
        <w:footnoteReference w:id="17"/>
      </w:r>
      <w:r>
        <w:rPr>
          <w:rFonts w:ascii="IRNazanin" w:hAnsi="IRNazanin" w:eastAsia="IRNazanin"/>
          <w:color w:val="111111"/>
          <w:sz w:val="28"/>
          <w:sz w:val="28"/>
          <w:szCs w:val="28"/>
          <w:rtl w:val="true"/>
          <w:lang w:bidi="fa-IR"/>
        </w:rPr>
        <w:t>فی قوّة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البارئ لیس بموجود البتّة، و السالبة المحصّلة عبارة عن الحکم بسلب النسبة علی التحقیق، لا نسبة السلب کما فی المعدولة، و سلب النسبة قد یصدق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فی هذه القضایا أمر عدمی، و یستحیل عروض الأمر العدمی علی شی‌ءٍ آخر وجودی أو عَدَمی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بین موضوعات المسائل تباین کلّی أو تضادّ، و قد یکون الموضوع فی مسألة أمراً وجودیّاً، و فی الاخری عدمیّاً، و من الواضح استحالة وجود</w:t>
      </w:r>
    </w:p>
    <w:p>
      <w:pPr>
        <w:pStyle w:val="BookText"/>
        <w:rPr/>
      </w:pPr>
      <w:r>
        <w:rPr>
          <w:rFonts w:ascii="IRNazanin" w:hAnsi="IRNazanin" w:eastAsia="IRNazanin"/>
          <w:color w:val="111111"/>
          <w:sz w:val="28"/>
          <w:sz w:val="28"/>
          <w:szCs w:val="28"/>
          <w:rtl w:val="true"/>
          <w:lang w:bidi="fa-IR"/>
        </w:rPr>
        <w:t>جامع لشتات موضوعات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أنّ المناط فی وحدة العلم هو وحدة مسائله سِنخاً، فالمسائل التی بینها وحدة سنخیّة، هی مسائل لعلم واحد، کمسائل علم الفقه، فإنّها مُمتازة بنفسها عن مسائل الفلسفة و غیرها، و الجامع لشتاتها هو أنّ الجمیع تشترک فی أنّها حکم شرعی إلهی، و لا مجال للسؤال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یُکتب و لا یُبحث عن المسألة الفقهیّة فی الکتب الکلامیّة و الفلسفیّة و نحوها، و لا تُذکر فی تلک العلوم؟</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یُوجَّه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تمایز العلوم بتمایز الموضوعات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المراد ما هو القدر المشترک منها، الساری فی جمیع العلوم و بیان الکلّیّة، و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الامتیاز فی مقام الإثبات لا فی مقام الثبوت، و کلاهما کما تری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بیان القاعدة الکلّیّة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خصوص علم الاصول، فهو أیضاً کذلک لا یلزم أن یُبحث فیه عن العوارض الذاتیّة لموضوع واحد جامع لشتات موضوعات المسائل؛ لکن هل له موضوع کذلک بنحو الاتّفاق مع عدم لزومه، أو لا؟ سیجی‌ء الکلام فیه إن شاء اللَّه تعالی</w:t>
      </w:r>
      <w:r>
        <w:rPr>
          <w:rFonts w:eastAsia="IRNazanin" w:cs="IRNazanin"/>
          <w:color w:val="111111"/>
          <w:sz w:val="28"/>
          <w:szCs w:val="28"/>
          <w:rtl w:val="true"/>
          <w:lang w:bidi="fa-IR"/>
        </w:rPr>
        <w:t>.</w:t>
      </w:r>
      <w:bookmarkStart w:id="29" w:name="pg12886_133119"/>
    </w:p>
    <w:p>
      <w:pPr>
        <w:pStyle w:val="Heading3"/>
        <w:numPr>
          <w:ilvl w:val="2"/>
          <w:numId w:val="1"/>
        </w:numPr>
        <w:rPr/>
      </w:pPr>
      <w:bookmarkStart w:id="30" w:name="__RefHeading___Toc3023821_3224264995"/>
      <w:bookmarkStart w:id="31" w:name="_Toc11"/>
      <w:bookmarkEnd w:id="29"/>
      <w:bookmarkEnd w:id="30"/>
      <w:r>
        <w:rPr>
          <w:rtl w:val="true"/>
        </w:rPr>
        <w:t>الأمر الثالث فی تعریف علم الاصول و ضابطة مسائله</w:t>
      </w:r>
      <w:bookmarkEnd w:id="31"/>
    </w:p>
    <w:p>
      <w:pPr>
        <w:pStyle w:val="BookText"/>
        <w:rPr/>
      </w:pPr>
      <w:r>
        <w:rPr>
          <w:rFonts w:ascii="IRNazanin" w:hAnsi="IRNazanin" w:eastAsia="IRNazanin"/>
          <w:color w:val="111111"/>
          <w:sz w:val="28"/>
          <w:sz w:val="28"/>
          <w:szCs w:val="28"/>
          <w:rtl w:val="true"/>
          <w:lang w:bidi="fa-IR"/>
        </w:rPr>
        <w:t>عرّفه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العلم بالقواعد المُمهّدة لاستنباط الأحکام الشرعیّة الفرعیّة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کثیر من المسائل الاصولیّة عنه، کالظنّ علی الحکومة، و مبحث البراءة، و غیرهما ممّا لا یقع فی طریق استنباط الأحکام الشرعیّة، و إنّما ینتهی إلیها المجتهد فی مقام العمل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بأنّ التقیید بالممهّدة غیر سدید؛ لأنّ کثیراً من المسائل الاصولیّة لیست کذلک، کمبحث المشتقّ، و دلالة الأمر علی الوجوب و عدمها، و مسألة جواز اجتماع الأمر و النهی، و غیرها ممّا لم یمهّد لاستنباط الأحکام الشرعیّة بالخصوص</w:t>
      </w:r>
      <w:r>
        <w:rPr>
          <w:rStyle w:val="FootnoteAnchor"/>
          <w:rtl w:val="true"/>
        </w:rPr>
        <w:footnoteReference w:id="20"/>
      </w:r>
      <w:r>
        <w:rPr>
          <w:rFonts w:ascii="IRNazanin" w:hAnsi="IRNazanin" w:eastAsia="IRNazanin"/>
          <w:color w:val="111111"/>
          <w:sz w:val="28"/>
          <w:sz w:val="28"/>
          <w:szCs w:val="28"/>
          <w:rtl w:val="true"/>
          <w:lang w:bidi="fa-IR"/>
        </w:rPr>
        <w:t>فإنّها قواعد علمیّة کلّیّة، و وقوعها فی طریق الاستنباط من فوائدها المترتِّبة علیها، لا أنّها مُمهّدة لذلک فقط، و من الفوائد المترتِّبة علیها فهم المُراد فی اجتماع الأوامر و النواهی الصادرة من الموالی العُرفیّة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سلک بعضٌ هنا مسلکاً آخر بتمهید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بعض العلوم متقدّمٌ علی بعض آخر، و بینها ترتیب خاصّ، فإنّ علم اللّغة مُتقدِّم فی الرتبة علی النحو، و النحو مُتقدِّم کذلک علی علم الرجال، و الرجال مُتقدِّم کذلک علی الاصول، و الاصول مُتقدِّم</w:t>
      </w:r>
    </w:p>
    <w:p>
      <w:pPr>
        <w:pStyle w:val="BookText"/>
        <w:rPr/>
      </w:pPr>
      <w:r>
        <w:rPr>
          <w:rFonts w:ascii="IRNazanin" w:hAnsi="IRNazanin" w:eastAsia="IRNazanin"/>
          <w:color w:val="111111"/>
          <w:sz w:val="28"/>
          <w:sz w:val="28"/>
          <w:szCs w:val="28"/>
          <w:rtl w:val="true"/>
          <w:lang w:bidi="fa-IR"/>
        </w:rPr>
        <w:t>علی الفقه، و الفقه مُتأخِّر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ما هو المتأخّر عن جمیع العلوم المُتقدّم علی علم الفقه هو علم الاصول، و أمّا العلوم المتقدِّمة علیه فهی خارجة عن القواعد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قاعدة تقع کبری القیاس فی استنباط الأحکام الشرعیّة فهی من علم الاصول، و ما لا یقع من القواعد کبری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صغری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خارج عن ضابطة المسائل الاصولیّة، کالبحث فی علم اللّغة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موضوع للتراب الخالص، أو مطلق وجه الأرض</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أشکل من الأوّل؛ فإنّه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اورد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الترتیب الخاصّ المذکور بین العلوم المذکورة، و تقدُّم بعضها علی بعض بحسب الرتبة، ممّا لا شاهد علیها، بل هی کلّها دخیلة فی استنباط الأحکام الشرعیّة فی عَرض واحد، حتّی أنّه یمکن تحصیل علم الاصول أوّلًا، ثمّ علم الرجال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الأعظم قدس سره فی مبحث الاستصحاب طریقاً آخر لمعرفة ضابطة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مسألة یحتاج المجتهد بعد البحث عنها و تنقیحها فی العمل بها إلی الاجتهاد، فهی من المسائل الاصولیّة، و ما لا یحتاج بعد البحث عنها فی العمل بها إلی الاجتهاد، فهی من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مسألة و قاعدة یمکن أن یتعلّق بها العمل بعد تنقیحها بلا احتیاج إلی الاستنباط، و یمکن للعوامّ العمل بها، فهی من القواعد الفقهیّة،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یحتاج فیها إلی الاستنباط، و لا یتمکّن العوامّ من العمل بها، فهی من المسائل الاصولیّة</w:t>
      </w:r>
      <w:r>
        <w:rPr>
          <w:rStyle w:val="FootnoteAnchor"/>
          <w:rtl w:val="true"/>
        </w:rPr>
        <w:footnoteReference w:id="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منقوض بمثل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عکسها، فإنّها من القواعد الفقهیّة، مع أنّ الضابطةَ المذکورة للمسائل الاصولیّة شاملةٌ لها؛ إذ لا یقدر المکلّف علی تطبیقها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العلم بالقواعد المُمهّدة لکشف حال الأحکام الواقعیّة المتعلّقة بأفعال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القواعد بالمُمهّدة لکشف حال الأحکام؛ لیخرج مثل علم النحو و الصَّرف و أمثالهما ممّا یحتاج إلیها فی طریق کشف الأحکام، و علم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مسائله لم تمهَّد لذلک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مسائله هی الأحکام الواقعیّة الأوّلیّة، و لیس وراءها أحکام یُستکشف حالُها بتلک المسائل</w:t>
      </w:r>
      <w:r>
        <w:rPr>
          <w:rStyle w:val="FootnoteAnchor"/>
          <w:rtl w:val="true"/>
        </w:rPr>
        <w:footnoteReference w:id="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من الإشکال علی تعریف القدماء؛ حیث قیّدوا القواعد بالممهّدة،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یردُ علیه الإشکالات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صناعة یُعرف بها القواعد التی یمکنُ أن تقع فی طریق استنباط الأحکام أو التی یُنتهی إلیها فی مقام العمل</w:t>
      </w:r>
      <w:r>
        <w:rPr>
          <w:rStyle w:val="FootnoteAnchor"/>
          <w:rtl w:val="true"/>
        </w:rPr>
        <w:footnoteReference w:id="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هذا العلم آلیٌّ یُتوسَّل به إلی علم آخر، و لیس ممّا فیه ینظر، کالمنطق؛ فإنّه ممّا به یُنظر، فهو آلةٌ لتحصیل علم آخر و اکتسابه، و ترکه قدس سره 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لما یرد علیه من الإشکال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من جهةٍ اخری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حقیقة العلم و أجزائه، فالمعروف أنّ أجزاء کل علم</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و المسائل، و المبادئ</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 إلی أنّ العلم عبارة عن القواعد المذکورة المبحوث عنها فیه،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و الأدلّة التی یُستدلّ بها فیه هی المبادئ، کالاستدلال لحجیّة الاستصحاب بخبر زُرارة، و ببناء العقلاء لحجیّة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کلامه قدس سره فی تعریف علم الاصول هو العکس؛ حیث جعل نفس العلم عبارة عن الصناعة التی یُعرف بها القواعد التی یُمکن أن تقع فی طریق الاستنباط، لا نفس القواعد، بل جعلها من المبادئ، و لم یُعهد ذلک لأحدٍ من الاصولیین، فهذا التعریف من هذه الجهة أسوأُ حالًا من التعاریف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مسألةٍ یُفهم منها حکمٌ من الأحکام الشرعیّة، أو یُفهم منها کیفیّة تعلّق التکالیف بالموضوعات، فهی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کالبحث عن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کالبحث عن الألف و اللّام، و ألفاظ العموم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کالمطلق و المقیّد؛ حیث 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حقیقة فی الماهیّة لا بشرط، یُعلم منه أنّه تعلّق الأمر مثلًا بها، و أنّ المطلوب هی نفس الطبیعة و الماهیّة و هکذا، و کلّ مسألة لیست کذلک فهی من القواعد الفقهیّة</w:t>
      </w:r>
      <w:r>
        <w:rPr>
          <w:rStyle w:val="FootnoteAnchor"/>
          <w:rtl w:val="true"/>
        </w:rPr>
        <w:footnoteReference w:id="26"/>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منقوض بمسائل علم اللّغة؛ حیث إنّه یُبحث فیه عن معنی الصعید مثلًا، أو معنی الفعل فی أنّه هل یدلّ علی الصدور اختیاراً، أو لا؟ فیکشف به کیفیّة تعلّق الأوامر و النواهی به، و یُعلم منه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الإتلاف الغیر الاختیاری مُوجب للضمان، أو لا؟</w:t>
      </w:r>
    </w:p>
    <w:p>
      <w:pPr>
        <w:pStyle w:val="BookText"/>
        <w:rPr/>
      </w:pPr>
      <w:r>
        <w:rPr>
          <w:rFonts w:ascii="IRNazanin" w:hAnsi="IRNazanin" w:eastAsia="IRNazanin"/>
          <w:color w:val="111111"/>
          <w:sz w:val="28"/>
          <w:sz w:val="28"/>
          <w:szCs w:val="28"/>
          <w:rtl w:val="true"/>
          <w:lang w:bidi="fa-IR"/>
        </w:rPr>
        <w:t>و کنت أظنّ سابقاً أنّ ضابطة المسائل الاصولیّة، هی أنّ کلّ مسألة تقع کُبری القیاس و نسبتها إلی النتیجة نسبة الکُلّی إلی المصادیق، فهی من المسائل الاصولیّة،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الواحد، و کلّ خبر الواحد حجّة، فهذا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نسبة الکبری المذکورة إلی النتیجة نسبة الطبیعی إلی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یرد علی الشکل الأوّل من الأشکال الأربعة للقیاس الاقترانی إشکال الدور المشهور</w:t>
      </w:r>
      <w:r>
        <w:rPr>
          <w:rStyle w:val="FootnoteAnchor"/>
          <w:rtl w:val="true"/>
        </w:rPr>
        <w:footnoteReference w:id="27"/>
      </w:r>
      <w:r>
        <w:rPr>
          <w:rFonts w:ascii="IRNazanin" w:hAnsi="IRNazanin" w:eastAsia="IRNazanin"/>
          <w:color w:val="111111"/>
          <w:sz w:val="28"/>
          <w:sz w:val="28"/>
          <w:szCs w:val="28"/>
          <w:rtl w:val="true"/>
          <w:lang w:bidi="fa-IR"/>
        </w:rPr>
        <w:t xml:space="preserve">و یدفع بالإجمال و التفصیل، أو باختلاف العنوانین، بخلاف المسألة الفقهیّة، فإنّ نسبتها إلی النتیجة لیست کذلک؛ أی نسبة الکلّی إلی المصداق،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فی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الإجارة مثلًا یُضمن بصحیحها، و کلّ ما هو کذلک یُضمن بفاسده، فالإجارة یُضمن بفاسدها، و کذلک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نسبة هذه الکبری إلی النتیجة المذکورة نسبة الطبیعی إلی مصادیقه؛ حیث إنّ البیع و الإجارة کلیّان، لا من الجزئیات و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أیضاً إشکال، فإنه یبحث فی الفقه عن البیوع و الإجارات الخارجیة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دقیق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کثیراً من المسائل المبحوث عنها فی علم الاصول خارجة عنه، و لیست من مسائله، و ذلک کمبحث المشتقّ، و حجّیّة الظواهر، و أنّ الأمر هل یدلّ علی الوجوب أو لا، و النهی علی الحرمة، و مباحث صیغ العموم، و أنّ الألف و اللّام للاستغراق أو لا؟ إلی غیر ذلک من نظائرها، فإنّها فی الحقیقة من المسائل اللّغویّة؛ إذ لا فرق بینها و بین البحث عن معنی الصعید و نحوه، و إنّما ذکروها فی الاصول لنکتةٍ، و هی أنّها ممّا یعمّ بها البلوی، و یحتاج إلیها فی جمیع أبواب الفقه أو أکثرها، و لأهمیّة الاجتهاد فیها؛ لعدم اعتمادهم فیها علی اجتهاد اللّغویّین، و بعض من المسائل المبحوث عنها فی علم الاصول من المباحث الفقهیّة، کقاعدة أصالة الحِلّیّة،</w:t>
      </w:r>
    </w:p>
    <w:p>
      <w:pPr>
        <w:pStyle w:val="BookText"/>
        <w:rPr/>
      </w:pPr>
      <w:r>
        <w:rPr>
          <w:rFonts w:ascii="IRNazanin" w:hAnsi="IRNazanin" w:eastAsia="IRNazanin"/>
          <w:color w:val="111111"/>
          <w:sz w:val="28"/>
          <w:sz w:val="28"/>
          <w:szCs w:val="28"/>
          <w:rtl w:val="true"/>
          <w:lang w:bidi="fa-IR"/>
        </w:rPr>
        <w:t>و قاعدتی الفراغ و التجاوز عن المحلّ و نحوها، فمع خروج المباحث عن الاصول یمکن أن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قواعد کلّیّة آلیّة یمکن أن تقع کبری لاستنباط الحکم الشرعی، أو کبری لاستنتاج الوظیفة الشرعیّة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الکلّیّة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المباحث اللّغویّة و الرجالیّة کلّها؛ إذ لیست هی قواعدَ 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یَخرج به القواعدُ الفقهیّة، کقاعدة الطهارة، و أصالة الحِلّیّة و نحوهما، فإنّ العلم بها لیس آلة لاکتساب علم آخر، بخلاف البحث عن حُجیّة خبر الواحد، فإنّها لیست مطلوبةً بالذات، بل لیُتوسّل بها إلی إثبات حکم شرعی هو المطلوب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أن 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لإدخال القیاس؛ فإنَّه و إن لم یکن حُجّةً، إلّا أنّ البحث عنه من المسائل الاصولیّة، و لا یستحیل وقوعه فی طریق الاستنباط، و لإخراج المسائل النحویّة؛ إذ لا تقع هی کبری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کبری لاستنتاج الوظیفة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لإدخال الظنّ علی الحکومة و غیره؛ ممّا لا یقع کبری لاستنتاج الحکم الشرعی، بل یُنتهی إلیه فی مقام العمل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 نقتصر علی الجملة الأخیرة، و هی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أن تقع کبری لاستنتاج الوظیفة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أضفنا الجملة التی قبلها؛ حذراً من خروج أغلب مسائل علم الاصول ممّا لا یُنتهی إلیها فی مقام العمل، بل تقع کبری للقیاس فی استنباط الحکم الشرعی، کالبحث عن حجیّة خبر الواحد و نحوه</w:t>
      </w:r>
      <w:r>
        <w:rPr>
          <w:rFonts w:eastAsia="IRNazanin" w:cs="IRNazanin"/>
          <w:color w:val="111111"/>
          <w:sz w:val="28"/>
          <w:szCs w:val="28"/>
          <w:rtl w:val="true"/>
          <w:lang w:bidi="fa-IR"/>
        </w:rPr>
        <w:t>.</w:t>
      </w:r>
      <w:bookmarkStart w:id="32" w:name="pg12886_133125"/>
    </w:p>
    <w:p>
      <w:pPr>
        <w:pStyle w:val="Heading3"/>
        <w:numPr>
          <w:ilvl w:val="2"/>
          <w:numId w:val="1"/>
        </w:numPr>
        <w:rPr/>
      </w:pPr>
      <w:bookmarkStart w:id="33" w:name="__RefHeading___Toc3023823_3224264995"/>
      <w:bookmarkStart w:id="34" w:name="_Toc12"/>
      <w:bookmarkEnd w:id="32"/>
      <w:bookmarkEnd w:id="33"/>
      <w:r>
        <w:rPr>
          <w:rtl w:val="true"/>
        </w:rPr>
        <w:t>الأمر الرابع فی الوضع و فیه مباحث</w:t>
      </w:r>
      <w:r>
        <w:rPr>
          <w:rtl w:val="true"/>
        </w:rPr>
        <w:t>:</w:t>
      </w:r>
      <w:bookmarkEnd w:id="34"/>
    </w:p>
    <w:p>
      <w:pPr>
        <w:pStyle w:val="Heading4"/>
        <w:numPr>
          <w:ilvl w:val="3"/>
          <w:numId w:val="1"/>
        </w:numPr>
        <w:rPr/>
      </w:pPr>
      <w:bookmarkStart w:id="35" w:name="__RefHeading___Toc3023825_3224264995"/>
      <w:bookmarkStart w:id="36" w:name="_Toc13"/>
      <w:bookmarkEnd w:id="35"/>
      <w:r>
        <w:rPr>
          <w:rtl w:val="true"/>
        </w:rPr>
        <w:t>المبحث الأوّل</w:t>
      </w:r>
      <w:r>
        <w:rPr>
          <w:rtl w:val="true"/>
        </w:rPr>
        <w:t xml:space="preserve">: </w:t>
      </w:r>
      <w:r>
        <w:rPr>
          <w:rtl w:val="true"/>
        </w:rPr>
        <w:t>فی معنی الوضع</w:t>
      </w:r>
      <w:bookmarkEnd w:id="36"/>
    </w:p>
    <w:p>
      <w:pPr>
        <w:pStyle w:val="BookText"/>
        <w:rPr/>
      </w:pPr>
      <w:r>
        <w:rPr>
          <w:rFonts w:ascii="IRNazanin" w:hAnsi="IRNazanin" w:eastAsia="IRNazanin"/>
          <w:color w:val="111111"/>
          <w:sz w:val="28"/>
          <w:sz w:val="28"/>
          <w:szCs w:val="28"/>
          <w:rtl w:val="true"/>
          <w:lang w:bidi="fa-IR"/>
        </w:rPr>
        <w:t>و هو فی اللّغة عبارة عن جعل شی‌ءٍ لشی‌ءٍ، کجعل اللّفظ للمعنی، فیحتاج إلی الواضع و الموضوع و الموضوع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بین اللّفظ و المعنی مناسبةً ذاتیّة قبل الوضع؛ بحیث یلزم من تصوّره تصوّر المعنی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المناسبة الذاتیّة بینهما، لکن لا بحیث یلزم من تصوّره تصوّر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یکن کذلک لزم الترجیح بلا مرجِّح؛ لأنّ الألفاظ کثیرة، و کذلک المعانی، و لا خصوصیّة لهذا اللّفظ بالنسبة إلی هذا المعنی دون غیره، فلا بدّ من مناسبة بین اللّفظ و المعنی ذاتیّة؛ لیوضع هذا اللّفظ من بین الألفاظ لهذا المعنی من بین المعانی، و إلّا یلزم الترجیح بلا مرجّح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ذهب بعضهم إلی أنّ الواضع هو اللَّه تعالی بالوحی إلی نبی، أو الإلهام إلی وصی نبی؛ لعدم اطّلاع غیره تعالی علی تلک المناسبات بین الألفاظ و المعانی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المرجّحیّة اختیارُ الواضع لفظاً خاصّاً لمعنیً خاصّ، و ترجیحه له لبعض المناسبات و الجهات الموجودة فی نظر الواضع و لو لم تکن ذاتیّة، مع أنّ لزوم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قیام البرهان علی خلافه، فإنّا لو فرضنا معنیً بسیطاً من جمیع الجهات، وُضعت له ألفاظ متعدِّدة،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فی اللّغة العربیّة،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 و نحو ذلک فی اللّغات الاخر، فلو کان لکلّ من هذه الألفاظ مناسبة ذاتیّة مع الذات المقدَّسة، للزم وجود جهات عدیدة فیه تعالی، و هو خلاف فرض أنّه تعالی بسیط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بتحقّق المناسبة بینهما بعد الوضع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عبارة عن التزام الواضع و تعهّده بأنَّه متی أراد إفهام الغیر لمعنیً تکلّم بلفظ کذا، فإذا التفت المخاطب إلی هذا الالتزام، ینتقل إلی ذلک المعنی عند سماع ذلک اللفظ منه، فوجود العلاقة بین اللّفظ و المعنی نتیجة ذلک الالتزام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عرفت أنّ الوضع لیس إلّا عبارة عن جعل اللّفظ للمعنی، و أمّا الالتزام المذکور فی کلامه فهو من المُستعملین، لا من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للّفظ بالمعنی و ارتباطٍ خاصّ بینهما ناش من تخصیصه به تارةً، و کثرة استعماله فیه اخری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المعنی و حسنه یسریان إلی اللّفظ و یصیر حَسناً أو قبیحاً؛ لأنّ اللّفظ یصیر فانیاً فیه عند الاستعمال</w:t>
      </w:r>
      <w:r>
        <w:rPr>
          <w:rStyle w:val="FootnoteAnchor"/>
          <w:rtl w:val="true"/>
        </w:rPr>
        <w:footnoteReference w:id="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ممّا ذکرنا الجواب عن ذلک، و ما ذکره من السرایة ممنوع، و اشمئزاز</w:t>
      </w:r>
      <w:bookmarkStart w:id="37" w:name="pg12886_133127"/>
    </w:p>
    <w:p>
      <w:pPr>
        <w:pStyle w:val="BookText"/>
        <w:rPr/>
      </w:pPr>
      <w:bookmarkEnd w:id="37"/>
      <w:r>
        <w:rPr>
          <w:rFonts w:ascii="IRNazanin" w:hAnsi="IRNazanin" w:eastAsia="IRNazanin"/>
          <w:color w:val="111111"/>
          <w:sz w:val="28"/>
          <w:sz w:val="28"/>
          <w:szCs w:val="28"/>
          <w:rtl w:val="true"/>
          <w:lang w:bidi="fa-IR"/>
        </w:rPr>
        <w:t>النفس و تنفّرها من بعض الألفاظ، إنّما هو لتصوّرها معناه القبیح و حضوره فی الذهن عند استماع اللّفظ أو تصوّره، فیتخیّل أنّ اللّفظ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عدم النفرة من الألفاظ الموضوعة لتلک المعانی القبیحة فی لغةٍ اخری؛ لعدم الاطّلاع علی وضعها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الوضع إمّا بالتصریح من الواضع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وضعت هذا اللّفظ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بالکنایة، کما إذا ولد له 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 کنایة عن وضعه له و جعل اسمه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کثرة الاستعمال حتّی صار حقیقةً فیه، فهو لیس من أقسام الوضع کی یقسّم إلی التعیینی و التعیّنی</w:t>
      </w:r>
      <w:r>
        <w:rPr>
          <w:rFonts w:eastAsia="IRNazanin" w:cs="IRNazanin"/>
          <w:color w:val="111111"/>
          <w:sz w:val="28"/>
          <w:szCs w:val="28"/>
          <w:rtl w:val="true"/>
          <w:lang w:bidi="fa-IR"/>
        </w:rPr>
        <w:t>.</w:t>
      </w:r>
    </w:p>
    <w:p>
      <w:pPr>
        <w:pStyle w:val="Heading4"/>
        <w:numPr>
          <w:ilvl w:val="3"/>
          <w:numId w:val="1"/>
        </w:numPr>
        <w:rPr/>
      </w:pPr>
      <w:bookmarkStart w:id="38" w:name="__RefHeading___Toc3023827_3224264995"/>
      <w:bookmarkStart w:id="39" w:name="_Toc14"/>
      <w:bookmarkEnd w:id="38"/>
      <w:r>
        <w:rPr>
          <w:rtl w:val="true"/>
        </w:rPr>
        <w:t>المبحث الثانی</w:t>
      </w:r>
      <w:r>
        <w:rPr>
          <w:rtl w:val="true"/>
        </w:rPr>
        <w:t xml:space="preserve">: </w:t>
      </w:r>
      <w:r>
        <w:rPr>
          <w:rtl w:val="true"/>
        </w:rPr>
        <w:t>فی الواضع</w:t>
      </w:r>
      <w:bookmarkEnd w:id="39"/>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وضعت متدرّجةً بمرور الدهور و الأعصار، فإنّ البشر کان یقتصر ابتداءً فی عیشه بما یسدّ به الرمق، و یرفع الجوع، و بما یقضی حاجته من سائر أسباب المعیشة من الظروف و الألبسة و نحوهما، فوضعوا للمعانی المقصود إفهامها المحتاج إلیها فی معاشهم و حیاتهم ألفاظاً خاصّةً معدودةً، و هکذا کلّما احتاجوا إلی إفهام معنیً من المعانی للغیر وضعوا له لفظاً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فأوضاع الألفاظ للمعانی إنّما وقعت تدریجاً بمرور الأیّام و الأعوام، لا أنّه وضعها شخص خاصّ معیّن دفعةً واحدة و فی زمانٍ واحدٍ، کما تُوهّم ذلک</w:t>
      </w:r>
      <w:r>
        <w:rPr>
          <w:rStyle w:val="FootnoteAnchor"/>
          <w:rtl w:val="true"/>
        </w:rPr>
        <w:footnoteReference w:id="33"/>
      </w:r>
      <w:r>
        <w:rPr>
          <w:rFonts w:ascii="IRNazanin" w:hAnsi="IRNazanin" w:eastAsia="IRNazanin"/>
          <w:color w:val="111111"/>
          <w:sz w:val="28"/>
          <w:sz w:val="28"/>
          <w:szCs w:val="28"/>
          <w:rtl w:val="true"/>
          <w:lang w:bidi="fa-IR"/>
        </w:rPr>
        <w:t>لیرد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 عن الطاقة البشریّة؛ لعدم تناهی الألفاظ و المعانی، و فرّعوا علیه أنّ</w:t>
      </w:r>
      <w:bookmarkStart w:id="40" w:name="pg12886_133128"/>
    </w:p>
    <w:p>
      <w:pPr>
        <w:pStyle w:val="BookText"/>
        <w:rPr/>
      </w:pPr>
      <w:bookmarkEnd w:id="40"/>
      <w:r>
        <w:rPr>
          <w:rFonts w:ascii="IRNazanin" w:hAnsi="IRNazanin" w:eastAsia="IRNazanin"/>
          <w:color w:val="111111"/>
          <w:sz w:val="28"/>
          <w:sz w:val="28"/>
          <w:szCs w:val="28"/>
          <w:rtl w:val="true"/>
          <w:lang w:bidi="fa-IR"/>
        </w:rPr>
        <w:t>الواضع هو اللَّه تعالی شأنه لا غیر</w:t>
      </w:r>
      <w:r>
        <w:rPr>
          <w:rStyle w:val="FootnoteAnchor"/>
          <w:rtl w:val="true"/>
        </w:rPr>
        <w:footnoteReference w:id="34"/>
      </w:r>
      <w:r>
        <w:rPr>
          <w:rFonts w:ascii="IRNazanin" w:hAnsi="IRNazanin" w:eastAsia="IRNazanin"/>
          <w:color w:val="111111"/>
          <w:sz w:val="28"/>
          <w:sz w:val="28"/>
          <w:szCs w:val="28"/>
          <w:rtl w:val="true"/>
          <w:lang w:bidi="fa-IR"/>
        </w:rPr>
        <w:t>مع أنّه لو ارید من عدم التناهی معناه الحقیقی فهو ممنوع؛ لتناهی الألفاظ و المعانی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إلّا أنّک قد عرفت أنَّ الألفاظ قد وضعت للمعانی تدریجاً، لا دفعةً من واضع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لیس هو اللَّه تعالی، و لا النبی، و لا وصی نبی، و لا شخص واحد معیّن، بل أشخاص متعدّدة تدریجاً، کما نشاهد بالعیان وضع بعض الألفاظ فی زماننا هذا لمعانٍ جدیدة مُخترعة لم تکن سابقاً، و هو السرّ فی وقوع الألفاظ المشترکة و المترادفة؛ حیث إنّ الواضع للّفظ لمعنیً من المعانی وضعه له من دون اطّلاعه علی وضع شخص آخر لفظاً آخر لذلک المعنی أو وضع هذا اللّفظ لمعنیً آخر</w:t>
      </w:r>
      <w:r>
        <w:rPr>
          <w:rFonts w:eastAsia="IRNazanin" w:cs="IRNazanin"/>
          <w:color w:val="111111"/>
          <w:sz w:val="28"/>
          <w:szCs w:val="28"/>
          <w:rtl w:val="true"/>
          <w:lang w:bidi="fa-IR"/>
        </w:rPr>
        <w:t>.</w:t>
      </w:r>
    </w:p>
    <w:p>
      <w:pPr>
        <w:pStyle w:val="Heading4"/>
        <w:numPr>
          <w:ilvl w:val="3"/>
          <w:numId w:val="1"/>
        </w:numPr>
        <w:rPr/>
      </w:pPr>
      <w:bookmarkStart w:id="41" w:name="__RefHeading___Toc3023829_3224264995"/>
      <w:bookmarkStart w:id="42" w:name="_Toc15"/>
      <w:bookmarkEnd w:id="41"/>
      <w:r>
        <w:rPr>
          <w:rtl w:val="true"/>
        </w:rPr>
        <w:t>المبحث الثالث</w:t>
      </w:r>
      <w:r>
        <w:rPr>
          <w:rtl w:val="true"/>
        </w:rPr>
        <w:t xml:space="preserve">: </w:t>
      </w:r>
      <w:r>
        <w:rPr>
          <w:rtl w:val="true"/>
        </w:rPr>
        <w:t>فی أقسام الوضع</w:t>
      </w:r>
      <w:bookmarkEnd w:id="42"/>
    </w:p>
    <w:p>
      <w:pPr>
        <w:pStyle w:val="Heading5"/>
        <w:numPr>
          <w:ilvl w:val="4"/>
          <w:numId w:val="1"/>
        </w:numPr>
        <w:rPr/>
      </w:pPr>
      <w:bookmarkStart w:id="43" w:name="__RefHeading___Toc3023831_3224264995"/>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 قسّموه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الوضع و الموضوع له إمّا عامّان، أو الوضع عامّ و الموضوع له خاصّ، أو بالعکس، أو کلاهما خاصّ</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حیث إنّه لا بُدَّ فی الوضع من تصوّر المعنی الموضوع له، فإمّا أن یتصوّر الواضع معنیً کلّیّاً، و یضع اللّفظ لهذا المعنی الکلّی، فهو القسم الأوّل، و إن تصوّر معنیً جزئیاً، و وضع لفظاً خاصّاً لهذا المعنی الجزئی، فهو الأخیر، و إن تصوّر معنیً کلّیّاً، و وضع اللّفظ بإزاء أفراده و جزئیّاته، فهو القسم الثانی، و إن تصوّر معنیً جزئیّاً، و وضع اللّفظ بإزاء کلّیّه، فهو القسم الثالث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عندهم فی ثبوت القسم الأوّل و الأخیر، و إنّما الإشکال و الخلاف</w:t>
      </w:r>
      <w:bookmarkStart w:id="45" w:name="pg12886_133129"/>
    </w:p>
    <w:p>
      <w:pPr>
        <w:pStyle w:val="BookText"/>
        <w:rPr/>
      </w:pPr>
      <w:bookmarkEnd w:id="45"/>
      <w:r>
        <w:rPr>
          <w:rFonts w:ascii="IRNazanin" w:hAnsi="IRNazanin" w:eastAsia="IRNazanin"/>
          <w:color w:val="111111"/>
          <w:sz w:val="28"/>
          <w:sz w:val="28"/>
          <w:szCs w:val="28"/>
          <w:rtl w:val="true"/>
          <w:lang w:bidi="fa-IR"/>
        </w:rPr>
        <w:t xml:space="preserve">عندهم فی القسم الثانی و الثالث، فذهب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ثبوت القسم الثانی لا الثالث؛ مُحتجّاً بأنّ العامّ صالح لأن یصیر آلة للحاظ أفراده و مصادیقه بما هو عامّ، فإنّه وجهها، و معرفة وجه الشی‌ء هو معرفته بوجهٍ، بخلاف الخاصّ، فإنّه بما هو خاصّ لیس وجهاً للعامّ و لا لسائر الأفراد، فلا یکون معرفته و تصوّره معرفةً للعامّ و لا لها أصلًا و لو بوجه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3023833_3224264995"/>
      <w:bookmarkStart w:id="47" w:name="_Toc17"/>
      <w:bookmarkEnd w:id="46"/>
      <w:r>
        <w:rPr>
          <w:rtl w:val="true"/>
        </w:rPr>
        <w:t>لکن یرد علیه</w:t>
      </w:r>
      <w:r>
        <w:rPr>
          <w:rtl w:val="true"/>
        </w:rPr>
        <w:t>:</w:t>
      </w:r>
      <w:bookmarkEnd w:id="4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 العامّ آلة للحاظ أفراده و حاکٍ عنها بخصوصیّاتها الشخصیّة، فهو ممنوع؛ لتباین الأفراد المُتشخّص کلٌّ بخصوصیّاته، مع أنّ العامّ من حیث هو عامّ کیف یحکی عنها بخصوصیّاتها؟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یعتبر فی الوضع العامّ و الموضوع له الخاصّ، حکایة العامّ الملحوظ عن خصوصیّات الأفراد الموضوع لها مُفصّلًا، بل یکفی الحکایة عنها و لو إجمالًا و بوجهٍ؛ بحیث یلزم من لحاظ العامّ و تصوّره الانتقال إلی تصوّر الأفراد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لحاظ الأفراد حین الوضع بخصوصها، و وضع اللّفظ بإزاء العامّ و کلّیّها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الوضع الخاصّ و 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لحکایة الخاصّ عن العامّ إجمالًا و بوجهٍ، 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إذا رأینا شخصاً و جزئیّاً خارجیّاً من دون أن نعرف تفصیلًا القدرَ المشترک بینه و بین سائر الأفراد، و لکن علمنا باشتماله علی جامع مشترکٍ بینه و بین سائر الأفراد، من کلّیّه، کما لو رأینا جسماً من بعید، و لم نعلم أنّه جماد أو حیوان، و علی أی حالٍ لم نعلم أنّه من أی الأنواع، فوضعنا لفظاً لما هو مُشترک مع هذا المرئی فی الخارج من العامّ، فالموضوع له هو العامّ قد لوحظ إجمالًا و لو بوجهٍ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الوجه فی الفرض إلّا الجزئی الملحوظ؛ لأنّ المفروض أنّ الجامع عند</w:t>
      </w:r>
    </w:p>
    <w:p>
      <w:pPr>
        <w:pStyle w:val="BookText"/>
        <w:rPr/>
      </w:pPr>
      <w:r>
        <w:rPr>
          <w:rFonts w:ascii="IRNazanin" w:hAnsi="IRNazanin" w:eastAsia="IRNazanin"/>
          <w:color w:val="111111"/>
          <w:sz w:val="28"/>
          <w:sz w:val="28"/>
          <w:szCs w:val="28"/>
          <w:rtl w:val="true"/>
          <w:lang w:bidi="fa-IR"/>
        </w:rPr>
        <w:t>هذا الشخص لم یُعرف بعدُ، إلّا بعنوان اتّحاده مع هذا الفرد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العامّ وجه للخاصّ بالمعنی المتقدّم لمکان اتّحادهما فی الخارج، کذلک الخاصّ أیضاً وجه للعامّ لمکان هذا الاتّحاد، نعم مع العلم بالجامع تفصیلًا لا یکون الخاصّ وجهاً له؛ لأنّ العامّ بنفسه متصوّر تفصیلًا، و ملحوظ بنفسه لا بوجهه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حکایة الملحوظ عن الموضوع له بخصوصیّاته، و عدم کفایة تصوّره الإجمالی، امتنع القسمان للوضع معاً؛ أی الوضع العامّ و الموضوع له الخاصّ و بالعکس، لکن قد عرفت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وجه الشی‌ء معرفته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العامّ هو لحاظ تمام أفراده بخصوصیّاتها، فهو محال، لعدم تناهی أفراده، و لا یمکن لحاظ الغیر المتناهی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معرفة العامّ معرفة لأفراده إجمالًا و بعنوان أنّها مصادیق العام، فیلاحظ الواضعُ العام، و یضع اللّفظ بإزاء أفراده بعنوان أنّها مصادیقه، فالموضوع له حینئذٍ یصیر عامّاً؛ فإنّ عنوان ما هو مصادیق العامّ أیضاً عامّ و کلّی لا جزئی، إلّا أنّه عنوان یشیر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العراقی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الطبیعی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الذهن المنتزع عن الأفراد، کطبیعة الإنسان لا بشرط المنتزعة عن الأفراد الخارجیّة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الکلّیّة الموجودة فی الخارج بوجودها السِّعی ملصقةً بالأفراد الخارجیّة، ملازمةً لخصوصیّاتها المشتملة علی حصصها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وجود هذا النحو من الکلّی فی الخارج هو أنّ الطبیعی الأوّل بالمعنی الموجود فی الذهن لیس مُنتزعاً من الأفراد الخارجیّة و الحصص الکائنة فیه، و معلولًا للأفراد، فلو لم یکن لأفرادٍ جامعٌ مشترک فیه، لم یمکن انتزاع الطبیعة الذهنیّة منها؛ لأنّ الواحد لا یصدر إلّا من الواحد، فهذه الطبیعة بالنسبة إلی الأفراد الملصقة بها بمنزلة الآباء بالنسبة إلی أبنائهم، و الطبیعة الاولی بمنزلة أب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توضیح ذلک فقسهُ بوحدة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إمّا یلاحظ الطبیعة بالمعنی الأوّل، فیضع اللّفظ لها، فهو المعروف من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لاحظ الطبیعة بالمعنی الثانی الموجودة فی الخارج ملصقةً بالأفراد، و لها نحو اتّحاد فیه، و وضع اللّفظ لها، فهو قسم آخر من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دقّق النظر فی هذا الکلام و تأمّل فیه، یجده صحیحاً، و یصدّق المبنی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یشیر إلی ذلک</w:t>
      </w:r>
      <w:r>
        <w:rPr>
          <w:rStyle w:val="FootnoteAnchor"/>
          <w:rtl w:val="true"/>
        </w:rPr>
        <w:footnoteReference w:id="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وعده قد ذکره فی باب المعانی الحرفیّة، و جعلها من القسم الثانی من الوضع العامّ و الموضوع له العامّ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إنّی کلّما دقّقتُ النظر و تأمّلتُ فیما ذکره زاد لی وضوحاً فی أنّ ما ذکره من البناء و المبنی و تطبیق المعانی الحرفیّة علی ما ذکره غیر صحیح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أراد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الأفراد الخارجیّة مشتملة علی الحصص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للطبیعة قطعاتٍ، و أنّ کلّ واحدٍ من الأفراد مشتمل علی قطعة منها، کما هو مقتضی تعبیره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واضح البطلان؛ بحیث لا یحتاج إلی البیان، فلا بدّ</w:t>
      </w:r>
    </w:p>
    <w:p>
      <w:pPr>
        <w:pStyle w:val="BookText"/>
        <w:rPr/>
      </w:pPr>
      <w:r>
        <w:rPr>
          <w:rFonts w:ascii="IRNazanin" w:hAnsi="IRNazanin" w:eastAsia="IRNazanin"/>
          <w:color w:val="111111"/>
          <w:sz w:val="28"/>
          <w:sz w:val="28"/>
          <w:szCs w:val="28"/>
          <w:rtl w:val="true"/>
          <w:lang w:bidi="fa-IR"/>
        </w:rPr>
        <w:t>أن یرید ما ذکره الرجل الهمدانی</w:t>
      </w:r>
      <w:r>
        <w:rPr>
          <w:rStyle w:val="FootnoteAnchor"/>
          <w:rtl w:val="true"/>
        </w:rPr>
        <w:footnoteReference w:id="40"/>
      </w:r>
      <w:r>
        <w:rPr>
          <w:rFonts w:ascii="IRNazanin" w:hAnsi="IRNazanin" w:eastAsia="IRNazanin"/>
          <w:color w:val="111111"/>
          <w:sz w:val="28"/>
          <w:sz w:val="28"/>
          <w:szCs w:val="28"/>
          <w:rtl w:val="true"/>
          <w:lang w:bidi="fa-IR"/>
        </w:rPr>
        <w:t>و صنّف الشیخ فی ردّه رسالة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الخارج شیئاً واحداً تشترک فیه جمیع الأفراد، فهو أیضاً محال؛ لأنّه لا یمکن أن یوجد فی الخارج إلّا الواحد بوحدةٍ عددیّةٍ، و أمّا الواحد بوحدةٍ سنخیّةٍ فلا موطن له إلّا الذهن، و لا یمکن وجوده فی الخارج، کما أنّ الواحد العددی لا یمکن وجوده فی الذهن، فوجود شی‌ءٍ واحدٍ فی الخارج تشترک فیه الأفراد مُلصقاً بها بوحدةٍ سنخیّةٍ اعتباریةٍ من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الطبیعی کثیر فی الخارج؛ بمعنی أنّ کلّ واحدٍ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و عمرو و غیرهما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ماهیّة الإنسان بدون زیادة و نقصان تُحمل علی کلّ واحدٍ من الأفراد بالحمل الشائع؛ الذی یکون المناط فیه الاتّحاد خارجاً و التغایر بین الموضوع و المحمول ذهناً، فزید الموجود فی الخارج تمام ماهیّة الإنسان و طبیعته، و کذا سائر الأفراد، مع التباین بین الأفراد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لُوحظت الطبیعة مجرّدة عن الخصوصیّات الشخصیّة، کما فی صورة الغفلة عن الخصوصیّات الفردیّة، فهی الطبیعة لا بشرط، و لا موطن لها إلّا الذهن، لا فی حاقّه بل فی تحلیله العقلی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استدلّ به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انتزاع الکلّی من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فلا یخفی ما فیه، إذ لیس المراد انتزاع أمر خارجی من الأفراد الخارجیّة و إیطانه فی الذهن؛ بأن یوقع ذلک الأمر الخارجی فی الذهن، بل المراد من الانتزاع تجرید الأفراد عن الخصوصیّات الفردیّة، کما إذا لُوحظ ماهیّة الإنسان مع الذهول و الغفلة عن</w:t>
      </w:r>
    </w:p>
    <w:p>
      <w:pPr>
        <w:pStyle w:val="BookText"/>
        <w:rPr/>
      </w:pPr>
      <w:r>
        <w:rPr>
          <w:rFonts w:ascii="IRNazanin" w:hAnsi="IRNazanin" w:eastAsia="IRNazanin"/>
          <w:color w:val="111111"/>
          <w:sz w:val="28"/>
          <w:sz w:val="28"/>
          <w:szCs w:val="28"/>
          <w:rtl w:val="true"/>
          <w:lang w:bidi="fa-IR"/>
        </w:rPr>
        <w:t>الخصوصیّات الشخصیّة و المشخّصات الخارجیّة، فالملحوظ حینئذٍ هو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قیّدنا بصورة الذهول عن الخصوصیّات؛ إذ مع الالتفات و التوجّه إلی الخصوصیّات الفردیّة یستحیل انتزاع الطبیعة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فهو أجنبی عن المقام؛ فإنّ محلّه الواحد البسیط من جمیع الجهات، و قد ثبت فی محلّه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البسیط من جمیع الجهات لا یصدر منه إلّا الواحد، و لا یصدر إلّا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یُشاهد بالوجدان من صدور الواحد من الاثنین کتسخّن الماء بالشمس و النار معاً، أو قتل واحد بسهمین، أو السراجین یضیئان بیتاً واحداً و نحو ذلک، فهو ناش عن الخلط بین المسألة العقلیّة و العرفیّة، و القاعدة کما عرفت إنّما هی فی البسیط من جمیع الجهات، لا کلّ واحدٍ، مثل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تأمّلتُ فیما ذکره، و دقّقتُ النظر فیما أفاده، ازداد الإشکال علی ما ذکره، و الاطمئنان بعدم استقامته مبنی و بناءً و تطبیقاً للمعانی الحرفیّة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العامّ و الموضوع له العامّ لیس له إلّا قسم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لو لم یکن دافعٌ له یلزم منه انتفاء الوضع العامّ، سواءً کان الموضوع له عامّاً أم خاصّاً، و هو أنّ الکلّی الملحوظ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 المتصوَّر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الموجودات الذهنیّة، سواء لُوحظ وجوده فیه، أم کان مغفولًا عنه، فهو جزئی حقیقی ذهنی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زیداً جزئی خارجی، فلا یمکن صدقه علی الأفراد الخارجیّة؛ فإنّه أیضاً من أفراد طبیعة الإنسان المحمولة علیه بالحمل الشائع و شی‌ء موجود بالفعل، و یمتنع حمل شی‌ء خارجی بالفعل علی آخر کذلک؛ لأنّ قضیّة هذا الحمل هو الاتّحاد فی الخارج، و الشیئان الفعلیّان یمتنع اتّحادهما فیه مع بقاء الشیئیّة الفعلیّة لکلّ واحدٍ</w:t>
      </w:r>
    </w:p>
    <w:p>
      <w:pPr>
        <w:pStyle w:val="BookText"/>
        <w:rPr/>
      </w:pPr>
      <w:r>
        <w:rPr>
          <w:rFonts w:ascii="IRNazanin" w:hAnsi="IRNazanin" w:eastAsia="IRNazanin"/>
          <w:color w:val="111111"/>
          <w:sz w:val="28"/>
          <w:sz w:val="28"/>
          <w:szCs w:val="28"/>
          <w:rtl w:val="true"/>
          <w:lang w:bidi="fa-IR"/>
        </w:rPr>
        <w:t>منهما، و مع عدم بقائها فی أحدهما، فلیس هو شی‌ء حتّی یتّحد مع الآخر، و کذا مع انتفائها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حمْل الموجود فی الذهن علی الموجود فی الخارج، و کلُّ ما یوجد فی الذهن فهو جزئی لا کلّی، و حینئذٍ یلزم انتفاء الوضع العامّ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الملحوظ فی الذهن أوّلًا و بالذات و إن کان جزئیاً حقیقیاً ذهنیاً کالإنسان الملحوظ، لکنّه مرآة لطبیعة الإنسان اللّابشرط، و هی ملحوظة ثانیاً و بالعرض، فیمکن بهذا اللّحاظ وضع لفظٍ بإزائها أو بإزاء أفرادها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مثّلوا للوضع الخاصّ و الموضوع له الخاصّ بالأعلام الشخصیّة</w:t>
      </w:r>
      <w:r>
        <w:rPr>
          <w:rStyle w:val="FootnoteAnchor"/>
          <w:rtl w:val="true"/>
        </w:rPr>
        <w:footnoteReference w:id="43"/>
      </w:r>
      <w:r>
        <w:rPr>
          <w:rFonts w:ascii="IRNazanin" w:hAnsi="IRNazanin" w:eastAsia="IRNazanin"/>
          <w:color w:val="111111"/>
          <w:sz w:val="28"/>
          <w:sz w:val="28"/>
          <w:szCs w:val="28"/>
          <w:rtl w:val="true"/>
          <w:lang w:bidi="fa-IR"/>
        </w:rPr>
        <w:t xml:space="preserve">و هو لا یخلو عن إشکالٍ و إن أرسلوه إرسال المسلّمات؛ حیث 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کان موضوعاً للهویّة الشخصیّة الخارجیّة التی یحمل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 لزم التجوّز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منه عدم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مرجعه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إمّا موجود أو معدوم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التّوالی کلّها فاسدة؛ لعدم الفرق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تجوّز فی واحدٍ منها، و لو وضع اللّفظ للماهیّة الملحوظة التی لم تکن 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مرآة للهویّة الشخصیّة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الوضع و الموضوع له کلاهما عامّین فیه؛ لإمکان صدق تلک الماهیّة علی کثیرین، و إن لم یوجد لها إلّا فرد واحد؛ لوضوح عدم اعتبار الصدق علی کثیرین بالفعل، بل إمکان الصدق عقلًا و إن لم یوجد له فرد فی الخارج أصلًا، کشریک البارئ، فإنّ مفهومه فی عالم</w:t>
      </w:r>
      <w:bookmarkStart w:id="48" w:name="pg12886_133135"/>
    </w:p>
    <w:p>
      <w:pPr>
        <w:pStyle w:val="BookText"/>
        <w:rPr/>
      </w:pPr>
      <w:bookmarkEnd w:id="48"/>
      <w:r>
        <w:rPr>
          <w:rFonts w:ascii="IRNazanin" w:hAnsi="IRNazanin" w:eastAsia="IRNazanin"/>
          <w:color w:val="111111"/>
          <w:sz w:val="28"/>
          <w:sz w:val="28"/>
          <w:szCs w:val="28"/>
          <w:rtl w:val="true"/>
          <w:lang w:bidi="fa-IR"/>
        </w:rPr>
        <w:t>المفهومیّة ممکن الصدق علی کثیرین، و لا یأبی عنه، إلّا أنّ البرهان العقلی القطعی قام علی امتناع وجود فرد منه فی الخارج، و قد یوجد من الکلّی فی الخارج فرد واحد فقط، کالبارئ جلّت عظمته</w:t>
      </w:r>
      <w:r>
        <w:rPr>
          <w:rFonts w:eastAsia="IRNazanin" w:cs="IRNazanin"/>
          <w:color w:val="111111"/>
          <w:sz w:val="28"/>
          <w:szCs w:val="28"/>
          <w:rtl w:val="true"/>
          <w:lang w:bidi="fa-IR"/>
        </w:rPr>
        <w:t>.</w:t>
      </w:r>
    </w:p>
    <w:p>
      <w:pPr>
        <w:pStyle w:val="Heading5"/>
        <w:numPr>
          <w:ilvl w:val="4"/>
          <w:numId w:val="1"/>
        </w:numPr>
        <w:rPr/>
      </w:pPr>
      <w:bookmarkStart w:id="49" w:name="__RefHeading___Toc3023835_3224264995"/>
      <w:bookmarkStart w:id="50" w:name="_Toc18"/>
      <w:bookmarkEnd w:id="49"/>
      <w:r>
        <w:rPr>
          <w:rtl w:val="true"/>
        </w:rPr>
        <w:t>تبصرة</w:t>
      </w:r>
      <w:r>
        <w:rPr>
          <w:rtl w:val="true"/>
        </w:rPr>
        <w:t>:</w:t>
      </w:r>
      <w:bookmarkEnd w:id="50"/>
    </w:p>
    <w:p>
      <w:pPr>
        <w:pStyle w:val="BookText"/>
        <w:rPr/>
      </w:pPr>
      <w:r>
        <w:rPr>
          <w:rFonts w:ascii="IRNazanin" w:hAnsi="IRNazanin" w:eastAsia="IRNazanin"/>
          <w:color w:val="111111"/>
          <w:sz w:val="28"/>
          <w:sz w:val="28"/>
          <w:szCs w:val="28"/>
          <w:rtl w:val="true"/>
          <w:lang w:bidi="fa-IR"/>
        </w:rPr>
        <w:t>قد یسبق إلی الأذهان أنَّ المراد بالعموم فی الوضع العامّ، هو ما یقابل الخصوص فی الوضع الخاصّ، و أنّه یُلاحظ العامّ بما هو عامّ و یُوضع اللّفظ بإزائه</w:t>
      </w:r>
      <w:r>
        <w:rPr>
          <w:rStyle w:val="FootnoteAnchor"/>
          <w:rtl w:val="true"/>
        </w:rPr>
        <w:footnoteReference w:id="44"/>
      </w:r>
      <w:r>
        <w:rPr>
          <w:rFonts w:ascii="IRNazanin" w:hAnsi="IRNazanin" w:eastAsia="IRNazanin"/>
          <w:color w:val="111111"/>
          <w:sz w:val="28"/>
          <w:sz w:val="28"/>
          <w:szCs w:val="28"/>
          <w:rtl w:val="true"/>
          <w:lang w:bidi="fa-IR"/>
        </w:rPr>
        <w:t>لکنّ الظاهر أنّه لیس کذلک، بل المراد بالعامّ فیه هو نفس الطبیعة الملحوظة باللّحاظ العرضی من حیث هی، لا من حیث إنّها کلّیّة فإنّها من حیث هی لا کلّیّة و لا جزئیّة، و لا موجودة و لا معدومة، بل لیست إلّا هی، و لذلک قد تکون جزئیّة، و قد تکون کلّیّة، موجودة أو معدومة، فالموضوع له فی الوضع العامّ و الموضوع له العامّ هو نفس الطبیعة، لا الطبیعة الکلّیّة، فی قبال الخاصّ بما هو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ذکرناه تمثیلهم له بأسماء الأجناس</w:t>
      </w:r>
      <w:r>
        <w:rPr>
          <w:rStyle w:val="FootnoteAnchor"/>
          <w:rtl w:val="true"/>
        </w:rPr>
        <w:footnoteReference w:id="45"/>
      </w:r>
      <w:r>
        <w:rPr>
          <w:rFonts w:ascii="IRNazanin" w:hAnsi="IRNazanin" w:eastAsia="IRNazanin"/>
          <w:color w:val="111111"/>
          <w:sz w:val="28"/>
          <w:sz w:val="28"/>
          <w:szCs w:val="28"/>
          <w:rtl w:val="true"/>
          <w:lang w:bidi="fa-IR"/>
        </w:rPr>
        <w:t>الموضوعة للطبائع نفسها، و لو أنّ الموضوع له فیها هو الطبیعة بما أنّها کلّیّة، امتنع صدقها علی الأفراد الخارجیّة مع صدق أسماء الأجناس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فتسمیة هذا القسم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الاصطلاح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مسامحة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ما ذکرنا زیادة قسم خامس للوضع، هو أن یکون الوضع و الموضوع له هو طبیعی المعنی</w:t>
      </w:r>
      <w:r>
        <w:rPr>
          <w:rFonts w:eastAsia="IRNazanin" w:cs="IRNazanin"/>
          <w:color w:val="111111"/>
          <w:sz w:val="28"/>
          <w:szCs w:val="28"/>
          <w:rtl w:val="true"/>
          <w:lang w:bidi="fa-IR"/>
        </w:rPr>
        <w:t>.</w:t>
      </w:r>
      <w:bookmarkStart w:id="51" w:name="pg12886_133136"/>
    </w:p>
    <w:p>
      <w:pPr>
        <w:pStyle w:val="Heading4"/>
        <w:numPr>
          <w:ilvl w:val="3"/>
          <w:numId w:val="1"/>
        </w:numPr>
        <w:rPr/>
      </w:pPr>
      <w:bookmarkStart w:id="52" w:name="__RefHeading___Toc3023837_3224264995"/>
      <w:bookmarkStart w:id="53" w:name="_Toc19"/>
      <w:bookmarkEnd w:id="51"/>
      <w:bookmarkEnd w:id="52"/>
      <w:r>
        <w:rPr>
          <w:rtl w:val="true"/>
        </w:rPr>
        <w:t>المبحث الرابع</w:t>
      </w:r>
      <w:r>
        <w:rPr>
          <w:rtl w:val="true"/>
        </w:rPr>
        <w:t xml:space="preserve">: </w:t>
      </w:r>
      <w:r>
        <w:rPr>
          <w:rtl w:val="true"/>
        </w:rPr>
        <w:t>فی وضع الحروف</w:t>
      </w:r>
      <w:bookmarkEnd w:id="53"/>
    </w:p>
    <w:p>
      <w:pPr>
        <w:pStyle w:val="Heading5"/>
        <w:numPr>
          <w:ilvl w:val="4"/>
          <w:numId w:val="1"/>
        </w:numPr>
        <w:rPr/>
      </w:pPr>
      <w:bookmarkStart w:id="54" w:name="__RefHeading___Toc3023839_3224264995"/>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 قبل الخوض فی المطلب لا بدّ من بیان المعنی الاسمی و الحرفی، و أنّهما متغایران، خلافاً لبعض؛ حیث زعم أنّهما واحد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الخارجیّة مختلفة فی کیفیّة وجودها، فالجواهر موجودة فی الخارج بنفسها استقلالًا، و یُشار إلیها إشارة حسّیّة، کزید و عمرو و غیرهما، و الأعراض موجودة فیه، و یُشار إلیها إشارة حسّیّة أیضاً، لکن لا بنحو الاستقلال، بل تبعاً للغیر کالسواد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الرابط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فله أیضاً نحو وجود فی الخارج، و حقیقة خاصّة فی قبال العدم، إلّا أنّه لیس مثل الجواهر و الأعراض؛ یُشار إلیه بالإشارة الحسّیّة، بل هو عبارة عن الکون الربطی الذی یرتبط به الموضوع بالمحمول، و لولاه لم یتحقّق الارتباط بینهما، و کذلک الرابط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الموجودات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الموجودات الذهنیّة فعالم الذهن أوسع من عالم الخارج، فما یوجد فی الخارج مُستقلًاّ کالجواهر، أو تبعاً کالأعراض، یوجد فی الذهن أیضاً کذلک، و کذا الکون الرابط بتصوّر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یمکن تصوّر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لحاظه استقلالًا بتصوّر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الرابط بینهما استقلالًا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معنی الرابط بهذا اللحاظ معنیً اسمی یحمل علیه مفهوم الرابط بالحمل الأوّلی، و معناه الأوّل حرفی یحمل علیه مفهوم الرابط حملًا شائعاً، و یمکن حکایة الرابط الملحوظ استقلالًا عن الرابط الخارجی الغیر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الخارج استقلالًا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الابتداء و الانتهاء فهما و إن کان لهما نحو وجود فی الخارج، و لیسا من الامور العدمیّة، إلّا أنّ وجودهما لیس مثل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الاستقلال و الإشارة الحسّیّة إلیه، فلفظتا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موضوعتان لهذین المعنیین الغیر المستقلّین،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الفرق بین المعنی الاسمی و الحرفیّ و عدم استقامة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معنیی الاسمی و الحرفی، و أنّ الاختلاف إنّما هو فی کیفیّة الاستعمال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لها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استقلال فی الوجود خارجاً و تعقّلًا، کزید و عمرو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استقلال فی الوجود الخارجی، لکنّه مستقلّ فی التعقّل، و له ماهیّة مستقلّة، کالأعراض من السواد، و البیاض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استقلال له أصلًا، لا فی الوجود الخارجی، و لا فی اللحاظ الذهنی، بل وجوده تبعی للغیر الخارجی و الذهنی، کالنسب و الإضافات الجزئیّة، و ابتداء السیر من البصرة و انتهائه إلی الکوفة، و الأوّلان من المعانی الاسمیة، و الثالث من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 أنّ الحروف کلّها إیجادیّة و إیقاعیّة؛ بمعنی أنّ المتکلِّم یوجد باستعمال ألفاظها معانیها فی الخارج و یُنشئها، أو إخطاریّة تحکی عن معانیها فی الخارج، أو أنّ بعضها إیقاعیّة و بعضها إخطاریّة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المیرزا النائینی قدس سره إلی الأوّل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مذهب الآغا ضیاء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النائینی قدس سره علی ما فی تقریرات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الأسماء کلّها إخطاریّة تحکی عن معانیها، بخلاف الحروف فإنّها إیقاعیّة،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فباستعمالهما یوقع النداء و المخاطبة، و لا تحقّق لمعانیهما قبل الاستعمال لیحکیا عنها، بل یُوقَعان و یُنشئان بالاستعمال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باقی الحروف کذلک قطعاً انتهی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أنّ بین الإیقاعیّة و الإخطاریّة تبایناً و تنافیاً، لا یمکن اجتماعهما فی لفظٍ واحدٍ، و لیس کذلک علی تقدیر أن یرید من الإخطاریّة خطور معانیها فی الذهن؛ فإنّ من الحروف ما تُستعمل لإیقاع معانیها؛ لأنّها إخطاریّة وضعت للدلالة علی معانیها، فهی تدلّ علی إیقاع النسبة بملاحظة حضور معناها فی الذهن، و إلّا فمع قطع النظر عن حصول معناها فی الذهن، فمجرّد لفظها مع عدم لحاظ المتکلّم مفهومها و معناها، لا یدلّ علی إیقاع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کما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الحروف کذلک؛ یعنی أنّها وُضعت لإیقاع لا فی الخارج، بل فی القضیّة الملفوظة؛ لأنّها تحکی عن معانیها، فإنّه لو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البصرة،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واحدٍ منها مفرداً، لا یُفهم منه ابتداء السیر من البصرة و الانتهاء إلی الکوفة، فللدلالة علی هذا المعنی فی القضیّة الملفوظة یُذکر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فالإیقاع بهذا المعنی لا ینافی الحکایة و الإخطار، بل یحتاج إلی الإخطار بالمعنی المتقدّم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الحروف ما وضعت لإیقاع المعنی و إیجاده فی الخارج بالاستعمال،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حروف التنبیه و أدوات القسم و نون التأکید، و لیس فی الخارج قبل النداء شی‌ء؛ لیحکی عنه حرف النداء و غیره من الحروف المذکورة، بل باستعمالها یوجد معانیها فی الخارج، و الإیقاع بهذا المعنی ینافی الإخطاریّة و الحکایة بخلاف</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إیجادیّة وضعت لإیقاع المخاطبة فی الخارج، و لیس کذلک، بل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للدلالة علی ذکوریّة المخاطب و انوثیّته، أو وحدته و تثنیته و جمعه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المذکورات من دون أن تکون موضوعة لها، و الظاهر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المحقّق العراقی قدس سره علی ما فی تقریرات درسه لإخطاریّة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بامتناع إیقاع معانیها التی هی الصور الذهنیّة 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مُستلزم للمحال؛ و ذلک لأنّ استعمالها حینئذٍ علّة لوجودها، و العلّة مُتقدّمة علی المعلول، فلا بدّ أن یتقدّم الاستعمال علی المستعمل فیه، تقدّم العلّة علی معلولها، لکن استعمال اللّفظ فی المعنی متوقّف علی وجود المعنی قبل الاستعمال لیستعمل فیه، فیلزم تقدّم الاستعمال علی المستعمل فیه و تأخّره عنه، و هو محال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 استعمالها علی المستعمل فیه بنحو تقدّم العلّة علی المعلول أو بالطبع مسلَّم، إلّا أنّا لا نُسلِّم لزوم تقدّم المستعمل فیه فی الوجود علی الاستعمال فی الإیقاع، بل یوقع و یوجد بالاستعمال، فالاستعمال عند القائل بإیقاعیّة الحروف عبارة عن طلب عمل اللّفظ فی إیجاد المعنی، و أنّ معناها یوجد بالاستعمال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بإخطاریّة الحروف لا بدّ أن یقول بلزوم تقدّم المعنی علی الاستعمال لتحکی عن معانیها، بخلاف القائل بإیقاعیّة الحروف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بالذات للفظ و معناه الأوّلی هو الصورة الحاصلة من اللّفظ فی الذهن، و لا یُعقل حضور الموجود فی الخارج فی الذهن، فالموجود فی الخارج هو</w:t>
      </w:r>
    </w:p>
    <w:p>
      <w:pPr>
        <w:pStyle w:val="BookText"/>
        <w:rPr/>
      </w:pPr>
      <w:r>
        <w:rPr>
          <w:rFonts w:ascii="IRNazanin" w:hAnsi="IRNazanin" w:eastAsia="IRNazanin"/>
          <w:color w:val="111111"/>
          <w:sz w:val="28"/>
          <w:sz w:val="28"/>
          <w:szCs w:val="28"/>
          <w:rtl w:val="true"/>
          <w:lang w:bidi="fa-IR"/>
        </w:rPr>
        <w:t>المدلول بالعرض، و المدلول بالذات فانٍ فیه، فلو کانت الحروف إیجادیّة، لزم انتقال الموجود الخارجی إلی الذهن، و هو محال، فلا بدّ أن تکون إخطاریّة موضوعة بإزاء الصورة المعقولة فی الذهن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بالأعلام الشخصیّة، فإنّه قدس سره قائل بأنّها موضوعة للهویّة الشخصیّة الخارجیّة، و علی ما ذکره یلزم من استعمالها انتقال الموجود الخارجی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فإنّه لا یلزم من وضع الحروف للمعانی الموجودة فی الخارج انتقال الموجود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الذهن، بل توجد صورته فی الذهن، کما أنّه لو اطلق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انتقش فی ذهن المخاطب صورة وجوده الخارجی، لا الشخص الخارجی بما أنّه خارجی، و لا یلزم انتقال الموجود الخارجی إلی الذهن، و کذلک الحروف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شیئاً من الألفاظ موضوعة للموجود فی الخارج، حتّی فی أسماء الأجناس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موضوعة للماهیّة المجرّدة التی هی لا کلّیّة و لا جزئیّة، ملحوظة بالعرض بلحاظ صورتها بالذات، و قد تقدّم عدم اعتبار لحاظ المعنی الموضوع له بالذات، بل یکفی اللحاظ العرضی بسبب لحاظ أمرٍ آخر من مصادیقه، کزید و عمرو، أو من مصادیق نقیضه،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فیتصوّر للمعدوم المطلق صورة فی العقل هی مرآة له و تلک الصورة معقولة بالذات، و المعدوم معقول بالعرض، و تلک الصورة من مصادیق نقیض المعدوم، بناءً علی أنّ الصور الذهنیّة من الکیفیّات النفسانیّة، و هی تناقض المعدوم المطلق، و هکذا سائر الأسماء و الحروف، حتّی الأعلام الشخصیّة؛ فإنّ جمیعها موضوعة للصور الذهنیّة، لا الأفراد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استعمال أدوات النداء و التنبیه و الترجّی و التمنّی و الطلب و نحوها فی غیر ما هو نداء و تنبیه و ترجّ و تمنّ و طلب بالحمل الشائع، بل کثیراً ما تُستعمل هذه بداعی التشوّق و السخریّة و التودّد و التوجّد</w:t>
      </w:r>
      <w:r>
        <w:rPr>
          <w:rStyle w:val="FootnoteAnchor"/>
          <w:rtl w:val="true"/>
        </w:rPr>
        <w:footnoteReference w:id="51"/>
      </w:r>
      <w:r>
        <w:rPr>
          <w:rFonts w:ascii="IRNazanin" w:hAnsi="IRNazanin" w:eastAsia="IRNazanin"/>
          <w:color w:val="111111"/>
          <w:sz w:val="28"/>
          <w:sz w:val="28"/>
          <w:szCs w:val="28"/>
          <w:rtl w:val="true"/>
          <w:lang w:bidi="fa-IR"/>
        </w:rPr>
        <w:t>و التعجیز و التهدید، و غیر ذلک من الدواعی الاخر، کما هو مذکور فی محلِّه، و لا ریب فی أنّ الموجود بهذا الاستعمال لیس فرداً من أفراد معانیها، فلیس استعمال أدوات النداء بداعی التوجّد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کوکباً ما کان أقصرَ عمرَهُ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هذا البیت من قصیدة للفاضل الأدیب و الشاعر البلیغ البارع أبی الحسن علی بن محمَّد بن الحسن الکاتب التهامی العاملی الشامی، المقتول فی تاسع جمادی الاولی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دیوان مشهور طبع فی الإسکندریة سنة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أمل الآمل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الکنی و الألقاب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نداءً بالحمل الشائع، بل توجّداً، و کذلک استعمال الأمر بداعی التعجیز،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حِجارَةً أَوْ حَدِیداً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فإنّه لیس طلباً بالحمل الشائع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استعمال هذه الألفاظ فی هذه المعانی مجازاً و بضرب من العنایة، و هو ممّا لا یقول به المفصّل، و إمّا حقائق استُعملت فی معانیها الموضوعة لها، لکن بداعی أحد هذه الامور المذکورة؛ من التوجّد و التشوّق و غیرهما، فیکون معانیها غیر ما یوجد بها حتّی فیما إذا استُعملت بداعی إفادة ما وضعت له</w:t>
      </w:r>
      <w:r>
        <w:rPr>
          <w:rStyle w:val="FootnoteAnchor"/>
          <w:rtl w:val="true"/>
        </w:rPr>
        <w:footnoteReference w:id="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الالتزام بالتجوّز، و لا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بالثانی؛ أی أنّها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فی جمیع المجازات مُستعمل فیما وضع له، لکنّه یجعل مَعبراً إلی معنیً آخر،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 معناه الحقیقی؛ بدعوی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مصادیقه، کما 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فحرف النداء فی الموارد المذکورة مُستعمل فی معناه الحقیقی، و کذلک حروف التمنّی و الترجّی مستعملة فی معانیها الحقیقیّة بداعی التوجّد و التشوّق؛ بادّعاء أنّهما من أفراد النداء و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التفصیل، و أنّ بعض الحروف إیقاعیّة، و بعضها إخطاریّة، و الوجدان شاهد علیه، و لا دلیل علی خلافه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الحروف لیست إیقاعیّة و لا إخطاریّة، بل من قبیل أسماء الأصوات، کما هو محتمل فی حرف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مُقرری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الموجودات فی العین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وجود الجواهر، و منها وجود الأعراض بأقسامها التسعة، المُعبَّر عنها بالوجود الرابطی، و منها ربط الأعراض بموضوعاتها،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العرض من حیث افتقاره إلی الموضوع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یستغنی بموضوع واحدٍ، مثل مقولة الکم و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فی تحقّقه إلی موضوعین یتقوّم وجوده بهما، کمقولة الأین و الإضافة و سائر الأعراض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العقلائیّة حسب الاستقراء، تدلّ علی أنّهم لم یُهملوا معنیً من المعانی التی تدور علیها الإفادة و الاستفادة من جعل الطریق لها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وجدنا أنّ الأسماء تدلّ علی الجواهر و جملة من الأعراض، و وجدنا الحروف تدلّ علی جملة من الأعراض الإضافیّة النسبیّة، و وجدنا الهیئات</w:t>
      </w:r>
    </w:p>
    <w:p>
      <w:pPr>
        <w:pStyle w:val="BookText"/>
        <w:rPr/>
      </w:pPr>
      <w:r>
        <w:rPr>
          <w:rFonts w:ascii="IRNazanin" w:hAnsi="IRNazanin" w:eastAsia="IRNazanin"/>
          <w:color w:val="111111"/>
          <w:sz w:val="28"/>
          <w:sz w:val="28"/>
          <w:szCs w:val="28"/>
          <w:rtl w:val="true"/>
          <w:lang w:bidi="fa-IR"/>
        </w:rPr>
        <w:t xml:space="preserve">تدلّ علی ربط هذا العرض الأینی بموضوعه؛ أعنی زیداً، و کذلک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ربط العرض بموضوع ما، و کذلک بقیّة الحروف، فإنّها تدلّ علی إضافة خاصّة و ربط مخصوص بین المفاهیم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یمکن تصدیقه فی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رادفها من الحروف؛ بدعوی وضعها لأصناف مقولة الأین من الأین الابتدائی، و الأین الظرفی، و الأین الاستعلائی، و الأین التجاوزی، و الأین الانتهائی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یشکل ذلک فی أکثر الحروف،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التأکید و القسم و نحوها، التی یشکل جدّاً تشخیص کون مدلولها عرضاً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ینحصر معنی الحروف فی الجوهر و العرض، أو ربطه بمحلّه، و لا شبهة فی عدم کون معناها من الجواهر، فینحصر فی الأعراض و ربطها بمحالّها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لتوهّم أنّ معانی الحروف فی الموارد المذکورة هی ربط الأعراض بمحالّها، و کون نفس الأعراض مدلولة للهیئات علی عکس سائر الموجودات، فالاستقراء یحکم بأنّ حال الحروف المذکورة کحال سائر الحروف؛ من أنّها دالّة علی الأعراض، و الهیئات دالّة علی ربطها بمحالّها، و أمّا تشخیص أنّه من أی أنواع الأعراض، فلیس هو بمهمّ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مدلول الحرف عرضاً نسبیّاً فهو بذاته مرتبط بموضوعه، و علیه فنفس الحرف الدالّ علیه دالّ علی الربط کما ذکر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هذا الإشکال أنّ اللّازم الباطل من القول بوضع الحروف للأعراض النسبیّة إنّما هو تکرار دلالة الجملة المُتضمّنة للحروف علی ربط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مدلول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بموضوعه، و لکنّ الأمر لیس کذلک؛ و ذلک لأنّ الحروف تدلّ علی العرض المنتسب إلی موضوع ما، و الهیئة تدلّ علی ربط ذلک العرض بموضوع معیّن مفصَّلًا</w:t>
      </w:r>
      <w:r>
        <w:rPr>
          <w:rFonts w:eastAsia="IRNazanin" w:cs="IRNazanin"/>
          <w:color w:val="111111"/>
          <w:sz w:val="28"/>
          <w:szCs w:val="28"/>
          <w:rtl w:val="true"/>
          <w:lang w:bidi="fa-IR"/>
        </w:rPr>
        <w:t>.</w:t>
      </w:r>
      <w:bookmarkStart w:id="56" w:name="pg12886_133144"/>
    </w:p>
    <w:p>
      <w:pPr>
        <w:pStyle w:val="BookText"/>
        <w:rPr/>
      </w:pPr>
      <w:bookmarkEnd w:id="56"/>
      <w:r>
        <w:rPr>
          <w:rFonts w:ascii="IRNazanin" w:hAnsi="IRNazanin" w:eastAsia="IRNazanin"/>
          <w:color w:val="111111"/>
          <w:sz w:val="28"/>
          <w:sz w:val="28"/>
          <w:szCs w:val="28"/>
          <w:rtl w:val="true"/>
          <w:lang w:bidi="fa-IR"/>
        </w:rPr>
        <w:t xml:space="preserve">فالهیئة تدلّ علی معنیً یستلزم تفصیل ما دلّ علیه الحرف مُبهماً و مُجملًا، کما هو الشأن فی دلالة الجمل التی لم تتضمّن حرفاً،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ارتباط القیام بموضوع ما، و هیئة الجملة دلّت علی ارتباط ذلک العرض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مدلولها معنیً یستلزم تفصیل ذلک الربط المجمل، الذی دلّ علیه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هیئة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الأین منتسباً إلی موضوع ما، و هیئة الجملة دلّت علی ربط ذلک العرض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فمدلول الأوّل غیر مدلول الثانی، فأین التکرار؟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Heading5"/>
        <w:numPr>
          <w:ilvl w:val="4"/>
          <w:numId w:val="1"/>
        </w:numPr>
        <w:rPr/>
      </w:pPr>
      <w:bookmarkStart w:id="57" w:name="__RefHeading___Toc3023841_3224264995"/>
      <w:bookmarkStart w:id="58" w:name="_Toc21"/>
      <w:bookmarkEnd w:id="57"/>
      <w:r>
        <w:rPr>
          <w:rtl w:val="true"/>
        </w:rPr>
        <w:t>و یرد علیه</w:t>
      </w:r>
      <w:r>
        <w:rPr>
          <w:rtl w:val="true"/>
        </w:rPr>
        <w:t>:</w:t>
      </w:r>
      <w:bookmarkEnd w:id="5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کلامه تناقضاً؛ حیث صرّح أوّلًا فی صدر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الحروف دالّة علی الکون الرابطی؛ أی الأعراض النسبیّة، و أنّها مُستقلّة بالمفهومیّة، و یُستفاد من الجواب عن الإشکال الثانی أنّ الفرق بین مدلول الهیئة و مدلول الحروف بالإبهام و التعیین، فمدلول الحروف هو عین مدلول الهیئة، و مدلول الهیئة هو الکون الرابط علی عقیدته، فلا یستقلّ بالمفهومیّة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تحقّق العرض النسبی و الکون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تحقّق الموضوع و وجوده فی الخارج و المحمول و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الدالّ علی الموضوع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المحمول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الدالّ علی الربط بینهما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یرتبط المحمول بالموضوع إلّا بها، و أمّا الکون الرابطی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فالدالّ علیه أیضاً هو الحرف، لکن لا بالمطابقة، بل بالالتزام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الذی ذکره للحروف مستقلّ بالمفهومیّة و التعقّل، فهو معنیً اسمی لا حرفی؛ فإنّ الأعراض النسبیّة طرف للربط أی المسند، و الطرف الآخر هو المسند إلیه، و لا یمکن إسناد المعنی الحرفی إلی غیره، فما أفاده فی المقام غیر مُستقیم</w:t>
      </w:r>
      <w:r>
        <w:rPr>
          <w:rFonts w:eastAsia="IRNazanin" w:cs="IRNazanin"/>
          <w:color w:val="111111"/>
          <w:sz w:val="28"/>
          <w:szCs w:val="28"/>
          <w:rtl w:val="true"/>
          <w:lang w:bidi="fa-IR"/>
        </w:rPr>
        <w:t>.</w:t>
      </w:r>
      <w:bookmarkStart w:id="59" w:name="pg12886_133145"/>
    </w:p>
    <w:p>
      <w:pPr>
        <w:pStyle w:val="BookText"/>
        <w:rPr/>
      </w:pPr>
      <w:bookmarkEnd w:id="59"/>
      <w:r>
        <w:rPr>
          <w:rFonts w:ascii="IRNazanin" w:hAnsi="IRNazanin" w:eastAsia="IRNazanin"/>
          <w:color w:val="111111"/>
          <w:sz w:val="28"/>
          <w:sz w:val="28"/>
          <w:szCs w:val="28"/>
          <w:rtl w:val="true"/>
          <w:lang w:bidi="fa-IR"/>
        </w:rPr>
        <w:t>و قد عرفت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بعض الحروف موضوعة للدلالة علی تحقّق الربط فی الخارج،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القضایا التی لا تشتمل علی الحرف، فالدالّ علی الربط فیها هو الحمل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بعض الحروف موضوع لإیقاع معناها و إیجاده فی الخارج بالاستعمال،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حروف القسم و التنبیه و الردع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وضع الحروف من أی قسم من أقسام الوضع؟</w:t>
      </w:r>
    </w:p>
    <w:p>
      <w:pPr>
        <w:pStyle w:val="BookText"/>
        <w:rPr/>
      </w:pPr>
      <w:r>
        <w:rPr>
          <w:rFonts w:ascii="IRNazanin" w:hAnsi="IRNazanin" w:eastAsia="IRNazanin"/>
          <w:color w:val="111111"/>
          <w:sz w:val="28"/>
          <w:sz w:val="28"/>
          <w:szCs w:val="28"/>
          <w:rtl w:val="true"/>
          <w:lang w:bidi="fa-IR"/>
        </w:rPr>
        <w:t xml:space="preserve">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الوضع و الموضوع له و المُستعمل فیها عامّ، کما فی أسماء الأجناس، و أنّ الخصوصیّة إنّما جاءت من قبل الاستعمال بتصرّف الواضع فی الاستعمال؛ حیث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لیراد منه عند الاستعمال معناه الاسمی بنفسه، و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لیراد منها معنی الابتداء أیضاً، لکن لا بنفسه، بل بما أنّه حالة و آلة لملاحظة الغیر، فهما مُترادفان، إلّا أنَّه لا یجوز استعمال أحدهما فی مورد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کان الموضوع له و المستعمل فیه أو کلاهما خاصّاً، فالخصوصیّة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خارجیّة، أو ذهنیّة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یُشکَل بأنّ الحروف کثیراً ما تستعمل فی المعانی الکلّیّة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السیر و الابتداء قابلان للصدق علی کثیرین</w:t>
      </w:r>
      <w:r>
        <w:rPr>
          <w:rFonts w:eastAsia="IRNazanin" w:cs="IRNazanin"/>
          <w:color w:val="111111"/>
          <w:sz w:val="28"/>
          <w:szCs w:val="28"/>
          <w:rtl w:val="true"/>
          <w:lang w:bidi="fa-IR"/>
        </w:rPr>
        <w:t>.</w:t>
      </w:r>
    </w:p>
    <w:p>
      <w:pPr>
        <w:pStyle w:val="Heading5"/>
        <w:numPr>
          <w:ilvl w:val="4"/>
          <w:numId w:val="1"/>
        </w:numPr>
        <w:rPr/>
      </w:pPr>
      <w:bookmarkStart w:id="60" w:name="__RefHeading___Toc3023843_3224264995"/>
      <w:bookmarkStart w:id="61" w:name="_Toc22"/>
      <w:bookmarkEnd w:id="60"/>
      <w:r>
        <w:rPr>
          <w:rtl w:val="true"/>
        </w:rPr>
        <w:t>و علی الثانی فیُشکَل أیضاً</w:t>
      </w:r>
      <w:r>
        <w:rPr>
          <w:rtl w:val="true"/>
        </w:rPr>
        <w:t>:</w:t>
      </w:r>
      <w:bookmarkEnd w:id="6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لحاظ الحروف حالة لغیرهما کلحاظ الاسم مستقلًا، فکما أنّ لحاظ الاستقلالیّة لیس مُعتبراً فی الموضوع له فی الأسماء أو المستعمل فیه فیها، کذلک لحاظ أنّها حالة للغیر فی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امتناع صدقه علی الخارج؛ لأنّه کلّی عقلی حینئذٍ، فیمتنع الامتثال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بالتجرید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باستلزامه المحال، و هو اجتماع اللحاظین؛ فإنّ لحاظ کونه حالة للغیر</w:t>
      </w:r>
    </w:p>
    <w:p>
      <w:pPr>
        <w:pStyle w:val="BookText"/>
        <w:rPr/>
      </w:pPr>
      <w:r>
        <w:rPr>
          <w:rFonts w:ascii="IRNazanin" w:hAnsi="IRNazanin" w:eastAsia="IRNazanin"/>
          <w:color w:val="111111"/>
          <w:sz w:val="28"/>
          <w:sz w:val="28"/>
          <w:szCs w:val="28"/>
          <w:rtl w:val="true"/>
          <w:lang w:bidi="fa-IR"/>
        </w:rPr>
        <w:t>إن کان مأخوذاً فی الموضوع له أو المستعمل فیه، و صار جزءاً له لزم لحاظه عند الاستعمال؛ إذ لا بدّ من لحاظ المستعمل فیه لدی الاستعمال، و اجتماع اللحاظین ممتنع</w:t>
      </w:r>
      <w:r>
        <w:rPr>
          <w:rStyle w:val="FootnoteAnchor"/>
          <w:rtl w:val="true"/>
        </w:rPr>
        <w:footnoteReference w:id="56"/>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فی فرض کون الخصوصیّة خارجیّة، فسیجی‌ء ما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من التوالی الفاسدة فی فرض کون الخصوصیّة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الوضع و الموضوع له فی الحروف عامّان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تغایر المعنیین الاسمی و الحرفی و عدمه، و قد وقع الخلط فی کلامه قدس سره فی المقامین، فإنّه لو فرض تغایرهما، و أنّ مدالیل الحروف هی النسب الجزئیّة و الروابط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حینئذٍ مجال لاحتمال عموم الموضوع له فیها، بل الموضوع له و المستعمل فیه فیها کلاهما خاصّان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بإیجادیّة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مسلکاً آخر؛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من الکلّیّة و الجزئیّة هنا ما هو المتبادر منها فی المفاهیم الاسمیّة من قابلیّة الصدق علی کثیرین و عدمها، کما توهّمه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فأورد علی القائلین بأنّ الموضوع له فیها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المستعمل فیه فی الحروف غالباً عامّ،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المستعمل فیه فی الحروف لیس إلّا النسب و الروابط فی الکلام؛ بحیث لو اعید الکلام مرّةً ثانیة کانت النسبة مغایرة للُاولی، و هذه النسبة یستحیل صدقها علی الخارج حتّی تتّصف بالکلّیّة و الجزئیّة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بالکلّیّة و الجزئیّة فی المعانی الحرفیّة هو أنّ ما تتقوّم به النسبةُ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أطراف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خارجة عن حریم المعنی الحرفی، فهل</w:t>
      </w:r>
    </w:p>
    <w:p>
      <w:pPr>
        <w:pStyle w:val="BookText"/>
        <w:rPr/>
      </w:pPr>
      <w:r>
        <w:rPr>
          <w:rFonts w:ascii="Amiri" w:hAnsi="Amiri" w:eastAsia="Amiri" w:cs="Amiri"/>
          <w:color w:val="111111"/>
          <w:sz w:val="28"/>
          <w:sz w:val="28"/>
          <w:szCs w:val="28"/>
          <w:rtl w:val="true"/>
          <w:lang w:bidi="ar-SA"/>
        </w:rPr>
        <w:t>التقیّدات أیضاً خارجة، حتّی یکون الموضوع له واحداً و کلّیّاً، أم هی داخلة فی الموضوع له، حتّی یکون المعنی متعدّداً و الموضوع له خاصّاً؟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معانٍ غیر استقلالیّة، بل إیجادیّة، فلا بدّ فی مقام الوضع لها من تصوّر مفاهیم اسمیّة عامّة، کمفهوم النسبة الابتدائیّة، فیکون الوضع عامّاً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فالحقّ أنّ الموضوع له فیها کالوضع عامّ، فکما أنّ المفاهیم العرضیّة لا تحتاج فی مقام ماهیّاتها إلی موضوع، بل فی مقام وجودها، فکذلک المعانی الحرفیّة لا تحتاج فی مقام مفهومیّتها إلی خصوصیّة الطرفین، بل فی مقام استعمالها، فالموضوع له فیها هو المعنی الواحد بالهویّة المشترکة بین جمیع موارد الاستعمالات، و الخصوصیّة إنّما نشأت من ناحیتها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الاستدلال علی جزئیّة المعانی الحرفیّة بأنّها إیجادیّة، و الشی‌ء ما لم یتشخّص لم یوجد، فهو مبتنٍ علی عدم وجود الکلّی الطبیعی فی الخارج أصلًا، و أنّ الموجود فی الخارج هی الأشخاص، أو علی أنّ الکلّی و إن کان موجوداً، إلّا أنّه لا بدّ و أن یتشخّص فی رتبةٍ سابقة علی الوجود حتّی یوجد فی الخارج، و التشخّص مُساوق للوجود، فإنّه بناءً علیهما حیث إنّ المعانی الحرفیّة إیجادیّة، و الإیجاد یستحیل تعلّقه بالکلّی فیستحیل أن یکون الکلّی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الکلّی موجود فی الخارج، و التشخّص مساوق للوجود رتبةً، 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متعلّق الوجود و التشخّص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الموضوع له نفس الکلّی و إن کان حین وجوده متشخّصاً بخصوصیّات الطرفین، إلّا أنّ تلک الخصوصیّات من لوازم الوجود لا الماهیّة</w:t>
      </w:r>
      <w:r>
        <w:rPr>
          <w:rStyle w:val="FootnoteAnchor"/>
          <w:rtl w:val="true"/>
        </w:rPr>
        <w:footnoteReference w:id="58"/>
      </w:r>
      <w:r>
        <w:rPr>
          <w:rFonts w:ascii="IRNazanin" w:hAnsi="IRNazanin" w:eastAsia="IRNazanin"/>
          <w:color w:val="111111"/>
          <w:sz w:val="28"/>
          <w:sz w:val="28"/>
          <w:szCs w:val="28"/>
          <w:rtl w:val="true"/>
          <w:lang w:bidi="fa-IR"/>
        </w:rPr>
        <w:t>انتهی محصّل کلامه قدس سره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جمیع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الموضوع له فی الحروف عامّ، إلّا أنّ هذا العامّ</w:t>
      </w:r>
    </w:p>
    <w:p>
      <w:pPr>
        <w:pStyle w:val="BookText"/>
        <w:rPr/>
      </w:pPr>
      <w:r>
        <w:rPr>
          <w:rFonts w:ascii="IRNazanin" w:hAnsi="IRNazanin" w:eastAsia="IRNazanin"/>
          <w:color w:val="111111"/>
          <w:sz w:val="28"/>
          <w:sz w:val="28"/>
          <w:szCs w:val="28"/>
          <w:rtl w:val="true"/>
          <w:lang w:bidi="fa-IR"/>
        </w:rPr>
        <w:t xml:space="preserve">غیر ما هو المصطلح منه، الذی هو نفس الطبیعة، بل المراد منه معنیً آخر عبارة عن معنیً واحد بالهویّة المشترکة بین موارد الاستعمالات،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هو معناها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ابتناءه هذا المطلب علی القول بوجود الکلّی الطبیعی فی الخارج یستلزم القول بخصوصیّة الموضوع له فی الحروف؛ لما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الطبیعی موجود فی الخارج بنفسه و مُتکثِّر فیه، و أنّ کلّ واحدٍ من أفراده هو تمام ماهیّة الطبیعی، فزید تمام ماهیّة الإنسان، و کذلک سائر الأفراد، لا أنّه یتحصّص فی الخارج، و یوجد کلّ حصّة منها فی فرد من أفرادها، و لیس للطبیعة سوی وجود أفرادها وجود علی حِدة، إلّا أنّه یمکن انتزاع مفهوم الإنسان مثلًا من الأفراد الخارجیّة، و حینئذٍ یلزم أن یکون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و ذهب إلی أنّه الموضوع له للحروف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أفراده، و الأفراد جزئیّة، فیلزم منه خصوصیّة الموضوع له للحروف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القول بوجود الکلّی فی الذهن مُلصَقاً بالأفراد الذهنیّة؛ نظیر القول بوجوده فی الخارج کذلک، کما مرَّ عن المحقّق العراقی قدس سره و عرفت جوابه مفصّلًا،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إیقاعیّة، و الوضع فیها لا محالة عامّ و الموضوع له خاصّ؛ بلحاظ الواضع المفهوم الاسمی للربط و وضعه لما یحکی عنه هذا المفهوم من الروابط و النسب الجزئیّة؛ بنوع من الحکایة و إن لم تکن حقیقیّة؛ لعدم کونها من مصادیقها الحقیقیّة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لإیجاد الربط فی الخارج بالاستعمال مع عموم الموضوع له فیها، فیه ما لا یخفی، فإنّ ما یوجد فی الخارج جزئی حقیقی یُنافی فرض عموم الموضوع له فیها، و هذا القسم من الحروف نظیر وضع لفظٍ فی الأسماء لما سیولد له بعدُ،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یوجد بالنداء فیها واحد و إنّما</w:t>
      </w:r>
    </w:p>
    <w:p>
      <w:pPr>
        <w:pStyle w:val="BookText"/>
        <w:rPr/>
      </w:pPr>
      <w:r>
        <w:rPr>
          <w:rFonts w:ascii="IRNazanin" w:hAnsi="IRNazanin" w:eastAsia="IRNazanin"/>
          <w:color w:val="111111"/>
          <w:sz w:val="28"/>
          <w:sz w:val="28"/>
          <w:szCs w:val="28"/>
          <w:rtl w:val="true"/>
          <w:lang w:bidi="fa-IR"/>
        </w:rPr>
        <w:t>الاختلاف فی المنادی، و کذلک مثل حروف القسم و الردع و التنبیه و نحوها، فإنّ الاختلاف فی موارد القسم إنّما هو فی المُقسم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إخطاریّة تحکی عن معانیها، و الأمر فی هذا القسم من الحروف مشکل؛ حیث 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فیها خاصّ، یرد علیه أنّ کثیراً ما تستعمل هی فی الکلّی،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إمّا من الالتزام بعدم اشتمال هذه الأمثلة علی الربط، فهو خلاف الوجدان الشاهد علی وجود الربط فیها، و إمّا الالتزام بعموم الموضوع له فیها، و هو أیضاً مُشکل؛ إذ کثیراً ما تُستعمل هی فی الخصوص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استعمال مجازی، و هو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الموضوع له فیها جزئی إضافی</w:t>
      </w:r>
      <w:r>
        <w:rPr>
          <w:rStyle w:val="FootnoteAnchor"/>
          <w:rtl w:val="true"/>
        </w:rPr>
        <w:footnoteReference w:id="59"/>
      </w:r>
      <w:r>
        <w:rPr>
          <w:rFonts w:ascii="IRNazanin" w:hAnsi="IRNazanin" w:eastAsia="IRNazanin"/>
          <w:color w:val="111111"/>
          <w:sz w:val="28"/>
          <w:sz w:val="28"/>
          <w:szCs w:val="28"/>
          <w:rtl w:val="true"/>
          <w:lang w:bidi="fa-IR"/>
        </w:rPr>
        <w:t xml:space="preserve">و أخوه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موضوعة لأخصّ من شی‌ءٍ</w:t>
      </w:r>
      <w:r>
        <w:rPr>
          <w:rStyle w:val="FootnoteAnchor"/>
          <w:rtl w:val="true"/>
        </w:rPr>
        <w:footnoteReference w:id="60"/>
      </w:r>
      <w:r>
        <w:rPr>
          <w:rFonts w:ascii="IRNazanin" w:hAnsi="IRNazanin" w:eastAsia="IRNazanin"/>
          <w:color w:val="111111"/>
          <w:sz w:val="28"/>
          <w:sz w:val="28"/>
          <w:szCs w:val="28"/>
          <w:rtl w:val="true"/>
          <w:lang w:bidi="fa-IR"/>
        </w:rPr>
        <w:t>و مرجعه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الجزئی الإضافی أیضاً کلّی، و مرجعهما إلی القول بعموم الموضوع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ثالث إلی أنّها تابعة للموضوع و المحمول فی الکلیّة و الجزئیّة؛ أی العموم و الخصوص</w:t>
      </w:r>
      <w:r>
        <w:rPr>
          <w:rStyle w:val="FootnoteAnchor"/>
          <w:rtl w:val="true"/>
        </w:rPr>
        <w:footnoteReference w:id="61"/>
      </w:r>
      <w:r>
        <w:rPr>
          <w:rFonts w:ascii="IRNazanin" w:hAnsi="IRNazanin" w:eastAsia="IRNazanin"/>
          <w:color w:val="111111"/>
          <w:sz w:val="28"/>
          <w:sz w:val="28"/>
          <w:szCs w:val="28"/>
          <w:rtl w:val="true"/>
          <w:lang w:bidi="fa-IR"/>
        </w:rPr>
        <w:t xml:space="preserve">، فالموضوع له فیها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الموضوع له فیها أیضاً خاصّ؛ لأنَّ المعانی الحرفیّة فی تحقّقها و وجودها الخارجی تابعة للغیر؛ لامتناع تحقّق الربط فی الخارج بدون المرتبطین، بل</w:t>
      </w:r>
      <w:bookmarkStart w:id="62" w:name="pg12886_133150"/>
    </w:p>
    <w:p>
      <w:pPr>
        <w:pStyle w:val="BookText"/>
        <w:rPr/>
      </w:pPr>
      <w:bookmarkEnd w:id="62"/>
      <w:r>
        <w:rPr>
          <w:rFonts w:ascii="IRNazanin" w:hAnsi="IRNazanin" w:eastAsia="IRNazanin"/>
          <w:color w:val="111111"/>
          <w:sz w:val="28"/>
          <w:sz w:val="28"/>
          <w:szCs w:val="28"/>
          <w:rtl w:val="true"/>
          <w:lang w:bidi="fa-IR"/>
        </w:rPr>
        <w:t xml:space="preserve">و کذلک فی وجودها الذهنی؛ لامتناع تعقّل الربط الجزئی، الذی یصدق علیه کلّی الربط بالحمل الشائع بدون لحاظ المرتبطین، و کذلک فی مقام الدلالة أیضاً تابعة للغیر،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لا تدلّ علی الربط الابتدائی،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الربط الانتهائی، بل تفتقرُ فی دلالتها إلی ضمیمة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بدّ من تبعیّتها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للغیر أیضاً، فتدلّ علی الربط الکلّی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له التحیّز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عموم الموضوع له فیها، و إلّا لزم أن یکون معناها اسمیّاً صحّ وقوعه محمولًا؛ لامتناع وقوع الحروف محمولًا، بل و دلالتها علی الربط الکلّی فی المثال، إنّما هو لأجل أنّها فی مقام الاستعمال تابعة للغیر الکلّی فی المثال، و إن کان الطرفان جزئیّین تدلّ علی الربط الجزئی مع خصوص الموضوع له 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نری کثیراً من الحروف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عاطفةً و للقسم،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کلّی السیر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لابتداء الجزئی منه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منه أنّها فی مقام الاستعمال تابعة للغیر مع أنّ الموضوع له فیها خاصّ ففیما کان الطرفان کلّیین،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فی الکثیر، و استعمال اللّفظ فی الکثیر غیر عزیز،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یکثِّر الإنسان، و الإنسان یکثِّر الربط،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الکثیر</w:t>
      </w:r>
      <w:r>
        <w:rPr>
          <w:rFonts w:eastAsia="IRNazanin" w:cs="IRNazanin"/>
          <w:color w:val="111111"/>
          <w:sz w:val="28"/>
          <w:szCs w:val="28"/>
          <w:rtl w:val="true"/>
          <w:lang w:bidi="fa-IR"/>
        </w:rPr>
        <w:t>.</w:t>
      </w:r>
    </w:p>
    <w:p>
      <w:pPr>
        <w:pStyle w:val="Heading4"/>
        <w:numPr>
          <w:ilvl w:val="3"/>
          <w:numId w:val="1"/>
        </w:numPr>
        <w:rPr/>
      </w:pPr>
      <w:bookmarkStart w:id="63" w:name="__RefHeading___Toc3023845_3224264995"/>
      <w:bookmarkStart w:id="64" w:name="_Toc23"/>
      <w:bookmarkEnd w:id="63"/>
      <w:r>
        <w:rPr>
          <w:rtl w:val="true"/>
        </w:rPr>
        <w:t>المبحث الخامس</w:t>
      </w:r>
      <w:r>
        <w:rPr>
          <w:rtl w:val="true"/>
        </w:rPr>
        <w:t xml:space="preserve">: </w:t>
      </w:r>
      <w:r>
        <w:rPr>
          <w:rtl w:val="true"/>
        </w:rPr>
        <w:t>فی بیان أوضاع هیئات الجمل التامّة و الناقصة و الإنشائیّة و الإخباریّة و غیرها</w:t>
      </w:r>
      <w:bookmarkEnd w:id="64"/>
    </w:p>
    <w:p>
      <w:pPr>
        <w:pStyle w:val="Heading5"/>
        <w:numPr>
          <w:ilvl w:val="4"/>
          <w:numId w:val="1"/>
        </w:numPr>
        <w:rPr/>
      </w:pPr>
      <w:bookmarkStart w:id="65" w:name="__RefHeading___Toc3023847_3224264995"/>
      <w:bookmarkStart w:id="66" w:name="_Toc24"/>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الحملیّة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أقسام بحسب أقسام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الأوّلی الذاتی، و المناط فیه هو حمل مفهوم علی مفهوم مساوٍ نحو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الشائع الصناعی، و المناط فیه الاتّحاد فی المصداق مع تغایر الموضوع و المحمول بحسب المفهوم، و المحمول فیه کلّی یحمل علی المصداق الخارجی، فإن کان مصداقا لذلک الکلّی المحمول علیه یُسمّی حملًا شائعاً ذاتیّاً،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من مصادیق ذلک الکلّی یُسمّی شائعاً عرضیّاً،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أقسام اخر لا حاجة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الموضوعُ له لهیئة الجمل الحملیّةِ الکونَ الرابط، بل هی موضوعة للحکایة عن الهُوهُویّة الحقیقیّة أو العُرفیّة؛ أی الاتّحاد الخارجی بین الموضوع و المحمول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الربط بین الموضوع و المحمول فی هذه الأمثلة؛ لتحکی عن الهیئة لافتقار الربط إلی مرتبطین متغایرین، و لا تغایر بین الموضوع و المحمول فیها، و یشهد لذلک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صحّة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فیکشف ذلک أنّ الحمل فیها یفید الهُوهُویّة و الاتّحاد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الحمل الأولی الذاتی و الشائع العرضی قضیّة ملفوظة و قضیّة معقولة و قضیّة محکیّة عنها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الحملُ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له، ارتبط أحدهما بالآخر، بل الإنسان فی الخارج عین الحیوان الناطق، و مُتّحد معه، و إذا کان الخارج کذلک فالقضیّة الملفوظة الحاکیة عن الخارج، و المعقولة التی یُنتقل منها إلی الخارج أیضاً کذلک؛ أی لم تشتمل واحدة منهما علی ما یدلّ علی الربط، و إلّا امتنع حکایتهما عن الخارج و الانتقال منها إلیه،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 عن الهُوهُویّة الخارجیّة الحقیقیّة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الحمل الشائع الصناعی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البیاض</w:t>
      </w:r>
    </w:p>
    <w:p>
      <w:pPr>
        <w:pStyle w:val="BookText"/>
        <w:rPr/>
      </w:pP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لا بشرط، لا ذات ثبت لها البیاض، فهو أیضاً کذلک لا یشتمل علی الربط؛ إذ لیس فی الخارج زید و إنسان مُغایر له مرتبط به، بل هما فی الخارج واحد، فإذا کان الخارج کذلک فالقضیّة الملفوظة الحاکیة عن الخارج و المعقولة التی ینتقل منها إلی الخارج کذلک؛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الشائع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ففیه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الربط بینهما، و لذا یمکن الحکایة عنها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الحکایة عنها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اشتماله علی أداة الربط، فالأوّل یدلّ علی الربط بینهما، و الثانی یدلّ علی الهُوهُویّة، بخلاف القسمین الأوّلین؛ لعدم إمکان الحکایة فیها بنحوٍ یشتمل علی الربط بین الموضوع و المحمول،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له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فهو من القضایا الحملیّة المؤوّلة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أفعال العموم کما ذکره النحویّون</w:t>
      </w:r>
      <w:r>
        <w:rPr>
          <w:rStyle w:val="FootnoteAnchor"/>
          <w:rtl w:val="true"/>
        </w:rPr>
        <w:footnoteReference w:id="62"/>
      </w:r>
      <w:r>
        <w:rPr>
          <w:rFonts w:ascii="IRNazanin" w:hAnsi="IRNazanin" w:eastAsia="IRNazanin"/>
          <w:color w:val="111111"/>
          <w:sz w:val="28"/>
          <w:sz w:val="28"/>
          <w:szCs w:val="28"/>
          <w:rtl w:val="true"/>
          <w:lang w:bidi="fa-IR"/>
        </w:rPr>
        <w:t>و إلّا فهی لا تشتمل فی الظاهر علی الحمل، و فیها فی الخارج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ذات زید، الثانی الدار، الثالث الربط بینهما، الرابع تحقّق ذلک الربط، فالدالّ علی الأوّل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الثالث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الرابع الهیئة، و أمّا الهیئة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الهُوهُویّة لعدم وجود الربط بینهما؛ لتدلّ علی تحقّقه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الموجبات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سلب الربط، لا ربط السلب؛ لعدم اشتمالها علی الربط أصلًا،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صادق، و لو مع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السالبة بانتفاء الموضوع،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البارئ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صدقه مع وجود الموضوع دون المحمول، و قد یصدق مع وجودهما مع عدم الربط بینهما و علی أی</w:t>
      </w:r>
    </w:p>
    <w:p>
      <w:pPr>
        <w:pStyle w:val="BookText"/>
        <w:rPr/>
      </w:pPr>
      <w:r>
        <w:rPr>
          <w:rFonts w:ascii="IRNazanin" w:hAnsi="IRNazanin" w:eastAsia="IRNazanin"/>
          <w:color w:val="111111"/>
          <w:sz w:val="28"/>
          <w:sz w:val="28"/>
          <w:szCs w:val="28"/>
          <w:rtl w:val="true"/>
          <w:lang w:bidi="fa-IR"/>
        </w:rPr>
        <w:t>تقدیر فهی تدلّ علی سلب الربط لا ربط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الجمل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فالهیئة فیه تدلّ علی الهُوهُویّة التصوّریّة،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الإضافة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المحقّق العراقی قدس سره من أنّ الهیئة فی القضایا موضوعة لکونِ الرابطِ و النسبةِ بین الطرفین</w:t>
      </w:r>
      <w:r>
        <w:rPr>
          <w:rStyle w:val="FootnoteAnchor"/>
          <w:rtl w:val="true"/>
        </w:rPr>
        <w:footnoteReference w:id="63"/>
      </w:r>
      <w:r>
        <w:rPr>
          <w:rFonts w:ascii="IRNazanin" w:hAnsi="IRNazanin" w:eastAsia="IRNazanin"/>
          <w:color w:val="111111"/>
          <w:sz w:val="28"/>
          <w:sz w:val="28"/>
          <w:szCs w:val="28"/>
          <w:rtl w:val="true"/>
          <w:lang w:bidi="fa-IR"/>
        </w:rPr>
        <w:t xml:space="preserve">لما عرفت من خُلُوّ کثیرٍ من القضایا و الجمل عن الربط،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معنی لدلالتها علیه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الهیئة قد تطرأ علی القول المرکّب ترکیباً ناقصاً،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تطرأ علی المرکّب ترکیباً تامّاً، کالجمل الإنشائیّة و الإخباریّة، و الفرق بینهما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تحکی عن النسبة الثابتة التی تعتبر قیداً مقوِّماً للموضوع أو المحمول، کما 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غلامُ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الهیئة الثانیة تحکی عن إیقاع النسبة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إنشاء العِتق، و الإنسان یری بالوجدان أنّ المتکلّم یری الموضوع عاریاً عن النسبة التی یرید إثباتها إخباراً أو إنشاءً، و هو بالحمل أو الإنشاء یوقعها بین الموضوع و المحمول، بخلاف النحو الأوّل، فإنّ المتکلّم یری النسبة فیه ثابتة للموضوع و المحمول، فیعتبرها جزءاً للموضوع أو المحمول، و بهذه العنایة یکون مفاد الترکیب الأوّل فی طول مفاد الترکیب الثانی، و متأخِّراً عنه تأخّر الوقوع عن الإیقاع</w:t>
      </w:r>
      <w:r>
        <w:rPr>
          <w:rStyle w:val="FootnoteAnchor"/>
          <w:rtl w:val="true"/>
        </w:rPr>
        <w:footnoteReference w:id="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وجود التهافت فی کلامه؛ حیث صرّح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w:t>
      </w:r>
      <w:bookmarkStart w:id="67" w:name="pg12886_133154"/>
    </w:p>
    <w:p>
      <w:pPr>
        <w:pStyle w:val="BookText"/>
        <w:rPr/>
      </w:pPr>
      <w:bookmarkEnd w:id="67"/>
      <w:r>
        <w:rPr>
          <w:rFonts w:ascii="IRNazanin" w:hAnsi="IRNazanin" w:eastAsia="IRNazanin"/>
          <w:color w:val="111111"/>
          <w:sz w:val="28"/>
          <w:sz w:val="28"/>
          <w:szCs w:val="28"/>
          <w:rtl w:val="true"/>
          <w:lang w:bidi="fa-IR"/>
        </w:rPr>
        <w:t>موضوعة للإیقاع، و صرّح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موضوعة للکون الرابط و النسبة بین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به غیر ما یوجده بهذا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بإیقاع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ارتباط لأحدهما بالآخر و لا نسبةَ بینهما؛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العنایة یکون مفادُ الترکیب الأوّل فی طول الترکیب الثانی، و متأخّراً عنه تأخّر الوقوع عن الإیقاع، کما لا ارتباطَ بین الوقوع و الإیقاع الذین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فی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له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الوقوع فی أحدهما معلولًا لإیقاع فی الآخر؛ کی یتأخّر عنه و لو بالرتبة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 ما ذکره الجمعَ بین اللحاظین الآلی و الاستقلالی فی استعمال واحد، و هو محال؛ و ذلک لأنّه قد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تامّة، و الاخری ناقصة، أمّا الثانیة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 و هی معنیً حرفی قائم بالطرفین، فلحاظه 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النسبة جزء مقوِّم الموضوع، الذی هو أحد طرفی النسبة التامّة، فلا بدّ أن تکون معنیً اسمیّاً ینظر فیه؛ لعدم وقوع المعنی الحرفی موضوعاً أو محمولًا، فلا بدّ من لحاظ النسبة الناقصة استقلالیّاً و آلیّاً معاً فی استعمال واحد، و هو محال</w:t>
      </w:r>
      <w:r>
        <w:rPr>
          <w:rFonts w:eastAsia="IRNazanin" w:cs="IRNazanin"/>
          <w:color w:val="111111"/>
          <w:sz w:val="28"/>
          <w:szCs w:val="28"/>
          <w:rtl w:val="true"/>
          <w:lang w:bidi="fa-IR"/>
        </w:rPr>
        <w:t>.</w:t>
      </w:r>
    </w:p>
    <w:p>
      <w:pPr>
        <w:pStyle w:val="Heading5"/>
        <w:numPr>
          <w:ilvl w:val="4"/>
          <w:numId w:val="1"/>
        </w:numPr>
        <w:rPr/>
      </w:pPr>
      <w:bookmarkStart w:id="68" w:name="__RefHeading___Toc3023849_3224264995"/>
      <w:bookmarkStart w:id="69" w:name="_Toc25"/>
      <w:bookmarkEnd w:id="68"/>
      <w:r>
        <w:rPr>
          <w:rtl w:val="true"/>
        </w:rPr>
        <w:t>تکملة</w:t>
      </w:r>
      <w:r>
        <w:rPr>
          <w:rtl w:val="true"/>
        </w:rPr>
        <w:t>:</w:t>
      </w:r>
      <w:bookmarkEnd w:id="69"/>
    </w:p>
    <w:p>
      <w:pPr>
        <w:pStyle w:val="BookText"/>
        <w:rPr/>
      </w:pPr>
      <w:r>
        <w:rPr>
          <w:rFonts w:ascii="IRNazanin" w:hAnsi="IRNazanin" w:eastAsia="IRNazanin"/>
          <w:color w:val="111111"/>
          <w:sz w:val="28"/>
          <w:sz w:val="28"/>
          <w:szCs w:val="28"/>
          <w:rtl w:val="true"/>
          <w:lang w:bidi="fa-IR"/>
        </w:rPr>
        <w:t>هنا نکتة لا بأس بالإشارة إلیها، و هی أنّ الفرق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الهیئة فی الأوّل تدلّ علی الهُوهُویّة التصوّریّة، و فی الثانی علی الهُوهُویّة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جهتین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الأوّل للإضافة التصوّریّة، و الثانی للإضافة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الأوّل للهُوهُویّة، و الثانی لتحقّق الإضافة التصدیقیّة، و کذلک الفرق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هیئة الأوّل تدلّ علی الإضافة التصوّریّة، و الثانی علی الهُوهُویّة التصدیقیّة، ثمّ لو أردنا تحویل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ترکیب تامّ، یُحمل أحدهما علی الآخر،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احتیاج إلی زیادة معونة اخری، بخلاف ما لو أردنا تبدیل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ترکیب تامّ، فإنّه لا یمکن إلّا بتغییر زائد بزیادة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لیدلّ الحرف الزائد علی النسبة و 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ممّا یُؤیّد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هیئة الجمل الناقصة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هی للهُوهُویّة التصوّریّة، و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للهُوهُویّة التصدیقیّة، بخلاف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مُؤوّل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سیجی‌ء الکلام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المشتقّ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 الکلام فیها یحتاج إلی ملاحظة الإیجاد التکوینی، ثمّ الکلام فی التشریعی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أوجد أحد شیئاً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کالضرب الذی هو معنیً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صدر عنه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 الذی وقع علیه الضرب،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الضرب،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الضرب علیه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الإیجاد للضرب بالمعنی المصدری فهو و إن کان له نوع وجود حقیقة فی الخارج فی قبال عدمه، إلّا أنّه لیس بمثابة وجود المذکورات الأربعة التی بعضها من الجواهر، و بعضها من الأعراض، بل له وجود متدلٍّ علی وجود الفاعل و المفعول و معلّق علیهما، لا أنّه موجود مستقلٌّ فی قبالهما، فلیس للکسر وجود مستقلّ سوی وجود الانکسار فی الخارج، فإذا کان هذا حال الإیجاد فی التکوینیّات، فالتشریعیّات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التکوینیّات و وزانها؛ حیث إنّ الإنسان مدنی بالطبع بعد انتقاله</w:t>
      </w:r>
    </w:p>
    <w:p>
      <w:pPr>
        <w:pStyle w:val="BookText"/>
        <w:rPr/>
      </w:pPr>
      <w:r>
        <w:rPr>
          <w:rFonts w:ascii="IRNazanin" w:hAnsi="IRNazanin" w:eastAsia="IRNazanin"/>
          <w:color w:val="111111"/>
          <w:sz w:val="28"/>
          <w:sz w:val="28"/>
          <w:szCs w:val="28"/>
          <w:rtl w:val="true"/>
          <w:lang w:bidi="fa-IR"/>
        </w:rPr>
        <w:t>عن حال الانفراد إلی حال الاجتماع، فافتقر إلی جعل قوانین تنتظم بالعمل بها امور معاشهم، و یستقیم نظامهم من البیع و النکاح و الإجارة و غیرها من عقلائهم أو غیرهم، فإذا أوقع البیع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الإنشاء، فالبیع یدلّ علی مفهومه الاسمی، و کذا لفظ الدار، و الضمیر علی استناده إلی المتکلّم، و الهیئة علی الإیجاد بالمعنی الحرفی، الذی هو قائم بالغیر فی الخارج، و وجوده مُتدلٍّ معلّق علیه، و لا وجود له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البعث الإنشائی و الإخباری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اشتراکهما فی أنّ هیئتهما وُضعت للدلالة علی الإیجاد بالمعنی الحرفی، کما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الهیئة فی الأوّل للإیقاع و الإیجاد بالفعل و فی الحال، و فی الثانی للإخبار بتحقّقه فی الماضی؛ أی تحقّق الإیقاع فی السابق، إمّا تشریعاً،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الدار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تکویناً،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الإنشاء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الاتّحاد و الهُوهُویّة،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لوضوح أنّه لیس المراد إیقاع نسبة الحریّة أو الضمان و الوکالة بین الطرفین، بل المراد جعله متّحداً مع الحرّ و الوکیل و غیره، و إن شئتَ قلت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 مصداقاً للحرّ و الوکیل، و لذا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الحُریّة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إنشاء أمر اعتباری غیر الهُوهُویّة،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مقام إنشاء البیع، فإنّ المراد إنشاءُ أمر اعتباری ذی إضافات، فإنّ للبیع إضافةً إلی البائع، و إضافةً إلی المشتری، و إضافةً إلی العوضین، و لیس المراد جعل البائع بائعاً أو المشتری مشتریاً؛ لیکون مفاده إیقاع الهُوهُویّة، بل إیقاع البیع الذی هو أمر اعتباری ذو إضافات</w:t>
      </w:r>
      <w:r>
        <w:rPr>
          <w:rFonts w:eastAsia="IRNazanin" w:cs="IRNazanin"/>
          <w:color w:val="111111"/>
          <w:sz w:val="28"/>
          <w:szCs w:val="28"/>
          <w:rtl w:val="true"/>
          <w:lang w:bidi="fa-IR"/>
        </w:rPr>
        <w:t>.</w:t>
      </w:r>
      <w:bookmarkStart w:id="70" w:name="pg12886_133157"/>
    </w:p>
    <w:p>
      <w:pPr>
        <w:pStyle w:val="Heading4"/>
        <w:numPr>
          <w:ilvl w:val="3"/>
          <w:numId w:val="1"/>
        </w:numPr>
        <w:rPr/>
      </w:pPr>
      <w:bookmarkStart w:id="71" w:name="__RefHeading___Toc3023851_3224264995"/>
      <w:bookmarkStart w:id="72" w:name="_Toc26"/>
      <w:bookmarkEnd w:id="70"/>
      <w:bookmarkEnd w:id="71"/>
      <w:r>
        <w:rPr>
          <w:rtl w:val="true"/>
        </w:rPr>
        <w:t>المبحث السادس فی بیان أوضاع أسماء الإشارات و الضمائر و الموصولات</w:t>
      </w:r>
      <w:bookmarkEnd w:id="72"/>
    </w:p>
    <w:p>
      <w:pPr>
        <w:pStyle w:val="Heading5"/>
        <w:numPr>
          <w:ilvl w:val="4"/>
          <w:numId w:val="1"/>
        </w:numPr>
        <w:rPr/>
      </w:pPr>
      <w:bookmarkStart w:id="73" w:name="__RefHeading___Toc3023853_3224264995"/>
      <w:bookmarkStart w:id="74" w:name="_Toc27"/>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أمّا أسماء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بعضهم</w:t>
      </w:r>
      <w:r>
        <w:rPr>
          <w:rStyle w:val="FootnoteAnchor"/>
          <w:rtl w:val="true"/>
        </w:rPr>
        <w:footnoteReference w:id="65"/>
      </w:r>
      <w:r>
        <w:rPr>
          <w:rFonts w:ascii="IRNazanin" w:hAnsi="IRNazanin" w:eastAsia="IRNazanin"/>
          <w:color w:val="111111"/>
          <w:sz w:val="28"/>
          <w:sz w:val="28"/>
          <w:szCs w:val="28"/>
          <w:rtl w:val="true"/>
          <w:lang w:bidi="fa-IR"/>
        </w:rPr>
        <w:t>إلی أنّها موضوعة لیشار بها إلی شی‌ءٍ، و آخرون</w:t>
      </w:r>
      <w:r>
        <w:rPr>
          <w:rStyle w:val="FootnoteAnchor"/>
          <w:rtl w:val="true"/>
        </w:rPr>
        <w:footnoteReference w:id="66"/>
      </w:r>
      <w:r>
        <w:rPr>
          <w:rFonts w:ascii="Amiri" w:hAnsi="Amiri" w:eastAsia="Amiri" w:cs="Amiri"/>
          <w:color w:val="111111"/>
          <w:sz w:val="28"/>
          <w:sz w:val="28"/>
          <w:szCs w:val="28"/>
          <w:rtl w:val="true"/>
          <w:lang w:bidi="ar-SA"/>
        </w:rPr>
        <w:t>إلی أنّها موضوعة للمشار إلیه قالَ ابنُ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لمفردٍ مُذکّرٍ أشِرْ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لإیجاد الإشارة الجزئیّة الخارجیّة، التی یُحمل علیها مفهوم الإشارة بالحمل الشائع، القائمة بالمشیر و المشار إلیه، الغیر المستقلّة بالذات، کسائر المعانی الحرفیّة،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لا أسماء؛ لعدم استقلال معانیها، لا فی الذهن و التعقّل، و لا فی الخارج، و قد یوقع الإشارة بغیر ألفاظها، کالإشارة بالإصبع إلی شی‌ءٍ، فیُتوهّم خروج خطٍّ من رأس الإصبع ممتدّ إلی المُشار إلیه، و حینئذٍ فلا تقع أسماء الإشارة مبتدأً، کما توهّم النحویّون</w:t>
      </w:r>
      <w:r>
        <w:rPr>
          <w:rStyle w:val="FootnoteAnchor"/>
          <w:rtl w:val="true"/>
        </w:rPr>
        <w:footnoteReference w:id="68"/>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لامتناع الإسناد إلی معنیً حرفی، بل المسند إلیه فیه هو المشار إلیه الخارجی، لا لفظ هذا، بل الأمر فی سائر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لیس المسند إلیه إلّا المعنی لا اللّفظ، و کذلک المسند؛ إذ الألفاظ بنفسها غیر مرتبطة بعضها مع الآخر ذاتاً، بل تبعاً لارتباط المعانی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ما هو المشهور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أسماءٌ وُضعت للمُشار إلیه المحسوس، و أنّ الحقَّ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آلة یستحضر باستعمالها المُشار إلیه فی ذهن المخاطب؛ لیحکم علیه بحکم، و هکذا الکلام فی المثنّی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هما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لا أسماء، و أنّها موضوعة لإیجاد الإشارة، و الفرق بینها و بین أسماء الإشارة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أنّها للإشارة إلی الغائب، و تلک للإشارة إلی الحاضر المحسوس و ما فی حکمه، و أمّا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أنتما و أنتنّ 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أنّها لیست بضمائر، بل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للمتکلِّم،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الواحد،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لثلاثة، و هکذا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موضوعان للشخص، و الفرق هو أنّ الأعلام الشخصیّة موضوعة لشخص خاصّ مُعیَّن، بخلاف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فالغالب فیها أنّها حروف موضوعة لإیجاد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لإیجاد نحوٍ خاصّ من الإشارة؛ أی فیما إذا أراد المتکلِّم توصیف المشار إلیه بوصفٍ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فروعهما، التی هی مرادفة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الفارسیّة، و 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لیست من الموصولات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الضمائر و الموصولات و أدوات الإشارة کلّها حروف</w:t>
      </w:r>
      <w:r>
        <w:rPr>
          <w:rStyle w:val="FootnoteAnchor"/>
          <w:rtl w:val="true"/>
        </w:rPr>
        <w:footnoteReference w:id="69"/>
      </w:r>
      <w:r>
        <w:rPr>
          <w:rFonts w:ascii="IRNazanin" w:hAnsi="IRNazanin" w:eastAsia="IRNazanin"/>
          <w:color w:val="111111"/>
          <w:sz w:val="28"/>
          <w:sz w:val="28"/>
          <w:szCs w:val="28"/>
          <w:rtl w:val="true"/>
          <w:lang w:bidi="fa-IR"/>
        </w:rPr>
        <w:t>وضعت لإیجاد الإشارة فی الخارج، و الدلیل علی ذلک هو التبادر و سبق الإشارة الخارجیّة من الألفاظ المذکورة إلی الذهن، فالوضع فیها عامّ و الموضوع له خاصّ، و إنّ الواضع لها لاحظ المعنی الاسمی للإشارة، و وضع ألفاظها للأفراد الجزئیّة الخارجیّة للإشارة لما لها نحو حکایة عنها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الفرق بین الضمائر و الموصولات و بین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إنّما هو فی الخصوصیّات، و إلّا فالجمیع لإیجاد الإشارة</w:t>
      </w:r>
      <w:r>
        <w:rPr>
          <w:rFonts w:eastAsia="IRNazanin" w:cs="IRNazanin"/>
          <w:color w:val="111111"/>
          <w:sz w:val="28"/>
          <w:szCs w:val="28"/>
          <w:rtl w:val="true"/>
          <w:lang w:bidi="fa-IR"/>
        </w:rPr>
        <w:t>.</w:t>
      </w:r>
      <w:bookmarkStart w:id="75" w:name="pg12886_133159"/>
    </w:p>
    <w:p>
      <w:pPr>
        <w:pStyle w:val="Heading5"/>
        <w:numPr>
          <w:ilvl w:val="4"/>
          <w:numId w:val="1"/>
        </w:numPr>
        <w:rPr/>
      </w:pPr>
      <w:bookmarkStart w:id="76" w:name="__RefHeading___Toc3023855_3224264995"/>
      <w:bookmarkStart w:id="77" w:name="_Toc28"/>
      <w:bookmarkEnd w:id="75"/>
      <w:bookmarkEnd w:id="76"/>
      <w:r>
        <w:rPr>
          <w:rtl w:val="true"/>
        </w:rPr>
        <w:t>خاتمة</w:t>
      </w:r>
      <w:r>
        <w:rPr>
          <w:rtl w:val="true"/>
        </w:rPr>
        <w:t>:</w:t>
      </w:r>
      <w:bookmarkEnd w:id="77"/>
    </w:p>
    <w:p>
      <w:pPr>
        <w:pStyle w:val="BookText"/>
        <w:rPr/>
      </w:pPr>
      <w:r>
        <w:rPr>
          <w:rFonts w:ascii="IRNazanin" w:hAnsi="IRNazanin" w:eastAsia="IRNazanin"/>
          <w:color w:val="111111"/>
          <w:sz w:val="28"/>
          <w:sz w:val="28"/>
          <w:szCs w:val="28"/>
          <w:rtl w:val="true"/>
          <w:lang w:bidi="fa-IR"/>
        </w:rPr>
        <w:t>اشتهر بین الادباء أنّ الحروف لا یُخبر عنها و لا بها</w:t>
      </w:r>
      <w:r>
        <w:rPr>
          <w:rStyle w:val="FootnoteAnchor"/>
          <w:rtl w:val="true"/>
        </w:rPr>
        <w:footnoteReference w:id="70"/>
      </w:r>
      <w:r>
        <w:rPr>
          <w:rFonts w:ascii="Amiri" w:hAnsi="Amiri" w:eastAsia="Amiri" w:cs="Amiri"/>
          <w:color w:val="111111"/>
          <w:sz w:val="28"/>
          <w:sz w:val="28"/>
          <w:szCs w:val="28"/>
          <w:rtl w:val="true"/>
          <w:lang w:bidi="ar-SA"/>
        </w:rPr>
        <w:t>مُستدلّین بأنّها مغفول عنها للمتکلّم عند التکلّم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أرادوا أنّها تُتعقّل استقلالًا، فهو صحیح؛ لأنّ المعانی الحرفیّة کلّها کذلک، لکنّ الإخبار عنها و بها لا یتوقّف علی تعقّلها کذلک، بل یصحّ الإخبار عنها و بها بتعقّلها تبعاً للغیر، کما أنّها فی وجودها الخارجی کذلک، بل المخبر به أو عنه فی جمیع القضایا هی النسب الجزئیّة، فالمرادُ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الإخبارُ عن وقوع النسبة بینهما، و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وقوع النسبة الخبریّة، لا الإخبار عن زید و لا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تقع الحروف مبتدأً، و لا یبتدأ بها فی الکلام لاعتبار الاستقلال فی المبتدأ</w:t>
      </w:r>
      <w:r>
        <w:rPr>
          <w:rFonts w:eastAsia="IRNazanin" w:cs="IRNazanin"/>
          <w:color w:val="111111"/>
          <w:sz w:val="28"/>
          <w:szCs w:val="28"/>
          <w:rtl w:val="true"/>
          <w:lang w:bidi="fa-IR"/>
        </w:rPr>
        <w:t>.</w:t>
      </w:r>
      <w:bookmarkStart w:id="78" w:name="pg12886_133160"/>
    </w:p>
    <w:p>
      <w:pPr>
        <w:pStyle w:val="Heading3"/>
        <w:numPr>
          <w:ilvl w:val="2"/>
          <w:numId w:val="1"/>
        </w:numPr>
        <w:rPr/>
      </w:pPr>
      <w:bookmarkStart w:id="79" w:name="__RefHeading___Toc3023857_3224264995"/>
      <w:bookmarkStart w:id="80" w:name="_Toc29"/>
      <w:bookmarkEnd w:id="78"/>
      <w:bookmarkEnd w:id="79"/>
      <w:r>
        <w:rPr>
          <w:rtl w:val="true"/>
        </w:rPr>
        <w:t>الأمر الخامس فی وضع المجازات</w:t>
      </w:r>
      <w:bookmarkEnd w:id="80"/>
    </w:p>
    <w:p>
      <w:pPr>
        <w:pStyle w:val="Heading4"/>
        <w:numPr>
          <w:ilvl w:val="3"/>
          <w:numId w:val="1"/>
        </w:numPr>
        <w:rPr/>
      </w:pPr>
      <w:bookmarkStart w:id="81" w:name="__RefHeading___Toc3023859_3224264995"/>
      <w:bookmarkStart w:id="82" w:name="_Toc30"/>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استعمال اللّفظ فیما یُناسب ما وُضع له، هل هو بالوضع أو بالطبع؟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أنّه بالطبع؛ لشهادة الوجدان بحسن الاستعمال فیه و لو مع منع الواضع عنه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باب المجازات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بینهم من أنّ اللّفظ فیها مُستعمل فی غیر ما هو الموضوع له لعلاقة</w:t>
      </w:r>
      <w:r>
        <w:rPr>
          <w:rStyle w:val="FootnoteAnchor"/>
          <w:rtl w:val="true"/>
        </w:rPr>
        <w:footnoteReference w:id="72"/>
      </w:r>
      <w:r>
        <w:rPr>
          <w:rFonts w:ascii="IRNazanin" w:hAnsi="IRNazanin" w:eastAsia="IRNazanin"/>
          <w:color w:val="111111"/>
          <w:sz w:val="28"/>
          <w:sz w:val="28"/>
          <w:szCs w:val="28"/>
          <w:rtl w:val="true"/>
          <w:lang w:bidi="fa-IR"/>
        </w:rPr>
        <w:t>کالمشابهة، کما فی الاستعارات أو غیرها، کما فی المجازات المرسلة، و یُسمّی مجازاً لغویّاً، و مجازاً فی الکلمة، فالأسد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الرجل الشجاع لعلاقة المشابهة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السکّاکی من أنّ اللّفظ فی الاستعارات و المجازات مُستعمل فیما وضع له ادّعاءً بادّعاء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الموضوع له للأسد، فللأسد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هو المفترس الذی یسکن البادیة، و ادّعائی، و هو الرجل الشجاع الذی یسکن الأمصار، فالتصرّف إنّما هو فی أمر عقلی، و هو ادّعاء ما لیس من أفراد الموضوع له حقیقةً أنّه من أفراده، و إلّا فاللّفظ مُستعمل فیما وُضع 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اللّفظ فی المجازات یرادُ به المعنی الموضوع له بالإرادة الاستعمالیّة، و یراد بحسب الجدّ المعنی المناسب للموضوع له، فالأسد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الحیوان المفترس الذی یسکنُ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الاستعمالیة، و لکنّ المراد الجدّی المستکشف بالقرینة هو الرجل الشجاع؛ بدعوی أنّه هو المعنی الحقیقی للأسد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قول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الحیوان المفترس؛ أی الأسد الحقیقی، و علی قول السکّاکی مُستعمل فی الفرد الادّعائی، فالادّعاء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بعد الاستعمال فی المعنی الحقیقی، و علی قول السکّاکی قبله، و هذا القول الثالث أدقّ و ألطف من قول السکّاکی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المشهور فهو بمکان من السخافة، و ذلک فإنّه لو قُدِّر المضاف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الکلام عن اللّطف و البلاغة و الظرافة، و کذلک لو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تُظلِّلنی من الشمس</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فی شخص بالإرادة الاستعمالیّة، خرج الکلام عن اللطافة، و لا عجب فیه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یُظللنی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الموجب للتعجّب هو تظلیل الشمس من الشمس، و کذلک قولُ الفرزدق فی وصف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 البطحاءُ وَطْأتَهُ‌و البیتُ یعرفُهُ و الحِلُّ و الحَرمُ</w:t>
      </w:r>
      <w:r>
        <w:rPr>
          <w:rStyle w:val="FootnoteAnchor"/>
          <w:rtl w:val="true"/>
        </w:rPr>
        <w:footnoteReference w:id="7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لو قُدِّر فیه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البطحاء، و أهل الحرم و الحلّ، و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الکلام عن اللطافة و الحسن و الظرافة،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w:t>
      </w:r>
    </w:p>
    <w:p>
      <w:pPr>
        <w:pStyle w:val="BookText"/>
        <w:rPr/>
      </w:pPr>
      <w:r>
        <w:rPr>
          <w:rFonts w:ascii="IRNazanin" w:hAnsi="IRNazanin" w:eastAsia="IRNazanin"/>
          <w:color w:val="111111"/>
          <w:sz w:val="28"/>
          <w:sz w:val="28"/>
          <w:szCs w:val="28"/>
          <w:rtl w:val="true"/>
          <w:lang w:bidi="fa-IR"/>
        </w:rPr>
        <w:t>البطحاء و البیت و الحلّ و الحرم، فکأنّه ادّعی أنّه علیه السلام فی مقامه بمکان من الظهور و الوضوح و المعروفیّة؛ بحیث تعرفه الجمادات، و هو توصیف بلیغ للإمام علیه السلام و لا یخفی حسنه و بلاغته و ظرافته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حسن الاستعارات إنّما هو من جهة المعنی لا اللّفظ، فلا إشکال فی فساد مذهب المشهور فی باب المجازات و الاستعارات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اللّفظ فی الاستعارة و المجاز المُرسَل مُستعمل فی الفرد الادّعائی، و بعد ادّعاء أنّه من أفراد الحیوان المفترس، کما هو مقتضی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یستقیم فی أسماء الأجناس، لا فی الأعلام الشخصیّة، فإنّه إنما یصحّ إذا کان المعنی الحقیقی للّفظ من الطبائع التی لها أفراد، یمکن دعوی فردیّة ما لیس فرداً له حقیقةً من أفراده، و لا یُتصوّر ذلک فی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 ذکره إلی القول المشهور؛ لأنّ 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استعمل اللّفظ فی الفرد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بادّعاء أنّه من أفراد الأسد، و من المعلوم أنّ مجرّد الادّعاء لا یُخرجه عن استعمال اللّفظ فی الرجل الشجاع، و لا أثر للادّعاء المذکور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الکلّی؛ أی الطبیعی لا الفرد، فاستعماله فی الفرد استعمال فی غیر ما هو الموضوع له، کما هو الشأن فی جمیع أسماء الأجناس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الموافق للتحقیق هو القول الثالث،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الحقیقی؛ أی طبیعة الحیوان المفترس، لکن عُلِم بالقرینة أنّ مراد المتکلّم جدّاً هو الرجل الشجاع</w:t>
      </w:r>
      <w:r>
        <w:rPr>
          <w:rFonts w:eastAsia="IRNazanin" w:cs="IRNazanin"/>
          <w:color w:val="111111"/>
          <w:sz w:val="28"/>
          <w:szCs w:val="28"/>
          <w:rtl w:val="true"/>
          <w:lang w:bidi="fa-IR"/>
        </w:rPr>
        <w:t>.</w:t>
      </w:r>
      <w:bookmarkStart w:id="83" w:name="pg12886_133163"/>
    </w:p>
    <w:p>
      <w:pPr>
        <w:pStyle w:val="Heading4"/>
        <w:numPr>
          <w:ilvl w:val="3"/>
          <w:numId w:val="1"/>
        </w:numPr>
        <w:rPr/>
      </w:pPr>
      <w:bookmarkStart w:id="84" w:name="__RefHeading___Toc3023861_3224264995"/>
      <w:bookmarkStart w:id="85" w:name="_Toc31"/>
      <w:bookmarkEnd w:id="83"/>
      <w:bookmarkEnd w:id="84"/>
      <w:r>
        <w:rPr>
          <w:rtl w:val="true"/>
        </w:rPr>
        <w:t>تبصرة</w:t>
      </w:r>
      <w:r>
        <w:rPr>
          <w:rtl w:val="true"/>
        </w:rPr>
        <w:t>:</w:t>
      </w:r>
      <w:bookmarkEnd w:id="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کثیراً من الأمثلة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المطوّل شرحاً و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للمجاز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من باب خلط المذهب بالمثال؛ حیث إنّ 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کلَّها منسوبة إلیه تعالی، فإنّه تعالی عِلّة تامَّة لها</w:t>
      </w:r>
      <w:r>
        <w:rPr>
          <w:rStyle w:val="FootnoteAnchor"/>
          <w:rtl w:val="true"/>
        </w:rPr>
        <w:footnoteReference w:id="79"/>
      </w:r>
      <w:r>
        <w:rPr>
          <w:rFonts w:ascii="Amiri" w:hAnsi="Amiri" w:eastAsia="Amiri" w:cs="Amiri"/>
          <w:color w:val="111111"/>
          <w:sz w:val="28"/>
          <w:sz w:val="28"/>
          <w:szCs w:val="28"/>
          <w:rtl w:val="true"/>
          <w:lang w:bidi="ar-SA"/>
        </w:rPr>
        <w:t>و حینئذٍ فالمثالُ المذکور عندهم مَجازٌ و أنبتَ اللَّه البقلَ حقیقة، و أمّا بناءً علی ما هو الحقّ من أنّهُ لا جبرَ و لا تفویضَ بل أمرٌ بینَ الأمرین</w:t>
      </w:r>
      <w:r>
        <w:rPr>
          <w:rStyle w:val="FootnoteAnchor"/>
          <w:rtl w:val="true"/>
        </w:rPr>
        <w:footnoteReference w:id="80"/>
      </w:r>
      <w:r>
        <w:rPr>
          <w:rFonts w:ascii="IRNazanin" w:hAnsi="IRNazanin" w:eastAsia="IRNazanin"/>
          <w:color w:val="111111"/>
          <w:sz w:val="28"/>
          <w:sz w:val="28"/>
          <w:szCs w:val="28"/>
          <w:rtl w:val="true"/>
          <w:lang w:bidi="fa-IR"/>
        </w:rPr>
        <w:t>فالحقّ إنّ المثالینِ کلاهما بنحو الحقیقة حیثُ أنّ صحّة الإسناد لا یتوقّفُ علی کون المسند إلیه علة تامّة بل یکفی کونه جزء العلّة</w:t>
      </w:r>
      <w:r>
        <w:rPr>
          <w:rFonts w:eastAsia="IRNazanin" w:cs="IRNazanin"/>
          <w:color w:val="111111"/>
          <w:sz w:val="28"/>
          <w:szCs w:val="28"/>
          <w:rtl w:val="true"/>
          <w:lang w:bidi="fa-IR"/>
        </w:rPr>
        <w:t>.</w:t>
      </w:r>
      <w:bookmarkStart w:id="86" w:name="pg12886_133164"/>
    </w:p>
    <w:p>
      <w:pPr>
        <w:pStyle w:val="Heading3"/>
        <w:numPr>
          <w:ilvl w:val="2"/>
          <w:numId w:val="1"/>
        </w:numPr>
        <w:rPr/>
      </w:pPr>
      <w:bookmarkStart w:id="87" w:name="__RefHeading___Toc3023863_3224264995"/>
      <w:bookmarkStart w:id="88" w:name="_Toc32"/>
      <w:bookmarkEnd w:id="86"/>
      <w:bookmarkEnd w:id="87"/>
      <w:r>
        <w:rPr>
          <w:rtl w:val="true"/>
        </w:rPr>
        <w:t>الأمر السادس إطلاق اللّفظ و إرادة نوعه أو شخصه</w:t>
      </w:r>
      <w:bookmarkEnd w:id="88"/>
    </w:p>
    <w:p>
      <w:pPr>
        <w:pStyle w:val="Heading4"/>
        <w:numPr>
          <w:ilvl w:val="3"/>
          <w:numId w:val="1"/>
        </w:numPr>
        <w:rPr/>
      </w:pPr>
      <w:bookmarkStart w:id="89" w:name="__RefHeading___Toc3023865_3224264995"/>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صحّة إطلاق اللّفظ و إرادة نوعه، کما لو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 إرادة صنفه، کما لو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إطلاقه و إرادة شخصه،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منه شخصُ نفسه، ففی صحّته بدون تأویل نظر؛ لاستلزامه اتّحاد الدالّ و المدلول أو ترکّب القضیّة من جزءین؛ لأنّ القضیّة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حاکیة عن المحمول و النسبة لا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تعدّد الدالّ و المدلول اعتباراً و إن اتّحدا ذاتاً، فمن حیث إنّه لفظ صادر عن لافظه فهو دالّ، و حیث إنّ نفسه و شخصه مراد مدلولٌ</w:t>
      </w:r>
      <w:r>
        <w:rPr>
          <w:rStyle w:val="FootnoteAnchor"/>
          <w:rtl w:val="true"/>
        </w:rPr>
        <w:footnoteReference w:id="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حیثیّة کونه صادراً إنّما تتحقّق بعد الاستعمال، و المفروض أنّ الاستعمال مُتوقّف علی صدوره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مستلزم لاجتماع النقیضین؛ لأنّه من حیث إنّه صادر من اللّافظ مغفول عنه، و من حیث توقّف الاستعمال علیه ملتفت إلیه، فیلزم کون الصدور مغفولًا عنه، و ملتفتاً إلیه فی زمان واحد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الإمکان فلا احتیاج إلی التقیید بالحیثیّة المذکورة،</w:t>
      </w:r>
    </w:p>
    <w:p>
      <w:pPr>
        <w:pStyle w:val="BookText"/>
        <w:rPr/>
      </w:pPr>
      <w:r>
        <w:rPr>
          <w:rFonts w:ascii="IRNazanin" w:hAnsi="IRNazanin" w:eastAsia="IRNazanin"/>
          <w:color w:val="111111"/>
          <w:sz w:val="28"/>
          <w:sz w:val="28"/>
          <w:szCs w:val="28"/>
          <w:rtl w:val="true"/>
          <w:lang w:bidi="fa-IR"/>
        </w:rPr>
        <w:t>بل هو لغو لا أثر له؛ و ذلک لأنّه قد یتلفّظ الإنسان بلفظ، و یرید نفس هذا اللّفظ و شخصه بدون الانتقال و الالتفات إلی معناه، کما لو سمع العجمی الغیر العارف بالعربیّة لفظاً عربیّاً، فإنّه لا یقع فی ذهنه إلّا نفس هذا اللّفظ دون معناه، و قد یُتلفّظ به و یُطلق، و یُراد به معناه و مفهومه، و الأوّل لیس من قبیل استعمال اللّفظ أصلًا، بل هو إلقاء له؛ لیقع فی ذهن المخاطب لیحکم علیه، فلا یحتاج إلی الدالّ و المدلول؛ لأنّه فرع الاستعمال، و حینئذٍ فلا یلزم اتّحاد الدالّ و المدلول؛ کی یتجشّم لدفعه بما ذکره قدس سره بخلاف القسم الثانی، فهو المحتاج إلی تعدّد الدالّ و المدلول؛ لأنّه من قبیل استعمال اللّفظ فی المعنی، فإطلاق اللّفظ و إرادة شخصه صحیح بدون التکلّف الذی ارتکبه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إطلاقه و إرادة مثله و صنفه و نوعه فهل یجوز أو لا؟ و علی الأوّل فهل هو من قبیل الاستعمال أو الإلقاء؟</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إرادة المثل منه فهو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المتکلّم الحکم علی مثله الموجود فی الخارج،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فی کلامک مُبتدأ، و قائمٌ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المِثْلان أمران وجودیّان متباینان فی الخصوصیّات الخارجیّة المشخِّصة، مندرجان تحت کلّی واحد، و لا إشکال فی صحّة الاستعمال فی هذا القسم و وقوعه فی المحاورات، و لا إشکال أیضاً فی أنّه من قبیل استعمال اللّفظ فی المعنی، و هو المِثْل، و لیس من قبیل الإلقاء؛ لأنّ المِثل مباین لِمثله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المتکلِّم الحکم علی نفس الصورة التی توجد فی ذهن المخاطب بإطلاق اللّفظ،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معلومک أو محسوسک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القسم من قبیل إلقاء اللّفظ فی ذهن المخاطب لیحکم علیه، لا من قبیل استعمال اللّفظ فی المعنی؛ لعدم انتقال المخاطب من الصورة الذهنیة إلی شی‌ءٍ آخر هو المحکوم علیه، بخلاف القسم الأوّل، فإنّه ینتقلُ من الصورة الذهنیة إلی المعنی المراد، و هو المثل الخارجی، و هو المحکوم</w:t>
      </w:r>
    </w:p>
    <w:p>
      <w:pPr>
        <w:pStyle w:val="BookText"/>
        <w:rPr/>
      </w:pPr>
      <w:r>
        <w:rPr>
          <w:rFonts w:ascii="IRNazanin" w:hAnsi="IRNazanin" w:eastAsia="IRNazanin"/>
          <w:color w:val="111111"/>
          <w:sz w:val="28"/>
          <w:sz w:val="28"/>
          <w:szCs w:val="28"/>
          <w:rtl w:val="true"/>
          <w:lang w:bidi="fa-IR"/>
        </w:rPr>
        <w:t>علیه، فیحدث بالحرکة العطفیّة صورة مثلّث موهوم، فیصیر من قبیل الاستعمال و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إطلاقه و إرادة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إمکانه بنحو الاستعمال، و ربّما قیل بإمکانه بنحو الإلقاء أیضاً،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جُرِّد عن العوارض الفردیة و الخصوصیّات المشخّصة یصیر مُتّحداً مع النوع، فبهذا الاعتبار صحَّ إلقاؤه فی ذهن المخاطَب و الحکم علیه مع إرادة النوع منه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اعتبار تجریده عن الخصوصیّات الفردیّة أو الذهول عنها، لا یوجب خروجه عن الجزئیّة و الفردیّة، فهو مُغایر لنوعه و لو مع التجرید، و حینئذٍ یتعیّن کونه بنحو الاستعمال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اللّفظ و إرادة شخصه لیس من قبیل إلقاء الموضوع، و لا من قبیل الاستعمال و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الاستعمال یفتقر إلی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الدالّ، و الصورة الحاصلة فی ذهن المخاطب عند إطلاق اللّفظ، و نفس المعنی المدلول، الذی ینتقل إلیه المخاطب بواسطة الصورة الذهنیة،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ینتقش فی ذهن المخاطب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ینتقل منها إلی ذاته؛ بحیث یتوهّم بالحرکة العطفیّة صورة مثلّث موهوم؛ لتوجّه ذهن المخاطَب من اللّفظ إلی الصورة الذهنیّة، و منها إلی نفس المعنی، و لیس فی استعمال اللّفظ و إرادة شخصه أمران من الامور الثلاثة المتقدّمة لیتحقّق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الصورةُ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الاستعمال یتوقّف علی الامور الثلاثة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لیس من قبیل إلقاء الموضوع فی ذهن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إذا اطلق اللّفظ و ارید به شخصه،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هذا الإطلاق إیجاد صورة</w:t>
      </w:r>
      <w:bookmarkStart w:id="91" w:name="pg12886_133167"/>
    </w:p>
    <w:p>
      <w:pPr>
        <w:pStyle w:val="BookText"/>
        <w:rPr/>
      </w:pPr>
      <w:bookmarkEnd w:id="91"/>
      <w:r>
        <w:rPr>
          <w:rFonts w:ascii="IRNazanin" w:hAnsi="IRNazanin" w:eastAsia="IRNazanin"/>
          <w:color w:val="111111"/>
          <w:sz w:val="28"/>
          <w:sz w:val="28"/>
          <w:szCs w:val="28"/>
          <w:rtl w:val="true"/>
          <w:lang w:bidi="fa-IR"/>
        </w:rPr>
        <w:t>اللّفظ فی ذهن المخاطَب، و ینتقل بهذه الصورة إلی شخص اللّفظ؛ بحیث یُوجد بالحرکة الإرجاعیّة خطّ موهوم من اللّفظ إلی الصورة الذهنیّة، و منها إلی اللّفظ نفسه، و للصورة نحو حکایة عن اللّفظ و دلالة، فاللّفظ محکیٌّ و موجب لإیجاد حاکی نفسه فی ذهن المخاطب، و حینئذٍ فهو لیس من قبیل الإلقاء أیضاً</w:t>
      </w:r>
      <w:r>
        <w:rPr>
          <w:rFonts w:eastAsia="IRNazanin" w:cs="IRNazanin"/>
          <w:color w:val="111111"/>
          <w:sz w:val="28"/>
          <w:szCs w:val="28"/>
          <w:rtl w:val="true"/>
          <w:lang w:bidi="fa-IR"/>
        </w:rPr>
        <w:t>.</w:t>
      </w:r>
    </w:p>
    <w:p>
      <w:pPr>
        <w:pStyle w:val="Heading4"/>
        <w:numPr>
          <w:ilvl w:val="3"/>
          <w:numId w:val="1"/>
        </w:numPr>
        <w:rPr/>
      </w:pPr>
      <w:bookmarkStart w:id="92" w:name="__RefHeading___Toc3023867_3224264995"/>
      <w:bookmarkStart w:id="93" w:name="_Toc34"/>
      <w:bookmarkEnd w:id="92"/>
      <w:r>
        <w:rPr>
          <w:rtl w:val="true"/>
        </w:rPr>
        <w:t>تنبیه</w:t>
      </w:r>
      <w:r>
        <w:rPr>
          <w:rtl w:val="true"/>
        </w:rPr>
        <w:t>:</w:t>
      </w:r>
      <w:bookmarkEnd w:id="93"/>
    </w:p>
    <w:p>
      <w:pPr>
        <w:pStyle w:val="BookText"/>
        <w:rPr/>
      </w:pPr>
      <w:r>
        <w:rPr>
          <w:rFonts w:ascii="IRNazanin" w:hAnsi="IRNazanin" w:eastAsia="IRNazanin"/>
          <w:color w:val="111111"/>
          <w:sz w:val="28"/>
          <w:sz w:val="28"/>
          <w:szCs w:val="28"/>
          <w:rtl w:val="true"/>
          <w:lang w:bidi="fa-IR"/>
        </w:rPr>
        <w:t>استعمال اللّفظ فی شخصه و نوعه و مثله لیس حقیقةً، کما أنّه لیس مجازاً أیضاً؛ أمّا أنّه لیس بحقیقةٍ فلعدم استعماله فیما وضع له، و أمّا أنّه لیس بمجازٍ فلأنّه لیس من قبیل الاستعارة؛ لأنّ المهمّ فی الاستعارة هو تشبیه شی‌ءٍ بشی‌ءٍ، مع کون المتکلِّم بصدد بیان الکلام الفصیح البلیغ، کما فی مقام إلقاء الخطبة أو إنشاد الشّعر کما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تظلّلُنی و من عجبٍ‌شمسٌ تظلّلُنی من الشمسِ</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ما نحنُ فیه لیس کذلک؛ إذ لیس مراد المتکلّم تشبیه نوع اللّفظ أو مثله أو شخصه به، مع أنّه لیس فی مقام إلقاء الکلام الفصیح، و علی فرض أنّه استعارة فقد عرفت أنّ اللّفظ فی الاستعارة لیس مستعملًا فی غیر ما وضع له،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مُرسلًا، و هو واضح</w:t>
      </w:r>
      <w:r>
        <w:rPr>
          <w:rFonts w:eastAsia="IRNazanin" w:cs="IRNazanin"/>
          <w:color w:val="111111"/>
          <w:sz w:val="28"/>
          <w:szCs w:val="28"/>
          <w:rtl w:val="true"/>
          <w:lang w:bidi="fa-IR"/>
        </w:rPr>
        <w:t>.</w:t>
      </w:r>
    </w:p>
    <w:p>
      <w:pPr>
        <w:pStyle w:val="Heading4"/>
        <w:numPr>
          <w:ilvl w:val="3"/>
          <w:numId w:val="1"/>
        </w:numPr>
        <w:rPr/>
      </w:pPr>
      <w:bookmarkStart w:id="94" w:name="__RefHeading___Toc3023869_3224264995"/>
      <w:bookmarkStart w:id="95" w:name="_Toc35"/>
      <w:bookmarkEnd w:id="94"/>
      <w:r>
        <w:rPr>
          <w:rtl w:val="true"/>
        </w:rPr>
        <w:t>فائدة</w:t>
      </w:r>
      <w:r>
        <w:rPr>
          <w:rtl w:val="true"/>
        </w:rPr>
        <w:t>:</w:t>
      </w:r>
      <w:bookmarkEnd w:id="95"/>
    </w:p>
    <w:p>
      <w:pPr>
        <w:pStyle w:val="BookText"/>
        <w:rPr/>
      </w:pPr>
      <w:r>
        <w:rPr>
          <w:rFonts w:ascii="IRNazanin" w:hAnsi="IRNazanin" w:eastAsia="IRNazanin"/>
          <w:color w:val="111111"/>
          <w:sz w:val="28"/>
          <w:sz w:val="28"/>
          <w:szCs w:val="28"/>
          <w:rtl w:val="true"/>
          <w:lang w:bidi="fa-IR"/>
        </w:rPr>
        <w:t>هل الألفاظ موضوعة للمعانی النفس الأمریّة من حیث هی، أو لها من حیث أنّها مرادة؟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أنّ الحقّ هو الأوّل، و قد تقدّم أنّ حقیقة الوضع هو جعل اللّفظ للمعنی، و هو أمرٌ اعتباری لا جعل العلاقة بینهما تکویناً، و لا التعهّد و الالتزام بأنّه متی</w:t>
      </w:r>
    </w:p>
    <w:p>
      <w:pPr>
        <w:pStyle w:val="BookText"/>
        <w:rPr/>
      </w:pPr>
      <w:r>
        <w:rPr>
          <w:rFonts w:ascii="IRNazanin" w:hAnsi="IRNazanin" w:eastAsia="IRNazanin"/>
          <w:color w:val="111111"/>
          <w:sz w:val="28"/>
          <w:sz w:val="28"/>
          <w:szCs w:val="28"/>
          <w:rtl w:val="true"/>
          <w:lang w:bidi="fa-IR"/>
        </w:rPr>
        <w:t>اطلق اللّفظ الفلانی یُراد به المعنی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الألفاظ موضوعة للمعانی المرادة</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بها المعانی المقیّدة بالإرادة النفسانیّة التی یحمل علیها مفهوم الإرادة بالحمل الشائع؛ لأنّ الإرادة النفسانیّة جزئیّة؛ لأنّه لا بدّ فی تحقّقها و تحقّق 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الشوق و الخطور و غیرهما من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متعلَّقٍ؛ لامتناع تحقّقها کُلّیّةً بدون المتعلّق، فهو لیس مُراد القائلین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الموضوع له لها مقیّد بالإرادات العرضیّة بملاحظة الواضع مفهوم الإرادة و تقییده المعنی الموضوع له بالإرادات الجزئیّة الخارجیّة العرضیّة؛ لما له نحو حکایة عنها، 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 القائلین بهذا القول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القائلین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للمعنی الموضوع له نحوَ تضیّقٍ ناشٍ من ناحیة الواضع، فإنّ الوضع من الأفعال الاختیاریّة المسبوقة بمبادئ الإرادة، و من مبادئها تصوّر غایة الوضع، التی هی عبارة عن إفهام المخاطَب ذلک المعنی بهذا اللّفظ، فالمعانی الموضوع لها متقیّدة ذاتاً بکونها مرادة فی نفس الأمر، لا أنّ الواضع قیَّدها بالإرادة، و هذا نظیر وضع الأعلام الشخصیّة کزید، فإنّ لذاته المشخّصة حدّاً خاصّاً معیَّناً ذاتاً بحسب الطول و العرض، مع أنّ الواضع لم یلاحظ ذلک حین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لیکون هذا القید للموضوع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یرید القائل بأنّ الألفاظ موضوعة للمعانی المرادة هو ذلک المعنی، و علیه فالإشکالات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لیس بوارد و بین ما لا یضرّ، و لیس تالیاً فاسداً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کلزوم تقدّم الشی‌ء علی نفسه لو کان الموضوع له مقیّداً بالإرادة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للزوم تحقّق الإرادة قبل استعمال اللّفظ فی المعنی، فیلزم تقدّمها علی نفسها، و کالإشکال بلزوم التجرید عند الحکم و الحمل فی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الثانی الذی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فکالإشکال بلزوم خصوصیّة المعنی الموضوع له فی جمیع الألفاظ</w:t>
      </w:r>
      <w:r>
        <w:rPr>
          <w:rStyle w:val="FootnoteAnchor"/>
          <w:rtl w:val="true"/>
        </w:rPr>
        <w:footnoteReference w:id="87"/>
      </w:r>
      <w:r>
        <w:rPr>
          <w:rFonts w:ascii="IRNazanin" w:hAnsi="IRNazanin" w:eastAsia="IRNazanin"/>
          <w:color w:val="111111"/>
          <w:sz w:val="28"/>
          <w:sz w:val="28"/>
          <w:szCs w:val="28"/>
          <w:rtl w:val="true"/>
          <w:lang w:bidi="fa-IR"/>
        </w:rPr>
        <w:t>فإنّه فی نفسه ممکن لا محذور فیه علی فرض استلزام هذا القول له،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علّة فاعلیّة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ممّا لا بدّ منها فی الأفعال الاختیاریّة، حتّی فعل العابث؛ فإنّ 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غیر أنّها لیست عقلائیّة، 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تقدّمها علی الفعل ذهناً و تأخّرها عنه خارجاً، لکنّه لا یقتضی أزید من أنّه لا بدّ أن یکون الفعل بحیث یصلح لأن یترتّب علیه تلک الغایة، و بهذا تفترق عن الفائدة التی قد تترتّب علی الفعل، و لا تُثبت هذه المقدّمات تضییق دائرة المعنی و محدودیّته فی حدّ نفسه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من الأفعال الاختیاریّة، التی لا بدّ فیها من غایة هی إفهام المعانی بالألفاظ فی مقام التفهیم و التفهّم، فلا بدّ أن یکون الوضع بحیث یترتّب علیه تلک الغایة، لا أنّ الموضوع له مقیّد فی نفس الأمر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الاستدلال بما ذکرنا لإثبات أنّ الألفاظ موضوعة للمعانی المرادة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أنّ الألفاظ موضوعة للمعانی النفس الأمریّة من حیث هی بلا تقیید ذاتاً و لا تقیید فی مقام الوضع بالإرادة، سواء کانت استعمالیّة أو تفهّمیّة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أیضاً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لا ذلک لزم لَغویّة الوضع؛ لأنّ الوضع إنّما هو لإرادة المعنی من اللّفظ حیث یطلق فی مقام التفهیم و التفهّم، فلو لا تقیید المعنی</w:t>
      </w:r>
    </w:p>
    <w:p>
      <w:pPr>
        <w:pStyle w:val="BookText"/>
        <w:rPr/>
      </w:pPr>
      <w:r>
        <w:rPr>
          <w:rFonts w:ascii="IRNazanin" w:hAnsi="IRNazanin" w:eastAsia="IRNazanin"/>
          <w:color w:val="111111"/>
          <w:sz w:val="28"/>
          <w:sz w:val="28"/>
          <w:szCs w:val="28"/>
          <w:rtl w:val="true"/>
          <w:lang w:bidi="fa-IR"/>
        </w:rPr>
        <w:t>الموضوع له بهما لزم اللغویّة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دفع محذور اللَّغویّة صلاحیّةُ الوضع لأن یترتّب علیه تلک الغایة، التی هی إفهام الغیر هذا المعنی من ذاک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الرئیس و المحقِّق الطوسی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الدلالة تتبع الإرادة</w:t>
      </w:r>
      <w:r>
        <w:rPr>
          <w:rStyle w:val="FootnoteAnchor"/>
          <w:rtl w:val="true"/>
        </w:rPr>
        <w:footnoteReference w:id="89"/>
      </w:r>
      <w:r>
        <w:rPr>
          <w:rFonts w:ascii="IRNazanin" w:hAnsi="IRNazanin" w:eastAsia="IRNazanin"/>
          <w:color w:val="111111"/>
          <w:sz w:val="28"/>
          <w:sz w:val="28"/>
          <w:szCs w:val="28"/>
          <w:rtl w:val="true"/>
          <w:lang w:bidi="fa-IR"/>
        </w:rPr>
        <w:t xml:space="preserve">فقد یتوهّم أنّه مستلزم للقول بأنّ الموضوع له للألفاظ هی المعانی المرادة، و أنّ الإرادة جزء المعنی الموضوع له، و إلّا لم یدلّ اللّفظ علی معناه، کما هو ظاهر کلامهما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یرضیان به، و هو أنّ مرادهما هو أنّ التصدیق بأنّ هذا المعنی مراد للّافظ من هذا اللّفظ، إنّما یتحقّق إذا کان قد أراده ثبوتاً؛ کی یستکشف باللّفظ، و إلّا لم یکن الکشف حقیقیّاً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مرادهما لیس هو ذلک، بل إنّما ذکر المحقّق الطوسی ذلک، لدفع الإشکال المشهور علی تعریف الدلالات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بانتقاض تعریف کلّ منها بتعریف الآخر فیما لو کانت الأوضاع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لفظ مرّةً، و اخری لأحد جزأیه، و ثالثة للازمه، علی ما فُصِّل فی المنطق</w:t>
      </w:r>
      <w:r>
        <w:rPr>
          <w:rStyle w:val="FootnoteAnchor"/>
          <w:rtl w:val="true"/>
        </w:rPr>
        <w:footnoteReference w:id="9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علی معنی تتبع الإرادة؛ بمعنی أنّ المتکلّم إن أراد المعنی المطابقی للّفظ فدلالة اللّفظ تابعة له، فلا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جزئه أو لازمه بالمطابقة، و إنْ أراد جزء الموضوع له بما أنّه جزء له، فاللّفظ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بالتضمّن، و إنْ أراد لازمه بما أنّه لازم فالدلالة التزامیّة لا مطابقیّة و إن کان بلحاظ</w:t>
      </w:r>
      <w:bookmarkStart w:id="96" w:name="pg12886_133171"/>
    </w:p>
    <w:p>
      <w:pPr>
        <w:pStyle w:val="BookText"/>
        <w:rPr/>
      </w:pPr>
      <w:bookmarkEnd w:id="96"/>
      <w:r>
        <w:rPr>
          <w:rFonts w:ascii="IRNazanin" w:hAnsi="IRNazanin" w:eastAsia="IRNazanin"/>
          <w:color w:val="111111"/>
          <w:sz w:val="28"/>
          <w:sz w:val="28"/>
          <w:szCs w:val="28"/>
          <w:rtl w:val="true"/>
          <w:lang w:bidi="fa-IR"/>
        </w:rPr>
        <w:t xml:space="preserve">وضع آخر مطابقة فالدلالة تابعة لإرادة المتکلّم، فلا وجه لحمل کلامهما علی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023871_3224264995"/>
      <w:bookmarkStart w:id="98" w:name="_Toc36"/>
      <w:bookmarkEnd w:id="97"/>
      <w:r>
        <w:rPr>
          <w:rtl w:val="true"/>
        </w:rPr>
        <w:t>تنبیهات</w:t>
      </w:r>
      <w:bookmarkEnd w:id="9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أهمّ المعانی التی یُراد إفهامها فی المحاورات هی المعانی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النسب الجزئیّة أو الانتساب إلی فاعل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لها ألفاظ موضوعة فی لغة العرب تدلّ علیها؟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تصوُّری،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المعنی التصدیقی الذی تشتمل علیه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الاتّحاد و الهُوهُویّة أو النسب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بمادّته و لا بهیئته، فالدالّ علیه إمّا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لهذا المعنی التصدیقی مضافاً إلی وضع کلّ واحد منهما لمعناه التصوُّری، أو أنّ هیئة الجملة المتحقّقة فی هذه القضیّة و سائر القضایا موضوعة له، و الحقّ هو الثانی و الشاهد له هو الوجدان، لکن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لا یلزم منه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یلزمه دلالة الجملة علی المعنی مرّتین</w:t>
      </w:r>
      <w:r>
        <w:rPr>
          <w:rStyle w:val="FootnoteAnchor"/>
          <w:rtl w:val="true"/>
        </w:rPr>
        <w:footnoteReference w:id="93"/>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یلزمه أنّ الهیئة و المجموع مترادفان، و لا استحالة فی وجود دالّین علی معنیً واحد فی کلام واحد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استلزامه اللَّغویّة؛ لعدم الحاجة إلی وضع المجموع له بعد دلالة الهیئة علیه</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الألفاظ المترادفة واقعة فی کلامهم، و ربّما لا یلزم منه اللَّغویّة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المجموع موضوعاً لهذا المعنی التصدیقی، لزم صدق جمیع القضایا و مطابقتها للواقع؛ و ذلک لأنّ هنا مقامات لا ارتباط لأحدها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وضع الألفاظ للمعانی المفردة أو التصدیقیّة، و مقام الدلالة، و مقام إرادة المعنی من اللّفظ، و مقام أنّه مطابق للواقع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فمقام مطابقته للواقع و عدمها غیر مقام الدلالة، فهو دالّ علی هذا المعنی طابق الواقع أو لا، و لا ملازمة بین الدلالة و المطابقة للواقع،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ینسبق إلی ذهن المخاطب هذا المعنی التصدیقی، و أمّا أنّه مطابق للواقع أو لا فیحتاج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ما أورد علیه ابن مالک، و هو أنّه لو کان مجموع المسند و المسند إلیه موضوعاً بإزاء المعنی التصدیقی، لزم تعدّد الأوضاع بتعدّد القضایا، و أنّ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آخر، و هکذا، و فساده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للمعانی التصدیقیّة هی الهیئة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قسّموا اللّفظ إلی المفرد و المرکَّب</w:t>
      </w:r>
      <w:r>
        <w:rPr>
          <w:rStyle w:val="FootnoteAnchor"/>
          <w:rtl w:val="true"/>
        </w:rPr>
        <w:footnoteReference w:id="95"/>
      </w:r>
      <w:r>
        <w:rPr>
          <w:rFonts w:ascii="IRNazanin" w:hAnsi="IRNazanin" w:eastAsia="IRNazanin"/>
          <w:color w:val="111111"/>
          <w:sz w:val="28"/>
          <w:sz w:val="28"/>
          <w:szCs w:val="28"/>
          <w:rtl w:val="true"/>
          <w:lang w:bidi="fa-IR"/>
        </w:rPr>
        <w:t xml:space="preserve">و هو لا یخلو عن إشکال؛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المرمی</w:t>
      </w:r>
      <w:r>
        <w:rPr>
          <w:rStyle w:val="FootnoteAnchor"/>
          <w:rtl w:val="true"/>
        </w:rPr>
        <w:footnoteReference w:id="96"/>
      </w:r>
      <w:r>
        <w:rPr>
          <w:rFonts w:ascii="IRNazanin" w:hAnsi="IRNazanin" w:eastAsia="IRNazanin"/>
          <w:color w:val="111111"/>
          <w:sz w:val="28"/>
          <w:sz w:val="28"/>
          <w:szCs w:val="28"/>
          <w:rtl w:val="true"/>
          <w:lang w:bidi="fa-IR"/>
        </w:rPr>
        <w:t>و وجه التسمیة واضح، فإنّه یُرمی من الفم إلی خارجه،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التمرة و لفظتُ النواة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رمیتُها، و حینئذٍ فإن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مَقْسماً للمفرد 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الحقیقی، فلا ریب فی أنّ الألفاظ فی الحقیقة هی الحروف التی هی بسائط، فإنّها التی تُرمی من الفم إلی خارجه،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فالملفوظ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مجموعها، و حینئذٍ فاللّفظ الحقیقی بسیط، کهمزة الاستفهام، و کاف الخطاب، و الضمیر، و نحوها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فرض الإغماض عن ذلک و التسلیم بأنّ الملفوظ هو مجموع هذه الحروف و لو بالمسامحة فی الإطلاق، لکن مع ذلک لا یصحّ التقسیم المذکور أیضاً، فإنّ</w:t>
      </w:r>
    </w:p>
    <w:p>
      <w:pPr>
        <w:pStyle w:val="BookText"/>
        <w:rPr/>
      </w:pPr>
      <w:r>
        <w:rPr>
          <w:rFonts w:ascii="IRNazanin" w:hAnsi="IRNazanin" w:eastAsia="IRNazanin"/>
          <w:color w:val="111111"/>
          <w:sz w:val="28"/>
          <w:sz w:val="28"/>
          <w:szCs w:val="28"/>
          <w:rtl w:val="true"/>
          <w:lang w:bidi="fa-IR"/>
        </w:rPr>
        <w:t>اللّفظ هو المرکّب من الحروف، و هو المفردات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هیئة الجمل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بإزاء النسب الذهنیّة من حیث کشفها عن الواقع و إراءتها له، سواءً طابقته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بالتبادر و بأنّ العلم من ذوات الإضافة یحتاج فی وجوده إلی المضاف إلیه، و حینئذٍ فلو کانت الهیئات فی القضایا الخبریّة موضوعة للنسب الجزئیّة الخارجیّة، لا الذهنیّة، لزم أن لا یکون للقضایا الکاذبة معنیً أصلًا؛ لانتفاء النسبة الواقعیّة الخارجیّة فیها، و لزم أن لا یحصل العلم للمخاطَب فیها؛ لامتناع وجود المضاف بدون المضاف إلیه</w:t>
      </w:r>
      <w:r>
        <w:rPr>
          <w:rStyle w:val="FootnoteAnchor"/>
          <w:rtl w:val="true"/>
        </w:rPr>
        <w:footnoteReference w:id="97"/>
      </w:r>
      <w:r>
        <w:rPr>
          <w:rFonts w:ascii="IRNazanin" w:hAnsi="IRNazanin" w:eastAsia="IRNazanin"/>
          <w:color w:val="111111"/>
          <w:sz w:val="28"/>
          <w:sz w:val="28"/>
          <w:szCs w:val="28"/>
          <w:rtl w:val="true"/>
          <w:lang w:bidi="fa-IR"/>
        </w:rPr>
        <w:t>انتهی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التبادر فلا أظن أن یعتمد هو قدس سره علیه أیضاً مع قطع النظر عن دلیله الآخر، بل لا یبعد دعوی التبادر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بعموم الموضوع له فی الهیئات فالجواب عنه واضح، فإنّ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مستعملة فی طبیعی النسبة أو مفهوم الاتّحاد و الهُوهُویّة علی ما اخترناه إلّا أنّه ینطبق علی الأفراد انطباقاً حقیقیّاً بالنسبة إلی الأفراد الخارجیّة، و غیر حقیقی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فیها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من ذوات الإضافة التی لا یمکن تحقّقها بدون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لکن لا یجب أن یکون المضاف إلیه من الامور الواقعیّة المعلومة بالعرض، بل یکفی فی تحقّقه وجود الصورة الذهنیّة التی هی معلومة بالذات؛ و ذلک لأنّه إذا قیل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انتقش فی ذهن المخاطب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اتّحادهما أو النسبة بینهما، و تسمّی بحضور النفس، و ینتقل بها إلی الخارج، سواءً کانت النسبة ثابتة</w:t>
      </w:r>
    </w:p>
    <w:p>
      <w:pPr>
        <w:pStyle w:val="BookText"/>
        <w:rPr/>
      </w:pPr>
      <w:r>
        <w:rPr>
          <w:rFonts w:ascii="IRNazanin" w:hAnsi="IRNazanin" w:eastAsia="IRNazanin"/>
          <w:color w:val="111111"/>
          <w:sz w:val="28"/>
          <w:sz w:val="28"/>
          <w:szCs w:val="28"/>
          <w:rtl w:val="true"/>
          <w:lang w:bidi="fa-IR"/>
        </w:rPr>
        <w:t>و متحقّقة فی نفس الأمر أم لا، فمع تحقّقها فالانتقال إلیه حقیقی، و إلّا فصوری، و حینئذٍ فالبرهان المذکور لا یفی بإثبات ما رامه؛ لابتنائه علی أنّ المضاف إلیه للعلم هو خصوص الواقعی، و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علی فرض التسلیم بأنّ الهیئات موضوعة للصور الذهنیّة من حیث إنّها کاشفة عن الواقع، فإمّا أنّ هذا الکشف فی القضایا الکاذبة حقیقی،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حقیقی لزم وجود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من ذوات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بحقیقی فمرجعه إلی القول بأنّها موضوعة للصورة الذهنیة من حیث هی و هو قدس سره لا یقول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الهیئات موضوعة فی القضایا الحملیّة للهوهویّة الخارجیّة، أو لإفادة تحقّق النسب الجزئیّة، من غیر فرق فیه بین القضیّة الصادقة و الکاذبة، و لا یلزم تحقُّق المعنی فی الخارج أوّلًا ثمّ استعمال اللّفظ و الهیئة فیه، بل الاستعمال لیس إلّا إعمال اللّفظ فی المعنی لإیجاد صورة المعنی فی ذهن المخاطَب لینتقل بها إلی الخارج، فإن کان متحقّقاً فی الخارج فالقضیّة صادقة، و إلّا فکاذبة، و علی أیّ تقدیر فالاستعمال صحیح، و یفید المخاطَب إیجاد الصورة فی ذهنه</w:t>
      </w:r>
      <w:r>
        <w:rPr>
          <w:rFonts w:eastAsia="IRNazanin" w:cs="IRNazanin"/>
          <w:color w:val="111111"/>
          <w:sz w:val="28"/>
          <w:szCs w:val="28"/>
          <w:rtl w:val="true"/>
          <w:lang w:bidi="fa-IR"/>
        </w:rPr>
        <w:t>.</w:t>
      </w:r>
      <w:bookmarkStart w:id="99" w:name="pg12886_133175"/>
    </w:p>
    <w:p>
      <w:pPr>
        <w:pStyle w:val="Heading3"/>
        <w:numPr>
          <w:ilvl w:val="2"/>
          <w:numId w:val="1"/>
        </w:numPr>
        <w:rPr/>
      </w:pPr>
      <w:bookmarkStart w:id="100" w:name="__RefHeading___Toc3023873_3224264995"/>
      <w:bookmarkStart w:id="101" w:name="_Toc37"/>
      <w:bookmarkEnd w:id="99"/>
      <w:bookmarkEnd w:id="100"/>
      <w:r>
        <w:rPr>
          <w:rtl w:val="true"/>
        </w:rPr>
        <w:t>الأمر السابع فی علائم الحقیقة و المجاز و هی امور</w:t>
      </w:r>
      <w:r>
        <w:rPr>
          <w:rtl w:val="true"/>
        </w:rPr>
        <w:t>:</w:t>
      </w:r>
      <w:bookmarkEnd w:id="101"/>
    </w:p>
    <w:p>
      <w:pPr>
        <w:pStyle w:val="Heading4"/>
        <w:numPr>
          <w:ilvl w:val="3"/>
          <w:numId w:val="1"/>
        </w:numPr>
        <w:rPr/>
      </w:pPr>
      <w:bookmarkStart w:id="102" w:name="__RefHeading___Toc3023875_3224264995"/>
      <w:bookmarkStart w:id="103" w:name="_Toc38"/>
      <w:bookmarkEnd w:id="102"/>
      <w:r>
        <w:rPr>
          <w:rtl w:val="true"/>
        </w:rPr>
        <w:t>الأمر الأوّل</w:t>
      </w:r>
      <w:r>
        <w:rPr>
          <w:rtl w:val="true"/>
        </w:rPr>
        <w:t xml:space="preserve">: </w:t>
      </w:r>
      <w:r>
        <w:rPr>
          <w:rtl w:val="true"/>
        </w:rPr>
        <w:t>فی التبادر</w:t>
      </w:r>
      <w:bookmarkEnd w:id="103"/>
    </w:p>
    <w:p>
      <w:pPr>
        <w:pStyle w:val="BookText"/>
        <w:rPr/>
      </w:pPr>
      <w:r>
        <w:rPr>
          <w:rFonts w:ascii="IRNazanin" w:hAnsi="IRNazanin" w:eastAsia="IRNazanin"/>
          <w:color w:val="111111"/>
          <w:sz w:val="28"/>
          <w:sz w:val="28"/>
          <w:szCs w:val="28"/>
          <w:rtl w:val="true"/>
          <w:lang w:bidi="fa-IR"/>
        </w:rPr>
        <w:t>التبادر علامة الحقیقة و تبادر الغیر علامة المجاز، و قبل توضیح الکلام فی ذلک لا بدّ من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یختصّ البحث بما إذا اطلق اللّفظ و استُعمل فی معنیً معیّن، و علم أنّه المراد، و لم یعلم أنّه معنیً حقیقی له أو مجازی، فیُعرف ذلک بالتبادر و تبادر الغیر، بل محلّ البحث أعمّ منه و ممّا إذا لم یستعمل اللّفظ فی معنیً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التبادر علامة للحقیقة و تبادر الغیر علامة للمجاز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لو اطلق اللّفظ و استُعمل فی معنیً، عُلم إرادته منه، لکن لم یُعلم أنّه حقیقة فیه أو مجاز، فإن وقف الذهن علیه و لم یتجاوز عنه، فهو علامة الحقیقة، و یُکشف به أنّ استعماله فی معناه الحقیقی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 لم یتجاوز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تجاوزه ذهن المخاطب و انتقلَ إلی غیره من المعانی، فهو علامة للمجاز؛ بمعنی أنّه یُستکشف بذلک أنّ اللّفظ مُستعمل فی معناه المجازی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هناک معنیً حقیقی و معنیً مجازی، و عُلم إرادة أحدهما المعیّن، و لم یُعلم أنّه حقیقة فیه أو لا، و لم یُعلم أنّ اللّفظ فی أیّهما حقیقة و فی أیّهما</w:t>
      </w:r>
    </w:p>
    <w:p>
      <w:pPr>
        <w:pStyle w:val="BookText"/>
        <w:rPr/>
      </w:pPr>
      <w:r>
        <w:rPr>
          <w:rFonts w:ascii="IRNazanin" w:hAnsi="IRNazanin" w:eastAsia="IRNazanin"/>
          <w:color w:val="111111"/>
          <w:sz w:val="28"/>
          <w:sz w:val="28"/>
          <w:szCs w:val="28"/>
          <w:rtl w:val="true"/>
          <w:lang w:bidi="fa-IR"/>
        </w:rPr>
        <w:t>مجاز، فیتمیَّز بالتبادر و تبادر الغیر اغتراراً بأنّ المتبادر من لفظ التبادر هو ذلک المعنی؛ بمعنی السبق إلی الذهن، فلا بد أن یکون هناک عدّة معانٍ یسبق بعضها إلی الذهن من اللّفظ علی الآخر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أعمّ ممّا ذکره، کما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التبادر علامة للحقیقة و تبادر الغیر علامة للمجاز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لو اطلق لفظ فی کتاب أو حدیث أو غیرهما و عُلم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أنّه حقیقة فیه أو مجاز، و بین ما إذا لم یُستعمل أصلًا فی معنیً من المعانی، لکن یُراد استعلام معناه الحقیقی الذی وضع له و تمیّزه عن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التعبیر بأنّ التبادر علامة للوضع</w:t>
      </w:r>
      <w:r>
        <w:rPr>
          <w:rStyle w:val="FootnoteAnchor"/>
          <w:rtl w:val="true"/>
        </w:rPr>
        <w:footnoteReference w:id="99"/>
      </w:r>
      <w:r>
        <w:rPr>
          <w:rFonts w:ascii="IRNazanin" w:hAnsi="IRNazanin" w:eastAsia="IRNazanin"/>
          <w:color w:val="111111"/>
          <w:sz w:val="28"/>
          <w:sz w:val="28"/>
          <w:szCs w:val="28"/>
          <w:rtl w:val="true"/>
          <w:lang w:bidi="fa-IR"/>
        </w:rPr>
        <w:t>لیس بجیّد؛ لأنّ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اللّفظ للمعنی، الذی یعبَّر عنه فی الاصطلاح بالوضع التعیینی لا غیر، و أمّا کثرة استعمال اللّفظ فی معنیً مجازی حتّی غلب فیه و أفاده بغیر قرینة، فقد عرفت أنّه لیس قسماً آخر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التبادر کاشف عن وجود خصوصیّة و علاقة بین اللّفظ و المعنی، ناشئة إمّا عن الوضع، أو عن کثرة الاستعمال حتّی غلب فیه و أفاده بغیر قرینة، لا عن الوضع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اورد علی علامیّة التبادر باستلزامه الدور المحال؛ لتوقّف التبادر علی العلم بأنّ المتبادر من معانیه الحقیقیّة، و المفروض أنّ العلم بذلک متوقّف علی التبادر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الذی یتوقّف علی التبادر غیر العلم الذی یتوقّف التبادر</w:t>
      </w:r>
    </w:p>
    <w:p>
      <w:pPr>
        <w:pStyle w:val="BookText"/>
        <w:rPr/>
      </w:pPr>
      <w:r>
        <w:rPr>
          <w:rFonts w:ascii="IRNazanin" w:hAnsi="IRNazanin" w:eastAsia="IRNazanin"/>
          <w:color w:val="111111"/>
          <w:sz w:val="28"/>
          <w:sz w:val="28"/>
          <w:szCs w:val="28"/>
          <w:rtl w:val="true"/>
          <w:lang w:bidi="fa-IR"/>
        </w:rPr>
        <w:t xml:space="preserve">علیه، فإذا عُلم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التراب الخالص، ثمّ تبادر منه هذا المعنی عند الاستعمال، فهذا العلم الحاصل بالتبادر غیر ما کان حاصلًا قبل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الأنواع التی تحت جنس واحد لو توقّف بعضها علی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فُرض توقّف الإنسان علی الفرس و الفرس علی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منه محذور الدور، کذلک الأفراد تحت نوع واحد لو توقّف بعضها علی بعض آخر لا یلزم منه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اورد علیه بلزوم اللّغویّة و عدم الفائدة للتبادر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أولی من إشکال إیراد الدور</w:t>
      </w:r>
      <w:r>
        <w:rPr>
          <w:rStyle w:val="FootnoteAnchor"/>
          <w:rtl w:val="true"/>
        </w:rPr>
        <w:footnoteReference w:id="1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لأنّ العلم فی المثال واحد، و لیس هنا فردان منه، و إنّما المتعدّد هو الصورة الذهنیّة، فإذا عُلم بقیام زید، ثمّ أخبر ألفُ مخبر بقیامه واحداً بعد واحد، فهو لا یوجب حصول ألف علم؛ إذ لا معنی لتعدّد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تعدّد متعلّقه و تغایره، أو مع عروض الغفلة أو النسیان فی البین و تخلّلهما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العلمین بالإجمال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یعجبنی التسمیة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العلم الذی یتوقّف علی التبادر هو العلم التفصیلی بأنّ هذا اللّفظ حقیقة فی ذاک المعنی، و لکن لا یتوقّف التبادر علی هذا العلم التفصیلی، بل علی العلم الإجمالی المرتکز فی الأذهان لمعنی اللّفظ الحاصل من مبادٍ اخر غیر التبادر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علی التبادر هو العلم بالقضیّة التی یکون الحمل فیها أوّلیّاً ذاتیّاً، کالعلم بأنّ الأسد حیوان مفترس مثلًا، و الذی یتوقّف التبادر علیه هو العلم بالقضیّة التی یکون الحمل فیها شائعاً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یُشترط فی علامیّة التبادر نشوّه من حاقّ اللّفظ و من دون قرینة و لو شهرةً، و حینئذٍ فإنْ تبادرَ المعنی عند المستعلم فالأمر سهل؛ لأنّه یعلم أنّه من حاقّ اللّفظ أو بمعونة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عند أهل المحاورة و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استناده إلی حاقّ اللّفظ فهو، و إلّا فمع الشکّ فی ذلک و احتمل استناده إلی قرینة حالیّة أو 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بالاطّراد یکشف أنّ ذلک التبادر من حاقّ اللّفظ، فالاطّراد فی صورة الشّکّ سبب لإحراز شرط تأثیر التبادر و علامیّته للحقیقة، و حینئذٍ فالاطّراد لیس علامةً مُستقلّة للحقیقة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أفاد الاطّراد العلم بذلک، فالمعتمد هو العلم الحاصل من الاطّراد لا التبادر، و إلّا فلا دلیل علی حجیّة الاطّراد، لا من العقل و لا من النقل، و لم یثبت بناء العقلاء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یمکن إحراز أنّ التبادر من حاقّ اللّفظ بأصالة عدم القرینة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حجّیتها فی المقام؛ إذ لیس المراد منها الاستصحاب الشرعی المعروف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العدم المعروفة بین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علیها هو بناء العقلاء علیها، و هو إنّما یُسلّم فیما إذا اطلق اللّفظ، و لم یُعلم أنّ المتکلّم أراد معناه الحقیقی، أو معناه المجازی بمعونة القرینة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بناء العقلاء علی أصالة عدم القرینة، إنّما هو فی تشخیص مراد المتکلّم، و أنّه أراد المعنی الحقیقی المعلوم للّفظ أو لا</w:t>
      </w:r>
      <w:r>
        <w:rPr>
          <w:rFonts w:eastAsia="IRNazanin" w:cs="IRNazanin"/>
          <w:color w:val="111111"/>
          <w:sz w:val="28"/>
          <w:szCs w:val="28"/>
          <w:rtl w:val="true"/>
          <w:lang w:bidi="fa-IR"/>
        </w:rPr>
        <w:t>.</w:t>
      </w:r>
      <w:bookmarkStart w:id="104" w:name="pg12886_133179"/>
    </w:p>
    <w:p>
      <w:pPr>
        <w:pStyle w:val="BookText"/>
        <w:rPr/>
      </w:pPr>
      <w:bookmarkEnd w:id="104"/>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الحیوان المُفترس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 المجازی له المعلوم مجازیّته، کالرجل الشجاع؛ باعتماده علی قرینة لم تصل إلینا، و لم نطّلع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فیما نحن فیه المفروض فیه أنّ المراد معلوم، لکن لم یُعلم أنّه حقیقة فیه أو مجاز، إن لم نقل بأنّ بناءهم علی أصالة العدم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بنائهم علی أصالة الظهور، أو أصالة الحقیقة، و نحوهما</w:t>
      </w:r>
      <w:r>
        <w:rPr>
          <w:rFonts w:eastAsia="IRNazanin" w:cs="IRNazanin"/>
          <w:color w:val="111111"/>
          <w:sz w:val="28"/>
          <w:szCs w:val="28"/>
          <w:rtl w:val="true"/>
          <w:lang w:bidi="fa-IR"/>
        </w:rPr>
        <w:t>.</w:t>
      </w:r>
    </w:p>
    <w:p>
      <w:pPr>
        <w:pStyle w:val="Heading4"/>
        <w:numPr>
          <w:ilvl w:val="3"/>
          <w:numId w:val="1"/>
        </w:numPr>
        <w:rPr/>
      </w:pPr>
      <w:bookmarkStart w:id="105" w:name="__RefHeading___Toc3023877_3224264995"/>
      <w:bookmarkStart w:id="106" w:name="_Toc39"/>
      <w:bookmarkEnd w:id="105"/>
      <w:r>
        <w:rPr>
          <w:rtl w:val="true"/>
        </w:rPr>
        <w:t>الأمر الثانی</w:t>
      </w:r>
      <w:r>
        <w:rPr>
          <w:rtl w:val="true"/>
        </w:rPr>
        <w:t xml:space="preserve">: </w:t>
      </w:r>
      <w:r>
        <w:rPr>
          <w:rtl w:val="true"/>
        </w:rPr>
        <w:t>صحّة السلب و صحّة الحمل</w:t>
      </w:r>
      <w:bookmarkEnd w:id="106"/>
    </w:p>
    <w:p>
      <w:pPr>
        <w:pStyle w:val="BookText"/>
        <w:rPr/>
      </w:pPr>
      <w:r>
        <w:rPr>
          <w:rFonts w:ascii="IRNazanin" w:hAnsi="IRNazanin" w:eastAsia="IRNazanin"/>
          <w:color w:val="111111"/>
          <w:sz w:val="28"/>
          <w:sz w:val="28"/>
          <w:szCs w:val="28"/>
          <w:rtl w:val="true"/>
          <w:lang w:bidi="fa-IR"/>
        </w:rPr>
        <w:t>من علائم الحقیقة و المجاز صحّة السلب و عدمها أو صحّة الحمل و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فصحّة السلب أو عدم صحّة الحمل علامة للمجاز، کما أنّ عدم صحّة السلب أو صحّة الحمل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بسط الکلام فی ذلک لا بدّ من تقدیم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أنّ التصدیق بصحّة الحمل و عدمه فی الحمل الأوّلی یتوقّف علی التصدیق باتّحاد مفهومین حُمِل أحدهما علی الآخر، مثلًا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الإخبار أو فی مقام الاستعلام بصحّة الحمل و عدمها، لا بدّ من ملاحظة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المعنی، و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حمل أحدهما علی الآخر فإنْ صحّ الحمل استُکشف منه اتّحاد مفهومهما،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ارید أن یُعلم أنّ اللّفظ الفلانی حقیقة فی معنیً معیّن أو لا، یلاحظ ذلک المعنی أوّلًا، و یُجعل موضوعاً، ثمّ یلاحظ اللّفظ بما له من المعنی الإجمالی الارتکازی، و یُجعل محمولًا، فإن وُجد هذا الحمل صحیحاً کشف عن أنّه حقیقة فی ذلک المعنی،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کشف عن أنّه مجاز فیه،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البلیدُ حمار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إشکال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بالإجمال و التفصیل،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باللابشرطیّة و البشرطلائیّة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التصدیق بصحّة الحمل و عدمها یتوقّف علی تصوّر کلّ واحد من اللّفظ و المعنی، ثمّ حمل اللّفظ علی المعنی، و حینئذٍ یحصل العلم التفصیلی بأنّ ذلک اللّفظ حقیقة فی ذلک المعنی و عدمه بالتبادر و تبادر الغیر، و لا تصل النوبة إلی استعلام ذلک بصحّة الحمل و عدمها، فهذه العلامة مسبوقة دائماً بالتبادر، مضافاً إلی أنّه لا بدّ من تشخیص أنّ هذا الحمل أوّلی ذاتی، و هو متوقّف علی تصوّر کلّ واحد من المفهومین و التصدیق بأنّهما واحد، و حینئذٍ یحصل العلم التفصیلی بأنّه حقیقة فیه، و لا تصل النوبة إلی صحّة الحمل و الاستعلام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 أنّ المناط فیه الاتّحاد عیناً و التغایر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حمل اللّفظ بما له من المعنی الارتکازی علی مصداق خارجی علامة أنّ اللّفظ حقیقة فی کلیّه و طبیعیّه، کطبیعة الإنسان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الفرد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الإشکال المتقدِّم؛ حیث إنّ التصدیق بصحّة هذا الحمل، و أنّه حمل شائع ذاتی لا عرضی، متوقّف علی تصوّر المصداق الخارجی، و تصوّر لفظ الإنسان بما له من المعنی الارتکازی، ثمّ الحمل علیه، و حینئذٍ یحصل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لطبیعة الإنسان؛ أی طبیعی هذا الفرد و کلّیّه، و لا تصل النوبة إلی الاستعلام بصحّة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أنّ صحةَ الشائع علامة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 هذا التقریب إنّما یتمّ فی الحمل المتداول علی ألسنة اللّغویّین؛ أعنی به حمل أحد اللّفظین المترادفین بما له من المعنی علی الآخر؛ مثل قولهم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الحمل الأوّلی المستعمل فی الحدود المشتمل علی حمل الذاتیّات علی الذات،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أن یستکشف من صحّته</w:t>
      </w:r>
    </w:p>
    <w:p>
      <w:pPr>
        <w:pStyle w:val="BookText"/>
        <w:rPr/>
      </w:pPr>
      <w:r>
        <w:rPr>
          <w:rFonts w:ascii="IRNazanin" w:hAnsi="IRNazanin" w:eastAsia="IRNazanin"/>
          <w:color w:val="111111"/>
          <w:sz w:val="28"/>
          <w:sz w:val="28"/>
          <w:szCs w:val="28"/>
          <w:rtl w:val="true"/>
          <w:lang w:bidi="fa-IR"/>
        </w:rPr>
        <w:t xml:space="preserve">وضع اللّفظ للمعنی المعلوم عند من استعمل هذا الحمل؛ لأنّ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مرکّب مفصّل، و بما أنّه کذلک یمتنع أن یکون هو مفهوم الإنسان؛ لأنَّ مفهومَ کلّ لفظ مُفردٍ بسیطٌ</w:t>
      </w:r>
      <w:r>
        <w:rPr>
          <w:rStyle w:val="FootnoteAnchor"/>
          <w:rtl w:val="true"/>
        </w:rPr>
        <w:footnoteReference w:id="1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حصل له خلط فی المقام؛ إذ لیس المراد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مفهوم مُستقلّ،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مفهوم مستقلّ، یحملان علی الإنسان أو العکس،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الإنسان بما له من المعنی الارتکازی یُحمل علی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مفصّله، فالإنسان جوهر جسم مطلق، و حیوان ناطق، فحقیقة الإنسان لیس عین هذا المفصَّل، بل هو عین ما هذا المفصّل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ملاکه الاتّحاد فی الوجود و التغایر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تارة یکون بین الطبیعی و فرده،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بین الکلّیّین المتساویین،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أحدهما أعمّ من الآخر،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إمکان استکشاف الوضع بالنحو الأوّل أی حمل الطبیعی علی 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النحوان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بهما حمل أحد الکلّیّین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استکشاف الوضع من صحّة حمل أحدهما علی الآخر إلّا بإرجاعه إلی النحو الأوّل؛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حمل أحد الکلّیّین علی الآخر إنّما یصحّ بالحمل الشائع، لا بالحمل الأوّلی؛ لفرض عدم الاتّحاد بینهما مفهوماً، فلا محالة یکون الاتّحاد بینهما بحسب الوجود، و هو لا محالة فرد لأحد الکلّیّین، و أحدهما طبیعة، فیستکشف بالتقریب الأوّل وضع اللّفظ لطبیعی ذلک الفرد؛ أعنی به الوجود الذی اتّحد فیه الکلّیّان</w:t>
      </w:r>
      <w:r>
        <w:rPr>
          <w:rStyle w:val="FootnoteAnchor"/>
          <w:rtl w:val="true"/>
        </w:rPr>
        <w:footnoteReference w:id="1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الإشکال فیه بأنّه مسبوق بالتبادر و استکشاف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به، لا من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علامیّة صحّة الحمل للحقیقة و الملاک فیه هو سلب الشی‌ء عن النفس، و مهّد لذلک مقدّمة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الوجود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فی العین، و الوجود فی اللّفظ، و الوجود فی الذهن، و الوجود فی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قیل من أنّ حقیقة الأشیاء توجد فی الذهن بأنفسها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الأخیران فلفناء اللّفظ و الکتابة فی المعنی عند الإلقاء إلی المخاطب، فکأنّ المُلقی إلیه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بصحّة الحمل فی علامیّته للحقیقة هو حمل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فصحّته علامةُ أنّه موضوع له، لا حمل اللّفظ بما له من المعنی، و کذلک عدم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ارید أن یعلم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لطبیعته أو لا، یجعل طبیعة الإنسان موضوعاً، ثمّ یحمل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فإن وجد صحیحاً کشف عن أنّه موضوع له،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حمل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و لذا لو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أنّه قدس سره ادّعی أنّ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ذلک، مع تصریحه بخلافه؛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عدم صحّة سلب اللّفظ بمعناه المعلوم المرتکز فی الأذهان إجمالًا</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صحّة السلب أو صحّة الحمل دائماً مسبوق بالتبادر و أنّه لا تصل النوبة إلی الاستکشاف بصحّة الحمل حال علامیّة صحّة السلب</w:t>
      </w:r>
      <w:bookmarkStart w:id="107" w:name="pg12886_133183"/>
    </w:p>
    <w:p>
      <w:pPr>
        <w:pStyle w:val="BookText"/>
        <w:rPr/>
      </w:pPr>
      <w:bookmarkEnd w:id="107"/>
      <w:r>
        <w:rPr>
          <w:rFonts w:ascii="IRNazanin" w:hAnsi="IRNazanin" w:eastAsia="IRNazanin"/>
          <w:color w:val="111111"/>
          <w:sz w:val="28"/>
          <w:sz w:val="28"/>
          <w:szCs w:val="28"/>
          <w:rtl w:val="true"/>
          <w:lang w:bidi="fa-IR"/>
        </w:rPr>
        <w:t>أو عدم صحّة الحمل للمجاز، فإنّ التصدیق بعدم 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بالحمل الأوّلی أم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لحاظ المعنی و اللّفظ بما له من المعنی الحقیقی الارتکازی، ثمّ حمله علیه، فبمجرّد ذلک اللحاظ یکشف الحال بالتبادر و تبادر الغیر، و لا تصل النوبة إلی الاستکشاف بصحّة الحمل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أغمضنا عن هذا الإشکال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بأنّ العین مشترک بین الذهب و الفضّة و توهّمه أنّها موضوعة للفضّة فقط لو سلبها بما لها من المعنی الارتکازی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فهو صحیح، مع أنّ العین لیست مجازاً فی الذهب</w:t>
      </w:r>
      <w:r>
        <w:rPr>
          <w:rFonts w:eastAsia="IRNazanin" w:cs="IRNazanin"/>
          <w:color w:val="111111"/>
          <w:sz w:val="28"/>
          <w:szCs w:val="28"/>
          <w:rtl w:val="true"/>
          <w:lang w:bidi="fa-IR"/>
        </w:rPr>
        <w:t>.</w:t>
      </w:r>
    </w:p>
    <w:p>
      <w:pPr>
        <w:pStyle w:val="Heading4"/>
        <w:numPr>
          <w:ilvl w:val="3"/>
          <w:numId w:val="1"/>
        </w:numPr>
        <w:rPr/>
      </w:pPr>
      <w:bookmarkStart w:id="108" w:name="__RefHeading___Toc3023879_3224264995"/>
      <w:bookmarkStart w:id="109" w:name="_Toc40"/>
      <w:bookmarkEnd w:id="108"/>
      <w:r>
        <w:rPr>
          <w:rtl w:val="true"/>
        </w:rPr>
        <w:t>الأمر الثالث</w:t>
      </w:r>
      <w:r>
        <w:rPr>
          <w:rtl w:val="true"/>
        </w:rPr>
        <w:t xml:space="preserve">: </w:t>
      </w:r>
      <w:r>
        <w:rPr>
          <w:rtl w:val="true"/>
        </w:rPr>
        <w:t>الاطّراد</w:t>
      </w:r>
      <w:bookmarkEnd w:id="109"/>
    </w:p>
    <w:p>
      <w:pPr>
        <w:pStyle w:val="BookText"/>
        <w:rPr/>
      </w:pPr>
      <w:r>
        <w:rPr>
          <w:rFonts w:ascii="IRNazanin" w:hAnsi="IRNazanin" w:eastAsia="IRNazanin"/>
          <w:color w:val="111111"/>
          <w:sz w:val="28"/>
          <w:sz w:val="28"/>
          <w:szCs w:val="28"/>
          <w:rtl w:val="true"/>
          <w:lang w:bidi="fa-IR"/>
        </w:rPr>
        <w:t>من علائم الحقیقة و المجاز الاطّراد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علامة للحقیقة، و الثانی للمجاز، و ذکروا له 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منه استعمال اللّفظ مراراً فی معنیً فلو اطَّردَ کَشَفَ عن أنّه حقیقة فیه، و إلّا فمجاز، بل المُراد أنّه لو استُعمل لفظ فی مصداقِ کلّی، فإن اطَّرد استعماله فی کلّ واحد من مصادیق ذلک الکلّی، و صحّ استعماله فیه، کشف عن أنّه حقیقة فی ذلک الکلّی،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 استعماله فی بعض أفراده دون بعض آخر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عن أنّ استعماله فی ذلک الکلّی مجاز، کاطّراد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فردٍ من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اطّراده فی استعماله فی کلّ فرد من أفراد الإنسان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استعمال لفظ الکلّی فی الأفراد الشخصیّة بخصوصیّاتها مجاز، و أمّا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فلم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فی الفرد، بل هو مستعمل فی معناه الحقیقی، و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مستعمل فی معناه الحقیقی، لکن جُعل ذلک الکلّی منطبقاً علی هذا الفرد، و حینئذٍ فیرجع الکلام إلی أنّ هذا</w:t>
      </w:r>
    </w:p>
    <w:p>
      <w:pPr>
        <w:pStyle w:val="BookText"/>
        <w:rPr/>
      </w:pPr>
      <w:r>
        <w:rPr>
          <w:rFonts w:ascii="IRNazanin" w:hAnsi="IRNazanin" w:eastAsia="IRNazanin"/>
          <w:color w:val="111111"/>
          <w:sz w:val="28"/>
          <w:sz w:val="28"/>
          <w:szCs w:val="28"/>
          <w:rtl w:val="true"/>
          <w:lang w:bidi="fa-IR"/>
        </w:rPr>
        <w:t>التطبیق إن کان مطّرداً فی جمیع الأفراد، فهو علامة للحقیقة، و حینئذٍ یرد علیه الإشکال الذی قدّمناه فی صحّة السلب و عدمها، و أنّه قبل التصدیق بصحّة هذا التطبیق یثبت أنّه حقیقة أو مجاز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الاطّراد أیضاً دائماً مسبوق بالتبادر، و لا تصل النوبة إلی الاطّراد فی معرفة أنّه حقیقة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المجاز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استعمال اللّفظ فی ذلک المعنی، و صحّة الادّعاء، و حسن الادّعاء،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لبیان شجاعته، فالامور الثلاثة فیه متحقّقة، بخلاف ما لو قصد به توصیفه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أوصافه غیر الشجاعة، فإنّه لا حسن فی ادّعائه أنّه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الحقیقة فلا یعتبر فیها سوی صحّة الاستعمال، و استعماله فی معناه الحقیقی صحیح و مطّرد بدون ثبوت صحّة الادّعاء و حسنه، بخلاف المجاز، فإنّه لا یطّرد بدونهما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التقریب الإشکال الذی قدّمناه و لا نعیده</w:t>
      </w:r>
      <w:r>
        <w:rPr>
          <w:rFonts w:eastAsia="IRNazanin" w:cs="IRNazanin"/>
          <w:color w:val="111111"/>
          <w:sz w:val="28"/>
          <w:szCs w:val="28"/>
          <w:rtl w:val="true"/>
          <w:lang w:bidi="fa-IR"/>
        </w:rPr>
        <w:t>.</w:t>
      </w:r>
      <w:bookmarkStart w:id="110" w:name="pg12886_133185"/>
    </w:p>
    <w:p>
      <w:pPr>
        <w:pStyle w:val="Heading3"/>
        <w:numPr>
          <w:ilvl w:val="2"/>
          <w:numId w:val="1"/>
        </w:numPr>
        <w:rPr/>
      </w:pPr>
      <w:bookmarkStart w:id="111" w:name="__RefHeading___Toc3023881_3224264995"/>
      <w:bookmarkStart w:id="112" w:name="_Toc41"/>
      <w:bookmarkEnd w:id="110"/>
      <w:bookmarkEnd w:id="111"/>
      <w:r>
        <w:rPr>
          <w:rtl w:val="true"/>
        </w:rPr>
        <w:t>الأمر الثامن فی تعارض الأحوال</w:t>
      </w:r>
      <w:bookmarkEnd w:id="112"/>
    </w:p>
    <w:p>
      <w:pPr>
        <w:pStyle w:val="BookText"/>
        <w:rPr/>
      </w:pPr>
      <w:r>
        <w:rPr>
          <w:rFonts w:ascii="IRNazanin" w:hAnsi="IRNazanin" w:eastAsia="IRNazanin"/>
          <w:color w:val="111111"/>
          <w:sz w:val="28"/>
          <w:sz w:val="28"/>
          <w:szCs w:val="28"/>
          <w:rtl w:val="true"/>
          <w:lang w:bidi="fa-IR"/>
        </w:rPr>
        <w:t>تطرأ علی اللّفظ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کالاشتراک، و النقل، و الإضمار، و غیرها، فلو دار الأمر بینها فهل یوجد لبعضها مرجِّح علی الآخر،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لیس هنا أصل شرعی یرجع إلیه فی تقدیم أحدها علی الآخر، و لا عقلی، و حینئذٍ فالمهمّ الذی ینبغی التعرُّض له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استقرار بناء العقلاء علی العمل بالظواهر کلّها، لکن هل هو لأجل أصالة الحقیقة، أو أصالة الظهور، أو أصالة عدم القرینة، أو أصالة العموم، أو الإطلاق، أو أنّ المقامات مختلفة، ففی بعضها مبناهم هو أصالة الحقیقة، و فی بعضها أصالة الظهور أو غیرها؟</w:t>
      </w:r>
    </w:p>
    <w:p>
      <w:pPr>
        <w:pStyle w:val="BookText"/>
        <w:rPr/>
      </w:pPr>
      <w:r>
        <w:rPr>
          <w:rFonts w:ascii="IRNazanin" w:hAnsi="IRNazanin" w:eastAsia="IRNazanin"/>
          <w:color w:val="111111"/>
          <w:sz w:val="28"/>
          <w:sz w:val="28"/>
          <w:szCs w:val="28"/>
          <w:rtl w:val="true"/>
          <w:lang w:bidi="fa-IR"/>
        </w:rPr>
        <w:t>الظاهر أنّه لأجل أصالة الظهور فی جمیع الموارد لاطّرادها و جریانها فی جمیعها دون غیرها من الاصول اللّفظیّة المذکورة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یحتاج إلی بیان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لو وجد فی الکلام 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به أو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لصرف ظهور الکلام، فظهور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مساوٍ لظهور ذی القرینة،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الحیوان المفترس،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الرجل الشجاع، أو أنّ ذا القرینة أظهر من ظهور القرینة،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بمجموعه ظاهر فی إرادة الرجل الشجاع، فإنّ أصالة الظهور فیه متحقِّقة، بخلاف أصالة الحقیقة أو أصالة عدم</w:t>
      </w:r>
    </w:p>
    <w:p>
      <w:pPr>
        <w:pStyle w:val="BookText"/>
        <w:rPr/>
      </w:pPr>
      <w:r>
        <w:rPr>
          <w:rFonts w:ascii="IRNazanin" w:hAnsi="IRNazanin" w:eastAsia="IRNazanin"/>
          <w:color w:val="111111"/>
          <w:sz w:val="28"/>
          <w:sz w:val="28"/>
          <w:szCs w:val="28"/>
          <w:rtl w:val="true"/>
          <w:lang w:bidi="fa-IR"/>
        </w:rPr>
        <w:t xml:space="preserve">القرینة؛ للجزم بعدم إرادة الحقیقة و عدم جریان أصالة عدم القرینة؛ لوجودها فی الکلام، و کذلک لا مورد لجریان أصالة عدم القرینة فیما لو علم بعدم نصبها، و مع ذلک احتمل عدم إرادة المتکلّم ظاهر کلامه، لکنّ أصالتی الظهور و الحقیقة فیه جاریتان، و کذلک فیما لو وجد فی الکلام ما یصلح للقرینیّة لصرف ظهور الکلام فی إرادة المعنی الحقیقی،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مجال لأصالة عدم القرینة؛ لوجود ما یصلح لها، و الشکّ إنّما هو فی قرینیّة الموجود لا فی وجود القرینة مع جریان أصالة الظهور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الظهور جاریة فی جمیع موارد عمل العقلاء بظاهر الکلام، دون غیرها من الاصول اللّفظیّة، فیکشف ذلک عن أنّ مبناهم فی العمل بالظواهر هو أصالة الظهور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حجّیّة أصالة عدم النقل، و أنّها من الاصول العقلائیة بلا کلام، إنّما الکلام فی موردها، فإنّ لها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أنّ للفظٍ معیّنٍ معنیً معیّناً موضوعاً له، و لکن شکّ فی أنّه هل نقل من ذلک المعنی إلی معنیً آخر أو لا، فأصالة عدم النقل فیه جاریة و محکّمة، و لا یلتفت إلی احتمال النقل، فیحمل اللّفظ علی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نقله إلی معنیً آخر، و استُعمل فیه أیضاً لکن شُکّ فی تقدّم النقل علی الاستعمال و تأخّره، و له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ما إذا علم تأریخ الاستعمال دون النقل، الثانیة عکس ذلک، الثالثة ما لو جهل تأریخهما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جریان أصالة عدم النقل فی الصورة الاولی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ظرف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أنّه أصل عقلائی صحّ التمسّک و العمل به و إن کان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أنّ الاستعمال قبل النقل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التوقّف فی الثانیة و الثالثة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جریان أصالة عدم الاستعمال حین النقل؛ لعدم بناء العقلاء</w:t>
      </w:r>
    </w:p>
    <w:p>
      <w:pPr>
        <w:pStyle w:val="BookText"/>
        <w:rPr/>
      </w:pPr>
      <w:r>
        <w:rPr>
          <w:rFonts w:ascii="IRNazanin" w:hAnsi="IRNazanin" w:eastAsia="IRNazanin"/>
          <w:color w:val="111111"/>
          <w:sz w:val="28"/>
          <w:sz w:val="28"/>
          <w:szCs w:val="28"/>
          <w:rtl w:val="true"/>
          <w:lang w:bidi="fa-IR"/>
        </w:rPr>
        <w:t>علیها، و لا مجال للاستصحاب؛ لأنّ ما له أثر شرعی عملی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مثبت لکون الاستعمال بعد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لیس بمثبت لا أثر شرعی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التوقّف فیها لتساقط الأصلین بالمعارضة فی مقام توارد الحالتین مع الجهل بتأریخهما؛ لیورد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فرع جریانهما، و لا یجری فیها أصالة تأخّر الاستعمال؛ لعدم بناء العقلاء علیه، أو لأنّها مثبتة لو ارید بها الأصل الشرعی، و لا لما بنی علیه استاذ أساتذة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الأصلین فی أطراف العلم الإجمالی مع الجهل بتأریخها؛ لاحتمال انطباق العلم الإجمالی المتحقّق فی المقام علی المشکوک</w:t>
      </w:r>
      <w:r>
        <w:rPr>
          <w:rStyle w:val="FootnoteAnchor"/>
          <w:rtl w:val="true"/>
        </w:rPr>
        <w:footnoteReference w:id="108"/>
      </w:r>
      <w:r>
        <w:rPr>
          <w:rFonts w:ascii="IRNazanin" w:hAnsi="IRNazanin" w:eastAsia="IRNazanin"/>
          <w:color w:val="111111"/>
          <w:sz w:val="28"/>
          <w:sz w:val="28"/>
          <w:szCs w:val="28"/>
          <w:rtl w:val="true"/>
          <w:lang w:bidi="fa-IR"/>
        </w:rPr>
        <w:t>بل لما قرّرناه فی محلّه من أنّ المانع من جریان الأصل فی موارد توارد الحالتین مع الجهل بتأریخهما فی جمیع صوره، التی منها ما إذا کان الأثر مترتِّباً علی عدم وجود إحدی الحالتین فی ظرف وجود الآخر، کما فی المقام؛ حیث إنّ الأثر مترتِّب علی عدم تحقّق الوضع الجدید فی ظرف الاستعمال هو عدم إمکان إحراز موضوع الأثر بالأصل؛ لأنّ مفاد الأصل العدمی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أصلًا عقلائیّاً أم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جرّ العدم فی جمیع أجزاء الزمان، لا إثباته بالإضافة إلی أمر آخر، فلا یمکن إثبات عدم الوضع فی حال الاستعمال بالأصل و إن کان عقلائیّاً، لا لعدم إحراز التقیید و المقارنة؛ کی یُجاب بصحّة ذلک و إثباته بالأُصول العقلائیّة، بل لأنّ نفس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 حین جریان الأصل کالوضع، فلا یُحرز موضوع الأثر بالأصل المزبور، و لذا بنینا علی صحّة التمسّک بالأصل المزبور فی صورة کون الاستعمال معلوم التأریخ؛ إذ بالأصل و الوجدان یتحقّق موضوع الأثر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الأصل جرّ العدم بالإضافة إلی أمر آخر، و ارتفع الشکّ به من هذه الجهة، أمکن إحراز موضوع الأثر فی ما نحن فیه أیضاً؛ إذ الاستعمال معلوم التحقّق إجمالًا، و المفروض أیضاً أنّ مفاد الأصل هو عدم الوضع بالإضافة إلی</w:t>
      </w:r>
    </w:p>
    <w:p>
      <w:pPr>
        <w:pStyle w:val="BookText"/>
        <w:rPr/>
      </w:pPr>
      <w:r>
        <w:rPr>
          <w:rFonts w:ascii="IRNazanin" w:hAnsi="IRNazanin" w:eastAsia="IRNazanin"/>
          <w:color w:val="111111"/>
          <w:sz w:val="28"/>
          <w:sz w:val="28"/>
          <w:szCs w:val="28"/>
          <w:rtl w:val="true"/>
          <w:lang w:bidi="fa-IR"/>
        </w:rPr>
        <w:t>الاستعمال، فینتج الأصل المزبور تحقّق عدم الوضع حال الاستعمال، لکن قد أشرنا إلی أنّ ذلک خلاف التحقیق</w:t>
      </w:r>
      <w:r>
        <w:rPr>
          <w:rStyle w:val="FootnoteAnchor"/>
          <w:rtl w:val="true"/>
        </w:rPr>
        <w:footnoteReference w:id="1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التهافت بین ما ذکره فی الصورة الاولی و بین ما ذکره فی الصورة الثالثة؛ حیث صرّح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الأصل هو جرّ العدم بالإضافة إلی الحادث الآخر، و فی الثالثة بالإضافة إلی أجزاء الزمان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أصالة عدم النقل من الاصول العقلائیّة، إنّما الکلام فی أنّ بناءهم هذا هل هو لأجل استصحاب العدم، و أنّ ما ثبت یدوم، أو لأجل بنائهم علی عدم رفع الید عن الحجّة الفعلیّة باحتمال حجّة اخری علی خلافه ما لم تثبت؟</w:t>
      </w:r>
    </w:p>
    <w:p>
      <w:pPr>
        <w:pStyle w:val="BookText"/>
        <w:rPr/>
      </w:pPr>
      <w:r>
        <w:rPr>
          <w:rFonts w:ascii="IRNazanin" w:hAnsi="IRNazanin" w:eastAsia="IRNazanin"/>
          <w:color w:val="111111"/>
          <w:sz w:val="28"/>
          <w:sz w:val="28"/>
          <w:szCs w:val="28"/>
          <w:rtl w:val="true"/>
          <w:lang w:bidi="fa-IR"/>
        </w:rPr>
        <w:t>الظاهر هو الثانی؛ لعدم بناء العقلاء علی استصحاب الحالة السابقة، و بناؤهم علیه فی بعض الأحیان إنّما هو لأجل الاطمئنان بالبقاء، و کذلک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إنّ منشأ بنائهم المذکور هو الاستصحاب المزبور، فمقتضاه عدم الفرق بین الصور المذکورة حتّی الصورة الثالثة؛ إلّا أنّ الأصلین یتساقطان فیها، فإن کان مفاد استصحاب العدم هو جرّه فی جمیع أجزاء الزمان، لا بالنسبة إلی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یمکن إثبات عدم الوضع حال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إن کان بناؤهم ناشئاً عن أمرٍ آخر فلا فرق أیضاً فیه بین الصورتین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أمکن إثبات الموضوع المرکّب من أمرٍ وجودی و أمرٍ عدمی بالأصل و الوجدان، فلا فرق فیه أیضاً بین الصورتین الاولیین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ترتّب الأثر علی عدم الوضع الجدید حال الاستعمال فیه، لو تتبّعنا جمیع أبواب الفقه لم نجد أثراً شرعیّاً یترتّب علیه و علی عدم الاستعمال حال الوضع، بل الأثر مترتّب علی المستعمل فیه الثانی أو الاستعمال فی المعنی الثانی،</w:t>
      </w:r>
    </w:p>
    <w:p>
      <w:pPr>
        <w:pStyle w:val="BookText"/>
        <w:rPr/>
      </w:pPr>
      <w:r>
        <w:rPr>
          <w:rFonts w:ascii="IRNazanin" w:hAnsi="IRNazanin" w:eastAsia="IRNazanin"/>
          <w:color w:val="111111"/>
          <w:sz w:val="28"/>
          <w:sz w:val="28"/>
          <w:szCs w:val="28"/>
          <w:rtl w:val="true"/>
          <w:lang w:bidi="fa-IR"/>
        </w:rPr>
        <w:t>و حینئذٍ فما ذکره من إثبات الموضوع المرکّب المزبور بالأصل و الوجدان فی الصورة الاولی دون الثانیة،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ثبوت أصل الاستعمال فی الصورة الثانیة إجمالًا، و إنّما الشکّ فی تقدّمه علی الوضع و تأخّره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أنّ بناء العقلاء علی أصالة عدم النقل لیس للاستصحاب، بل لبنائهم علی عدم رفع الید عن الحجّة الفعلیّة ما لم یثبت حجّة علی خلافه، و هذا البناء إنّما هو فی الصورة الاولی؛ أی ما لو شکّ فی أصل النقل، دون غیرها من الصور الثلاث المتقدّمة من غیر فرقٍ بینها</w:t>
      </w:r>
      <w:r>
        <w:rPr>
          <w:rFonts w:eastAsia="IRNazanin" w:cs="IRNazanin"/>
          <w:color w:val="111111"/>
          <w:sz w:val="28"/>
          <w:szCs w:val="28"/>
          <w:rtl w:val="true"/>
          <w:lang w:bidi="fa-IR"/>
        </w:rPr>
        <w:t>.</w:t>
      </w:r>
      <w:bookmarkStart w:id="113" w:name="pg12886_133190"/>
    </w:p>
    <w:p>
      <w:pPr>
        <w:pStyle w:val="Heading3"/>
        <w:numPr>
          <w:ilvl w:val="2"/>
          <w:numId w:val="1"/>
        </w:numPr>
        <w:rPr/>
      </w:pPr>
      <w:bookmarkStart w:id="114" w:name="__RefHeading___Toc3023883_3224264995"/>
      <w:bookmarkStart w:id="115" w:name="_Toc42"/>
      <w:bookmarkEnd w:id="113"/>
      <w:bookmarkEnd w:id="114"/>
      <w:r>
        <w:rPr>
          <w:rtl w:val="true"/>
        </w:rPr>
        <w:t>الأمر التاسع الکلام فی الحقیقة الشرعیّة</w:t>
      </w:r>
      <w:bookmarkEnd w:id="115"/>
    </w:p>
    <w:p>
      <w:pPr>
        <w:pStyle w:val="Heading4"/>
        <w:numPr>
          <w:ilvl w:val="3"/>
          <w:numId w:val="1"/>
        </w:numPr>
        <w:rPr/>
      </w:pPr>
      <w:bookmarkStart w:id="116" w:name="__RefHeading___Toc3023885_3224264995"/>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اختلفوا فی ثبوت الحقیقة الشرعیّة و عدمه علی أقوال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الألفاظَ المتداولة فی لسان أهل الشرع فعلًا حقیقة فی المعانی الشرعیّة فی زماننا هذا، بل و فی الأزمنة السابقة حتّی زمان الصادقین علیهما السلام بل و کذا فی زمان النبی صلی الله علیه و آله و سلم کما یشهد به التتبّع فی الأخبار الواردة عنه صلی الله علیه و آله و سلم لإطلاق الألفاظ المعهودة فی لسانهم علیهم السلام فی المعانی الشرعیّة بدون نصب قرینة علیه، بل الآیات التی نزلت فی أوائل البعثة أیضاً کذلک، کقوله تعالی فی سورة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أنّها هل کانت کذلک قبل الإسلام من الأزمنة السابقة، غیر أنّه حصل اختلاف و تغییر فی الأجزاء و الشرائط فی شریعة الإسلام؛ لتکون حقائق لغویّة فیها، أو لا، بل النبی صلی الله علیه و آله و سلم وضعها لتلک المعانی بالوضع التعیینی، فهی حقائق شرعیّة؟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الوضع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صلی الله علیه و آله و سلم متی أراد استعمال کلّ واحدةٍ من هذه الألفاظ فی المعانی الشرعیّة وضعها لها أوّلًا، ثمّ استعملها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غایة البعد، لأنّه لو کان کذلک لنقل إلینا،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جمیع حالاته صلی الله علیه و آله و سلم و أقواله و حرکاته فی</w:t>
      </w:r>
      <w:bookmarkStart w:id="118" w:name="pg12886_133191"/>
    </w:p>
    <w:p>
      <w:pPr>
        <w:pStyle w:val="BookText"/>
        <w:rPr/>
      </w:pPr>
      <w:bookmarkEnd w:id="118"/>
      <w:r>
        <w:rPr>
          <w:rFonts w:ascii="IRNazanin" w:hAnsi="IRNazanin" w:eastAsia="IRNazanin"/>
          <w:color w:val="111111"/>
          <w:sz w:val="28"/>
          <w:sz w:val="28"/>
          <w:szCs w:val="28"/>
          <w:rtl w:val="true"/>
          <w:lang w:bidi="fa-IR"/>
        </w:rPr>
        <w:t>الأخبار و التواریخ، و لیس لما ذُکر ذکرٌ و لا أثر، فیعلم من ذلک عدمه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إیجاده بنفس الاستعمال فی تلک المعانی بقصد إنشاء الوضع، کما استقر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ممتنع علی مذهبه؛ حیث إنّه قدس سره صرّح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عبارة عن إفناء اللّفظ فی المعنی، فکأنّ الملقی إلی المخاطب هو نفس المعنی، و لهذا یسری قبح المعنی إلی اللّفظ، و علیه فاللّفظ عند الاستعمال مغفول عنه، مع أنّه لا بدّ فی الوضع من لحاظ اللّفظ و المعنی، فلو کان الوضع بنفس الاستعمال فی المعنی لزم اجتماع الغفلة و اللّحاظ فی اللّفظ؛ أی کونه ملحوظاً لأجل الوضع و مغفولًا عنه من جهة الاستعمال، أو اجتماع اللّحاظین الآلی و الاستقلالی، و کون اللّفظ حین الاستعمال بقصد الوضع منظوراً فیه و به، و هو محال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تفطّن المحقّق العراقی قدس سره لهذا الإشکال، 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للمعنی لیس هو شخص اللّفظ الصادر من المتکلّم حین الاستعمال، بل کلّیّه و طبیعیّه، فإذا وُلِد لشخص 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إنشاء الوضع، فشخص هذا اللّفظ الصادر منه صار فانیاً فی المعنی و 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و أمّا ما وضع لزید فهو طبیعة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یُعقل وضع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لحاظه استقلالًا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3023887_3224264995"/>
      <w:bookmarkStart w:id="120" w:name="_Toc44"/>
      <w:bookmarkEnd w:id="119"/>
      <w:r>
        <w:rPr>
          <w:rtl w:val="true"/>
        </w:rPr>
        <w:t>لکن لا یخفی ما فی هذا الجواب</w:t>
      </w:r>
      <w:r>
        <w:rPr>
          <w:rtl w:val="true"/>
        </w:rPr>
        <w:t>:</w:t>
      </w:r>
      <w:bookmarkEnd w:id="1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لحاظ طبیعی اللّفظ حین الاستعمال لیضعه بإزاء المعنی؛ ضرورة لزوم لحاظ اللّفظ الموضوع فی الوضع؛ لأنّ المفروض أنّه وضعه بنفس الاستعمال بإزاء ذلک المعنی، لا بالکنایة و الدلالة الالتزامیّة، و لو فرض لحاظه</w:t>
      </w:r>
    </w:p>
    <w:p>
      <w:pPr>
        <w:pStyle w:val="BookText"/>
        <w:rPr/>
      </w:pPr>
      <w:r>
        <w:rPr>
          <w:rFonts w:ascii="IRNazanin" w:hAnsi="IRNazanin" w:eastAsia="IRNazanin"/>
          <w:color w:val="111111"/>
          <w:sz w:val="28"/>
          <w:sz w:val="28"/>
          <w:szCs w:val="28"/>
          <w:rtl w:val="true"/>
          <w:lang w:bidi="fa-IR"/>
        </w:rPr>
        <w:t>و استعمال اللّفظ فی نوعه فهو یستلزم استعماله فی أکثر من معنیً واحد؛ لأنّ المفروض استعماله فی معناه و إرادته منه، و استعماله فی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وضعه بإزائه، و هذا محال، خصوصاً عند من یری الاستعمال إفناءً 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اتّحاد الدالّ و المدلول، کما اعترف به قدس سره فی مسألة استعمال اللّفظ و إرادة نوعه لوجود الطبیعة فی ضمن الفرد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اعترف سابقاً بأنّ إطلاق اللّفظ و إرادة نوعه لیس من باب الاستعمال، بل هو من قبیل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یرید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الوضع بنفس الاستعمال هو إنشاؤه به بالدلالة الالتزامیّة و الکنایة لا بالمطابقة؛ لانفهام ذلک عند العقلاء فیما لو قال لابنه المولود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لیس مجازاً؛ لعدم اشتماله علی الادّعاء، بل اللّفظ فیه مستعمل فی معناه قاصداً لإفهام أنّه وضعه له، و الدلیل علی ذلک وقوع مثله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عبارة عن إفناء اللّفظ فی المعنی دائماً</w:t>
      </w:r>
      <w:r>
        <w:rPr>
          <w:rStyle w:val="FootnoteAnchor"/>
          <w:rtl w:val="true"/>
        </w:rPr>
        <w:footnoteReference w:id="116"/>
      </w:r>
      <w:r>
        <w:rPr>
          <w:rFonts w:ascii="IRNazanin" w:hAnsi="IRNazanin" w:eastAsia="IRNazanin"/>
          <w:color w:val="111111"/>
          <w:sz w:val="28"/>
          <w:sz w:val="28"/>
          <w:szCs w:val="28"/>
          <w:rtl w:val="true"/>
          <w:lang w:bidi="fa-IR"/>
        </w:rPr>
        <w:t>ممّا لا شاهد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یُغفل عن اللّفظ حین الاستعمال؛ لفنائه فی المعنی، و لیس الوضع کسائر الإنشائیّات من البیع و النکاح و الطلاق فی اعتبار الإنشاء بلفظ خاصّ و صراحته فیه، بل یکفی إفهام الغیر أنّه وضعه بإزاء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لفظ کان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المتداولة فی لسان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و الزکاة و الحجّ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أنّها حقائق فی المعانی الحادثة فی الأعصار السابقة علی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الاختلاف فی بعض أجزائها و شرائطها المعتبرة فی شریعة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یُحتمل کونها حقائق لغویّة قبل الإسلام فی المعانی اللغویّة، و إنّما نقلها النبی صلی الله علیه و آله و سلم إلی المعانی الشرعیّة بنحو ما تقدّم، و لا ترجیح لأحد الاحتمالین علی الآخر، و لم یقم دلیل و لا برهان علی تعیّن أحدهما، فالقول بثبوت الحقیقة الشرعیّة کالقول بعدمه ممّا لا دلیل علیه</w:t>
      </w:r>
      <w:r>
        <w:rPr>
          <w:rFonts w:eastAsia="IRNazanin" w:cs="IRNazanin"/>
          <w:color w:val="111111"/>
          <w:sz w:val="28"/>
          <w:szCs w:val="28"/>
          <w:rtl w:val="true"/>
          <w:lang w:bidi="fa-IR"/>
        </w:rPr>
        <w:t>.</w:t>
      </w:r>
      <w:bookmarkStart w:id="121" w:name="pg12886_133194"/>
    </w:p>
    <w:p>
      <w:pPr>
        <w:pStyle w:val="Heading3"/>
        <w:numPr>
          <w:ilvl w:val="2"/>
          <w:numId w:val="1"/>
        </w:numPr>
        <w:rPr/>
      </w:pPr>
      <w:bookmarkStart w:id="122" w:name="__RefHeading___Toc3023889_3224264995"/>
      <w:bookmarkStart w:id="123" w:name="_Toc45"/>
      <w:bookmarkEnd w:id="121"/>
      <w:bookmarkEnd w:id="122"/>
      <w:r>
        <w:rPr>
          <w:rtl w:val="true"/>
        </w:rPr>
        <w:t>الأمر العاشر فی الصحیح و الأعمّ</w:t>
      </w:r>
      <w:bookmarkEnd w:id="123"/>
    </w:p>
    <w:p>
      <w:pPr>
        <w:pStyle w:val="Heading4"/>
        <w:numPr>
          <w:ilvl w:val="3"/>
          <w:numId w:val="1"/>
        </w:numPr>
        <w:rPr/>
      </w:pPr>
      <w:bookmarkStart w:id="124" w:name="__RefHeading___Toc3023891_3224264995"/>
      <w:bookmarkStart w:id="125" w:name="_Toc46"/>
      <w:bookmarkEnd w:id="124"/>
      <w:r>
        <w:rPr>
          <w:rtl w:val="true"/>
        </w:rPr>
        <w:t>تحریر محلّ النزاع</w:t>
      </w:r>
      <w:bookmarkEnd w:id="125"/>
    </w:p>
    <w:p>
      <w:pPr>
        <w:pStyle w:val="BookText"/>
        <w:rPr/>
      </w:pPr>
      <w:r>
        <w:rPr>
          <w:rFonts w:ascii="IRNazanin" w:hAnsi="IRNazanin" w:eastAsia="IRNazanin"/>
          <w:color w:val="111111"/>
          <w:sz w:val="28"/>
          <w:sz w:val="28"/>
          <w:szCs w:val="28"/>
          <w:rtl w:val="true"/>
          <w:lang w:bidi="fa-IR"/>
        </w:rPr>
        <w:t>قد یُتراءی من عبائرهم الاختلاف فی تحریر عنوان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فی أنّ هذه الألفاظ موضوعة للمعانی الصحیحة أو الأعمّ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أنّها أسام للصحیحة أو للأعمّ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تحریره بنحو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یمکن استفادة أصل أو قاعدة من دأب الشارع و دیدنه؛ بحیث یمکن الاعتماد علیه یقتضی حمل الألفاظ المستعملة فی لسانه صلی الله علیه و آله و سلم علی الصحیح أو الأعمّ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باختلاف تلک العناوین فی تحریر محلّ النزاع تختلف الأحکام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یتوقف هذا البحث علی ثبوت الحقیقة الشرعیّة و الوضع التعیینی للألفاظ المذکورة تصریحاً و تفصیلًا أو تلویحاً و کنایةً، فیبحث عن أنّها وضعت للصحیح أو الأعمّ، فمع عدم ثبوت الوضع الشرعی التعیینی أصلًا، و القول باستعمال الشارع لها مجازاً حتّی أفادت بغیر قرینة</w:t>
      </w:r>
      <w:r>
        <w:rPr>
          <w:rStyle w:val="FootnoteAnchor"/>
          <w:rtl w:val="true"/>
        </w:rPr>
        <w:footnoteReference w:id="119"/>
      </w:r>
      <w:r>
        <w:rPr>
          <w:rFonts w:ascii="IRNazanin" w:hAnsi="IRNazanin" w:eastAsia="IRNazanin"/>
          <w:color w:val="111111"/>
          <w:sz w:val="28"/>
          <w:sz w:val="28"/>
          <w:szCs w:val="28"/>
          <w:rtl w:val="true"/>
          <w:lang w:bidi="fa-IR"/>
        </w:rPr>
        <w:t>فلا مجال لهذا البحث بالعنوان المذکور، لما عرفت من أنّه لیس من أقسام الوضع حتّی یُبحث عن کیفیّته، بخلاف ما لو کان محلّ النزاع هو</w:t>
      </w:r>
    </w:p>
    <w:p>
      <w:pPr>
        <w:pStyle w:val="BookText"/>
        <w:rPr/>
      </w:pPr>
      <w:r>
        <w:rPr>
          <w:rFonts w:ascii="IRNazanin" w:hAnsi="IRNazanin" w:eastAsia="IRNazanin"/>
          <w:color w:val="111111"/>
          <w:sz w:val="28"/>
          <w:sz w:val="28"/>
          <w:szCs w:val="28"/>
          <w:rtl w:val="true"/>
          <w:lang w:bidi="fa-IR"/>
        </w:rPr>
        <w:t>العنوان الثانی؛ لصحّة البحث فی أنّها أسامٍ للصحیحة أو الأعمّ و إن لم تثبت الحقیقة الشرعیّة و الوضع التعیینی أصلًا، بل یکفی صیرورتها حقیقةً فیها و لو بنحو الوضع التعیّنی بکثرة الاستعمال، حتّی غلبت فیه و أفادت بغیر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العنوان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فیه صحیح و إن لم تثبت الحقیقة الشرعیّة و لو بکثرة الاستعمال الذی سمّوه بالوضع التعیّنی، بل استعملت فیها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کلام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ابتناء هذا البحث علی القول بثبوت الحقیقة الشرعیّة، و تأمّلِهِ</w:t>
      </w:r>
      <w:r>
        <w:rPr>
          <w:rStyle w:val="FootnoteAnchor"/>
          <w:rtl w:val="true"/>
        </w:rPr>
        <w:footnoteReference w:id="120"/>
      </w:r>
      <w:r>
        <w:rPr>
          <w:rFonts w:ascii="IRNazanin" w:hAnsi="IRNazanin" w:eastAsia="IRNazanin"/>
          <w:color w:val="111111"/>
          <w:sz w:val="28"/>
          <w:sz w:val="28"/>
          <w:szCs w:val="28"/>
          <w:rtl w:val="true"/>
          <w:lang w:bidi="fa-IR"/>
        </w:rPr>
        <w:t>فی جریانه علی القول بالحقیقة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و کذلک تأمّله فیه علی مذهب الباقلّانی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تصویره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اللّفظ إذا استُعمل فی معناه اللّغوی مع القرینة الدالّة علی بقیّة الأجزاء و الشرائط فی المأمور به، هل یدلّ علی اعتبار جمیع الأجزاء و الشرائط، فالمدلول علیه هو الصحیح، أو یدلّ علی اعتبار جملة الأجزاء و الشرائط بنحو القضیّة المهملة، فالمدلول علیه هو الأعمّ؟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تصوّر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إلّا أنّه لا یترتّب علیه الثمرة المذکورة لهذا البحث؛ لأنّ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دلّت علی اعتبار جمیع الأجزاء و الشرائط فی المأمور به، فلا یبقی شکّ حتّی یتمسّک فیه بالإطلاق و غیره؛ لعدم الشک حینئذٍ</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دلّت علی الشرائط و الأجزاء بنحو الإهمال فلا إطلاق لفظی حتّی</w:t>
      </w:r>
    </w:p>
    <w:p>
      <w:pPr>
        <w:pStyle w:val="BookText"/>
        <w:rPr/>
      </w:pPr>
      <w:r>
        <w:rPr>
          <w:rFonts w:ascii="IRNazanin" w:hAnsi="IRNazanin" w:eastAsia="IRNazanin"/>
          <w:color w:val="111111"/>
          <w:sz w:val="28"/>
          <w:sz w:val="28"/>
          <w:szCs w:val="28"/>
          <w:rtl w:val="true"/>
          <w:lang w:bidi="fa-IR"/>
        </w:rPr>
        <w:t>یتمسّک به لنفی المشکوک جزئیته أو شرطیّته، و الإطلاق المقامی جارٍ علی کلا القولین</w:t>
      </w:r>
      <w:r>
        <w:rPr>
          <w:rStyle w:val="FootnoteAnchor"/>
          <w:rtl w:val="true"/>
        </w:rPr>
        <w:footnoteReference w:id="1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فی جریان النزاع علی هذا القول أیضاً، و ما ذکره من عدم ترتّب الثمرة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القرینة مُجملة فلا مانع من التمسّک بالإطلاق فی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لنفی اعتبار الجزء أو الشرط المشکوکین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الصحّة عند الکلّ بمعنی واحد، و هو التمامیّة، و تفسیرها بإسقاط القضاء، کما عن الفقهاء، أو بموافقة الشریعة، کما عن المتکلّمین، إنما هو بالمهمّ من لوازمها؛ لوضوح اختلافه باختلاف الأنظار، و هذا لا یوجب تعدّد المعنی، کما لا یوجبه اختلافها بحسب الحالات؛ من السفر و الحضر و الاختیار و الاضطرار إلی غیر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أمران إضافیّان، فیختلف شی‌ء واحد صحةً و فساداً بحسب الحالات، فیکون تامّاً بحسب حالة، و فاسداً بحسب اخری</w:t>
      </w:r>
      <w:r>
        <w:rPr>
          <w:rStyle w:val="FootnoteAnchor"/>
          <w:rtl w:val="true"/>
        </w:rPr>
        <w:footnoteReference w:id="1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کلامه قدس سره أمران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مساوقة للتمام و الفسادَ للناقص، مع وضوح عدم</w:t>
      </w:r>
      <w:bookmarkStart w:id="126" w:name="pg12886_133197"/>
    </w:p>
    <w:p>
      <w:pPr>
        <w:pStyle w:val="BookText"/>
        <w:rPr/>
      </w:pPr>
      <w:bookmarkEnd w:id="126"/>
      <w:r>
        <w:rPr>
          <w:rFonts w:ascii="IRNazanin" w:hAnsi="IRNazanin" w:eastAsia="IRNazanin"/>
          <w:color w:val="111111"/>
          <w:sz w:val="28"/>
          <w:sz w:val="28"/>
          <w:szCs w:val="28"/>
          <w:rtl w:val="true"/>
          <w:lang w:bidi="fa-IR"/>
        </w:rPr>
        <w:t>صحّته، فإنّهما مفهومان متغایران قد یتصادقان علی واحد، کما فی الصلاة، لکن مفهومهما لیس واحداً، و لهذا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بُنِیا علی نحو لا یترتّب علیهما المهمّ من الآثار، و لا یُطلق علیهما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مفهومی الصحّة و الفساد واضحان یعرفهما کلّ أحد و لا یحتاج إلی التفسیر بما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کلامه قدس سره هو أنّ محلّ البحث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الألفاظ المذکورة موضوعة للصحیح أو الأعمّ، و أنّها وُضعت لأیّهما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الصحّة و الفساد مفهومهما بالحمل الأوّلی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معقول، و لا یلتزم أحد بأنّ الألفاظ موضوعة لمفهوم الصحیح أو الأعمّ، مع أنّ الصحّة و الفساد من الأعراض الطارئة علی الوجود، لا علی المفهوم 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بهما ما یصدق علیه هذان المفهومان بالحمل الشائع من الأفراد الخارجیّة لهما لزم أن یکون الموضوع له فیها خاصّاً، و لم یقُل به أحد ممّن عَنْونَ البحث بهذا العنوان، و أیضاً بناء علیه فالأنسب تبدیل عنوان البحث إلی البحث فی أنّ الموضوع له فیها عامّ أو خاصّ، فعلی القول بأنّها موضوعة لمصادیق الصحیح، فالموضوع له فیها خاصّ، و إلّا فعامّ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فرض وجود الجامع بین الأفراد الصحیحة علی الصحیح أو الأعمّ منها و من الفاسدة علی الأعمّ؛ لأنّ فرض الجامع إنّما هو لجعله موضوعاً له للألفاظ، و الفرق أنّها موضوعة للمصادیق، مع أنّهم بصدد بیان الجامع</w:t>
      </w:r>
      <w:r>
        <w:rPr>
          <w:rFonts w:eastAsia="IRNazanin" w:cs="IRNazanin"/>
          <w:color w:val="111111"/>
          <w:sz w:val="28"/>
          <w:szCs w:val="28"/>
          <w:rtl w:val="true"/>
          <w:lang w:bidi="fa-IR"/>
        </w:rPr>
        <w:t>.</w:t>
      </w:r>
    </w:p>
    <w:p>
      <w:pPr>
        <w:pStyle w:val="Heading4"/>
        <w:numPr>
          <w:ilvl w:val="3"/>
          <w:numId w:val="1"/>
        </w:numPr>
        <w:rPr/>
      </w:pPr>
      <w:bookmarkStart w:id="127" w:name="__RefHeading___Toc3023893_3224264995"/>
      <w:bookmarkStart w:id="128" w:name="_Toc47"/>
      <w:bookmarkEnd w:id="127"/>
      <w:r>
        <w:rPr>
          <w:rtl w:val="true"/>
        </w:rPr>
        <w:t>الحقّ فی تحریر محلّ النزاع</w:t>
      </w:r>
      <w:bookmarkEnd w:id="1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عنوان البحث إلی آخر،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الألفاظ المخصوصة موضوعة للماهیّات التامة الأجزاء و الشرائط المعتبرة، أو أنّها موضوعة للأعمّ منها</w:t>
      </w:r>
      <w:bookmarkStart w:id="129" w:name="pg12886_133198"/>
    </w:p>
    <w:p>
      <w:pPr>
        <w:pStyle w:val="BookText"/>
        <w:rPr/>
      </w:pPr>
      <w:bookmarkEnd w:id="129"/>
      <w:r>
        <w:rPr>
          <w:rFonts w:ascii="IRNazanin" w:hAnsi="IRNazanin" w:eastAsia="IRNazanin"/>
          <w:color w:val="111111"/>
          <w:sz w:val="28"/>
          <w:sz w:val="28"/>
          <w:szCs w:val="28"/>
          <w:rtl w:val="true"/>
          <w:lang w:bidi="fa-IR"/>
        </w:rPr>
        <w:t>و من الفاقدة لبعض الأجزاء أو الشرائط، و تفسیر الصحّة بإسقاط القضاء من الفقهاء أو بموافقة الشریعة من المتکلّمین، لیس تفسیراً لماهیّتها، بل باللوازم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لجعل عنوان البحث فی أنّ الألفاظ موضوعة للصحیحة أو الأعمّ؛ کی یلجأ إلی أنّهما أمران إضافیّان</w:t>
      </w:r>
      <w:r>
        <w:rPr>
          <w:rStyle w:val="FootnoteAnchor"/>
          <w:rtl w:val="true"/>
        </w:rPr>
        <w:footnoteReference w:id="124"/>
      </w:r>
      <w:r>
        <w:rPr>
          <w:rFonts w:ascii="IRNazanin" w:hAnsi="IRNazanin" w:eastAsia="IRNazanin"/>
          <w:color w:val="111111"/>
          <w:sz w:val="28"/>
          <w:sz w:val="28"/>
          <w:szCs w:val="28"/>
          <w:rtl w:val="true"/>
          <w:lang w:bidi="fa-IR"/>
        </w:rPr>
        <w:t>مع وضوح فساده؛ لعدم التضایف بینهما، و لیس بینهما تقابل العدم و الملکة أیضاً، بل هما من الکیفیّات العارضة للموجود الخارجی، فالبطّیخ و نحوه یُطلق علیه الفاسد إذا أنتن مثلًا، و لیس الفساد عبارة عن عدم الصحّة عمّا من شأنه أن یکون صحیحاً؛ حتّی یکون بینهما تقابل العدم و الملکة، نعم لو ارید من الصحّة التمامیّة، و من الفاسد الناقص مجازاً و بضربٍ من العنایة، بل غلطاً لعدم وجود العلاقة المُصحّحة للتجوّز کان بینهما العدم و الملکة؛ لأنّ النقصان هو عدم التمامیّة عمّا من شأنه أن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عنوان البحث هو ما ذکرناه،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المخصوصة هل هی موضوعة للماهیّة المنتزعة عن الأفراد الجامعة لجمیع الأجزاء و الشرائط المعتبرة، أو الأعمّ منها و من المنتزعة من الأفراد الفاقدة لبعض الأجزاء أو الشرائط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التعبیرات الواردة فی الأخبار</w:t>
      </w:r>
      <w:r>
        <w:rPr>
          <w:rStyle w:val="FootnoteAnchor"/>
          <w:rtl w:val="true"/>
        </w:rPr>
        <w:footnoteReference w:id="125"/>
      </w:r>
      <w:r>
        <w:rPr>
          <w:rFonts w:ascii="IRNazanin" w:hAnsi="IRNazanin" w:eastAsia="IRNazanin"/>
          <w:color w:val="111111"/>
          <w:sz w:val="28"/>
          <w:sz w:val="28"/>
          <w:szCs w:val="28"/>
          <w:rtl w:val="true"/>
          <w:lang w:bidi="fa-IR"/>
        </w:rPr>
        <w:t>من قاطعیّة القهقهة و مانعیّة کذا، و القاطعیّة و المانعیّة إنّما تُتصوّران فیما له حقیقة و ماهیّةً بسیطة مُنتزعة عن عدّة من الأفراد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دخول الأجزاء فی محطّ البحث</w:t>
      </w:r>
      <w:r>
        <w:rPr>
          <w:rFonts w:eastAsia="IRNazanin" w:cs="IRNazanin"/>
          <w:color w:val="111111"/>
          <w:sz w:val="28"/>
          <w:szCs w:val="28"/>
          <w:rtl w:val="true"/>
          <w:lang w:bidi="fa-IR"/>
        </w:rPr>
        <w:t>.</w:t>
      </w:r>
    </w:p>
    <w:p>
      <w:pPr>
        <w:pStyle w:val="Heading4"/>
        <w:numPr>
          <w:ilvl w:val="3"/>
          <w:numId w:val="1"/>
        </w:numPr>
        <w:rPr/>
      </w:pPr>
      <w:bookmarkStart w:id="130" w:name="__RefHeading___Toc3023895_3224264995"/>
      <w:bookmarkStart w:id="131" w:name="_Toc48"/>
      <w:bookmarkEnd w:id="130"/>
      <w:r>
        <w:rPr>
          <w:rtl w:val="true"/>
        </w:rPr>
        <w:t>و أمّا الشرائط فهی علی أقسام</w:t>
      </w:r>
      <w:bookmarkEnd w:id="13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قابلة لأن یتعلّق بها الأمر، و تعلَّقَ الأمر بها بالفعل أیضاً</w:t>
      </w:r>
    </w:p>
    <w:p>
      <w:pPr>
        <w:pStyle w:val="BookText"/>
        <w:rPr/>
      </w:pPr>
      <w:r>
        <w:rPr>
          <w:rFonts w:ascii="IRNazanin" w:hAnsi="IRNazanin" w:eastAsia="IRNazanin"/>
          <w:color w:val="111111"/>
          <w:sz w:val="28"/>
          <w:sz w:val="28"/>
          <w:szCs w:val="28"/>
          <w:rtl w:val="true"/>
          <w:lang w:bidi="fa-IR"/>
        </w:rPr>
        <w:t>کالستر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تعلّق الأمر بها، لکن لم یتعلّق بها بالفعل؛ لکونها شروطاً عقلیّة محضة، کاشتراط عدم مزاحمة المأمور به بضدّه الأهمّ،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تعلّق الأمر بها، کقصد الوجه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جمیع الشرائط فی محطّ البحث، و أنّ الکلام فی المقام هو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موضوعة للماهیّة الواجدة لجمیع الأجزاء و الشرائط أو للأعمّ</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فی مرتبة المقتضی، و الشرائط فی مرتبة متأخّرة عن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فی تقرّرها الماهوی متقدِّمة فی الرتبة علی شرائطها، و یلزم من دخولها فی المسمّی اتحادها مع الأجزاء فی الرتبة</w:t>
      </w:r>
      <w:r>
        <w:rPr>
          <w:rStyle w:val="FootnoteAnchor"/>
          <w:rtl w:val="true"/>
        </w:rPr>
        <w:footnoteReference w:id="127"/>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شرطیّة شی‌ء لشی‌ء منتزعة عن تقیید المسمّی به،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 عن الأجزاء، و الأجزاء متأخرة فی الرتبة عن المسمّی، فالشرائط متأخّرة برتبتین علی المسمّی، فیستحیل دخولها فی المسمّی؛ لاستلزامه اتحادها مع الأجزاء فی الرتبة، مع أنّها متأخّرة عنها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الأصحاب علی أنّ الصلاة من الأفعال القصدیّة، التی یتوقّف تحقّقها فی الخارج علی قصد عنوانها، و اتّفقوا أیضاً علی أنّ بعض الشرائط لیس من الامور القصدیّة؛ بمعنی أنّه یمکن أن توجد فی الخارج و إن لم یقصدها فاعلها، کالطّهارة من الخبث، فلو کان المسمّی مرکّباً من الأجزاء و الشرائط، لزم أن یکون</w:t>
      </w:r>
      <w:bookmarkStart w:id="132" w:name="pg12886_133200"/>
    </w:p>
    <w:p>
      <w:pPr>
        <w:pStyle w:val="BookText"/>
        <w:rPr/>
      </w:pPr>
      <w:bookmarkEnd w:id="132"/>
      <w:r>
        <w:rPr>
          <w:rFonts w:ascii="IRNazanin" w:hAnsi="IRNazanin" w:eastAsia="IRNazanin"/>
          <w:color w:val="111111"/>
          <w:sz w:val="28"/>
          <w:sz w:val="28"/>
          <w:szCs w:val="28"/>
          <w:rtl w:val="true"/>
          <w:lang w:bidi="fa-IR"/>
        </w:rPr>
        <w:t>بعض الصلاة من الامور القصدیّة دون بعض، و هو یُنافی اتّفاقهم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عنها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صحّته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منه سقوطُ هذا النزاع بالنسبة إلی الشرائط، و عدمُ ترتّب ثمرة البحث علیه؛ إذ غایة ما ذُکر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خروج الشرائط عن المسمّی، و خروجها عنه لا یستلزم وضعها لنفس الأجزاء مطلقاً،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لنفس الأجزاء المقترنة بالشرائط؛ أعنی تلک الحصّة من مطلق الأجزاء، و معه یمکن جریان النزاع فیها، و ترتّب الثمرة المذکورة له علیه؛ بمعنی أنّ الصحیحی یدّعی أنّ اللّفظ موضوع للحصّة المقترنة لجمیع الشرائط و الأعمّی یدّعی أنّه موضوع للحصّة المقترنة ببعض الشرائط</w:t>
      </w:r>
      <w:r>
        <w:rPr>
          <w:rStyle w:val="FootnoteAnchor"/>
          <w:rtl w:val="true"/>
        </w:rPr>
        <w:footnoteReference w:id="1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 اقتصر علی الإشکال الأوّل الإجمالی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عدم صحته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یتعقّبه بما ذکره، فإنّه 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المقترنة بالشرائط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به بنحو القضیّة المشروطة، 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الاقتران بنحو القضیّة الحینیّة لزم لغویّة النزاع و البحث؛ للزوم بقاء الصدق و صحّة الإطلاق بدون هذا الشرط علی الصحیحی أیضاً کما هو مقتضی أخذها بنحو القضیّة الحینیّة،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للأجزاء حین وجود الشرائط، لا مقیّدة بها؛ حتّی یستلزم انتفاء الصدق بدونها</w:t>
      </w:r>
      <w:r>
        <w:rPr>
          <w:rFonts w:eastAsia="IRNazanin" w:cs="IRNazanin"/>
          <w:color w:val="111111"/>
          <w:sz w:val="28"/>
          <w:szCs w:val="28"/>
          <w:rtl w:val="true"/>
          <w:lang w:bidi="fa-IR"/>
        </w:rPr>
        <w:t>.</w:t>
      </w:r>
    </w:p>
    <w:p>
      <w:pPr>
        <w:pStyle w:val="Heading4"/>
        <w:numPr>
          <w:ilvl w:val="3"/>
          <w:numId w:val="1"/>
        </w:numPr>
        <w:rPr/>
      </w:pPr>
      <w:bookmarkStart w:id="133" w:name="__RefHeading___Toc3023897_3224264995"/>
      <w:bookmarkStart w:id="134" w:name="_Toc49"/>
      <w:bookmarkEnd w:id="133"/>
      <w:r>
        <w:rPr>
          <w:rtl w:val="true"/>
        </w:rPr>
        <w:t>فالذی ینبغی البحث عنه فی المقام أمران</w:t>
      </w:r>
      <w:bookmarkEnd w:id="134"/>
    </w:p>
    <w:p>
      <w:pPr>
        <w:pStyle w:val="Heading5"/>
        <w:numPr>
          <w:ilvl w:val="4"/>
          <w:numId w:val="1"/>
        </w:numPr>
        <w:rPr/>
      </w:pPr>
      <w:bookmarkStart w:id="135" w:name="__RefHeading___Toc3023899_3224264995"/>
      <w:bookmarkStart w:id="136" w:name="_Toc50"/>
      <w:bookmarkEnd w:id="135"/>
      <w:r>
        <w:rPr>
          <w:rtl w:val="true"/>
        </w:rPr>
        <w:t>الأمر الأوّل</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إمکان أخذ الشرائط مع الأجزاء فی الموضوع له بحیث تُؤخذ الشرائط جزءاً للموضوع له فی عرض الأجزاء أو 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إمکانه، و لا یُنافیه تقدّم الأجزاء علی الشرائط فی الرتبة؛ لإمکان</w:t>
      </w:r>
      <w:bookmarkStart w:id="137" w:name="pg12886_133201"/>
    </w:p>
    <w:p>
      <w:pPr>
        <w:pStyle w:val="BookText"/>
        <w:rPr/>
      </w:pPr>
      <w:bookmarkEnd w:id="137"/>
      <w:r>
        <w:rPr>
          <w:rFonts w:ascii="IRNazanin" w:hAnsi="IRNazanin" w:eastAsia="IRNazanin"/>
          <w:color w:val="111111"/>
          <w:sz w:val="28"/>
          <w:sz w:val="28"/>
          <w:szCs w:val="28"/>
          <w:rtl w:val="true"/>
          <w:lang w:bidi="fa-IR"/>
        </w:rPr>
        <w:t>جعل الواضع مجموع المتقدّم و المتأخّر فی الرتبة موضوعاً له للّفظ أو مسمّی بهذا الاسم؛ بأن یفرض أنّ الشارع لاحظ الأجزاء و الشرائط بالأسر، و وضع لفظ الصلاة لها، أو سمّاها بها</w:t>
      </w:r>
      <w:r>
        <w:rPr>
          <w:rFonts w:eastAsia="IRNazanin" w:cs="IRNazanin"/>
          <w:color w:val="111111"/>
          <w:sz w:val="28"/>
          <w:szCs w:val="28"/>
          <w:rtl w:val="true"/>
          <w:lang w:bidi="fa-IR"/>
        </w:rPr>
        <w:t>.</w:t>
      </w:r>
    </w:p>
    <w:p>
      <w:pPr>
        <w:pStyle w:val="Heading5"/>
        <w:numPr>
          <w:ilvl w:val="4"/>
          <w:numId w:val="1"/>
        </w:numPr>
        <w:rPr/>
      </w:pPr>
      <w:bookmarkStart w:id="138" w:name="__RefHeading___Toc3023901_3224264995"/>
      <w:bookmarkStart w:id="139" w:name="_Toc51"/>
      <w:bookmarkEnd w:id="138"/>
      <w:r>
        <w:rPr>
          <w:rtl w:val="true"/>
        </w:rPr>
        <w:t>الأمر الثانی</w:t>
      </w:r>
      <w:bookmarkEnd w:id="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کلام بعضهم عدم اختصاص هذا النزاع بالأجزاء و القسم الأوّل من أقسام الشرائط المذکورة، بل هو شامل للقسمین الأخیرین من أقسامها، حتّی فی مثل قصد الوجه و امتثال الأمر، کما یظهر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 و هو مقتضی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أیضاً؛ حیث إنّه استدلّ لوجود الجامع علی الصحیح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إشکال فی وجوده بین الأفراد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الاشتراک فی الأثر کاشف عن جامع واحد یؤثّر فی الکلّ بذلک الجامع</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قدس سره أنّه ورد فی الآیات و الأخبار أنّ للصلاة آثاراً، و أنّها ناهیة عن الفحشاء و المنکر</w:t>
      </w:r>
      <w:r>
        <w:rPr>
          <w:rStyle w:val="FootnoteAnchor"/>
          <w:rtl w:val="true"/>
        </w:rPr>
        <w:footnoteReference w:id="132"/>
      </w:r>
      <w:r>
        <w:rPr>
          <w:rFonts w:ascii="Amiri" w:hAnsi="Amiri" w:eastAsia="Amiri" w:cs="Amiri"/>
          <w:color w:val="111111"/>
          <w:sz w:val="28"/>
          <w:sz w:val="28"/>
          <w:szCs w:val="28"/>
          <w:rtl w:val="true"/>
          <w:lang w:bidi="ar-SA"/>
        </w:rPr>
        <w:t>و أنّها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p>
    <w:p>
      <w:pPr>
        <w:pStyle w:val="BookText"/>
        <w:rPr/>
      </w:pPr>
      <w:r>
        <w:rPr>
          <w:rStyle w:val="FootnoteAnchor"/>
          <w:rtl w:val="true"/>
        </w:rPr>
        <w:footnoteReference w:id="13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و نحو ذلک، و هذه الآثار تکشف عن وجود عنوان بسیط مؤثّر فیها، و إلّا یلزم صدور الواحد عن المتعدّد، و لا یصدر الواحد إلّا من الواحد، و من المعلوم أنّ تلک الآثار إنّما هی للصلاة الجامعة لجمیع الأجزاء و الشرائط کلّها، فهی الموضوع له للفظ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قصد الوجه و امتثال الأمر عنده لیسا من الشرائط، لکنّه إنّما یتمّ فی القسم الثالث من أقسام الشرائط، لا القسم الثانی</w:t>
      </w:r>
      <w:r>
        <w:rPr>
          <w:rFonts w:eastAsia="IRNazanin" w:cs="IRNazanin"/>
          <w:color w:val="111111"/>
          <w:sz w:val="28"/>
          <w:szCs w:val="28"/>
          <w:rtl w:val="true"/>
          <w:lang w:bidi="fa-IR"/>
        </w:rPr>
        <w:t>.</w:t>
      </w:r>
      <w:bookmarkStart w:id="140" w:name="pg12886_133202"/>
    </w:p>
    <w:p>
      <w:pPr>
        <w:pStyle w:val="Heading4"/>
        <w:numPr>
          <w:ilvl w:val="3"/>
          <w:numId w:val="1"/>
        </w:numPr>
        <w:rPr/>
      </w:pPr>
      <w:bookmarkStart w:id="141" w:name="__RefHeading___Toc3023903_3224264995"/>
      <w:bookmarkStart w:id="142" w:name="_Toc52"/>
      <w:bookmarkEnd w:id="140"/>
      <w:bookmarkEnd w:id="141"/>
      <w:r>
        <w:rPr>
          <w:rtl w:val="true"/>
        </w:rPr>
        <w:t>فی ضرورة الجامع علی القولین</w:t>
      </w:r>
      <w:bookmarkEnd w:id="142"/>
    </w:p>
    <w:p>
      <w:pPr>
        <w:pStyle w:val="BookText"/>
        <w:rPr/>
      </w:pPr>
      <w:r>
        <w:rPr>
          <w:rFonts w:ascii="IRNazanin" w:hAnsi="IRNazanin" w:eastAsia="IRNazanin"/>
          <w:color w:val="111111"/>
          <w:sz w:val="28"/>
          <w:sz w:val="28"/>
          <w:szCs w:val="28"/>
          <w:rtl w:val="true"/>
          <w:lang w:bidi="fa-IR"/>
        </w:rPr>
        <w:t>و علی أی تقدیر لا بدّ من جامع هو الموضوع له للصلاة و نحوها، من غیر فرقٍ فی ذلک بین القول بالصحیح أو الأعمّ؛ لأنّ الصلاة لیست مشترکة لفظاً، موضوعةً لکلّ واحد واحد من أفرادها بوضع مستقلّ، و لیس الموضوع له فیها خاصّاً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القولین فی لزوم فرض الجامع إلّا أنّ الجامع للأعمّی أوسع دائرةً من الجامع للصحیحی، و اختلفوا فیه اختلافاً فاحشاً</w:t>
      </w:r>
      <w:r>
        <w:rPr>
          <w:rFonts w:eastAsia="IRNazanin" w:cs="IRNazanin"/>
          <w:color w:val="111111"/>
          <w:sz w:val="28"/>
          <w:szCs w:val="28"/>
          <w:rtl w:val="true"/>
          <w:lang w:bidi="fa-IR"/>
        </w:rPr>
        <w:t>.</w:t>
      </w:r>
    </w:p>
    <w:p>
      <w:pPr>
        <w:pStyle w:val="Heading4"/>
        <w:numPr>
          <w:ilvl w:val="3"/>
          <w:numId w:val="1"/>
        </w:numPr>
        <w:rPr/>
      </w:pPr>
      <w:bookmarkStart w:id="143" w:name="__RefHeading___Toc3023905_3224264995"/>
      <w:bookmarkStart w:id="144" w:name="_Toc53"/>
      <w:bookmarkEnd w:id="143"/>
      <w:r>
        <w:rPr>
          <w:rtl w:val="true"/>
        </w:rPr>
        <w:t>فی تصویر الجامع عند الصحیحی</w:t>
      </w:r>
      <w:bookmarkEnd w:id="144"/>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وجوده بین الأفراد الصحیحة و بالاشتراک فی الأثر الواحد یستکشف أنّه واحد؛ إذ لا یصدر الواحد إلّا من الواحد</w:t>
      </w:r>
      <w:r>
        <w:rPr>
          <w:rStyle w:val="FootnoteAnchor"/>
          <w:rtl w:val="true"/>
        </w:rPr>
        <w:footnoteReference w:id="135"/>
      </w:r>
      <w:r>
        <w:rPr>
          <w:rFonts w:ascii="IRNazanin" w:hAnsi="IRNazanin" w:eastAsia="IRNazanin"/>
          <w:color w:val="111111"/>
          <w:sz w:val="28"/>
          <w:sz w:val="28"/>
          <w:szCs w:val="28"/>
          <w:rtl w:val="true"/>
          <w:lang w:bidi="fa-IR"/>
        </w:rPr>
        <w:t>و هذا نظیر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 أفراد الإنسان قابل للصنعة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باشتراکها فی هذا اللّازم الواحد یستکشف أنّ هنا ماهیّة و حقیقة واحدة مستلزمة لهذا الأثر، و کذا فی کلّ واحد من أفراد النار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أشرنا إلیه من اختصاص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الواحد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بالواحد البسیط من جمیع الجهات، و لا تعمّ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یُعکس الأمر؛ إذ لیس المراد من الناهی مفهومه الکلّی، بل أفراده و مصادیقه فالصلاة ناهیة عن الکذب و الغیبة و السرقة و الزنا و غیرها، و کذلک کونها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p>
    <w:p>
      <w:pPr>
        <w:pStyle w:val="BookText"/>
        <w:rPr/>
      </w:pP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IRNazanin" w:hAnsi="IRNazanin" w:eastAsia="IRNazanin"/>
          <w:color w:val="111111"/>
          <w:sz w:val="28"/>
          <w:sz w:val="28"/>
          <w:szCs w:val="28"/>
          <w:rtl w:val="true"/>
          <w:lang w:bidi="fa-IR"/>
        </w:rPr>
        <w:t>مضافاً إلی أنّ النهی عن الفحشاء</w:t>
      </w:r>
      <w:r>
        <w:rPr>
          <w:rStyle w:val="FootnoteAnchor"/>
          <w:rtl w:val="true"/>
        </w:rPr>
        <w:footnoteReference w:id="138"/>
      </w:r>
      <w:bookmarkStart w:id="145" w:name="pg12886_133203"/>
    </w:p>
    <w:p>
      <w:pPr>
        <w:pStyle w:val="BookText"/>
        <w:rPr/>
      </w:pPr>
      <w:bookmarkEnd w:id="145"/>
      <w:r>
        <w:rPr>
          <w:rFonts w:ascii="IRNazanin" w:hAnsi="IRNazanin" w:eastAsia="IRNazanin"/>
          <w:color w:val="111111"/>
          <w:sz w:val="28"/>
          <w:sz w:val="28"/>
          <w:szCs w:val="28"/>
          <w:rtl w:val="true"/>
          <w:lang w:bidi="fa-IR"/>
        </w:rPr>
        <w:t>أثرٌ، و قربانَ کلّ تقی أثرٌ آخر، و معراجَ المؤمن أثرٌ ثالث، فللصلاة آثار عدیدة کثیرة، و قضیّة القاعدة هو خلاف ما هو قدس سره بصدده؛ إذ بتعدّد هذه الآثار یستکشف تعدّد المؤثّر علی ما زعمه قدس سره، مع أنّ هذه الآثار إنّما هی للوجود لا للماهیّة، مضافاً إلی أنّه یلزم ممّا ذکره أن یکون لجمیع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الصوم و الحجّ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واحدة؛ لاشتراکها فی المُقرِّبیّة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بالجامع الجامع المقولی المنتزع من ذات الأجزاء، فمن المعلوم أنّ الصلاة مرکّبة من مقولات مختلفة؛ فإنّ الرکعات من مقولة الکم، و الجهر و الإخفات من مقولة الکیف، و الرکوع و السجود من مقولة الوضع إن ارید بهما هیئتهما، و من مقولة الفعل إن ارید بهما المعنی المصدری، و یستحیل انتزاع مقولة واحدة من ذوات هذه المقولات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الجامع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الناهی عن الفحشاء و المنکر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أنّ لفظ الصلاة لیست موضوعة لذلک</w:t>
      </w:r>
      <w:r>
        <w:rPr>
          <w:rFonts w:eastAsia="IRNazanin" w:cs="IRNazanin"/>
          <w:color w:val="111111"/>
          <w:sz w:val="28"/>
          <w:szCs w:val="28"/>
          <w:rtl w:val="true"/>
          <w:lang w:bidi="fa-IR"/>
        </w:rPr>
        <w:t>.</w:t>
      </w:r>
    </w:p>
    <w:p>
      <w:pPr>
        <w:pStyle w:val="Heading4"/>
        <w:numPr>
          <w:ilvl w:val="3"/>
          <w:numId w:val="1"/>
        </w:numPr>
        <w:rPr/>
      </w:pPr>
      <w:bookmarkStart w:id="146" w:name="__RefHeading___Toc3023907_3224264995"/>
      <w:bookmarkStart w:id="147" w:name="_Toc54"/>
      <w:bookmarkEnd w:id="146"/>
      <w:r>
        <w:rPr>
          <w:rtl w:val="true"/>
        </w:rPr>
        <w:t>فی تصویر الجامع عند المحقّق العراقی</w:t>
      </w:r>
      <w:bookmarkEnd w:id="147"/>
    </w:p>
    <w:p>
      <w:pPr>
        <w:pStyle w:val="BookText"/>
        <w:rPr/>
      </w:pPr>
      <w:r>
        <w:rPr>
          <w:rFonts w:ascii="IRNazanin" w:hAnsi="IRNazanin" w:eastAsia="IRNazanin"/>
          <w:color w:val="111111"/>
          <w:sz w:val="28"/>
          <w:sz w:val="28"/>
          <w:szCs w:val="28"/>
          <w:rtl w:val="true"/>
          <w:lang w:bidi="fa-IR"/>
        </w:rPr>
        <w:t>و قال المحقّق العراقی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عبارة عن مرتبة خاصّة من حقیقة الوجود، فإنّ الصلاة و إن ترکّبت من مقولات، و المقولات متباینة ماهیّةً، لکن مع ذلک بینها اشتراک وجودی سارٍ فی وجود تلک المقولات، فصورة تلک المرتبة هو مفهوم الصلاة</w:t>
      </w:r>
      <w:r>
        <w:rPr>
          <w:rStyle w:val="FootnoteAnchor"/>
          <w:rtl w:val="true"/>
        </w:rPr>
        <w:footnoteReference w:id="1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للوجود الساری بالمعنی الذی ذکره؛ لعدم معقولیّة سریانه من الصلاة الواقعة فی أوّل الوقت و الواقعة فی آخر الوقت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إذا کان الجامع عبارة عن عدد معلوم من المقولات فی مثل</w:t>
      </w:r>
    </w:p>
    <w:p>
      <w:pPr>
        <w:pStyle w:val="BookText"/>
        <w:rPr/>
      </w:pPr>
      <w:r>
        <w:rPr>
          <w:rFonts w:ascii="IRNazanin" w:hAnsi="IRNazanin" w:eastAsia="IRNazanin"/>
          <w:color w:val="111111"/>
          <w:sz w:val="28"/>
          <w:sz w:val="28"/>
          <w:szCs w:val="28"/>
          <w:rtl w:val="true"/>
          <w:lang w:bidi="fa-IR"/>
        </w:rPr>
        <w:t>الصلاة، أمکن تطبیق هذه الصورة علی أی عدد یختاره الفاعل من المقولات العشر بلا ترجیح لبعضها علی بعض، بل یکون تطبیق صورة تلک المرتبة من الوجود المحدود بحدود مضبوطة العدد و علی أی عدّة من المقولات، راجعاً إلی نظر المکلّف حسب ما یشتهی و یقترح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فساد هذا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إنّا لم نقصد بالمرتبة الخاصّة من الوجود الساری فی المقولات خصوصیّة العدد و المقولة فقط، بل المقصود بالمرتبة الخاصّة هی الحصّة من الوجود الساری فی المقولات التی أمر الشارع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مفهوم الصلاة هی تلک الحصّة من الوجود الساری فی المقولات المزبورة، و لا ریب فی فساد هذه الدعوی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مفاهیم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عن مصادیقه الخارجیّة، و لکن عند التحلیل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الصلاة هی الحصّة المقترنة بالمقولات الخاصّة، نحو مفهوم المشتق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تصویر جامع بسیط غیر الجامع العنوانی و غیر الجامع الماهوی، و هی مرتبة من الوجود الساری فی جملة من المقولات، المحدود من طرف القلّة بعدد أرکان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طرف الزیادة لوحظ لا بشرط بنحوٍ یصحّ حمله علی الفاقد لها و الواجد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ظهر صحّة تشبیه الجامع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بالجامع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الجامع بین أفراد الکلمة عبارة عن المرکّب من جزءین من حروف المبانی الهجائیّة فما فوق؛ بنحو یکون ذلک المعنی بشرط شی‌ء فی طرف القلّة و لا بشرط من طرف الزیادة، و لهذا تجد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الکلمة المرکّبة من حرفین و علی المرکّبة من الثلاثة، و أکثر، کذلک الجامع بین أفراد الصلاة</w:t>
      </w:r>
      <w:r>
        <w:rPr>
          <w:rStyle w:val="FootnoteAnchor"/>
          <w:rtl w:val="true"/>
        </w:rPr>
        <w:footnoteReference w:id="1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48" w:name="pg12886_133205"/>
    </w:p>
    <w:p>
      <w:pPr>
        <w:pStyle w:val="BookText"/>
        <w:rPr/>
      </w:pPr>
      <w:bookmarkEnd w:id="1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لفظ الصلاة موضوع لمفهوم الوجود الساری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لمعنیً هو غیر 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مساوقا للوجود و مرادفاً له،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موضوعة للوجود بالحمل الشائع فیلزمه القول بأنّ الموضوع له فیها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موضوعة لعنوانٍ آخر ذاتی مقولی، فهو کرّ علی ما فرّ منه، أو لعنوان عرضی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تقدّم من أنّه لا معنی للوجود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تنظیر الصلاة بالکلمة و الکلام فهو لا یناسب مذهبه؛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موضوعة للوجود الساری، بل هی موضوعة للّفظ المفرد، سواء کان حرفاً واحداً، کهمزة الاستفهام و نحوها، أم حرفین، أم ثلاثة أحرف فصاعداً،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واحدة تصدق علی أفراد کثیرة</w:t>
      </w:r>
      <w:r>
        <w:rPr>
          <w:rFonts w:eastAsia="IRNazanin" w:cs="IRNazanin"/>
          <w:color w:val="111111"/>
          <w:sz w:val="28"/>
          <w:szCs w:val="28"/>
          <w:rtl w:val="true"/>
          <w:lang w:bidi="fa-IR"/>
        </w:rPr>
        <w:t>.</w:t>
      </w:r>
    </w:p>
    <w:p>
      <w:pPr>
        <w:pStyle w:val="Heading4"/>
        <w:numPr>
          <w:ilvl w:val="3"/>
          <w:numId w:val="1"/>
        </w:numPr>
        <w:rPr/>
      </w:pPr>
      <w:bookmarkStart w:id="149" w:name="__RefHeading___Toc3023909_3224264995"/>
      <w:bookmarkStart w:id="150" w:name="_Toc55"/>
      <w:bookmarkEnd w:id="149"/>
      <w:r>
        <w:rPr>
          <w:rtl w:val="true"/>
        </w:rPr>
        <w:t>فی تصویر الجامع عند المحقّق الأصفهانی</w:t>
      </w:r>
      <w:bookmarkEnd w:id="1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الأعاظم قدس سره فی تصویر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للصلاة ماهیّة مبهمة لها سعة تصدق علی جمیع أفرادها المختلفة زیادةً و نقیصةً، فإنّ الوجود و الماهیّة یتعاکسان، فی أنّ الوجود کلّما کان أبهم صار دائرته أضیق، و کلّما کان أشدّ تحصّلًا و تعیّناً کان أوسع، بخلاف الماهیّة، فإنّها کلّما کانت أشدّ تحصّلًا صارت دائرتها أضیق، و کلّما کانت أبهم کانت أوسع، فدائرة الجسم أوسع من الحیوان، و الحیوان من الإنسان؛ لأنّ الجسم أبهم من الحیوان، و الحیوان أبهم من الإنسان، و حیث إنّ الصلاة ماهیّة مبهمة، فلها سعة تشمل جمیع أفرادها المختلفة هی الموضوعة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bookmarkStart w:id="151" w:name="pg12886_133206"/>
    </w:p>
    <w:p>
      <w:pPr>
        <w:pStyle w:val="BookText"/>
        <w:rPr/>
      </w:pPr>
      <w:bookmarkEnd w:id="151"/>
      <w:r>
        <w:rPr>
          <w:rFonts w:ascii="IRNazanin" w:hAnsi="IRNazanin" w:eastAsia="IRNazanin"/>
          <w:color w:val="111111"/>
          <w:sz w:val="28"/>
          <w:sz w:val="28"/>
          <w:szCs w:val="28"/>
          <w:rtl w:val="true"/>
          <w:lang w:bidi="fa-IR"/>
        </w:rPr>
        <w:t>لشتاتها</w:t>
      </w:r>
      <w:r>
        <w:rPr>
          <w:rStyle w:val="FootnoteAnchor"/>
          <w:rtl w:val="true"/>
        </w:rPr>
        <w:footnoteReference w:id="141"/>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الإشکال المتقدّم آنفاً؛ حیث إنّ المراد إمّا الجامع المقولی الذاتی أو العرضی، و کلاهما غیر صحیح، مضافاً إلی أنّه یلزم أن تکون الصلاة مردّدة بین ذات الأجزاء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ذات الأجزاء الأقلّ منها أو الأکثر، لا مبهمةً؛ لأنّ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حدّ ذاتها، لا بلحاظ الطوارئ</w:t>
      </w:r>
      <w:r>
        <w:rPr>
          <w:rFonts w:eastAsia="IRNazanin" w:cs="IRNazanin"/>
          <w:color w:val="111111"/>
          <w:sz w:val="28"/>
          <w:szCs w:val="28"/>
          <w:rtl w:val="true"/>
          <w:lang w:bidi="fa-IR"/>
        </w:rPr>
        <w:t>.</w:t>
      </w:r>
    </w:p>
    <w:p>
      <w:pPr>
        <w:pStyle w:val="Heading4"/>
        <w:numPr>
          <w:ilvl w:val="3"/>
          <w:numId w:val="1"/>
        </w:numPr>
        <w:rPr/>
      </w:pPr>
      <w:bookmarkStart w:id="152" w:name="__RefHeading___Toc3023911_3224264995"/>
      <w:bookmarkStart w:id="153" w:name="_Toc56"/>
      <w:bookmarkEnd w:id="152"/>
      <w:r>
        <w:rPr>
          <w:rtl w:val="true"/>
        </w:rPr>
        <w:t>التحقیق فی تصویر الجامع</w:t>
      </w:r>
      <w:bookmarkEnd w:id="153"/>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تقدیم مقدّمة؛ هی أنّک قد عرفت أنّ الصحّة و الفساد من طوارئ الوجود و عوارضه، لا الماهیّة؛ فإنّها من حیث هی لا تتّصف بالصحّة و الفساد، بل إذا وُجدت فی الخارج فهی إمّا صحیحة، أو فاسدة، فرتبة فرض الجامع متقدّمة علی رتبة الاتّصاف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هو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موضوعة لماهیّة إذا وجدت کانت صحیحة فقط، أو لأعم منها و ممّا إذا وجدت کانت فاسدة؟</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استثنوا القسمین الأخیرین من أقسام الشرائط المتقدّمة عن محطّ البحث، و بدونهما فهی لا توجد إلّا فاسدة، و معه لا معنی للبحث فی أنّها هل هی موضوعة لماهیّة إذا وجدت کانت صحیحة أو لأعمّ؟ 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لماهیّة توجد فاسدة دائماً، و هو بعینه مقالة الأعمّی و إن لم تساعد علیه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فرض الجامع و تصویره للصحیحی، بل لا معنی له؛ لأنّ الموضوع له لیس هو الصحیح علی أی تقدیر؛ لما عرفت من خروج القسمین الأخیرین من الشرائط، و معه لا تقع صحیحة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أن یقال فی محطّ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IRNazanin" w:hAnsi="IRNazanin" w:eastAsia="IRNazanin"/>
          <w:color w:val="111111"/>
          <w:sz w:val="28"/>
          <w:sz w:val="28"/>
          <w:szCs w:val="28"/>
          <w:rtl w:val="true"/>
          <w:lang w:bidi="fa-IR"/>
        </w:rPr>
        <w:t>هی موضوعة للماهیّة التامّة الأجزاء مع القسم الأوّل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دخوله فی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منها و من الفاقدة لبعض ذلک بإلغاء لفظی الصحّة و الفساد فی عنوان البحث؛ لما عرفت من تأخّر مرتبة الاتّصاف بالصحّة و الفساد عن ما هو محطّ البحث، و أنّ الحقّ خروج الشرائط المعتبرة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القسمین الأخیرین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 و دخول ما هو من مقوّمات الماهیّة، و القسمان الأخیران من الشرائط لیسا کذلک، و أمّا القسم الأوّل منها فیحتمل أنّها من شرائط الصحّة، لا من مقوّمات الماهیّة، فتخرج عن محطّ البحث أیضاً، و یحتمل کونها من مقوّمات الماهیّة فتدخل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فحیث إنّها من المقولات المختلفة، فلا بدّ لها من جامع اعتبره الشارع أنّه الصلاة،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یشتمل شی‌ء علی أجزاء عدیدة اعتبرت شیئاً واحداً، و أنّ لهیئته الاجتماعیّة مدخلیّة فی صدق الاسم، و ینتفی بانتفاء أحد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تکون کذلک؛ بأن کان للهیئة الاجتماعیّة المرکّبة من عدّة أجزاء عرض عریض، و یصدق علیها الاسم المخصوص الموضوع لها و لو مع انتفاء بعض أجزائها أو تبدّلها بجزءٍ آخر من سنخها، فلیس لکلّ واحدٍ من الأجزاء دخْلٌ فی الإطلاق و صدق الاسم، و ذلک کالبیت و الدار و الطیّارة و السیّارة و ما أشبه ذلک، فانتفاء بعض أجزاء هذه أو تبدّله بجزءٍ آخر من سنخه، لا یوجب سلب الاسم و الإطلاق، و لذلک تری صحّة إطلاق البیت علی المبنی من الطین و اللّبنة أو من الحجر و الآجر و نحو ذلک، فللموضوع له فی أمثال ذلک عرض عریض، و أجزاؤه مأخوذة فیه لا بشرط کمّاً و کیفاً، و لذا یطلق علی الوسیع و الطویل و العریض و الضیّق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من قبیل الثانی؛ لأنّ أجزاءها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القیام و الرکوع و السجود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اعتباریّة ممتدّة ذات عرض عریض حالّة فی</w:t>
      </w:r>
    </w:p>
    <w:p>
      <w:pPr>
        <w:pStyle w:val="BookText"/>
        <w:rPr/>
      </w:pPr>
      <w:r>
        <w:rPr>
          <w:rFonts w:ascii="IRNazanin" w:hAnsi="IRNazanin" w:eastAsia="IRNazanin"/>
          <w:color w:val="111111"/>
          <w:sz w:val="28"/>
          <w:sz w:val="28"/>
          <w:szCs w:val="28"/>
          <w:rtl w:val="true"/>
          <w:lang w:bidi="fa-IR"/>
        </w:rPr>
        <w:t>تلک الأجزاء، و اعتبرت تلک الأجزاء فیها لا بشرط، و لهذا تصدق علی الفاقدة لبعض تلک الأجزاء، أو مع تبدیله بجزءٍ آخر من سنخه، و علی المأتی بها جهراً و إخفاتاً، صحیحةً أو ملحونة، قاعداً و قائماً و مضطجعاً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جمیع أفرادها الاختیاریّة و الاضطراریّة، حتّی مثل صلاة الغرقی و نحوها، إلّا ما لا تصدق علیها، کالإشارة إلیها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النزاع فی أنّ لفظ الصلاة موضوعة للهیئة الجامعة لجمیع الأجزاء المعتبرة فیها مع اختلاف الحالات، و لا تصدق مع فقد بعضها، أو للأعمّ منها و من الفاقدة لبعضها، و تلک الهیئة متحقِّقة فی جمیع الحالات، فلا یحتاج إلی فرض جامع للصحیحی و آخر للأعمّی؛ لکلّ منهما مستقلًا عن الآخر، بل یکفی تصویر جامع واحد لکلا القولین، و تقدّم أنّه لا یحتاج إلی ذکر لفظ الصحیح و الفاسد فی عنوان البحث، بل هو مخلّ بالإفهام و المقصود و موجب للتعمیة فی البحث، و ما ذکرناه فی محطّ البحث هو الموافق للعرف و الوجدان و الشرع و انطباق الأخبار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مراد استاذنا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أیضاً، و تعلّق الأمر بهذه الهیئة هو عین تعلّقه بالأجزاء یدعو إلی الإتیان بالأجزاء؛ إذ لیست الهیئة أمراً آخر سوی الأجزاء فالأمر بها أمر بالأجزاء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فساد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بالأجزاء ضمنی أو غیری و إنّ الأمر الأصلی النفسی متعلّق بالهیئة؛ إذ لو کان الأمر بالأجزاء غیریّاً لزم الصحّة و تحقّق الامتثال بالإتیان بها و لو بدون قصد القربة و الوجه، و لا یلتزم به أحد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اندفاع ما یمکن أن یورد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مستلزم للقولِ بالاشتغال و عدم جریان البراءة لو شُکّ فی شرطیّة شی‌ء أو جزئیّته للصلاة بتوهم أنّه من قبیل الشکّ فی المحصّل؛ لأنّ لمتعلّق الأمر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مُبیَّناً،</w:t>
      </w:r>
      <w:bookmarkStart w:id="154" w:name="pg12886_133209"/>
    </w:p>
    <w:p>
      <w:pPr>
        <w:pStyle w:val="BookText"/>
        <w:rPr/>
      </w:pPr>
      <w:bookmarkEnd w:id="154"/>
      <w:r>
        <w:rPr>
          <w:rFonts w:ascii="IRNazanin" w:hAnsi="IRNazanin" w:eastAsia="IRNazanin"/>
          <w:color w:val="111111"/>
          <w:sz w:val="28"/>
          <w:sz w:val="28"/>
          <w:szCs w:val="28"/>
          <w:rtl w:val="true"/>
          <w:lang w:bidi="fa-IR"/>
        </w:rPr>
        <w:t>و الشکّ إنّما هو فی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تقرّر فی محلّه أنّ مقتضی القاعدة فی مثله الاشتغال؛ إذ قد عرفت أنّ الهیئة لیست أمراً مُغایراً للأجزاء، بل هی نفسها و الأمر بها أمر بالأجزاء، یدعو نحوها، فلو شُکَّ فی جزئیة شی‌ء أو شرطیّة لها فمتعلّق الأمر غیر معلوم، و لا حجّة علی وجوب الإتیان به، فلا مانع من جریان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ذهب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له للفظ الصلاة ماهیّة بسیطة مستکشفة بالآثار</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جزئیة شی‌ء أو شرطیّته علی مبناه شکّ فی المحصّل فلا بدّ أن یقول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المحقّق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له للفظ الصلاة هو الأرکان الأربعة أو الخمسة، و باقی الأجزاء و الشرائط خارجة عن المسمّی الموضوع له عارض علیها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لا یخفی؛ إذ کیف یعقل عروض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محطّ البحث</w:t>
      </w:r>
      <w:r>
        <w:rPr>
          <w:rFonts w:eastAsia="IRNazanin" w:cs="IRNazanin"/>
          <w:color w:val="111111"/>
          <w:sz w:val="28"/>
          <w:szCs w:val="28"/>
          <w:rtl w:val="true"/>
          <w:lang w:bidi="fa-IR"/>
        </w:rPr>
        <w:t>.</w:t>
      </w:r>
    </w:p>
    <w:p>
      <w:pPr>
        <w:pStyle w:val="Heading4"/>
        <w:numPr>
          <w:ilvl w:val="3"/>
          <w:numId w:val="1"/>
        </w:numPr>
        <w:rPr/>
      </w:pPr>
      <w:bookmarkStart w:id="155" w:name="__RefHeading___Toc3023913_3224264995"/>
      <w:bookmarkStart w:id="156" w:name="_Toc57"/>
      <w:bookmarkEnd w:id="155"/>
      <w:r>
        <w:rPr>
          <w:rtl w:val="true"/>
        </w:rPr>
        <w:t>فی أدلّة الصحیحی</w:t>
      </w:r>
      <w:bookmarkEnd w:id="156"/>
    </w:p>
    <w:p>
      <w:pPr>
        <w:pStyle w:val="Heading5"/>
        <w:numPr>
          <w:ilvl w:val="4"/>
          <w:numId w:val="1"/>
        </w:numPr>
        <w:rPr/>
      </w:pPr>
      <w:bookmarkStart w:id="157" w:name="__RefHeading___Toc3023915_3224264995"/>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فلنشرع فی أدلّة الطرفین فنقول</w:t>
      </w:r>
      <w:r>
        <w:rPr>
          <w:rFonts w:eastAsia="IRNazanin" w:cs="IRNazanin"/>
          <w:color w:val="111111"/>
          <w:sz w:val="28"/>
          <w:szCs w:val="28"/>
          <w:rtl w:val="true"/>
          <w:lang w:bidi="fa-IR"/>
        </w:rPr>
        <w:t>:</w:t>
      </w:r>
    </w:p>
    <w:p>
      <w:pPr>
        <w:pStyle w:val="Heading5"/>
        <w:numPr>
          <w:ilvl w:val="4"/>
          <w:numId w:val="1"/>
        </w:numPr>
        <w:rPr/>
      </w:pPr>
      <w:bookmarkStart w:id="159" w:name="__RefHeading___Toc3023917_3224264995"/>
      <w:bookmarkStart w:id="160" w:name="_Toc59"/>
      <w:bookmarkEnd w:id="159"/>
      <w:r>
        <w:rPr>
          <w:rtl w:val="true"/>
        </w:rPr>
        <w:t>فی الاستدلال بالتبادر</w:t>
      </w:r>
      <w:bookmarkEnd w:id="1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للصحیحی بالتبادر و انسباق الصلاة الصحیحة من الإطلاق، و هو علامة للحقیقة، 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أنّ الصحّة و الفساد من الامور العارضة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بفساد هذا الاستدلال؛ لأنّه إن ارید به تبادر ما یصدق علیه الصحیح</w:t>
      </w:r>
    </w:p>
    <w:p>
      <w:pPr>
        <w:pStyle w:val="BookText"/>
        <w:rPr/>
      </w:pPr>
      <w:r>
        <w:rPr>
          <w:rFonts w:ascii="IRNazanin" w:hAnsi="IRNazanin" w:eastAsia="IRNazanin"/>
          <w:color w:val="111111"/>
          <w:sz w:val="28"/>
          <w:sz w:val="28"/>
          <w:szCs w:val="28"/>
          <w:rtl w:val="true"/>
          <w:lang w:bidi="fa-IR"/>
        </w:rPr>
        <w:t>بالحمل الشائع، لزم أن یکون الموضوع له فیها خاصّاً، و لا یلتزم به المستدلّ، و إن ارید به تبادر مفهوم الصحیح بالحمل الأوّلی فلا معنی له، اللَّهمّ إلّا أن یرید بالصحیح التمامیّة مسامحة،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للصحّة و الفساد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Style w:val="FootnoteAnchor"/>
          <w:rtl w:val="true"/>
        </w:rPr>
        <w:footnoteReference w:id="145"/>
      </w:r>
      <w:r>
        <w:rPr>
          <w:rFonts w:ascii="IRNazanin" w:hAnsi="IRNazanin" w:eastAsia="IRNazanin"/>
          <w:color w:val="111111"/>
          <w:sz w:val="28"/>
          <w:sz w:val="28"/>
          <w:szCs w:val="28"/>
          <w:rtl w:val="true"/>
          <w:lang w:bidi="fa-IR"/>
        </w:rPr>
        <w:t>لا یُناسب مذهبه من عموم الموضوع له فیها و أنّ الموضوع له ماهیّة بسیطة لیست معروفة بنفسها، بل بالآثار و الخواصّ</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تبادر مفهوم الناهی عن الفحشاء أیضاً لا تلائم مذهبه المذکور، فإنّ الناهی عن الفحشاء ملازم للعنوان البسیط المذکور لا نفسه، و التبادر علامة کون اللّفظ حقیقة فی المتبادر، لا فی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تبادر ذلک العنوان البسیط المستکشف بالآثار أیضاً غیر معقولة؛ لاعترافه قدس سره بأنّه مجهول الکُنه و الحقیقة، و معه کیف یمکن دعوی تبادره؟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عبارة عن انسباق معنیً من المعانی من اللّفظ إلی الذهن و مع مجهولیة ذلک المعنی بکُنهه کیف یمکن دعوی ذلک؟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الاشتباه فی هذا المقام هو الخلط و عدم التمییز بین التبادر و غیره؛ إذ قد یسبق معنیً من المعانی من لفظ إلی الذهن عند الإطلاق بسبب الانس الحاصل بکثرة الاستعمال فیه، کتبادر فرد من أفراد الإنسان من لفظه، و کانسباق الجود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من التبادر الذی هو علامة للحقیقة، و قد یتبادر من اللّفظ معناه الحقیقی، و لسرعة الانتقال منه إلی فرد خارجی یُتخیّل أنّ المتبادر هو الفرد الخارجی، و لیس کذلک، فلیس کلّما سبق معنیً من لفظ إلی الذهن هو علامة للحقیقة، بل الذی هو علامة للحقیقة هو التبادر الناشئ من حاقّ اللّفظ</w:t>
      </w:r>
      <w:r>
        <w:rPr>
          <w:rFonts w:eastAsia="IRNazanin" w:cs="IRNazanin"/>
          <w:color w:val="111111"/>
          <w:sz w:val="28"/>
          <w:szCs w:val="28"/>
          <w:rtl w:val="true"/>
          <w:lang w:bidi="fa-IR"/>
        </w:rPr>
        <w:t>.</w:t>
      </w:r>
      <w:bookmarkStart w:id="161" w:name="pg12886_133211"/>
    </w:p>
    <w:p>
      <w:pPr>
        <w:pStyle w:val="BookText"/>
        <w:rPr/>
      </w:pPr>
      <w:bookmarkEnd w:id="161"/>
      <w:r>
        <w:rPr>
          <w:rFonts w:ascii="IRNazanin" w:hAnsi="IRNazanin" w:eastAsia="IRNazanin"/>
          <w:color w:val="111111"/>
          <w:sz w:val="28"/>
          <w:sz w:val="28"/>
          <w:szCs w:val="28"/>
          <w:rtl w:val="true"/>
          <w:lang w:bidi="fa-IR"/>
        </w:rPr>
        <w:t>مضافاً إلی أنّه یمکن منع دعوی تبادر هذا العنوان البسیط المستکشف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هی أنّ هذه الآثار إنّما هی للوجود لا الماهیّة، فهی متأخّرة عن الوجود، و الوجود متأخّر عن الماهیّة، فتلک الآثار متأخّرة عن الماهیّة بمرتبتین، و معه کیف یمکن دعوی أنّ المتبادر هو الماهیّة الغیر المعلومة ذاتاً، بل بالآثار المتأخّرة عنها بمرتبتین؟</w:t>
      </w:r>
      <w:r>
        <w:rPr>
          <w:rFonts w:eastAsia="IRNazanin" w:cs="IRNazanin"/>
          <w:color w:val="111111"/>
          <w:sz w:val="28"/>
          <w:szCs w:val="28"/>
          <w:rtl w:val="true"/>
          <w:lang w:bidi="fa-IR"/>
        </w:rPr>
        <w:t>!</w:t>
      </w:r>
    </w:p>
    <w:p>
      <w:pPr>
        <w:pStyle w:val="Heading5"/>
        <w:numPr>
          <w:ilvl w:val="4"/>
          <w:numId w:val="1"/>
        </w:numPr>
        <w:rPr/>
      </w:pPr>
      <w:bookmarkStart w:id="162" w:name="__RefHeading___Toc3023919_3224264995"/>
      <w:bookmarkStart w:id="163" w:name="_Toc60"/>
      <w:bookmarkEnd w:id="162"/>
      <w:r>
        <w:rPr>
          <w:rtl w:val="true"/>
        </w:rPr>
        <w:t>فی الاستدلال بصحّة السلب عن الفاسدة</w:t>
      </w:r>
      <w:bookmarkEnd w:id="163"/>
    </w:p>
    <w:p>
      <w:pPr>
        <w:pStyle w:val="BookText"/>
        <w:rPr/>
      </w:pPr>
      <w:r>
        <w:rPr>
          <w:rFonts w:ascii="IRNazanin" w:hAnsi="IRNazanin" w:eastAsia="IRNazanin"/>
          <w:color w:val="111111"/>
          <w:sz w:val="28"/>
          <w:sz w:val="28"/>
          <w:szCs w:val="28"/>
          <w:rtl w:val="true"/>
          <w:lang w:bidi="fa-IR"/>
        </w:rPr>
        <w:t>و استدلّ لهذا القول أیضاً بوجوه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عن الفاسدة و صحّة الحمل علی الصحیحة؛ لأنّه مع الإخلال بجزء أو شرط یصدق علیها أنّها لیست بصلاة، و بانضمام أنّ صحّة السلب المذکور یستلزم وضعها للصحیحة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المقام دائر بین وضعها للصحیحة أو الأعمّ، فنفی أحدهما مستلزم لثبوت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قدس سره صرّح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صحّة سلب اللّفظ بما له من المعنی الارتکازی، و حینئذٍ فإن أراد سلب لفظ الصلاة عن الفاسدة مع قطع النظر عن العناوین المعرِّفة لها، کالنهی عن الفحشاء، فلا معنی له؛ لأنّ المفروض عدم العلم بماهیّة الصلاة إلّا بهذه العناوین و الآثار، فمع قطع النظر عن تلک الآثار لیس هنا معنیً معلوم یجعل موضوعاً و یسلب عنه اللّفظ بما له من المعنی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سلبه منها بملاحظة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الملازم للناهی عن الفحشاء لیس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لکن لا یثبت به الوضع للصحیح؛ لأنّ سلب العنوان الأخصّ لا یستلزم سلب الأعمّ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64" w:name="pg12886_133212"/>
    </w:p>
    <w:p>
      <w:pPr>
        <w:pStyle w:val="BookText"/>
        <w:rPr/>
      </w:pPr>
      <w:bookmarkEnd w:id="164"/>
      <w:r>
        <w:rPr>
          <w:rFonts w:ascii="IRNazanin" w:hAnsi="IRNazanin" w:eastAsia="IRNazanin"/>
          <w:color w:val="111111"/>
          <w:sz w:val="28"/>
          <w:sz w:val="28"/>
          <w:szCs w:val="28"/>
          <w:rtl w:val="true"/>
          <w:lang w:bidi="fa-IR"/>
        </w:rPr>
        <w:t xml:space="preserve">و انقدح بذلک حال صحّة الحمل و إن لم یذکرها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إن ارید به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حمل الکلّی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مجازیّته فی فردٍ آخر، و إن ارید به الحمل الأوّلی فهذا الحمل بالنسبة إلی الصلاة الصحیحة صحیح، لکنّه لا یستلزم مجازیّته فی الفاسدة</w:t>
      </w:r>
      <w:r>
        <w:rPr>
          <w:rFonts w:eastAsia="IRNazanin" w:cs="IRNazanin"/>
          <w:color w:val="111111"/>
          <w:sz w:val="28"/>
          <w:szCs w:val="28"/>
          <w:rtl w:val="true"/>
          <w:lang w:bidi="fa-IR"/>
        </w:rPr>
        <w:t>.</w:t>
      </w:r>
    </w:p>
    <w:p>
      <w:pPr>
        <w:pStyle w:val="Heading5"/>
        <w:numPr>
          <w:ilvl w:val="4"/>
          <w:numId w:val="1"/>
        </w:numPr>
        <w:rPr/>
      </w:pPr>
      <w:bookmarkStart w:id="165" w:name="__RefHeading___Toc3023921_3224264995"/>
      <w:bookmarkStart w:id="166" w:name="_Toc61"/>
      <w:bookmarkEnd w:id="165"/>
      <w:r>
        <w:rPr>
          <w:rtl w:val="true"/>
        </w:rPr>
        <w:t>استدلال الصحیحی بالأخبار</w:t>
      </w:r>
      <w:bookmarkEnd w:id="16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الظاهرة فی إثبات بعض الخواصّ و الآثار للمسمّیات مثل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p>
    <w:p>
      <w:pPr>
        <w:pStyle w:val="BookText"/>
        <w:rPr/>
      </w:pPr>
      <w:r>
        <w:rPr>
          <w:rStyle w:val="FootnoteAnchor"/>
          <w:rtl w:val="true"/>
        </w:rPr>
        <w:footnoteReference w:id="148"/>
      </w:r>
      <w:r>
        <w:rPr>
          <w:rFonts w:ascii="IRNazanin" w:hAnsi="IRNazanin" w:eastAsia="IRNazanin"/>
          <w:color w:val="111111"/>
          <w:sz w:val="28"/>
          <w:sz w:val="28"/>
          <w:szCs w:val="28"/>
          <w:rtl w:val="true"/>
          <w:lang w:bidi="fa-IR"/>
        </w:rPr>
        <w:t>و نحو ذلک، و من المعلوم أنّ هذه الآثار إنّما هی للصحیحة دون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بأنّه لا یقتضی أنّها موضوعة للصحیحة لا غیر، مع أنّه لا إشکال فی أنّ هذه الآثار إنّما هی للواجدة لجمیع الأجزاء و الشرائط کلّها، مع أنّ أکثرهم علی خروج القسمین الأخیرین من الشرائط، و مع عدمهما تنتفی تلک الآثار عنها، و علی فرض دفع الإشکال بالنسبة إلی القسم الثالث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شرائط ناشئة من قبل الأمر و لیست دخیلة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الإشکال بالنسبة إلی القسم الثانی منها؛ لأنّها شرائط عقلیّة محضة، مضافاً إلی أنّها آثار للوجود لا للماهیّة،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نفی ماهیّة الصلاة و طبیعتها عن الفاقدة لبعض الأجزاء و الشرائط،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ascii="IRNazanin" w:hAnsi="IRNazanin" w:eastAsia="IRNazanin"/>
          <w:color w:val="111111"/>
          <w:sz w:val="28"/>
          <w:sz w:val="28"/>
          <w:szCs w:val="28"/>
          <w:rtl w:val="true"/>
          <w:lang w:bidi="fa-IR"/>
        </w:rPr>
        <w:t>أو</w:t>
      </w:r>
      <w:bookmarkStart w:id="167" w:name="pg12886_133213"/>
    </w:p>
    <w:p>
      <w:pPr>
        <w:pStyle w:val="BookText"/>
        <w:rPr/>
      </w:pPr>
      <w:bookmarkEnd w:id="1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p>
    <w:p>
      <w:pPr>
        <w:pStyle w:val="BookText"/>
        <w:rPr/>
      </w:pPr>
      <w:r>
        <w:rPr>
          <w:rStyle w:val="FootnoteAnchor"/>
          <w:rtl w:val="true"/>
        </w:rPr>
        <w:footnoteReference w:id="150"/>
      </w:r>
      <w:r>
        <w:rPr>
          <w:rFonts w:ascii="IRNazanin" w:hAnsi="IRNazanin" w:eastAsia="IRNazanin"/>
          <w:color w:val="111111"/>
          <w:sz w:val="28"/>
          <w:sz w:val="28"/>
          <w:szCs w:val="28"/>
          <w:rtl w:val="true"/>
          <w:lang w:bidi="fa-IR"/>
        </w:rPr>
        <w:t>و نحو ذلک ممّا هو ظاهر فی نفی الطبیعة بمجرّد فقد بعض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أنّ النفی المذکور هو نفی الحقیقة مع کثرة استعماله ادّعاءً فی غیره مثل نفی الکمال، ممّا لا یُصغی إلیها</w:t>
      </w:r>
      <w:r>
        <w:rPr>
          <w:rFonts w:eastAsia="IRNazanin" w:cs="IRNazanin"/>
          <w:color w:val="111111"/>
          <w:sz w:val="28"/>
          <w:szCs w:val="28"/>
          <w:rtl w:val="true"/>
          <w:lang w:bidi="fa-IR"/>
        </w:rPr>
        <w:t>.</w:t>
      </w:r>
    </w:p>
    <w:p>
      <w:pPr>
        <w:pStyle w:val="Heading5"/>
        <w:numPr>
          <w:ilvl w:val="4"/>
          <w:numId w:val="1"/>
        </w:numPr>
        <w:rPr/>
      </w:pPr>
      <w:bookmarkStart w:id="168" w:name="__RefHeading___Toc3023923_3224264995"/>
      <w:bookmarkStart w:id="169" w:name="_Toc62"/>
      <w:bookmarkEnd w:id="168"/>
      <w:r>
        <w:rPr>
          <w:rtl w:val="true"/>
        </w:rPr>
        <w:t>القطع بالوضع للمرکّبات التامّة</w:t>
      </w:r>
      <w:bookmarkEnd w:id="169"/>
    </w:p>
    <w:p>
      <w:pPr>
        <w:pStyle w:val="BookText"/>
        <w:rPr/>
      </w:pPr>
      <w:r>
        <w:rPr>
          <w:rFonts w:ascii="IRNazanin" w:hAnsi="IRNazanin" w:eastAsia="IRNazanin"/>
          <w:color w:val="111111"/>
          <w:sz w:val="28"/>
          <w:sz w:val="28"/>
          <w:szCs w:val="28"/>
          <w:rtl w:val="true"/>
          <w:lang w:bidi="fa-IR"/>
        </w:rPr>
        <w:t>الرابع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بأنّ دأب الواضعین و دیدنهم هو وضع الألفاظ للمرکّبات التامّة الأجزاء و الشرائط، کما هو قضیّة الحکمة الداعیة إلی وضع الألفاظ للمعانی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مجرّد دعوی لا شاهد لها، و لذا قد یدّعی القطع علی خلافه و هو الحقّ أیضاً</w:t>
      </w:r>
      <w:r>
        <w:rPr>
          <w:rFonts w:eastAsia="IRNazanin" w:cs="IRNazanin"/>
          <w:color w:val="111111"/>
          <w:sz w:val="28"/>
          <w:szCs w:val="28"/>
          <w:rtl w:val="true"/>
          <w:lang w:bidi="fa-IR"/>
        </w:rPr>
        <w:t>.</w:t>
      </w:r>
    </w:p>
    <w:p>
      <w:pPr>
        <w:pStyle w:val="Heading5"/>
        <w:numPr>
          <w:ilvl w:val="4"/>
          <w:numId w:val="1"/>
        </w:numPr>
        <w:rPr/>
      </w:pPr>
      <w:bookmarkStart w:id="170" w:name="__RefHeading___Toc3023925_3224264995"/>
      <w:bookmarkStart w:id="171" w:name="_Toc63"/>
      <w:bookmarkEnd w:id="170"/>
      <w:r>
        <w:rPr>
          <w:rtl w:val="true"/>
        </w:rPr>
        <w:t>وجه آخر للاستدلال بالتبادر و صحّة السلب</w:t>
      </w:r>
      <w:bookmarkEnd w:id="1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هنا کلام یمکن تصحیح الاستدلال بالتبادر و صحّة السلب به ثبوتاً لا إثباتاً و وقوعاً، و هو أنّک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أوضاع الألفاظ ممّا وقعت تدریجاً بمرور الأیّام و الأعوام حسب ما اقتضته الحاجة و عدم اختصاصه بشخص خاصّ، و یشهد له ما نراه و نجده بالعیان أنّ بعض الأشیاء المخترعة فی هذه الأعصار، کالطیّارات و السیّارات و سائر الآلات الجدیدة العجیبة، و لم تکن موجودة فی الأعصار السابقة، و لم تکن شیئاً مذکوراً لا لفظها و لا معانیها، و کذلک کلّ جزء من أجزائها و لوازمها و آلاتها و وضعوا لها ألفاظاً و أسماءً لا لخصوص فرد منها، بل لکلّیّها</w:t>
      </w:r>
      <w:bookmarkStart w:id="172" w:name="pg12886_133214"/>
    </w:p>
    <w:p>
      <w:pPr>
        <w:pStyle w:val="BookText"/>
        <w:rPr/>
      </w:pPr>
      <w:bookmarkEnd w:id="172"/>
      <w:r>
        <w:rPr>
          <w:rFonts w:ascii="IRNazanin" w:hAnsi="IRNazanin" w:eastAsia="IRNazanin"/>
          <w:color w:val="111111"/>
          <w:sz w:val="28"/>
          <w:sz w:val="28"/>
          <w:szCs w:val="28"/>
          <w:rtl w:val="true"/>
          <w:lang w:bidi="fa-IR"/>
        </w:rPr>
        <w:t>و طبیعیّها، مع عدم تبیّن تلک الطبیعة للواضع مفصَّلًا جنساً و فصلًا، بل کانوا ینتقلون من الفرد إلی الکلّی و جامعة الارتکازی من دون افتقار إلی معرفة کنهه و حقیقته، فإنّه لا یتیسّر ذلک إلّا للخواصّ من الحکماء، و حینئذٍ فمن الممکن أنّ الواضع لمّا رأی فرداً من الصلاة یصلّیها مسلم التفت إلی أنّ لها صورة نوعیّة إجمالًا و طبیعة جامعة لشتات أفرادها المختلفة کمّاً و کیفاً، فوضع لفظ الصلاة لتلک الصورة النوعیّة المعلومة إجمالًا لا تفصیلًا جنساً و فصلًا، و لا یضرّ فی ذلک اختلاف أفرادها کمّاً و کیفاً، کما لا یضرّ ذلک فی مثل الطیّارة و السیّارة و البطّیخ و نحوها، فللمستدلّ أن یدّعی تبادر هذا المعنی الإجمالی الارتکازی فی أذهان العرف و العقلاء و صحّة السلب عن الفاقدة لبعض الأجزاء، و لا یتوجّه علیه الإشکالات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مجرّد تصوّر، و أنّه ممکن، و لیس بممتنع، لکن الواقع خلافه؛ إذ لا شبهة فی أنّ المتبادر من لفظ الصلاة هو الأعمّ؛ أی الطبیعة لا بشرط الصحّة و الفساد، کما أنّ المُتبادر من لفظ البطّیخ و نحوه أیضاً ذلک</w:t>
      </w:r>
      <w:r>
        <w:rPr>
          <w:rFonts w:eastAsia="IRNazanin" w:cs="IRNazanin"/>
          <w:color w:val="111111"/>
          <w:sz w:val="28"/>
          <w:szCs w:val="28"/>
          <w:rtl w:val="true"/>
          <w:lang w:bidi="fa-IR"/>
        </w:rPr>
        <w:t>.</w:t>
      </w:r>
    </w:p>
    <w:p>
      <w:pPr>
        <w:pStyle w:val="Heading4"/>
        <w:numPr>
          <w:ilvl w:val="3"/>
          <w:numId w:val="1"/>
        </w:numPr>
        <w:rPr/>
      </w:pPr>
      <w:bookmarkStart w:id="173" w:name="__RefHeading___Toc3023927_3224264995"/>
      <w:bookmarkStart w:id="174" w:name="_Toc64"/>
      <w:bookmarkEnd w:id="173"/>
      <w:r>
        <w:rPr>
          <w:rtl w:val="true"/>
        </w:rPr>
        <w:t>فی أدلّة الأعمّی</w:t>
      </w:r>
      <w:bookmarkEnd w:id="174"/>
    </w:p>
    <w:p>
      <w:pPr>
        <w:pStyle w:val="Heading5"/>
        <w:numPr>
          <w:ilvl w:val="4"/>
          <w:numId w:val="1"/>
        </w:numPr>
        <w:rPr/>
      </w:pPr>
      <w:bookmarkStart w:id="175" w:name="__RefHeading___Toc3023929_3224264995"/>
      <w:bookmarkStart w:id="176" w:name="_Toc65"/>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 استدلّ للأعمّی أیضاً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لا غبار علیه،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وضعها للصحیح فیما لو نذر ترک الصلاة فی مکان مکروه</w:t>
      </w:r>
      <w:r>
        <w:rPr>
          <w:rStyle w:val="FootnoteAnchor"/>
          <w:rtl w:val="true"/>
        </w:rPr>
        <w:footnoteReference w:id="153"/>
      </w:r>
      <w:r>
        <w:rPr>
          <w:rFonts w:ascii="IRNazanin" w:hAnsi="IRNazanin" w:eastAsia="IRNazanin"/>
          <w:color w:val="111111"/>
          <w:sz w:val="28"/>
          <w:sz w:val="28"/>
          <w:szCs w:val="28"/>
          <w:rtl w:val="true"/>
          <w:lang w:bidi="fa-IR"/>
        </w:rPr>
        <w:t>و بیان هذا الاستدلال یحتاج إلی تقدیم مقدّمة، و هی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کان الغرض من الأوامر و النواهی هو البعث إلی الإتیان بالمأمور به، و الزجر عن فعل المنهی عنه، فلا بدّ أن یکون متعلّق الأمر و النهی مقدوراً للمکلّف؛</w:t>
      </w:r>
      <w:bookmarkStart w:id="177" w:name="pg12886_133215"/>
    </w:p>
    <w:p>
      <w:pPr>
        <w:pStyle w:val="BookText"/>
        <w:rPr/>
      </w:pPr>
      <w:bookmarkEnd w:id="177"/>
      <w:r>
        <w:rPr>
          <w:rFonts w:ascii="IRNazanin" w:hAnsi="IRNazanin" w:eastAsia="IRNazanin"/>
          <w:color w:val="111111"/>
          <w:sz w:val="28"/>
          <w:sz w:val="28"/>
          <w:szCs w:val="28"/>
          <w:rtl w:val="true"/>
          <w:lang w:bidi="fa-IR"/>
        </w:rPr>
        <w:t>بحیث یتمکّن من فعله؛ لأنّه مع عدم قدرته علیه امتنع إرادة الشارع له منه إرادة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ذلک فی الموالی العرفیّة مع جهله بعدم قدرة العبد علیه، فإنّه قد یتعلّق شوقه و إرادته و الخطور و نحوه بالمستحیل مع جهله باستحالته، لکنّه بالنسبة إلی الشارع المقدّس غیر متصوّر، فیستحیل انقداح إرادته و أمره بإیجاد فعل لا یقدر علیه المکلّف؛ لعدم ترتّب ما هو المطلوب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المفروض علمه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ترک الصلاة فی الأمکنة المکروهة کالحمّام، فلو کانت الصلاة موضوعة للصحیحة لزم من تعلّق الأمر بها عدم تعلّقه بها، أو من صحّة النذر عدم صحّته؛ لأنّ المفروض أنّها موضوعة للصحیحة منها، فالمنذور هو ترک الصلاة الصحیحة، و لزم منه حرمتها فی الحمّام؛ لأنّ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حِنث للنذر، و هو مأمور بالوفاء بالنذر، و حینئذٍ فلا یقدر المکلّف علی فعلها فی الحمّام صحیحةً، فیلزم عدم تعلّق الأمر النذری بها؛ لأنّها فاسدة، فلا یتعلّق بها النهی؛ لعدم تعلّق النذر بترک الفاسدة، و هکذا، و ما یلزم من وجوده عدمه محال، و یلزم عدم حصول الحنث بفعلها؛ لعدم إتیانه بالمنذور ترکها، و هی الصحیحة، مع اتّفاقهم علی حصول الحنث بفعلها فیه، فوضعها للصحیح مُستلزم لما هو مخالف لمعقد إجماعهم، بل مُستلزم للمحال، فوجب القول بأنّها موضوعة للأعمّ</w:t>
      </w:r>
      <w:r>
        <w:rPr>
          <w:rFonts w:eastAsia="IRNazanin" w:cs="IRNazanin"/>
          <w:color w:val="111111"/>
          <w:sz w:val="28"/>
          <w:szCs w:val="28"/>
          <w:rtl w:val="true"/>
          <w:lang w:bidi="fa-IR"/>
        </w:rPr>
        <w:t>.</w:t>
      </w:r>
    </w:p>
    <w:p>
      <w:pPr>
        <w:pStyle w:val="Heading5"/>
        <w:numPr>
          <w:ilvl w:val="4"/>
          <w:numId w:val="1"/>
        </w:numPr>
        <w:rPr/>
      </w:pPr>
      <w:bookmarkStart w:id="178" w:name="__RefHeading___Toc3023931_3224264995"/>
      <w:bookmarkStart w:id="179" w:name="_Toc66"/>
      <w:bookmarkEnd w:id="178"/>
      <w:r>
        <w:rPr>
          <w:rtl w:val="true"/>
        </w:rPr>
        <w:t>مناقشة الآخوند لدلیل النذر</w:t>
      </w:r>
      <w:bookmarkEnd w:id="1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تعلّق النذر بالصحیحة لا یستلزم القول بأنّها موضوعة للأعمّ؛ لأنّه من الممکن تعلّق النذر بالأعمّ مع أنّها موضوعة للصحیحة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180" w:name="pg12886_133216"/>
    </w:p>
    <w:p>
      <w:pPr>
        <w:pStyle w:val="Heading5"/>
        <w:numPr>
          <w:ilvl w:val="4"/>
          <w:numId w:val="1"/>
        </w:numPr>
        <w:rPr/>
      </w:pPr>
      <w:bookmarkStart w:id="181" w:name="__RefHeading___Toc3023933_3224264995"/>
      <w:bookmarkStart w:id="182" w:name="_Toc67"/>
      <w:bookmarkEnd w:id="180"/>
      <w:bookmarkEnd w:id="181"/>
      <w:r>
        <w:rPr>
          <w:rtl w:val="true"/>
        </w:rPr>
        <w:t xml:space="preserve">فی الإیراد علی ما فی </w:t>
      </w:r>
      <w:r>
        <w:rPr>
          <w:rtl w:val="true"/>
        </w:rPr>
        <w:t>«</w:t>
      </w:r>
      <w:r>
        <w:rPr>
          <w:rtl w:val="true"/>
        </w:rPr>
        <w:t>الکفایة</w:t>
      </w:r>
      <w:r>
        <w:rPr>
          <w:rtl w:val="true"/>
        </w:rPr>
        <w:t>»</w:t>
      </w:r>
      <w:bookmarkEnd w:id="1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متعلّق النذر لیس هو الأعمّ؛ إذ یشترط فی متعلّق النذر المذکور مرجوحیّته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مرجوحیّة الفعل و راجحیّة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قُرّر فی محلّه من اعتبار الرجحان فی متعلّق النذر، و مجرّد القراءة و الرکوع و السجود فی الحمّام لیس مرجوحاً و ترکها راجحاً، و لیست هذه متعلّق النذر أیضاً؛ ضرورة أنّ متعلّقه هی الصلاة الصحیحة؛ أی المأمور بها الجامعة لجمیع الأجزاء و الشرائط، و هی المکروهة فی الحمّام، و هذا بحث مستقلّ لا ربط له بالمقام، لکن لا بأس بالإشارة إلیه إجمالًا،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الصحیحة لا یتعلّق بها النذر و لا ینعقد؛ لأنّ الکراهة فی العبادات بمعنی أنّ هذا الفرد أقلّ ثواباً، فالمرجوحیّة فیها إضافیّة، و لا یکفی فی صحّة نذر الترکِ المرجوحیّةُ الإضافیّة، فإنّها بمعنی أنّه أقلّ ثواباً من فرد آخر، کالصلاة فی البیت، و الصلاة فی البیت أیضاً أقلّ ثواباً من الصلاة فی المسجد، و هکذا، فلو أوجب ذلک الکراهیّة لزم کراهیّة الصلاة فی جمیع الأمکنة سوی المسجد الحرام، و هو واضح البطلان، فلا تتحقّق الکراهیّة بالمعنی المصطلح فی الصلاة فی الحمّام، بل بمعنی المرجوحیّة الإضافیّة، و هی لا تکفی فی صحّة نذر ترکها فی الحمّام و نحوه و یعتبر الرجحان الذاتی فی متعلّقه</w:t>
      </w:r>
      <w:r>
        <w:rPr>
          <w:rStyle w:val="FootnoteAnchor"/>
          <w:rtl w:val="true"/>
        </w:rPr>
        <w:footnoteReference w:id="1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الأوامر و النواهی متعلّقة بالطبائع دون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بالصلاة إنّما تعلّق بطبیعة الصلاة، و هی راجحة، و المرجوح هو إیقاعها فی الحمّام، و هو المتعلَّق للنذر، فالإشکال و الاشتباه ناشٍ عن الخلط بین ما هو متعلّق النذر و بین ما هو متعلّق الأمر، فإنّ متعلّق الأمر هی الطبیعة، و هی راجحة، و متعلّق النذر هو إیقاعها فی الحمّام الذی هو الکون الرابط، و هو مرجوح، و لا تنافی بینهما، و الإشکال إنّما یتوجّه لو تعلّق النذر بالطبیعة</w:t>
      </w:r>
      <w:r>
        <w:rPr>
          <w:rFonts w:eastAsia="IRNazanin" w:cs="IRNazanin"/>
          <w:color w:val="111111"/>
          <w:sz w:val="28"/>
          <w:szCs w:val="28"/>
          <w:rtl w:val="true"/>
          <w:lang w:bidi="fa-IR"/>
        </w:rPr>
        <w:t>.</w:t>
      </w:r>
      <w:bookmarkStart w:id="183" w:name="pg12886_133217"/>
    </w:p>
    <w:p>
      <w:pPr>
        <w:pStyle w:val="BookText"/>
        <w:rPr/>
      </w:pPr>
      <w:bookmarkEnd w:id="183"/>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أوقعها فی الحمّام صحّت و تحقّق امتثال الأمر بالطبیعة المأمور بها، لکنّه خالف الأمر النذری المتعلِّق بترک إیقاعها فی الحمّام، و یتحقّق الحنْث، و هذا نظیر شرب المباح من آنیة الذهب و الفضة، فإنّ المحرَّم هو الشرب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المشروب، بخلاف شرب الخمر من الظرف المباح، فإنّ المحرّم هو المشروب، لا الشرب من الآنیة المباحة، و بخلاف شرب الخمر من آنیة الذهب و الفضّة، فإنّه ارتکاب الحرامین 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 الشرب من آنیة الذهب و الفضّة، و سیجی‌ء فی باب الاجتماع الأمر و النهی أنّ جواز اجتماع حکمین فی شی‌ءٍ واحد مع تعدّد الجهة من البدیهیّات، و لهذا یمکن القول بصحّة الصلاة فی الدار المغصوبة، و أنّه مطابق للقاعدة، إلّا أن ینعقد الإجماع علی خلافه</w:t>
      </w:r>
      <w:r>
        <w:rPr>
          <w:rFonts w:eastAsia="IRNazanin" w:cs="IRNazanin"/>
          <w:color w:val="111111"/>
          <w:sz w:val="28"/>
          <w:szCs w:val="28"/>
          <w:rtl w:val="true"/>
          <w:lang w:bidi="fa-IR"/>
        </w:rPr>
        <w:t>.</w:t>
      </w:r>
    </w:p>
    <w:p>
      <w:pPr>
        <w:pStyle w:val="Heading4"/>
        <w:numPr>
          <w:ilvl w:val="3"/>
          <w:numId w:val="1"/>
        </w:numPr>
        <w:rPr/>
      </w:pPr>
      <w:bookmarkStart w:id="184" w:name="__RefHeading___Toc3023935_3224264995"/>
      <w:bookmarkStart w:id="185" w:name="_Toc68"/>
      <w:bookmarkEnd w:id="184"/>
      <w:r>
        <w:rPr>
          <w:rtl w:val="true"/>
        </w:rPr>
        <w:t>الکلام فی ثمرة هذا النزاع</w:t>
      </w:r>
      <w:bookmarkEnd w:id="185"/>
    </w:p>
    <w:p>
      <w:pPr>
        <w:pStyle w:val="Heading5"/>
        <w:numPr>
          <w:ilvl w:val="4"/>
          <w:numId w:val="1"/>
        </w:numPr>
        <w:rPr/>
      </w:pPr>
      <w:bookmarkStart w:id="186" w:name="__RefHeading___Toc3023937_3224264995"/>
      <w:bookmarkStart w:id="187" w:name="_Toc69"/>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الثمرة لهذا النزاع فی جواز الأخذ بالإطلاق و عدمه فیما لو شُکّ فی جزئیّة شی‌ء أو شرطیّته للصلاة، فعلی القول بوضعها للصحیح لا یجوز التمسّک به لنفی جزئیّته أو شرطیّته، و یصحّ علی الأعمّ</w:t>
      </w:r>
      <w:r>
        <w:rPr>
          <w:rStyle w:val="FootnoteAnchor"/>
          <w:rtl w:val="true"/>
        </w:rPr>
        <w:footnoteReference w:id="156"/>
      </w:r>
      <w:r>
        <w:rPr>
          <w:rFonts w:ascii="IRNazanin" w:hAnsi="IRNazanin" w:eastAsia="IRNazanin"/>
          <w:color w:val="111111"/>
          <w:sz w:val="28"/>
          <w:sz w:val="28"/>
          <w:szCs w:val="28"/>
          <w:rtl w:val="true"/>
          <w:lang w:bidi="fa-IR"/>
        </w:rPr>
        <w:t>و لکنّ الأخذ بالإطلاق علی هذا القول مبنی علی اتحاد المتبادر من لفظ الصلاة فی هذا الزمان مع المتبادر منها فی عصر النبی صلی الله علیه و آله و سلم و الأئمّة علیهم السلام و إثباتِ ذلک، و إلّا فمع احتمال أنّ المتبادر منها فی هذا الزمان غیر ما هو المتبادر منها فی ذاک الزمان، لا یصحّ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إمکان إحراز الاتّحاد بأصالة عدم النقل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المسلَّم من بناء العقلاء فی أصالة عدم النقل هو ما لو شُکّ فی نقل لفظٍ عن معنیً حقیقی معلوم إلی معنیً آخر، و ما نحن فیه لیس کذلک</w:t>
      </w:r>
      <w:r>
        <w:rPr>
          <w:rFonts w:eastAsia="IRNazanin" w:cs="IRNazanin"/>
          <w:color w:val="111111"/>
          <w:sz w:val="28"/>
          <w:szCs w:val="28"/>
          <w:rtl w:val="true"/>
          <w:lang w:bidi="fa-IR"/>
        </w:rPr>
        <w:t>.</w:t>
      </w:r>
      <w:bookmarkStart w:id="188" w:name="pg12886_133218"/>
    </w:p>
    <w:p>
      <w:pPr>
        <w:pStyle w:val="BookText"/>
        <w:rPr/>
      </w:pPr>
      <w:bookmarkEnd w:id="188"/>
      <w:r>
        <w:rPr>
          <w:rFonts w:ascii="IRNazanin" w:hAnsi="IRNazanin" w:eastAsia="IRNazanin"/>
          <w:color w:val="111111"/>
          <w:sz w:val="28"/>
          <w:sz w:val="28"/>
          <w:szCs w:val="28"/>
          <w:rtl w:val="true"/>
          <w:lang w:bidi="fa-IR"/>
        </w:rPr>
        <w:t>و لکن یمکن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الاختلاف بین المتبادر من لفظ الصلاة فی هذا الزمان و بینه فی الزمان السابق، بدوی یرتفع بأدنی تتبّع فی الأخبار و الآیات المنزلة فی أوائل البعثة، بل دعوی القطع باتّحادهما غیر مُجازفة؛ فإنّ أصحاب النبی صلی الله علیه و آله و سلم و الأئمّة کانوا لا یفهمون من لفظ الصلاة إلّا ما یفهم منها فی هذا العصر، فهذا الإشکال غیر وجیه</w:t>
      </w:r>
      <w:r>
        <w:rPr>
          <w:rFonts w:eastAsia="IRNazanin" w:cs="IRNazanin"/>
          <w:color w:val="111111"/>
          <w:sz w:val="28"/>
          <w:szCs w:val="28"/>
          <w:rtl w:val="true"/>
          <w:lang w:bidi="fa-IR"/>
        </w:rPr>
        <w:t>.</w:t>
      </w:r>
    </w:p>
    <w:p>
      <w:pPr>
        <w:pStyle w:val="Heading5"/>
        <w:numPr>
          <w:ilvl w:val="4"/>
          <w:numId w:val="1"/>
        </w:numPr>
        <w:rPr/>
      </w:pPr>
      <w:bookmarkStart w:id="189" w:name="__RefHeading___Toc3023939_3224264995"/>
      <w:bookmarkStart w:id="190" w:name="_Toc70"/>
      <w:bookmarkEnd w:id="189"/>
      <w:r>
        <w:rPr>
          <w:rtl w:val="true"/>
        </w:rPr>
        <w:t>نعم استشکل فیه بوجهین آخرین</w:t>
      </w:r>
      <w:r>
        <w:rPr>
          <w:rtl w:val="true"/>
        </w:rPr>
        <w:t>:</w:t>
      </w:r>
      <w:bookmarkEnd w:id="1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الواردة فی الکتاب و السنّة لیست فی مقام البیان، بل فی مقام أصل التشریع و جعل القانون إجمالًا، کما هو المُتعارف بین المُقنِّنین من العرف و العقلاء؛ من جعل القوانین أوّلًا، ثمّ تفصیلها و ذکر الفصول و المستثنیات، و التمسّک بالإطلاق إنّما یصحّ إذا کان المتکلِّم فی مقام البیان، و حینئذٍ فلا یصحّ الأخذ بالإطلاق علی الأعمّ أیضاً لنفی الجزئیّة أو الشرطیّة المشکوکتین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الإطلاق التعلیقی فی ظهور الثمرة؛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الإطلاقات فی مقام البیان جاز التمسّک بها علی الأعمّ، دونه علی الصحیح</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دعوی ورود جمیع الخطابات فی الکتاب و السُّنّة فی مقام الإجمال و الإهمال، لا فی مقام البیان، مجازفة جداً؛ لأنّ جُلّ الخطابات الشرعیّة واردة فی الکتاب و السُّنّة فی مقام البیان،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الآیة، فلو فرض أنّ للصوم معنیً معیّناً مبیَّناً عند العرف، کالإمساک عن الأکل و الشرب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 فی أنّ الإمساک عن شرب التتن واجب أیضاً</w:t>
      </w:r>
    </w:p>
    <w:p>
      <w:pPr>
        <w:pStyle w:val="BookText"/>
        <w:rPr/>
      </w:pPr>
      <w:r>
        <w:rPr>
          <w:rFonts w:ascii="Amiri" w:hAnsi="Amiri" w:eastAsia="Amiri" w:cs="Amiri"/>
          <w:color w:val="111111"/>
          <w:sz w:val="28"/>
          <w:sz w:val="28"/>
          <w:szCs w:val="28"/>
          <w:rtl w:val="true"/>
          <w:lang w:bidi="ar-SA"/>
        </w:rPr>
        <w:t>أو لا، کذلک الحقنة 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التمسّک بالإطلاق لنفیه، و کذلک الکلام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الآیة، فإذا کان لمعنی الغنیمة و الخمس مفهوم معیّن مبیّن، و شکّ فی اعتبار خصوصیّة، فلا مانع من الأخذ بالإطلاق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بالإطلاق و إن لم یصحّ علی قول الصحیحی، لکنّه علی قول الأعمّی أیضاً کذلک، فإنّ المسمّی بناءً علی هذا القول و إن کان أعمّ من الصحیح و الفاسد، لکنّ المأمور به المطلوب إیجاده هو الصحیح علی کلا القولین اتّفاقاً، و حینئذٍ فالصلاة المأمور بها المطلوبة من المکلّف علی قول الأعمّی أیضاً هی الجامعة لجمیع الأجزاء و الشرائط، و حینئذٍ فلا یجوز الأخذ بالإطلاق علی کلا القولین من غیر فرقٍ بینهما إلّا أنّ الجزء و الشرط لا دخل لهما فی المسمّی علی الأعمّ بخلافه علی الصحیحی فالأخذ بالإطلاق علی الأعمّی من قبیل التمسّک به فی الشبهة المصداقیّة للمخصِّص</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یسلَّم و یصحّ إذا کان المقیِّد هو الدلیل اللبّی الارتکازی الحافّ بالکلام و المقترن به أو اللّفظی، و أمّا لو فُرض أنّه دلیل لبّی غیر ارتکازی التمسّک فیه فی الشبهة المصداقیة أیضاً لنفی ما شُکّ فی اعتباره شطراً أو شرطاً، نظیر التمسّک بعموم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بنی امیّة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لجواز لعن من شکّ فی إیمانه، کعمر بن عبد العزیز، بخلافه علی قول الصحیحی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الدلیل اللبّی الغیر الارتکازی و 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التمسّک بالعموم أو الإطلاق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فی الشبهة المفهومیّة، کما</w:t>
      </w:r>
    </w:p>
    <w:p>
      <w:pPr>
        <w:pStyle w:val="BookText"/>
        <w:rPr/>
      </w:pPr>
      <w:r>
        <w:rPr>
          <w:rFonts w:ascii="IRNazanin" w:hAnsi="IRNazanin" w:eastAsia="IRNazanin"/>
          <w:color w:val="111111"/>
          <w:sz w:val="28"/>
          <w:sz w:val="28"/>
          <w:szCs w:val="28"/>
          <w:rtl w:val="true"/>
          <w:lang w:bidi="fa-IR"/>
        </w:rPr>
        <w:t xml:space="preserve">لو شُکّ فی أنّ الفاسق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عبارة عن خصوص المرتکب للکبائر، أو الأعمّ منه و من المرتکب للصغائر؟</w:t>
      </w:r>
    </w:p>
    <w:p>
      <w:pPr>
        <w:pStyle w:val="BookText"/>
        <w:rPr/>
      </w:pPr>
      <w:r>
        <w:rPr>
          <w:rFonts w:ascii="Amiri" w:hAnsi="Amiri" w:eastAsia="Amiri" w:cs="Amiri"/>
          <w:color w:val="111111"/>
          <w:sz w:val="28"/>
          <w:sz w:val="28"/>
          <w:szCs w:val="28"/>
          <w:rtl w:val="true"/>
          <w:lang w:bidi="ar-SA"/>
        </w:rPr>
        <w:t>فإنّ الفرق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أمّا فی الشبهة المصداقیّة فلا یصحّ التمسّک بالعموم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الخارج عن العموم فی الشبهة المفهومیّة هو المرتکب للکبائر فی المثال فی المخصّص اللُّبّی الغیر الارتکازی، فیبقی المشکوک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المرتکب للصغائر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العموم أو الإطلاق، و فی الشبهة المصداقیّة لیس کذلک، کما لو علم أنّ مفهوم الفاسق هو الأعمّ، لکن شُکّ فی أنّ زیداً فاسق أو لا، فإنّ خروجَ عنوان الفاسق المعلوم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فلا وجه للتمسّک بالعموم أو الإطلاق بالنسبة إلی ما احتُمل مصداقیّته للمخصِّص المعلوم الخروج عن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أصل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الشارع فی بیان الأحکام و جعلها هو کطریقة العقلاء المقنِّنین فی جعل القوانین الکلّیّة أوّلًا، ثمّ بیان المستثنیات و القیود و الشرائط الزائدة عن المسمّی فالصلاة المأمور بها بنحو العموم علی قول الأعمّی فی لسان الشرع حقیقة فی هذا المعنی الأعمّ، لا أنّه استعملها مجازاً فی هذا المعنی، ثمّ ذکر قیودها و شرائطها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ذلک المعنی الأعمّ حقیقةً علی قول الأعمّی، و أنّه المعنی الحقیقی للصلاة عنده، و أمّا القیود و الشرائط فهی خارجة عن المسمّی، معتبرة فی المأمور به، فما ثبت شرطیّته أو جزئیّته فهو، و إلّا یُتمسّک بالإطلاق لنفی شرطیّته أو جزئیّته، بخلافه علی قول الصحیحی، فإنّ الموضوع له و المستعمل فیه لفظ الصلاة عنده هی للتامّة الواجدة لجمیع الأجزاء و الشرائط، فیجب عنده الإتیان بکلّ ما احتمل اعتباره و دخله فی الصلاة</w:t>
      </w:r>
    </w:p>
    <w:p>
      <w:pPr>
        <w:pStyle w:val="BookText"/>
        <w:rPr/>
      </w:pPr>
      <w:r>
        <w:rPr>
          <w:rFonts w:ascii="Amiri" w:hAnsi="Amiri" w:eastAsia="Amiri" w:cs="Amiri"/>
          <w:color w:val="111111"/>
          <w:sz w:val="28"/>
          <w:sz w:val="28"/>
          <w:szCs w:val="28"/>
          <w:rtl w:val="true"/>
          <w:lang w:bidi="ar-SA"/>
        </w:rPr>
        <w:t>شطراً أو شرطاً، و لا یصحّ التمسّک بالإطلاق، و حینئذٍ فالإشکال غیر متوجّه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فحاصل بیان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حیث إنّ لمتعلّق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محصّلًا مبیّناً، فمرجع الشکّ فی اعتبار شی‌ء و دخله فی الصلاة شطراً أو شرطاً إلی الشکّ فی المحصّل، فیجب الإتیان بکلّ ما احتمل اعتباره عقلًا؛ لتحصیل العلم بالفراغ عن المکلّف به، و لا مجال للبراءة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الأعمّی فمتعلّق الأمر هو المعنی الأعمّ، و لیس له مفهوم محصّل مبیّن؛ لیکون المکلّف موظّفاً بتحصیله عقلًا بالإتیان بجمیع ما احتمل اعتباره، بل المرجع فی المشکوک اعتباره هو البراءة؛ لعدم قیام الحجّة علی وجوب ما عدا الثابت اعتباره، نعم یجب الإتیان بالمسمّی؛ أی معظم الأجزاء، أو الأرکان الأربعة، أو الخمسة، أو غیرها ممّا هو دخیل فی المسمّی علی اختلاف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فیقع الإشکال 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مذهبه عدم جریان البراءة فی الجزء أو الشرط المشکوکین، مع أنّ القائلین به کالشیخ الأعظم</w:t>
      </w:r>
      <w:r>
        <w:rPr>
          <w:rStyle w:val="FootnoteAnchor"/>
          <w:rtl w:val="true"/>
        </w:rPr>
        <w:footnoteReference w:id="164"/>
      </w:r>
      <w:r>
        <w:rPr>
          <w:rFonts w:ascii="IRNazanin" w:hAnsi="IRNazanin" w:eastAsia="IRNazanin"/>
          <w:color w:val="111111"/>
          <w:sz w:val="28"/>
          <w:sz w:val="28"/>
          <w:szCs w:val="28"/>
          <w:rtl w:val="true"/>
          <w:lang w:bidi="fa-IR"/>
        </w:rPr>
        <w:t>و المیرزا النائینی</w:t>
      </w:r>
      <w:r>
        <w:rPr>
          <w:rStyle w:val="FootnoteAnchor"/>
          <w:rtl w:val="true"/>
        </w:rPr>
        <w:footnoteReference w:id="165"/>
      </w:r>
      <w:r>
        <w:rPr>
          <w:rFonts w:ascii="IRNazanin" w:hAnsi="IRNazanin" w:eastAsia="IRNazanin"/>
          <w:color w:val="111111"/>
          <w:sz w:val="28"/>
          <w:sz w:val="28"/>
          <w:szCs w:val="28"/>
          <w:rtl w:val="true"/>
          <w:lang w:bidi="fa-IR"/>
        </w:rPr>
        <w:t>و غیرهما قدس سرهم اختاروا جریان البراءة فیهما فی مبحث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و إن کانت موضوعة للصحیحة عندهم، لکنّها موضوعة عندهم لنفس الأجزاء و الشرائط لا العنوان الکلّی، و أنّ الأجزاء و الشرائط محصِّلة له و أنّ استعمالها فی الفاقدة لبعض الأجزاء و الشرائط، کصلاة المرضی و الغرقی و نحوهم، بنحو التجوّز و المسامحة، و کثر استعمالها فیها حتّی صارت حقیقةً فیها أیضاً، فمرجع الشکّ فی جزئیّة شی‌ءٍ أو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تعلّق الأمر به، و لا حجّة علیه، فلا مانع من جریان البراءة حینئذٍ</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أیضاً فی جریانها علی مذهب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موضوعة</w:t>
      </w:r>
      <w:bookmarkStart w:id="191" w:name="pg12886_133222"/>
    </w:p>
    <w:p>
      <w:pPr>
        <w:pStyle w:val="BookText"/>
        <w:rPr/>
      </w:pPr>
      <w:bookmarkEnd w:id="191"/>
      <w:r>
        <w:rPr>
          <w:rFonts w:ascii="IRNazanin" w:hAnsi="IRNazanin" w:eastAsia="IRNazanin"/>
          <w:color w:val="111111"/>
          <w:sz w:val="28"/>
          <w:sz w:val="28"/>
          <w:szCs w:val="28"/>
          <w:rtl w:val="true"/>
          <w:lang w:bidi="fa-IR"/>
        </w:rPr>
        <w:t>للجامع الذی ذکره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3023941_3224264995"/>
      <w:bookmarkStart w:id="193" w:name="_Toc71"/>
      <w:bookmarkEnd w:id="192"/>
      <w:r>
        <w:rPr>
          <w:rtl w:val="true"/>
        </w:rPr>
        <w:t>الإشکال فی جریان البراءة علی مذهب الآخوند</w:t>
      </w:r>
      <w:bookmarkEnd w:id="193"/>
    </w:p>
    <w:p>
      <w:pPr>
        <w:pStyle w:val="BookText"/>
        <w:rPr/>
      </w:pPr>
      <w:r>
        <w:rPr>
          <w:rFonts w:ascii="IRNazanin" w:hAnsi="IRNazanin" w:eastAsia="IRNazanin"/>
          <w:color w:val="111111"/>
          <w:sz w:val="28"/>
          <w:sz w:val="28"/>
          <w:szCs w:val="28"/>
          <w:rtl w:val="true"/>
          <w:lang w:bidi="fa-IR"/>
        </w:rPr>
        <w:t xml:space="preserve">و أمّا الإشکال فی جریانها علی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موضوعة لعنوان بسیط ملازم للناهی عن الفحشاء و نحوه، کنفس عنوان الناهی عن الفحشاء، و نحوه من العناوین البسیطة أو المرکّبة، غیر العنوان الذاتی المقولی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إن أراد أنّها موضوعة لما من شأنه النهی عن الفحشاء و لو بنحو الاقتضاء، لا النهی عن الفحشاء بالفعل</w:t>
      </w:r>
      <w:r>
        <w:rPr>
          <w:rStyle w:val="FootnoteAnchor"/>
          <w:rtl w:val="true"/>
        </w:rPr>
        <w:footnoteReference w:id="167"/>
      </w:r>
      <w:r>
        <w:rPr>
          <w:rFonts w:ascii="IRNazanin" w:hAnsi="IRNazanin" w:eastAsia="IRNazanin"/>
          <w:color w:val="111111"/>
          <w:sz w:val="28"/>
          <w:sz w:val="28"/>
          <w:szCs w:val="28"/>
          <w:rtl w:val="true"/>
          <w:lang w:bidi="fa-IR"/>
        </w:rPr>
        <w:t>فلا سبیل للصحیحی إلیه؛ لأنّ مرجعه إلی القول بالأعمّ؛ لأنّ المراد بالاقتضاء أنّ الصلاة لیست علّة تامّة للنهی عن الفحشاء، بل مقتضیة لذلک، و أنّها من المعدّات لذلک، فلا ینافیه اعتبار شی‌ء آخر جزءاً أو شرطاً فی التأثیر الفعلی، و هو ممّا لا ینکره الأعمّی، بل هو مدّعاه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موضوعة للملازم للناهی عن الفحشاء بالفعل أو لنفسه کذلک، فلا مجال لجریان البراءة،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مراتب متفاوتة مختلفة أم لا، و سواءً قلنا باتحاد العنوان المذکور مع الأجزاء أم لا؛ لأنّ مفهوم المأمور به عنوان معلوم مبیّن؛ أی عنوان الناهی عن الفحشاء أو الملازم له، فیجب تحصیل العلم بحصوله فی مقام الامتثال بالإتیان بکلّ ما احتمل اعتباره فیه؛ لأنّه من قبیل الشکّ فی المحصِّل، فعلی هذا القول لا بدّ من الحکم بالاشتغال، مع أنّ مذهبه قدس سره هو البراءة و لا یندفع هذا الإشکال بالالتزام بأنّ للمأمور به مراتب متعدّدة متفاوتة، کما أشرنا إلیه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العبادات</w:t>
      </w:r>
      <w:r>
        <w:rPr>
          <w:rFonts w:eastAsia="IRNazanin" w:cs="IRNazanin"/>
          <w:color w:val="111111"/>
          <w:sz w:val="28"/>
          <w:szCs w:val="28"/>
          <w:rtl w:val="true"/>
          <w:lang w:bidi="fa-IR"/>
        </w:rPr>
        <w:t>.</w:t>
      </w:r>
      <w:bookmarkStart w:id="194" w:name="pg12886_133223"/>
    </w:p>
    <w:p>
      <w:pPr>
        <w:pStyle w:val="Heading5"/>
        <w:numPr>
          <w:ilvl w:val="4"/>
          <w:numId w:val="1"/>
        </w:numPr>
        <w:rPr/>
      </w:pPr>
      <w:bookmarkStart w:id="195" w:name="__RefHeading___Toc3023943_3224264995"/>
      <w:bookmarkStart w:id="196" w:name="_Toc72"/>
      <w:bookmarkEnd w:id="194"/>
      <w:bookmarkEnd w:id="195"/>
      <w:r>
        <w:rPr>
          <w:rtl w:val="true"/>
        </w:rPr>
        <w:t>فی جریان النزاع فی المعاملات</w:t>
      </w:r>
      <w:bookmarkEnd w:id="196"/>
    </w:p>
    <w:p>
      <w:pPr>
        <w:pStyle w:val="Heading6"/>
        <w:numPr>
          <w:ilvl w:val="5"/>
          <w:numId w:val="1"/>
        </w:numPr>
        <w:rPr/>
      </w:pPr>
      <w:bookmarkStart w:id="197" w:name="__RefHeading___Toc3023945_3224264995"/>
      <w:bookmarkStart w:id="198" w:name="_Toc73"/>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أمّا المعاملات ففی جریان هذا النزاع فیها و عدمه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التفصیل بین القول بأنّ ألفاظها موضوعة للمسبّبات أو الأسباب، فیجری علی الثانی، دون الأوّل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تکوینیّة، و اعتباریّة فرضیّة، و لکلّ منهما أسباب و علل موجدة لها، إلّا أنّها فی الأوّل حقیقیّة أیضاً، و فی الثانی اعتباریّة یعتبرها العقلاء، و لیس لها واقع و حقیقة کمسبّباتها، کالبیع و الإجارة و النکاح و غیرها، و حینئذٍ فقد یُقال فی وجه القول بعدم جریان هذا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بوضعها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الصحّة هو ترتّب الآثار، و المسبّبات فی المعاملات هی نفس تلک الآثار المترتّبة علی الصحیحة منها، فإذا کانت أسماؤها موضوعة لنفس تلک الآثار المترتبة علی السبب الصحیح لیس إلّا، فلا معنی للبحث عن أنّها موضوعة للصحیحة أو الأعمّ، و قد یُعبّر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المسبّبات امور بسیطة، و البسیط یدور أمره دائماً بین الوجود تامّاً و العدم، و لا یُتصوّر وجوده ناقصاً، فلا یمکن تصویر جامع بین التامّ و الناقص؛ لیقع البحث فی أنّ اللّفظ موضوع له أو لخصوص الصحیح</w:t>
      </w:r>
      <w:r>
        <w:rPr>
          <w:rFonts w:eastAsia="IRNazanin" w:cs="IRNazanin"/>
          <w:color w:val="111111"/>
          <w:sz w:val="28"/>
          <w:szCs w:val="28"/>
          <w:rtl w:val="true"/>
          <w:lang w:bidi="fa-IR"/>
        </w:rPr>
        <w:t>.</w:t>
      </w:r>
    </w:p>
    <w:p>
      <w:pPr>
        <w:pStyle w:val="Heading6"/>
        <w:numPr>
          <w:ilvl w:val="5"/>
          <w:numId w:val="1"/>
        </w:numPr>
        <w:rPr/>
      </w:pPr>
      <w:bookmarkStart w:id="199" w:name="__RefHeading___Toc3023947_3224264995"/>
      <w:bookmarkStart w:id="200" w:name="_Toc74"/>
      <w:bookmarkEnd w:id="199"/>
      <w:r>
        <w:rPr>
          <w:rtl w:val="true"/>
        </w:rPr>
        <w:t>فی أقسام البیع عند المحقّق العراقی و مناقشتها</w:t>
      </w:r>
      <w:bookmarkEnd w:id="200"/>
    </w:p>
    <w:p>
      <w:pPr>
        <w:pStyle w:val="BookText"/>
        <w:rPr/>
      </w:pPr>
      <w:r>
        <w:rPr>
          <w:rFonts w:ascii="IRNazanin" w:hAnsi="IRNazanin" w:eastAsia="IRNazanin"/>
          <w:color w:val="111111"/>
          <w:sz w:val="28"/>
          <w:sz w:val="28"/>
          <w:szCs w:val="28"/>
          <w:rtl w:val="true"/>
          <w:lang w:bidi="fa-IR"/>
        </w:rPr>
        <w:t>قال المحقّق العراقی قدس سره بعد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یراد به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وجوه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حقیقی واقعی یتحقّق فی الواقع عند تحقّق بعض أسبابه، و حینئذٍ</w:t>
      </w:r>
    </w:p>
    <w:p>
      <w:pPr>
        <w:pStyle w:val="BookText"/>
        <w:rPr/>
      </w:pPr>
      <w:r>
        <w:rPr>
          <w:rFonts w:ascii="IRNazanin" w:hAnsi="IRNazanin" w:eastAsia="IRNazanin"/>
          <w:color w:val="111111"/>
          <w:sz w:val="28"/>
          <w:sz w:val="28"/>
          <w:szCs w:val="28"/>
          <w:rtl w:val="true"/>
          <w:lang w:bidi="fa-IR"/>
        </w:rPr>
        <w:t>یکون نهی الشارع عنه تخطئة للعرف الذی یری وقوعه بالسبب الذی توصّل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واقعی یتحقّق فی الواقع بنحوین من الأسباب، إلّا أنّ الشارع اشترط فی تحقّق أحکام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التسلیم و حرمة تصرّف البائع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البیع متحقّقاً بسببٍ معیّن مخصوص، و إن اشترک السببان أو الأسباب فی إیجاده و تحقّقه إلّا أنّ الشارع إنّما یُرتِّب آثار الملکیّة و أحکامها علی تحقّقه فی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مفهوم البیع فی نظر العرف و الشرع شیئاً واحداً، إلّا أنّ مصادیقه بما أنّها امور اعتباریّة تختلف باختلاف الاعتبار، و لهذا قد یعتبر العرف مصداقاً لا یعتبره الشارع، بل یعتبر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الوجه الأوّل لا مجال للنزاع فی أسماء المعاملات، و أمّا علی الوجهین الأخیرین فللنزاع فیهما مجال واسع</w:t>
      </w:r>
      <w:r>
        <w:rPr>
          <w:rStyle w:val="FootnoteAnchor"/>
          <w:rtl w:val="true"/>
        </w:rPr>
        <w:footnoteReference w:id="1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الأقسام مجرّد فرض و تصوّر لا واقع له؛ ضرورة أنّه لیس للبیع حقیقة فی نفس الأمر، و لیس مثل سائر الامور التکوینیّة، و لا یحتمل ذلک، و کذلک الملکیّة، فإنّها من الامور الاعتباریّة، و منشأ الاعتبار فی ابتداء تکوّن البشر و زمان بساطة حیاته و معاشه هو الحیازة، و أنّ من حاز شیئاً من المباحات و تسلّط علیه اعتبروه ملکاً له، یضیفونه إلیه ما دام تسلّطه علیه باقیاً، و لو سلب أحد سلطنته علیه و لو قهراً و أخذه منه، اعتبروه ملکاً للثانی، و هو محیط توحّش البشر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ارتقوا و تمدّن البشر، و احتاج فی بقائه و حیاته و معاشه إلی مساکن و ملابس و مطاعم و غیر ذلک، و لم یتمکّن کلّ واحدٍ من تحصیل جمیع ما یحتاج إلیه فی معاشه، اعتبروا البیع و الإجارة و غیرهما من المعاملات، و رتّبوا علیها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النقل و الانتقال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وضعت المعاملات و المعاوضات بینهم، فکان</w:t>
      </w:r>
    </w:p>
    <w:p>
      <w:pPr>
        <w:pStyle w:val="BookText"/>
        <w:rPr/>
      </w:pPr>
      <w:r>
        <w:rPr>
          <w:rFonts w:ascii="IRNazanin" w:hAnsi="IRNazanin" w:eastAsia="IRNazanin"/>
          <w:color w:val="111111"/>
          <w:sz w:val="28"/>
          <w:sz w:val="28"/>
          <w:szCs w:val="28"/>
          <w:rtl w:val="true"/>
          <w:lang w:bidi="fa-IR"/>
        </w:rPr>
        <w:t>یبیع من عنده الطعام باللّباس الذی لآخر، و هکذا وقع التبادل فی أمتعتهم، و هو محیط تمدّن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الشارع أیضاً اعتبر تلک المعاملات، إلّا أنّه زاد فیها قیوداً و شروطاً، مثل عدم کونه ربویّاً، فلم یعتبر البیع الربوی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المفسدة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البیع فی محیط التمدّن عبارة عن ماهیّة اعتباریّة للعرف و العقلاء، و کذا الإجارة و نحوها، فهی عندهم من الامور البسیطة الاعتباریّة التی یترتّب علیها الآثار، و أمرها دائر بین الوجود تامّاً و العدم، و لا قسم ثالث لها، فبیع الخمر و الخنزیر و البیع الربوی لیس عندهم بیعاً؛ بمعنی أنّهم لم یعتبروه، لا أنّهم اعتبروه، و لکن لم یُرتِّبوا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فاحتمال أنّ لها ماهیّات حقیقیّة و عناوین واقعیّة ممّا لا مجال له أصلًا، فلا یعقل فیها هذا النزاع؛ لما عرفت من دوران الأمر فیها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الاعتباریة متقوّمة بالاعتبار، و بدونه لیست بشی‌ء، و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من العقلاء، فیختلف باختلاف الأعصار و الأمصار، فقد یعتبر معاملة فی مصرٍ دون مصر، و فی عصرٍ دون عصرٍ آخر، کما نشاهد ذلک فی بعض المعاملات المخترعة فی الأعصار الجدیدة، کالمعاملة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البیمه</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فتزویج الامّهات إمّا متحقّق مؤثّر، کما هو کذلک عند المجوس، أو غیر متحقّق أصلًا، کما هو کذلک عند سائر العقلاء، لا أنّ له واقعاً متحقّقاً لکنّه غیر مؤثّر، یُسمّی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محیط التمدّن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محیط الشرع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اعتبار الشارع أیضاً کاعتبار العقلاء، یدور أمر المعاملات عنده بین الوجود و العدم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کذلک، بل اعتبر بعض المعاملات، و لکن لم یرتّب علیه</w:t>
      </w:r>
      <w:bookmarkStart w:id="201" w:name="pg12886_133226"/>
    </w:p>
    <w:p>
      <w:pPr>
        <w:pStyle w:val="BookText"/>
        <w:rPr/>
      </w:pPr>
      <w:bookmarkEnd w:id="201"/>
      <w:r>
        <w:rPr>
          <w:rFonts w:ascii="IRNazanin" w:hAnsi="IRNazanin" w:eastAsia="IRNazanin"/>
          <w:color w:val="111111"/>
          <w:sz w:val="28"/>
          <w:sz w:val="28"/>
          <w:szCs w:val="28"/>
          <w:rtl w:val="true"/>
          <w:lang w:bidi="fa-IR"/>
        </w:rPr>
        <w:t>الأثر، و هو المسمّی بالفاسد، فالبیع الربوی بیع اعتبره الشارع بیعاً، لکن لم یرتّب علیه الأثر، و المرجعُ المحکّم فی تشخیص أحد الاحتمالین و ترجیحه و تعیینه مذاقُ المتشرّعة و عرفهم و لا شبهة أنّ المرتکز فی أذهانهم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الاحتمال الثانی بالنسبة إلی الشارع من حیث إنّه لغو، فإنّ اعتباره البیع و النکاح مع عدم ترتّب الأثر علیهما، لغوٌ یستحیل صدوره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المعاملات لدی الشارع أیضاً دائر بین الوجود و العدم، کما هو کذلک فی محیط العقلاء، و حینئذٍ فلا مجال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ألفاظ المعاملات موضوعة للمسبّبات</w:t>
      </w:r>
      <w:r>
        <w:rPr>
          <w:rFonts w:eastAsia="IRNazanin" w:cs="IRNazanin"/>
          <w:color w:val="111111"/>
          <w:sz w:val="28"/>
          <w:szCs w:val="28"/>
          <w:rtl w:val="true"/>
          <w:lang w:bidi="fa-IR"/>
        </w:rPr>
        <w:t>.</w:t>
      </w:r>
    </w:p>
    <w:p>
      <w:pPr>
        <w:pStyle w:val="Heading6"/>
        <w:numPr>
          <w:ilvl w:val="5"/>
          <w:numId w:val="1"/>
        </w:numPr>
        <w:rPr/>
      </w:pPr>
      <w:bookmarkStart w:id="202" w:name="__RefHeading___Toc3023949_3224264995"/>
      <w:bookmarkStart w:id="203" w:name="_Toc75"/>
      <w:bookmarkEnd w:id="202"/>
      <w:r>
        <w:rPr>
          <w:rtl w:val="true"/>
        </w:rPr>
        <w:t>النزاع فی المعاملات مع وضعها للأسباب</w:t>
      </w:r>
      <w:bookmarkEnd w:id="203"/>
    </w:p>
    <w:p>
      <w:pPr>
        <w:pStyle w:val="BookText"/>
        <w:rPr/>
      </w:pPr>
      <w:r>
        <w:rPr>
          <w:rFonts w:ascii="IRNazanin" w:hAnsi="IRNazanin" w:eastAsia="IRNazanin"/>
          <w:color w:val="111111"/>
          <w:sz w:val="28"/>
          <w:sz w:val="28"/>
          <w:szCs w:val="28"/>
          <w:rtl w:val="true"/>
          <w:lang w:bidi="fa-IR"/>
        </w:rPr>
        <w:t>و أمّا بناءً علی أنّها موضوعة للأسباب فالحقّ جریان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الصحیحی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موضوعة للأسباب الجامعة لجمیع الأجزاء و الشرائط المعتبرة فیها؛ من تقدیم الإیجاب علی القبول، و الماضویّة، و العربیّة،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لطبیعة الإیجاب و القبول لا بشرط من حیث الأجزاء و الشرائط الغیر الدخیلة فی المسمّی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من إمکان النزاع علی القول بأنّها موضوعة للأسباب، لکن لا یبعد کونها موضوعة للصحیحة، و أنّ الموضوع له هو العقد المؤثِّر لأثر کذا شرعاً و عرفاً، و الاختلاف بین العرف و الشرع إنّما هو فیما یعتبر فی تأثیر العقد لا یوجب الاختلاف بینهما فی المعنی، بل الاختلاف فی المحقّقات و المصادیق و تخطئة الشرع العرفَ فی تخیّل کون العقد بدون ما اعتبره فی تأثیره محقّقاً</w:t>
      </w:r>
      <w:bookmarkStart w:id="204" w:name="pg12886_133227"/>
    </w:p>
    <w:p>
      <w:pPr>
        <w:pStyle w:val="BookText"/>
        <w:rPr/>
      </w:pPr>
      <w:bookmarkEnd w:id="204"/>
      <w:r>
        <w:rPr>
          <w:rFonts w:ascii="IRNazanin" w:hAnsi="IRNazanin" w:eastAsia="IRNazanin"/>
          <w:color w:val="111111"/>
          <w:sz w:val="28"/>
          <w:sz w:val="28"/>
          <w:szCs w:val="28"/>
          <w:rtl w:val="true"/>
          <w:lang w:bidi="fa-IR"/>
        </w:rPr>
        <w:t>لما هو المؤثِّر، کما لا یخفی</w:t>
      </w:r>
      <w:r>
        <w:rPr>
          <w:rStyle w:val="FootnoteAnchor"/>
          <w:rtl w:val="true"/>
        </w:rPr>
        <w:footnoteReference w:id="1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البیع موضوع لمفهوم العقد المؤثّر أو العقد الصحیح بالحمل الأوّلی، فلا أظنّ أن یلتزم به لاستلزامه الترادف بین لفظ البیع و لفظ العقد المؤثّر، و اتّحاد مفهومیهما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البیع موضوع لماهیّة جامعة لجمیع الأجزاء و الشرائط المعتبرة التی إذا وجدت لا تنطبق إلّا علی الصحیح، فلا ریب أنّ الاختلاف بین العرف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المصادیق و المحقّقات، بل الاختلاف بینهما إنّما هو فی الماهیّات فی وعاء تقرّرها الماهوی؛ حیث إنّ البیع عند الشارع هو الماهیّة المقترنة بکذا فقط، مع أنّها بدون هذا القید أیضاً بیع عرفاً، و هذا کما تری اختلاف فی الماهیّة</w:t>
      </w:r>
      <w:r>
        <w:rPr>
          <w:rFonts w:eastAsia="IRNazanin" w:cs="IRNazanin"/>
          <w:color w:val="111111"/>
          <w:sz w:val="28"/>
          <w:szCs w:val="28"/>
          <w:rtl w:val="true"/>
          <w:lang w:bidi="fa-IR"/>
        </w:rPr>
        <w:t>.</w:t>
      </w:r>
    </w:p>
    <w:p>
      <w:pPr>
        <w:pStyle w:val="Heading6"/>
        <w:numPr>
          <w:ilvl w:val="5"/>
          <w:numId w:val="1"/>
        </w:numPr>
        <w:rPr/>
      </w:pPr>
      <w:bookmarkStart w:id="205" w:name="__RefHeading___Toc3023951_3224264995"/>
      <w:bookmarkStart w:id="206" w:name="_Toc76"/>
      <w:bookmarkEnd w:id="205"/>
      <w:r>
        <w:rPr>
          <w:rtl w:val="true"/>
        </w:rPr>
        <w:t>فی نفی ثمرة النزاع فی المعاملات</w:t>
      </w:r>
      <w:bookmarkEnd w:id="206"/>
    </w:p>
    <w:p>
      <w:pPr>
        <w:pStyle w:val="BookText"/>
        <w:rPr/>
      </w:pPr>
      <w:r>
        <w:rPr>
          <w:rFonts w:ascii="IRNazanin" w:hAnsi="IRNazanin" w:eastAsia="IRNazanin"/>
          <w:color w:val="111111"/>
          <w:sz w:val="28"/>
          <w:sz w:val="28"/>
          <w:szCs w:val="28"/>
          <w:rtl w:val="true"/>
          <w:lang w:bidi="fa-IR"/>
        </w:rPr>
        <w:t>ثمّ أنّه ذکر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 هذا النزاع فی المعاملات ثمرة؛ لجواز الأخذ بالإطلاق علی کلا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لکلّ واحدٍ من عناوین المعاملات عند العرف مفهوماً مبیَّناً، تنصرف إلیه الإطلاقات الواردة فی الشرع، فلا إجمال فیها کی یقال بعدم جواز التمسّک بها لنفی جزئیّة المشکوک جزئیّته أو شرطیّته، بل تُنزّل الإطلاقات علی المعنی العرفی، فیؤخذ به و یتمسّک بالإطلاق لنفی جزئیّة المشکوک جزئیّته أو شرطیّته، إلّا إذا احتمل اعتباره عند العرف فی المسمّی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فالصحیحی و الأعمّی یشترکان فی جواز التمسّک بالإطلاق اللّفظی،</w:t>
      </w:r>
      <w:bookmarkStart w:id="207" w:name="pg12886_133228"/>
    </w:p>
    <w:p>
      <w:pPr>
        <w:pStyle w:val="BookText"/>
        <w:rPr/>
      </w:pPr>
      <w:bookmarkEnd w:id="207"/>
      <w:r>
        <w:rPr>
          <w:rFonts w:ascii="IRNazanin" w:hAnsi="IRNazanin" w:eastAsia="IRNazanin"/>
          <w:color w:val="111111"/>
          <w:sz w:val="28"/>
          <w:sz w:val="28"/>
          <w:szCs w:val="28"/>
          <w:rtl w:val="true"/>
          <w:lang w:bidi="fa-IR"/>
        </w:rPr>
        <w:t>فلا ثمرة تترتّب علی هذا النزاع فی المعاملات</w:t>
      </w:r>
      <w:r>
        <w:rPr>
          <w:rStyle w:val="FootnoteAnchor"/>
          <w:rtl w:val="true"/>
        </w:rPr>
        <w:footnoteReference w:id="1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العرف و الشرع فیها لیس فی المصادیق و المحقّقات، بل فی تقرّرها الماهوی، و أنّها فی نظر الشارع مقیّدة بقیود، و بدونها لیست بیعاً عنده، بخلافه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لما ذکره قدس سره؛ لأنّ الإطلاقات بعد فرض عدم تنزیلها علی المعنی العرفی مجملة، لا یصحّ التمسّک بها علی الصحیحی للشکّ فی تحقق ماهیّة البیع بدون ذلک الشرط المشکوک عند الشرع، بخلافه علی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ألفاظ المعاملات موضوعة للمسبّبات لا الأسباب، و أنّها عند العرف و الشرع عبارة عمّا توجد بالأسباب، و لذا تری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الدار و أجریتُ صیغته</w:t>
      </w:r>
      <w:r>
        <w:rPr>
          <w:rFonts w:eastAsia="IRNazanin" w:cs="IRNazanin"/>
          <w:color w:val="111111"/>
          <w:sz w:val="28"/>
          <w:szCs w:val="28"/>
          <w:rtl w:val="true"/>
          <w:lang w:bidi="fa-IR"/>
        </w:rPr>
        <w:t>».</w:t>
      </w:r>
    </w:p>
    <w:p>
      <w:pPr>
        <w:pStyle w:val="Heading6"/>
        <w:numPr>
          <w:ilvl w:val="5"/>
          <w:numId w:val="1"/>
        </w:numPr>
        <w:rPr/>
      </w:pPr>
      <w:bookmarkStart w:id="208" w:name="__RefHeading___Toc3023953_3224264995"/>
      <w:bookmarkStart w:id="209" w:name="_Toc77"/>
      <w:bookmarkEnd w:id="208"/>
      <w:r>
        <w:rPr>
          <w:rtl w:val="true"/>
        </w:rPr>
        <w:t>الإشکال علی وضع المعاملات للمسبّبات و حلّه</w:t>
      </w:r>
      <w:bookmarkEnd w:id="209"/>
    </w:p>
    <w:p>
      <w:pPr>
        <w:pStyle w:val="BookText"/>
        <w:rPr/>
      </w:pPr>
      <w:r>
        <w:rPr>
          <w:rFonts w:ascii="IRNazanin" w:hAnsi="IRNazanin" w:eastAsia="IRNazanin"/>
          <w:color w:val="111111"/>
          <w:sz w:val="28"/>
          <w:sz w:val="28"/>
          <w:szCs w:val="28"/>
          <w:rtl w:val="true"/>
          <w:lang w:bidi="fa-IR"/>
        </w:rPr>
        <w:t>لکن هنا 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إنّک عرفت أنّ مقتضی کونها موضوعة للمسبّبات عدمُ جواز الأخذ بالإطلاق علی کلا القولین؛ لما تقدّم من أنّ الاختلاف بین العرف و الشرع فیها ماهوی، لا فی المصادیق، و لازم ذلک عدم تنزیل الإطلاقات علی المعنی العرفی فتصیر مجملة، فلا یصحّ التمسّک بالإطلاقات فیها؛ لأنّه من قبیل التمسّک به فی الشبهة المصداقیّة، مع أنّ دأب الفقهاء هو التمسّک بالإطلاق لنفی ما شُکّ فی اعتباره فیها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محیص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بأن یقال باتّفاق العرف و الشرع فی مفهوم البیع و ماهیّته و غیره من سائر المعاملات، و أنّ البیع عندهما عبارة عن مبادلة مال بمال، أو انتقال العین، و الإجارة عبارة عن انتقال المنفعة، إلّا أنّ دائرتهما عند العرف</w:t>
      </w:r>
    </w:p>
    <w:p>
      <w:pPr>
        <w:pStyle w:val="BookText"/>
        <w:rPr/>
      </w:pPr>
      <w:r>
        <w:rPr>
          <w:rFonts w:ascii="IRNazanin" w:hAnsi="IRNazanin" w:eastAsia="IRNazanin"/>
          <w:color w:val="111111"/>
          <w:sz w:val="28"/>
          <w:sz w:val="28"/>
          <w:szCs w:val="28"/>
          <w:rtl w:val="true"/>
          <w:lang w:bidi="fa-IR"/>
        </w:rPr>
        <w:t>أوسع منها عند الشرع، و أنّ بیع الخمر و الخنزیر من مصادیق البیع عرفاً لا شرعاً؛ بمعنی أنّ الشارع لم یعتبره بیعاً، لا أنّه اعتبره لکن لم یرتّب علیه الأثر؛ لما عرفت من استلزامه اللَّغویّة، و اعتبارُ الشارع أن لا یکون المبیع خمراً و خنزیراً یدلّ بنحو الاقتضاء علی إعدامه هذا المصداقَ للبیع و خروجه عن البیع تخصّصاً لا تخصیصاً، فالبیع الربوی بیع عرفاً لا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 فی اعتبار قیدٍ أو شرطٍ شرعاً، فللتمسّک بالإطلاق لنفیه مجال، مثل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بین المسلمین إلّا ما أحلَّ حراماً أو حرّم حلالًا</w:t>
      </w:r>
      <w:r>
        <w:rPr>
          <w:rFonts w:eastAsia="Amiri" w:cs="Amiri" w:ascii="Amiri" w:hAnsi="Amiri"/>
          <w:color w:val="111111"/>
          <w:sz w:val="28"/>
          <w:szCs w:val="28"/>
          <w:rtl w:val="true"/>
          <w:lang w:bidi="ar-SA"/>
        </w:rPr>
        <w:t>)</w:t>
      </w:r>
    </w:p>
    <w:p>
      <w:pPr>
        <w:pStyle w:val="BookText"/>
        <w:rPr/>
      </w:pPr>
      <w:r>
        <w:rPr>
          <w:rStyle w:val="FootnoteAnchor"/>
          <w:rtl w:val="true"/>
        </w:rPr>
        <w:footnoteReference w:id="174"/>
      </w:r>
      <w:r>
        <w:rPr>
          <w:rFonts w:ascii="IRNazanin" w:hAnsi="IRNazanin" w:eastAsia="IRNazanin"/>
          <w:color w:val="111111"/>
          <w:sz w:val="28"/>
          <w:sz w:val="28"/>
          <w:szCs w:val="28"/>
          <w:rtl w:val="true"/>
          <w:lang w:bidi="fa-IR"/>
        </w:rPr>
        <w:t>، فیحکم بعدم اعتبار هذا القید و الشرط، و أنّ المراد هو الانتقال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حجّة علی اعتبار قیدٍ لم یعتبره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لا یکون ربویّاً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منه بدلالة الاقتضاء تخطئة الشرع للعرف فی المصداق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أبیت عن ذلک،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من قبیل التمسّک بالإطلاق فی الشبهة المصداقیّة، فیمکن أن یقال بجواز التمسّک بالإطلاق المقامی لنفی ما شُکّ فی اعتباره شرطاً أو شطراً؛ حیث إنّ للبیع و الصلح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معنیً معیّناً، فلو اعتُبر فیهما قید شرعاً أو أنّ لهما معنیً آخرَ مغایراً لمعناه العرفی، لزم علیه البیان، فعدمُ البیان و إطلاقه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دلیلٌ علی اتّحاد معنییهما شرعاً و عرفاً و عدم اعتبار المشکوک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یستشکل علی ذلک فی هذا المورد و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التمسّک بالإطلاق المقامی یتوقّف علی إحراز عدم ذکر القید، فلعلّه ذکره و لم یصل إلینا، و لم یتنبّه إلیه نَقَلَة</w:t>
      </w:r>
      <w:bookmarkStart w:id="210" w:name="pg12886_133230"/>
    </w:p>
    <w:p>
      <w:pPr>
        <w:pStyle w:val="BookText"/>
        <w:rPr/>
      </w:pPr>
      <w:bookmarkEnd w:id="210"/>
      <w:r>
        <w:rPr>
          <w:rFonts w:ascii="IRNazanin" w:hAnsi="IRNazanin" w:eastAsia="IRNazanin"/>
          <w:color w:val="111111"/>
          <w:sz w:val="28"/>
          <w:sz w:val="28"/>
          <w:szCs w:val="28"/>
          <w:rtl w:val="true"/>
          <w:lang w:bidi="fa-IR"/>
        </w:rPr>
        <w:t>الأخبار أو کان عدم نقلهم اعتماداً علی حکم العقل أو مقتضی الأصل، و یتوقّف أیضاً علی أنّ عدم ذکر الشارع له لم یکن لأجل الاعتماد علی أصل عقلائی موافق کأصالة الفساد فی المعاملات، فلعلّ للبیع و نحوه لدی الشارع قیوداً و شرائط لم یذکرها الشارع فی مقام البیان اعتماداً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التمسّک بالإطلاق المقامی فی العبادات فلوجود الأصل علی الخلاف کأصل البراءة، بخلاف المعاملات، فإنّ الأصل فیها الفساد،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المقامی فی المقام لنفی اعتبار المشکوک اعتباره، متوقّف علی إحراز الأمرین المتقدّمین، و أمّا التمسّک لنفیه بقضیة عموم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المعاملات ممّا یُبتلی بها الناس فی جمیع الأعصار و الأمصار، فمع عدم البیان یستکشف عدم اعتباره، و إلّا لنُقِل إلینا؛ لمکان عموم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إنّما یصحّ مع الالتفات و عدم غفلة النَّقَلة عنه، و لم یثبت ذلک</w:t>
      </w:r>
      <w:r>
        <w:rPr>
          <w:rFonts w:eastAsia="IRNazanin" w:cs="IRNazanin"/>
          <w:color w:val="111111"/>
          <w:sz w:val="28"/>
          <w:szCs w:val="28"/>
          <w:rtl w:val="true"/>
          <w:lang w:bidi="fa-IR"/>
        </w:rPr>
        <w:t>.</w:t>
      </w:r>
    </w:p>
    <w:p>
      <w:pPr>
        <w:pStyle w:val="Heading6"/>
        <w:numPr>
          <w:ilvl w:val="5"/>
          <w:numId w:val="1"/>
        </w:numPr>
        <w:rPr/>
      </w:pPr>
      <w:bookmarkStart w:id="211" w:name="__RefHeading___Toc3023955_3224264995"/>
      <w:bookmarkStart w:id="212" w:name="_Toc78"/>
      <w:bookmarkEnd w:id="211"/>
      <w:r>
        <w:rPr>
          <w:rtl w:val="true"/>
        </w:rPr>
        <w:t>انصراف أدلّة المعاملات إلی العرفیة منها</w:t>
      </w:r>
      <w:bookmarkEnd w:id="212"/>
    </w:p>
    <w:p>
      <w:pPr>
        <w:pStyle w:val="BookText"/>
        <w:rPr/>
      </w:pPr>
      <w:r>
        <w:rPr>
          <w:rFonts w:ascii="Amiri" w:hAnsi="Amiri" w:eastAsia="Amiri" w:cs="Amiri"/>
          <w:color w:val="111111"/>
          <w:sz w:val="28"/>
          <w:sz w:val="28"/>
          <w:szCs w:val="28"/>
          <w:rtl w:val="true"/>
          <w:lang w:bidi="ar-SA"/>
        </w:rPr>
        <w:t>هذا، و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فی انصراف أدلّة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هو المتعارف من تلک المعاملات عند العرف و العقلاء، فإنّ الشارع أیضاً کواحدٍ من أهل العرف لیس له اصطلاح خاصّ فی خطاباته المتوجّهة إلی العرف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عند العرف هو المنصرف إلیه الإطلاقات، و هذه الإطلاقات مسوقة لإمضاء المعاملات العرفیّة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ردع عنه الشارع و لم یُمضه، کبیع الخمر و الخنزیر و نحوهما، فلیس</w:t>
      </w:r>
      <w:bookmarkStart w:id="213" w:name="pg12886_133231"/>
    </w:p>
    <w:p>
      <w:pPr>
        <w:pStyle w:val="BookText"/>
        <w:rPr/>
      </w:pPr>
      <w:bookmarkEnd w:id="213"/>
      <w:r>
        <w:rPr>
          <w:rFonts w:ascii="Amiri" w:hAnsi="Amiri" w:eastAsia="Amiri" w:cs="Amiri"/>
          <w:color w:val="111111"/>
          <w:sz w:val="28"/>
          <w:sz w:val="28"/>
          <w:szCs w:val="28"/>
          <w:rtl w:val="true"/>
          <w:lang w:bidi="ar-SA"/>
        </w:rPr>
        <w:t>لأجل أنّها لیست بیعاً عرفیّاً؛ بنحو إعدام الموضوع فی العرف؛ لأنّه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الحکم بإعدام الموضوع شرعیّاً فهو صحیح، لکن لا ارتباط له بأدلّة الإمضاء؛ لتغایر الموضوعین من جهة لحاظ محیط الشرع فی أحدهما و محیط العرف فی الآخر، نظیر عدم الارتباط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فإخراج بعض الأفراد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أنّه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التخصیص و الإخراج الحکمی، مع بقاء الموضوع و عدم إعدامه عرفاً، و حینئذٍ فالبیع الربوی بیعٌ عرفی، لکن لا یترتّب علیه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الإخراج الحکمی، لکن بلسان نفی الموضوع، لا إعدام الموضوع فی محیط العرف، المعبَّر عنه بالحکومة،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یُتمسّک بإطلاقه الشامل لجمیع أنواع البیع العرفی، فمتی ظفرنا بالمقیِّد و المخصِّص نأخذ به، و مع الشکّ فی اعتبار قیدٍ أو شرطٍ؛ لعدم قیام حجّة علیه، فلا مانع من التمسّک بالإطلاقات لنفیه، فتأمّل جیّداً</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023957_3224264995"/>
      <w:bookmarkStart w:id="215" w:name="_Toc79"/>
      <w:bookmarkEnd w:id="214"/>
      <w:r>
        <w:rPr>
          <w:rtl w:val="true"/>
        </w:rPr>
        <w:t>خاتمة</w:t>
      </w:r>
      <w:r>
        <w:rPr>
          <w:rtl w:val="true"/>
        </w:rPr>
        <w:t xml:space="preserve">: </w:t>
      </w:r>
      <w:r>
        <w:rPr>
          <w:rtl w:val="true"/>
        </w:rPr>
        <w:t>فی أنحاء اعتبار أجزاء الماهیات و شروطها و أحکامها</w:t>
      </w:r>
      <w:bookmarkEnd w:id="215"/>
    </w:p>
    <w:p>
      <w:pPr>
        <w:pStyle w:val="Heading6"/>
        <w:numPr>
          <w:ilvl w:val="5"/>
          <w:numId w:val="1"/>
        </w:numPr>
        <w:rPr/>
      </w:pPr>
      <w:bookmarkStart w:id="216" w:name="__RefHeading___Toc3023959_3224264995"/>
      <w:bookmarkStart w:id="217" w:name="_Toc80"/>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أجزاء الماهیّات الاعتباریّة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مقوّمة لها؛ بحیث یستلزم انتفاؤه انتفاء الماهیّة، کالرکوع و السجود و نحوهما فی الصلاة؛ بناءً علی القول بالصحیح، أو انتفاء الماهیّة المأمور بها علی الأعمّ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و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قبل وجود الماهیّة کالتکبیرات الستّ الافتتاحیّة للصلاة؛ علی الأقوی من أنّ الأخیرة هی تکبیرة الإحرام، و إمّا مقارن لها، کالقنوت و سائر المستحبّات الواردة فی الصلاة، أو متأخّر عنها، کالسلام الأخیر علی القول بالخروج من الصلاة بالسلام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تُعتبر فی الماهیّات شروط، کالطهارة و الستر و الاستقبال و نحوها فی الصلاة، فلا تتحقّق تلک الماهیّة بدونها، و قد یعتبر شرط لأجزاء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تحقّقها، أو فی جزئیّتها للصلاة، کالطمأنینة فی حال الرکوع و السجود و القراءة و غیرها، و قد یعتبر شرط لفردٍ خاصّ کإیقاع الصلاة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انتفاء الماهیة بانتفاء الأجزاء و الشرائط المعتبرة فی الماهیّة نفسها، بناءً علی قول الصحیحی، و انتفاء الماهیّة المأمور بها علی قول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الغیر المقوّمة فهی لیست کذلک، فإنّ انتفاء مثل القنوت و التکبیرات الافتتاحیّة، لا یوجب انتفاء أصل الماهیّة أو الماهیّة المأمور بها، بل هی شرائط لکمال الفرد، کما ذکره الاصولیّون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کیف یوجب القنوتُ کمالَ سائر الأجزاء و عدمُهُ سلب کمالها؟ فإنّ القنوت أمر مندوب یُثاب علی فعله لو أتی به المصلّی، و إلّا فلا یترتّب علیه هذا الثواب، و لا ربط له بسائر الأجزاء، کالقراءة و الرکوع و نحوهما، فلا یزید کمالُها بوجود جزء غیر 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الحقیقیّة کذلک؛ فإنّ للإنسان مرتبة خاصّة من الکمال، یزید کماله بتحصیل العلم و الصنعة و نحوهما؛ لاتّحاد تلک الأوصاف مع أعضائه الخارجیّة فی الخارج، و لو اتّصف بالجهل أو الفسق أو الزنجیّة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ذلک انحطاطه عن تلک المرتبة من الکمال؛ لمکان اتّحادها معه فی الخارج، بخلاف الماهیّات الاعتباریّة کما عرفت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تحقّق الماهیّات الحقیقیّة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هکذا، و تتّحد هذه العناوین مع المکمّم و المتکیّف، و کذلک الأوصاف العارضة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 العدالة و ما یقابلهما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لکمّها و کیفها</w:t>
      </w:r>
      <w:bookmarkStart w:id="218" w:name="pg12886_133233"/>
    </w:p>
    <w:p>
      <w:pPr>
        <w:pStyle w:val="BookText"/>
        <w:rPr/>
      </w:pPr>
      <w:bookmarkEnd w:id="218"/>
      <w:r>
        <w:rPr>
          <w:rFonts w:ascii="IRNazanin" w:hAnsi="IRNazanin" w:eastAsia="IRNazanin"/>
          <w:color w:val="111111"/>
          <w:sz w:val="28"/>
          <w:sz w:val="28"/>
          <w:szCs w:val="28"/>
          <w:rtl w:val="true"/>
          <w:lang w:bidi="fa-IR"/>
        </w:rPr>
        <w:t>و عدالتها و نحوها تحقّق و وجود سوی تحقّقها فی الخارج، بل هی فی الخارج هویّة جامعة لجمیع هذه العناوین، متّحدة معها فی الوجود، فیوجب بعض العناوین لها کمالًا و شرافةً فی ذلک الفرد من الماهیّة، کالنبوّة الموجبة لکمال النبی مع مساواته من حیث الماهیّة لسائر أفراد الإنسان، إلّا أنّ اتّحاده مع النبوّة و اتّصافه بها زاده کمالًا و شرافةً، و هکذا الکلام فی العلم و الإیمان و نحوهما، کما أنّ عروض بعض الأوصاف علی فرد و اتّحاد هویّته معه، یوجب نقصانه و انحطاط درجته عن مرتبة الإنسانیّة، کالکفر و الفسق،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و هذا مِمّا لا شبهة فیه</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023961_3224264995"/>
      <w:bookmarkStart w:id="220" w:name="_Toc81"/>
      <w:bookmarkEnd w:id="219"/>
      <w:r>
        <w:rPr>
          <w:rtl w:val="true"/>
        </w:rPr>
        <w:t>الإشکال فی الماهیّات الاعتباریّة و دفعه</w:t>
      </w:r>
      <w:bookmarkEnd w:id="220"/>
    </w:p>
    <w:p>
      <w:pPr>
        <w:pStyle w:val="BookText"/>
        <w:rPr/>
      </w:pPr>
      <w:r>
        <w:rPr>
          <w:rFonts w:ascii="IRNazanin" w:hAnsi="IRNazanin" w:eastAsia="IRNazanin"/>
          <w:color w:val="111111"/>
          <w:sz w:val="28"/>
          <w:sz w:val="28"/>
          <w:szCs w:val="28"/>
          <w:rtl w:val="true"/>
          <w:lang w:bidi="fa-IR"/>
        </w:rPr>
        <w:t xml:space="preserve">و إنّما الکلام فی الماهیّات الاعتباریّة، فإنّه لو فرض عشرة آحاد واحداً اعتباراً، فزیادة واحد آخر علیها لا یوجب التغیّر فی هذا العنوان کمالًا و نقصاً، فإذا فرض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لهیئة اجتماع عدّة من الأجزاء فإنّ لها بنفسها حدّاً خاصّاً معیّناً من الفضیلة و الأثر، و حینئذٍ فکیف یوجب زیادة القنوت زیادة کمالها و أثرها و علوّ رتبتها عن رتبة نفس الأجزاء و کمالها، فإنّ لهذا الجزء أیضاً أثراً خاصّاً یترتّب علی فعله لو أتی به، و إلّا فلا، و لا دَخْل له فی 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 هذا الإشکال بأنّ الصلاة ماهیّة إلهیّة معراجیّة و حقیقة تعبّدیّة، و لیس لأحدٍ طریق لمعرفة حقیقتها و کنهها سوی الشارع المقدّس، و هو العالم بکنهها و حقیقتها، و لهذا اعتبر فی الأجزاء ترتیب خاصّ من التقدّم و التأخّر لمصلحةٍ فیه لا یعلمها إلّا الله تعالی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لتلک الأجزاء مرتبة خاصّة من الفضیلة و الکمال و الأثر عند الشارع، فإذا زید علیها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ذلک زیادة کمالها و أثرها،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یُدرک ذلک غیر الشارع تعالی، و هذا نظیر الدار، فإنّه ربما یوجب التناسبُ الخاصّ بین أجزائه و غُرُفاتِهِ و بیوتِهِ و نحوِهما و تکیّفُها بکیفیّةٍ خاصّةٍ و وقوعُها فی محلّ کذا، زیادةً فی حُسنها؛ بحیث لا یوجد هذا الحسن فی غیرها، و الترتیب الخاصّ بین أجزائها المقوِّمة و غیرها کذلک، ربّما یوجب زیادة حسن فیها لا یوجد فی غیرها، إلّا أنّ حسن البیت و الدار محسوس مدرک لنا، و لکن حسن الهیئة الحاصلة للصلاة لا یدرکه إلّا الله تعالی</w:t>
      </w:r>
      <w:r>
        <w:rPr>
          <w:rFonts w:eastAsia="IRNazanin" w:cs="IRNazanin"/>
          <w:color w:val="111111"/>
          <w:sz w:val="28"/>
          <w:szCs w:val="28"/>
          <w:rtl w:val="true"/>
          <w:lang w:bidi="fa-IR"/>
        </w:rPr>
        <w:t>.</w:t>
      </w:r>
      <w:bookmarkStart w:id="221" w:name="pg12886_133235"/>
    </w:p>
    <w:p>
      <w:pPr>
        <w:pStyle w:val="Heading3"/>
        <w:numPr>
          <w:ilvl w:val="2"/>
          <w:numId w:val="1"/>
        </w:numPr>
        <w:rPr/>
      </w:pPr>
      <w:bookmarkStart w:id="222" w:name="__RefHeading___Toc3023963_3224264995"/>
      <w:bookmarkStart w:id="223" w:name="_Toc82"/>
      <w:bookmarkEnd w:id="221"/>
      <w:bookmarkEnd w:id="222"/>
      <w:r>
        <w:rPr>
          <w:rtl w:val="true"/>
        </w:rPr>
        <w:t>الأمر الحادی عشر فی الاشتراک و فیه مباحث</w:t>
      </w:r>
      <w:r>
        <w:rPr>
          <w:rtl w:val="true"/>
        </w:rPr>
        <w:t>:</w:t>
      </w:r>
      <w:bookmarkEnd w:id="223"/>
    </w:p>
    <w:p>
      <w:pPr>
        <w:pStyle w:val="Heading4"/>
        <w:numPr>
          <w:ilvl w:val="3"/>
          <w:numId w:val="1"/>
        </w:numPr>
        <w:rPr/>
      </w:pPr>
      <w:bookmarkStart w:id="224" w:name="__RefHeading___Toc3023965_3224264995"/>
      <w:bookmarkStart w:id="225" w:name="_Toc83"/>
      <w:bookmarkEnd w:id="224"/>
      <w:r>
        <w:rPr>
          <w:rtl w:val="true"/>
        </w:rPr>
        <w:t>المبحث الأوّل</w:t>
      </w:r>
      <w:r>
        <w:rPr>
          <w:rtl w:val="true"/>
        </w:rPr>
        <w:t xml:space="preserve">: </w:t>
      </w:r>
      <w:r>
        <w:rPr>
          <w:rtl w:val="true"/>
        </w:rPr>
        <w:t>فی إمکان الاشتراک</w:t>
      </w:r>
      <w:bookmarkEnd w:id="225"/>
    </w:p>
    <w:p>
      <w:pPr>
        <w:pStyle w:val="Heading5"/>
        <w:numPr>
          <w:ilvl w:val="4"/>
          <w:numId w:val="1"/>
        </w:numPr>
        <w:rPr/>
      </w:pPr>
      <w:bookmarkStart w:id="226" w:name="__RefHeading___Toc3023967_3224264995"/>
      <w:bookmarkStart w:id="227" w:name="_Toc84"/>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فذهب قوم إلی وجوبه</w:t>
      </w:r>
      <w:r>
        <w:rPr>
          <w:rStyle w:val="FootnoteAnchor"/>
          <w:rtl w:val="true"/>
        </w:rPr>
        <w:footnoteReference w:id="178"/>
      </w:r>
      <w:r>
        <w:rPr>
          <w:rFonts w:ascii="IRNazanin" w:hAnsi="IRNazanin" w:eastAsia="IRNazanin"/>
          <w:color w:val="111111"/>
          <w:sz w:val="28"/>
          <w:sz w:val="28"/>
          <w:szCs w:val="28"/>
          <w:rtl w:val="true"/>
          <w:lang w:bidi="fa-IR"/>
        </w:rPr>
        <w:t>و آخرون إلی امتناعه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3023969_3224264995"/>
      <w:bookmarkStart w:id="229" w:name="_Toc85"/>
      <w:bookmarkEnd w:id="228"/>
      <w:r>
        <w:rPr>
          <w:rtl w:val="true"/>
        </w:rPr>
        <w:t>أدلّة القائلین بامتناع الاشتراک</w:t>
      </w:r>
      <w:bookmarkEnd w:id="229"/>
    </w:p>
    <w:p>
      <w:pPr>
        <w:pStyle w:val="BookText"/>
        <w:rPr/>
      </w:pPr>
      <w:r>
        <w:rPr>
          <w:rFonts w:ascii="IRNazanin" w:hAnsi="IRNazanin" w:eastAsia="IRNazanin"/>
          <w:color w:val="111111"/>
          <w:sz w:val="28"/>
          <w:sz w:val="28"/>
          <w:szCs w:val="28"/>
          <w:rtl w:val="true"/>
          <w:lang w:bidi="fa-IR"/>
        </w:rPr>
        <w:t>و استدلّ القائلون بالامتناع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یأتلف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للمعنی لیس هو شخص اللّفظ الصادر من اللّافظ؛ ضرورة أنّ تشخّصه إنّما هو بالاستعمال، و هو متأخّر عن الوضع، بل الموضوع بإزاء المعنی هو طبیعی اللّفظ بنحو القضیّة الحقیقیّة بإزاء طبیعی المعنی کذلک، فکلّ فردٍ من أفراد طبیعی اللّفظ موضوع بإزاء فردٍ من أفراد طبیعی المعنی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عبارة عن جعل اللّفظ مرآة لتصوّر المعنی و عنواناً فانیاً فیه؛ بحیث لا یری السامع له وجوداً فی الخارج، بل الموجود فی نظره المعنی فقط،</w:t>
      </w:r>
    </w:p>
    <w:p>
      <w:pPr>
        <w:pStyle w:val="BookText"/>
        <w:rPr/>
      </w:pPr>
      <w:r>
        <w:rPr>
          <w:rFonts w:ascii="IRNazanin" w:hAnsi="IRNazanin" w:eastAsia="IRNazanin"/>
          <w:color w:val="111111"/>
          <w:sz w:val="28"/>
          <w:sz w:val="28"/>
          <w:szCs w:val="28"/>
          <w:rtl w:val="true"/>
          <w:lang w:bidi="fa-IR"/>
        </w:rPr>
        <w:t>و لیس الوضع عبارة عن جعل اللّفظ علامة للمعنی؛ کی یقال بإمکان جعل لفظ واحد علامةً لمعنیین أو أکثر، بل هو عبارة عمّا ذکرناه، و لفنائه فی المعنی یستهجن اللّفظ الموضوع لمعنیً مستهجن، و تشمئزّ النفس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اللّفظ موضوعاً لأکثر من معنیً واحد، یستلزم أن یکون کلّ فردٍ من أفراد طبیعیه مرآة بالفعل لأکثر من معنیً واحد و فانیاً بالفعل فی المعانی المتعدّدة، و هو محال؛ لاستحالة فناء شی‌ءٍ واحدٍ دفعةً واحدة فی أمرین متباینین، کما لا یعقل وجود واحد وجوداً لماهیّتین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إمکان أن یجعل الواضع طائفةً من أفراد طبیعی اللّفظ لمعنیً، و طائفةً اخری منه لمعنیً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أیضاً بما أشرنا إلیه من سرایة الوضع إلی جمیع أفراد اللّفظ بنحو القضیّة الحقیقیّة التی یتعلّق الحکم فیها بجمیع أفراد الطبیعی المحقّقة و المقدَّرة، و معه کیف یعقل تخصیص طائفةٍ من أفراد طبیعی اللّفظ لمعنیً، و طائفةٍ اخری منها لمعنیً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ذلک التخصیص إن کان بتمیّز تلک الطائفة من الطائفة الاخری بمائز یتقوّم به اللّفظ الموضوع خرج عن الاشتراک، و إن کان المائز هو الاستعمال المتعلِّق باللّفظ، فلا یعقل أن یتقوّم اللّفظ بما یتوقّف علی الاستعمال؛ لتأخّر الاستعمال عن مرتبة اللّفظ و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العراقی قدس سره علی 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فبالنقض بتحقّق الألفاظ المشترکة و وجودها فی لغة العرب کالقُرء الموضوع للطّهر و الحیض</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أنّا لا نسلِّم أنّ الوضع عبارة عن جعل اللّفظ مرآة للمعنی بالفعل، بل الوضع یوجب استعداد اللّفظ الموضوع للحکایة عن المعنی عند الاستعمال، و بالاستعمال یخرج من القوّة إلی الفعلیّة فی المرآتیة و الحکایة، فإذا استعمل فی المعنی</w:t>
      </w:r>
    </w:p>
    <w:p>
      <w:pPr>
        <w:pStyle w:val="BookText"/>
        <w:rPr/>
      </w:pPr>
      <w:r>
        <w:rPr>
          <w:rFonts w:ascii="IRNazanin" w:hAnsi="IRNazanin" w:eastAsia="IRNazanin"/>
          <w:color w:val="111111"/>
          <w:sz w:val="28"/>
          <w:sz w:val="28"/>
          <w:szCs w:val="28"/>
          <w:rtl w:val="true"/>
          <w:lang w:bidi="fa-IR"/>
        </w:rPr>
        <w:t>الآخر، و وجد فرد جدید من طبیعی اللّفظ، صار مرآةً للمعنی الآخر، فلیس شخص واحد من اللّفظ مرآتین لمعنیین و لو فی آنین، فالوضع یوجب سعة استعداد اللّفظ للحکایة عن معانٍ متعدّدة، لا أنّه یوجب فعلیة الحکایة عنها، و إنّما تکون الحکایة فعلیّة بنفس الاستعمال المقرون بالقرینة</w:t>
      </w:r>
      <w:r>
        <w:rPr>
          <w:rStyle w:val="FootnoteAnchor"/>
          <w:rtl w:val="true"/>
        </w:rPr>
        <w:footnoteReference w:id="1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استقامة هذا الجواب علی فرض تمامیّة الاستدلال من سائر الجهات، فالأولی أن یقال فی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الوضع عبارة عن تخصیص اللّفظ بالمعنی، کتخصیص طبیعة لفظ الإنسان بطبیعة الحیوان الناطق، فقول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عبارة عن جعل اللّفظ مرآةً للمعنی بنحو القضیّة الحقیقیّة،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فلخروجه عن محلّ الکلام؛ إذ الکلام إنّما هو فی وضع لفظٍ واحد لمعانٍ متعدّدة، لا وضع کلّ فردٍ من أفراد طبیعی اللّفظ لکلّ فردٍ من أفراد طبیعی المعنی، الذی یوجد فی الخارج کما هو مقتضی کونه بنحو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مستلزم لخصوص الوضع و الموضوع له فی الألفاظ؛ لما ذکره من أنّه بنحو القضیّة الحقیقیّة، التی هی عبارة عن کلّ ما لو وجد و کان لفظاً لإنسان، فهو بحیث لو وجد کان موضوعاً لکلّ ما لو وجد فی الخارج و کان معنیً و مصداقاً لطبیعة الحیوان الناطق، و المستدلّ مُعترف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مستلزم لدلالة کلّ فردٍ من أفراد لفظ الإنسان الصادر من المتکلّم علی کل فرد من أفراد الحیوان الناطق بخصوصیاته؛ بحیث ینتقل إلیها السامع و یدرکها أیضاً، و لیس کذلک بشهادة الوجدان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ممّا ذکره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الأفراد، و لیس کذلک بالضرورة و العیان</w:t>
      </w:r>
      <w:r>
        <w:rPr>
          <w:rFonts w:eastAsia="IRNazanin" w:cs="IRNazanin"/>
          <w:color w:val="111111"/>
          <w:sz w:val="28"/>
          <w:szCs w:val="28"/>
          <w:rtl w:val="true"/>
          <w:lang w:bidi="fa-IR"/>
        </w:rPr>
        <w:t>.</w:t>
      </w:r>
      <w:bookmarkStart w:id="230" w:name="pg12886_133238"/>
    </w:p>
    <w:p>
      <w:pPr>
        <w:pStyle w:val="BookText"/>
        <w:rPr/>
      </w:pPr>
      <w:bookmarkEnd w:id="230"/>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الوضع عبارة عن جعل اللّفظ مرآةً لتصوّر المعنی و عنواناً فانیاً فیه، فقد أشرنا سابقاً إلی أنّ الوضع لیس إلّا عبارة عن تخصیص اللّفظ بالمعنی؛ بحیث لو أراد المتکلّم إفهام المخاطب ذلک المعنی جعله وسیلةً إلی إفهامه به، لا فانیاً فیه؛ لأنّ کلّ واحدٍ من اللّفظ و المعنی متصوّر و ملحوظ للمتکلّم فی مقام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الغفلة و عدم الالتفات إلی اللّفظ حین الاستعمال لکمال توجّه النفس إلی المعنی، و أمّا أنّه کذلک دائماً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عبارة عن جعل الملازمة بین اللّفظ و المعنی فی الذهن، أو جعل ما یلازم هذه الملازمة بینهما، فإذا فرض وضع لفظ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أنّه فانٍ فی کلّ واحدٍ من المعنیین معاً، و ینتقل السامع إلیهما معاً دفعةً واحدة، و هو محال، و إمّا أنّه فانٍ فی أحدهما الغیر المعیّن، فهو غیر متصوّر، و إمّا فانٍ فی أحدهما المعیّن، فهو المطلوب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قریب من الأوّل، و یرد علیه ما مرّ من أنّ الوضع لیس إلّا ما عرفت، لا جعل اللّفظ فانیاً فی المعنی</w:t>
      </w:r>
      <w:r>
        <w:rPr>
          <w:rFonts w:eastAsia="IRNazanin" w:cs="IRNazanin"/>
          <w:color w:val="111111"/>
          <w:sz w:val="28"/>
          <w:szCs w:val="28"/>
          <w:rtl w:val="true"/>
          <w:lang w:bidi="fa-IR"/>
        </w:rPr>
        <w:t>.</w:t>
      </w:r>
    </w:p>
    <w:p>
      <w:pPr>
        <w:pStyle w:val="Heading5"/>
        <w:numPr>
          <w:ilvl w:val="4"/>
          <w:numId w:val="1"/>
        </w:numPr>
        <w:rPr/>
      </w:pPr>
      <w:bookmarkStart w:id="231" w:name="__RefHeading___Toc3023971_3224264995"/>
      <w:bookmarkStart w:id="232" w:name="_Toc86"/>
      <w:bookmarkEnd w:id="231"/>
      <w:r>
        <w:rPr>
          <w:rtl w:val="true"/>
        </w:rPr>
        <w:t>أدلّة القائلین بوجوب الاشتراک</w:t>
      </w:r>
      <w:bookmarkEnd w:id="232"/>
    </w:p>
    <w:p>
      <w:pPr>
        <w:pStyle w:val="BookText"/>
        <w:rPr/>
      </w:pPr>
      <w:r>
        <w:rPr>
          <w:rFonts w:ascii="IRNazanin" w:hAnsi="IRNazanin" w:eastAsia="IRNazanin"/>
          <w:color w:val="111111"/>
          <w:sz w:val="28"/>
          <w:sz w:val="28"/>
          <w:szCs w:val="28"/>
          <w:rtl w:val="true"/>
          <w:lang w:bidi="fa-IR"/>
        </w:rPr>
        <w:t>و استدلّ القائلون بوجوب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غیر متناهیة، و الألفاظ و التراکیب المؤتلفة منها متناهیة، و الحاجة ماسّة إلی تفهیم المعانی بالألفاظ، و لا یمکن ذلک إلّا بالاشتراک، و ذلک واضح</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عدم التناهی معناه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لا نهایة له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bookmarkStart w:id="233" w:name="pg12886_133239"/>
    </w:p>
    <w:p>
      <w:pPr>
        <w:pStyle w:val="BookText"/>
        <w:rPr/>
      </w:pPr>
      <w:bookmarkEnd w:id="23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مسیس الحاجة إلی تفهیم جمیعها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الوضع لکلّیّها و طبیعیّها و إن ارید به الکثرة العرفیة لا معناه الاصطلاحی فالألفاظ أیضاً غیر متناهیة بهذا المعنی، فلا یلزم وضع المتناهی لغیر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الاشتراک، و لا علی امتناعه، و لا علی وقوعه؛ لإمکان أن تکون المشترکات الواقعة فی کلام العرب ناشئة عن اختلاط لغات بعضهم مع الآخر، لا أنّه وضَعَ شخصٌ معیّن لفظاً لمعنیً، ثمّ وضعه لمعنیً آخر</w:t>
      </w:r>
      <w:r>
        <w:rPr>
          <w:rFonts w:eastAsia="IRNazanin" w:cs="IRNazanin"/>
          <w:color w:val="111111"/>
          <w:sz w:val="28"/>
          <w:szCs w:val="28"/>
          <w:rtl w:val="true"/>
          <w:lang w:bidi="fa-IR"/>
        </w:rPr>
        <w:t>.</w:t>
      </w:r>
    </w:p>
    <w:p>
      <w:pPr>
        <w:pStyle w:val="Heading4"/>
        <w:numPr>
          <w:ilvl w:val="3"/>
          <w:numId w:val="1"/>
        </w:numPr>
        <w:rPr/>
      </w:pPr>
      <w:bookmarkStart w:id="234" w:name="__RefHeading___Toc3023973_3224264995"/>
      <w:bookmarkStart w:id="235" w:name="_Toc87"/>
      <w:bookmarkEnd w:id="234"/>
      <w:r>
        <w:rPr>
          <w:rtl w:val="true"/>
        </w:rPr>
        <w:t>المبحث الثانی</w:t>
      </w:r>
      <w:r>
        <w:rPr>
          <w:rtl w:val="true"/>
        </w:rPr>
        <w:t xml:space="preserve">: </w:t>
      </w:r>
      <w:r>
        <w:rPr>
          <w:rtl w:val="true"/>
        </w:rPr>
        <w:t>فی استعمال اللّفظ فی أکثر من معنی</w:t>
      </w:r>
      <w:bookmarkEnd w:id="235"/>
    </w:p>
    <w:p>
      <w:pPr>
        <w:pStyle w:val="Heading5"/>
        <w:numPr>
          <w:ilvl w:val="4"/>
          <w:numId w:val="1"/>
        </w:numPr>
        <w:rPr/>
      </w:pPr>
      <w:bookmarkStart w:id="236" w:name="__RefHeading___Toc3023975_3224264995"/>
      <w:bookmarkStart w:id="237" w:name="_Toc8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اختلفوا فی جواز استعمال اللّفظ فی أکثر من معنیً واحد و عدمه علی أقوال</w:t>
      </w:r>
      <w:r>
        <w:rPr>
          <w:rFonts w:eastAsia="IRNazanin" w:cs="IRNazanin"/>
          <w:color w:val="111111"/>
          <w:sz w:val="28"/>
          <w:szCs w:val="28"/>
          <w:rtl w:val="true"/>
          <w:lang w:bidi="fa-IR"/>
        </w:rPr>
        <w:t>.</w:t>
      </w:r>
    </w:p>
    <w:p>
      <w:pPr>
        <w:pStyle w:val="Heading5"/>
        <w:numPr>
          <w:ilvl w:val="4"/>
          <w:numId w:val="1"/>
        </w:numPr>
        <w:rPr/>
      </w:pPr>
      <w:bookmarkStart w:id="238" w:name="__RefHeading___Toc3023977_3224264995"/>
      <w:bookmarkStart w:id="239" w:name="_Toc89"/>
      <w:bookmarkEnd w:id="238"/>
      <w:r>
        <w:rPr>
          <w:rtl w:val="true"/>
        </w:rPr>
        <w:t>فی تحریر محلّ النزاع</w:t>
      </w:r>
      <w:bookmarkEnd w:id="2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 المطلب لا بدّ من تحریر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النزاع فی المقام فی استعمال اللّفظ المشترک فی مجموع المعنیین أو المعانی، و لا فی استعماله فی معنیً کلّی ینطبق علی کلّ واحدٍ من المعنیین، بل النزاع إنّما هو فی استعماله فی کلّ واحدٍ منهما مستقلًاّ باستعمال واحدٍ من مستعمل واحدٍ، لا بمعنی استعماله فی کلّ واحدٍ منهما بشرط عدم استعماله فی الآخر؛ ضرورة عدم تعقّل النزاع حینئذٍ لوضوح امتناعه، بل المراد استعماله فی کلّ واحدٍ منهما لا بشرط</w:t>
      </w:r>
      <w:r>
        <w:rPr>
          <w:rFonts w:eastAsia="IRNazanin" w:cs="IRNazanin"/>
          <w:color w:val="111111"/>
          <w:sz w:val="28"/>
          <w:szCs w:val="28"/>
          <w:rtl w:val="true"/>
          <w:lang w:bidi="fa-IR"/>
        </w:rPr>
        <w:t>.</w:t>
      </w:r>
      <w:bookmarkStart w:id="240" w:name="pg12886_133240"/>
    </w:p>
    <w:p>
      <w:pPr>
        <w:pStyle w:val="Heading5"/>
        <w:numPr>
          <w:ilvl w:val="4"/>
          <w:numId w:val="1"/>
        </w:numPr>
        <w:rPr/>
      </w:pPr>
      <w:bookmarkStart w:id="241" w:name="__RefHeading___Toc3023979_3224264995"/>
      <w:bookmarkStart w:id="242" w:name="_Toc90"/>
      <w:bookmarkEnd w:id="240"/>
      <w:bookmarkEnd w:id="241"/>
      <w:r>
        <w:rPr>
          <w:rtl w:val="true"/>
        </w:rPr>
        <w:t xml:space="preserve">استدلال صاحب </w:t>
      </w:r>
      <w:r>
        <w:rPr>
          <w:rtl w:val="true"/>
        </w:rPr>
        <w:t>«</w:t>
      </w:r>
      <w:r>
        <w:rPr>
          <w:rtl w:val="true"/>
        </w:rPr>
        <w:t>الکفایة</w:t>
      </w:r>
      <w:r>
        <w:rPr>
          <w:rtl w:val="true"/>
        </w:rPr>
        <w:t xml:space="preserve">» </w:t>
      </w:r>
      <w:r>
        <w:rPr>
          <w:rtl w:val="true"/>
        </w:rPr>
        <w:t>علی الامتناع</w:t>
      </w:r>
      <w:bookmarkEnd w:id="242"/>
    </w:p>
    <w:p>
      <w:pPr>
        <w:pStyle w:val="BookText"/>
        <w:rPr/>
      </w:pPr>
      <w:r>
        <w:rPr>
          <w:rFonts w:ascii="IRNazanin" w:hAnsi="IRNazanin" w:eastAsia="IRNazanin"/>
          <w:color w:val="111111"/>
          <w:sz w:val="28"/>
          <w:sz w:val="28"/>
          <w:szCs w:val="28"/>
          <w:rtl w:val="true"/>
          <w:lang w:bidi="fa-IR"/>
        </w:rPr>
        <w:t xml:space="preserve">فذهب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الامتناع، و حاصل ما أفاده فی الاستدلال علی ذلک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حقیقة الاستعمال لیست عبارة عن مجرّد جعل اللّفظ علامةً للمعنی، و إلّا لم یکن ریب فی الجواز؛ لوضوح جواز جعل شی‌ء واحد علامةً لأمرین، بل هی عبارة عن جعله عنواناً و وجهاً للمعنی، بل بوجه نفسه کأنّه الملقی إلیه، و لذا یسری قبحه و حسنه إلیه کما لا یخفی، و لا یکاد یمکن جعل اللّفظ کذلک إلّا 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المشترک فی أکثر من معنیً یؤدّی إلی اجتماع الضدّین، الذی هو من الممتنعات البدیهیّة، بل مرجع کلّ محالٍ إلیه، کما ثبت فی محلّه، و ذلک لأنّ استعماله فی المعنیین یستلزم لحاظهما، و یلزم من لحاظ کلٍّ منهما لحاظ اللّفظ تبعاً، فیلزم اجتماع اللحاظین فی اللّفظ، فإذا کان اللحاظ متعدّداً فالملحوظ أیضاً کذلک؛ لعدم الفرق بین اللحاظ و الملحوظ إلّا بالاعتبار، کالفرق بین العلم و المعلوم، فیلزم أن یکون اللّفظ الواحد الملحوظ لفظین ذهنیّین، و هو محال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یقرّر ذلک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الاستعمال عبارة عن جعل اللّفظ آلةً للمعنی، و جعله کذلک یتوقّف علی لحاظه، فاستعماله فی المعنیین باستعمال واحد مستلزم للحاظه مرّتین، فیلزم أن یکون متعدّداً و واحداً؛ لما مرّ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تبعیّة لحاظ اللّفظ للحاظ المعنی إن أراد به أنّ اللحاظ یتعلّق أوّلًا و بالذات بالمعنی، و ثانیاً و بالعرض باللّفظ، نظیر تبعیّة حرکة جالس السفینة لحرکة السفینة، فمن الواضح أنّه لیس کذلک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بها أنّ الملحوظ أوّلًا هو المعنی، ثمّ ینتقل منه إلی لحاظ اللّفظ، فیلزم</w:t>
      </w:r>
      <w:bookmarkStart w:id="243" w:name="pg12886_133241"/>
    </w:p>
    <w:p>
      <w:pPr>
        <w:pStyle w:val="BookText"/>
        <w:rPr/>
      </w:pPr>
      <w:bookmarkEnd w:id="243"/>
      <w:r>
        <w:rPr>
          <w:rFonts w:ascii="IRNazanin" w:hAnsi="IRNazanin" w:eastAsia="IRNazanin"/>
          <w:color w:val="111111"/>
          <w:sz w:val="28"/>
          <w:sz w:val="28"/>
          <w:szCs w:val="28"/>
          <w:rtl w:val="true"/>
          <w:lang w:bidi="fa-IR"/>
        </w:rPr>
        <w:t>أن یکون المعنی آلةً للحاظ اللّفظ و دالًا علیه، و هذا باطل قطعاً، فلا بدّ أن یرید تعلّق اللحاظ أوّلًا باللّفظ، ثمّ الانتقال منه إلی لحاظ المعنی، و هو صحیح، لکن امتناع الاستعمال علیه مبنی علی توقّف ذلک علی لحاظ اللّفظ مرّتین أو مرّات، و هو ممنوع؛ لأنّه لا استحالة للحاظ اللّفظ مرّةً واحدة و جعله مرآةً لمعنیین أو أکثر، و لم یقم علی امتناعه دلیل و 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استلزامه لذلک مجرّد دعوی لا برهان علیها، کما أنّ العناوین المأخوذة فی متعلّق الأحکام کذلک،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جعل اللّفظ فی استعمال واحد مرآة لجمیع الأفراد الکثیرة بلحاظٍ واحد، و لا ینبغی الارتیاب فی ذلک، و کما أنّ الموجودات الکثیرة المختلفة تکوّنت بإیجادٍ واحد، کذلک یقدر الإنسان علی إیجاد امورٍ متعدّدةٍ فی صُقْع النفس بلحاظٍ واحد، و کما تُبصر النفس بالعین الباصرة أکثر من واحد باستعمالٍ واحد و نظرةٍ واحدة</w:t>
      </w:r>
      <w:r>
        <w:rPr>
          <w:rFonts w:eastAsia="IRNazanin" w:cs="IRNazanin"/>
          <w:color w:val="111111"/>
          <w:sz w:val="28"/>
          <w:szCs w:val="28"/>
          <w:rtl w:val="true"/>
          <w:lang w:bidi="fa-IR"/>
        </w:rPr>
        <w:t>.</w:t>
      </w:r>
    </w:p>
    <w:p>
      <w:pPr>
        <w:pStyle w:val="Heading5"/>
        <w:numPr>
          <w:ilvl w:val="4"/>
          <w:numId w:val="1"/>
        </w:numPr>
        <w:rPr/>
      </w:pPr>
      <w:bookmarkStart w:id="244" w:name="__RefHeading___Toc3023981_3224264995"/>
      <w:bookmarkStart w:id="245" w:name="_Toc91"/>
      <w:bookmarkEnd w:id="244"/>
      <w:r>
        <w:rPr>
          <w:rtl w:val="true"/>
        </w:rPr>
        <w:t>استدلالات ضعیفة علی الامتناع</w:t>
      </w:r>
      <w:bookmarkEnd w:id="245"/>
    </w:p>
    <w:p>
      <w:pPr>
        <w:pStyle w:val="BookText"/>
        <w:rPr/>
      </w:pPr>
      <w:r>
        <w:rPr>
          <w:rFonts w:ascii="Amiri" w:hAnsi="Amiri" w:eastAsia="Amiri" w:cs="Amiri"/>
          <w:color w:val="111111"/>
          <w:sz w:val="28"/>
          <w:sz w:val="28"/>
          <w:szCs w:val="28"/>
          <w:rtl w:val="true"/>
          <w:lang w:bidi="ar-SA"/>
        </w:rPr>
        <w:t>و استُدلّ للامتناع أیضاً بوجوهٍ اخر کلّها مخدوشة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استظهاره من صدر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الاستعمال لیس عبارة عن جعل اللّفظ علامةً للمعنی، بل هو عبارة عن إفناء اللّفظ فی المعنی، و یمتنع إفناء شی‌ءٍ واحد فی شیئین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به الإفناء الحقیقی بأن یصیر اللّفظ نفس المعنی و متّحداً معه فی نفس الأمر، فهو ممنوع؛ إذ الاستعمال لیس کذلک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 الإفناء اللحاظی؛ بمعنی أنّ المتکلّم حیث إنّه غیر ملتفت إلی اللّفظ حین الاستعمال، بل توجّهه التامّ إلی المعنی، و اللّفظ مغفول عنه، فکأنّ المعنی هو الملقی</w:t>
      </w:r>
    </w:p>
    <w:p>
      <w:pPr>
        <w:pStyle w:val="BookText"/>
        <w:rPr/>
      </w:pPr>
      <w:r>
        <w:rPr>
          <w:rFonts w:ascii="IRNazanin" w:hAnsi="IRNazanin" w:eastAsia="IRNazanin"/>
          <w:color w:val="111111"/>
          <w:sz w:val="28"/>
          <w:sz w:val="28"/>
          <w:szCs w:val="28"/>
          <w:rtl w:val="true"/>
          <w:lang w:bidi="fa-IR"/>
        </w:rPr>
        <w:t>إلی المخاطب، و کذلک المخاطب غیر متوجّه إلی اللّفظ، بل إلی المعنی فقط، فهو أیضاً ممنوع؛ لأنّ جعل اللّفظ آلةً لإفهام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لحاظ اللّفظ و لو بنحو الارتکاز، و إلّا لم یمکن جعله آلةً لإفهامه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الحاشیة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الألفاظ قوالب لمعانیها، فاستعماله فی المعنی عبارة عن جعله قالباً له، و یمتنع جعل اللّفظ الواحد قالباً لمعنیین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الاستعمال عبارة عمّا ذکره، بل ما عرفته مفصّلًا، و لا نعیده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عبارة عن إیجاد اللّفظ حقیقةً، و إیجاد المعنی تنزیلًا، فوجود اللّفظ خارجاً وجود طبیعی لماهیّة اللّفظ و وجود تنزیلی للمعنی، فاللّفظ المشترک لو اطلق و استعمل فی کلٍّ من معنییه أو معانیه بلحاظٍ یخصّه، لزم أن یکون وجود اللّفظ الحقیقی فی الخارج وجودین تنزیلیین لمعنیین أو وجودات تنزیلیّة لمعانٍ، و هو ممتنع، کامتناع صیرورة وجودٍ واحدٍ وجوداً واحداً بالذات لماهیّتین أو ماهیّات متعدّدة</w:t>
      </w:r>
      <w:r>
        <w:rPr>
          <w:rStyle w:val="FootnoteAnchor"/>
          <w:rtl w:val="true"/>
        </w:rPr>
        <w:footnoteReference w:id="1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الاستدلال أیضاً؛ لأنّا لا نُسلِّم أنّ الاستعمال عبارة عمّا ذکره، و هو مجرّد دعوی لا شاهد علیها، و قد عرفت معناه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استحالة صدور لحاظین أو لحاظات متعدّدة من النفس فی آنٍ واحد؛ إمّا لأنّ الواحد لا یصدر منه إلّا الواحد، و إمّا لقصور النفس و عدم قدرتها علی ذلک، و استعمال اللّفظ فی أکثر من معنیً واحد یستلزم ذلک، و ما یلزم منه</w:t>
      </w:r>
      <w:bookmarkStart w:id="246" w:name="pg12886_133243"/>
    </w:p>
    <w:p>
      <w:pPr>
        <w:pStyle w:val="BookText"/>
        <w:rPr/>
      </w:pPr>
      <w:bookmarkEnd w:id="246"/>
      <w:r>
        <w:rPr>
          <w:rFonts w:ascii="IRNazanin" w:hAnsi="IRNazanin" w:eastAsia="IRNazanin"/>
          <w:color w:val="111111"/>
          <w:sz w:val="28"/>
          <w:sz w:val="28"/>
          <w:szCs w:val="28"/>
          <w:rtl w:val="true"/>
          <w:lang w:bidi="fa-IR"/>
        </w:rPr>
        <w:t>المحال محال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مراراً أنّ قاعدةَ عدم صدور الواحد إلّا من الواحد و عکسها، غیرُ مربوطة بأمثال هذا المقام، و أنّ موردها علی فرض صحّتها البسیط من جمیع الجهات، و النفس لیست کذلک؛ إذ لا شبهة فی إمکان لحاظ النفس لأشیاء متعدّدة و تصوّرها اموراً کثیرة فی آنٍ واحد؛ لأنّ النفس جوهر بسیط قابلة لاجتماع الأمثال و الأضداد فی آنٍ واحد فیها؛ أ لا تری أنّها فی حال حُبّها شیئاً تکره آخر، و فی حال إرادتها لعمل ترید آخر أیضاً، فتفعلهما معاً فی آنٍ واحد، فهی فی حال التکلّم و تحریک اللسان تحرّک البنان للکتابة، و کلّ منهما عمل اختیاری صادر عن إرادةٍ تخصّه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هذا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تحکم علی أمرٍ واحدٍ بحکم فی آنٍ واحد، و لا شبهة فی أنّ الحکم یستدعی تصوّر الموضوع و المحمول و النسبة فی آنٍ واحد، و إلّا استحال صدور الحکم من النفس</w:t>
      </w:r>
      <w:r>
        <w:rPr>
          <w:rFonts w:eastAsia="IRNazanin" w:cs="IRNazanin"/>
          <w:color w:val="111111"/>
          <w:sz w:val="28"/>
          <w:szCs w:val="28"/>
          <w:rtl w:val="true"/>
          <w:lang w:bidi="fa-IR"/>
        </w:rPr>
        <w:t>.</w:t>
      </w:r>
    </w:p>
    <w:p>
      <w:pPr>
        <w:pStyle w:val="Heading5"/>
        <w:numPr>
          <w:ilvl w:val="4"/>
          <w:numId w:val="1"/>
        </w:numPr>
        <w:rPr/>
      </w:pPr>
      <w:bookmarkStart w:id="247" w:name="__RefHeading___Toc3023983_3224264995"/>
      <w:bookmarkStart w:id="248" w:name="_Toc92"/>
      <w:bookmarkEnd w:id="247"/>
      <w:r>
        <w:rPr>
          <w:rtl w:val="true"/>
        </w:rPr>
        <w:t>کلام المحقّق العراقی فی المقام و مناقشته</w:t>
      </w:r>
      <w:bookmarkEnd w:id="248"/>
    </w:p>
    <w:p>
      <w:pPr>
        <w:pStyle w:val="BookText"/>
        <w:rPr/>
      </w:pPr>
      <w:r>
        <w:rPr>
          <w:rFonts w:ascii="IRNazanin" w:hAnsi="IRNazanin" w:eastAsia="IRNazanin"/>
          <w:color w:val="111111"/>
          <w:sz w:val="28"/>
          <w:sz w:val="28"/>
          <w:szCs w:val="28"/>
          <w:rtl w:val="true"/>
          <w:lang w:bidi="fa-IR"/>
        </w:rPr>
        <w:t>و ممّا ذکرناه فی تحریر محلّ النزاع، ظهر ما فی التفصیل الذی ذکره المحقّق العراقی قدس سره؛ حیث 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اللّفظ فی أکثر من معنیً واحد یُتصوّر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فی مجموع المعنیین أو المعانی، و هذا القسم خارج عن محلّ النزاع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المستعمَل فیه عبارة عن معنیین أو أکثر یجمعهما فی تصوّر واحد، و یُستعمَل فیهما اللّفظ باستعمالٍ واحد</w:t>
      </w:r>
      <w:r>
        <w:rPr>
          <w:rFonts w:eastAsia="IRNazanin" w:cs="IRNazanin"/>
          <w:color w:val="111111"/>
          <w:sz w:val="28"/>
          <w:szCs w:val="28"/>
          <w:rtl w:val="true"/>
          <w:lang w:bidi="fa-IR"/>
        </w:rPr>
        <w:t>.</w:t>
      </w:r>
      <w:bookmarkStart w:id="249" w:name="pg12886_133244"/>
    </w:p>
    <w:p>
      <w:pPr>
        <w:pStyle w:val="BookText"/>
        <w:rPr/>
      </w:pPr>
      <w:bookmarkEnd w:id="249"/>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یُتصوَّر کلٌّ من المعنیین أو المعانی بلحاظ 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 هذین النحوین محلّ النزاع فی هذا المقام، ثمّ اختار الامتناع فی القسم الثانی منهما، و الجواز فی الأوّل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من القسم الأوّل من القسمین الأخیرین استعمال اللّفظ فی الجامع بین المعنیین أو المعانی أو فی المجموع من حیث المجموع، فمرجعه إلی القسم الأوّل من الأقسام الثلاثة الذی اعترف بخروجه عن محلّ النزاع، و مثّل له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 استعماله فی کلّ واحدٍ منهما مستقلًا کلّ بلحاظٍ یخصّه، فمرجعه إلی القسم الأخیر من الأقسام الثلاثة الذی اعترف بامتناعه؛ لاحتیاج کلّ منهما إلی لحاظ خاصٍّ، فیتعدّد اللحاظان فی استعمالٍ واحد، فیتعدّد الملحوظان فی الذهن بالفعل فی استعمالٍ واحد، و هو ممتنع علی ما أعتقده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القسم الثانی من الأقسام الثلاثة إلی أحد القسمین الآخرین، الأوّل أو الثالث، و لکنّ الحقّ أنّه لا دلیل علی امتناع استعمال اللّفظ المشترک فی أکثر من معنیً واحد بإرادة کلٍّ منهما مستقلًاّ عن الآخر باستعمال واحد من مستعمل واحد؛ لعدم قیام دلیلٍ علی امتناعه عقلًا</w:t>
      </w:r>
      <w:r>
        <w:rPr>
          <w:rFonts w:eastAsia="IRNazanin" w:cs="IRNazanin"/>
          <w:color w:val="111111"/>
          <w:sz w:val="28"/>
          <w:szCs w:val="28"/>
          <w:rtl w:val="true"/>
          <w:lang w:bidi="fa-IR"/>
        </w:rPr>
        <w:t>.</w:t>
      </w:r>
    </w:p>
    <w:p>
      <w:pPr>
        <w:pStyle w:val="Heading5"/>
        <w:numPr>
          <w:ilvl w:val="4"/>
          <w:numId w:val="1"/>
        </w:numPr>
        <w:rPr/>
      </w:pPr>
      <w:bookmarkStart w:id="250" w:name="__RefHeading___Toc3023985_3224264995"/>
      <w:bookmarkStart w:id="251" w:name="_Toc93"/>
      <w:bookmarkEnd w:id="250"/>
      <w:r>
        <w:rPr>
          <w:rtl w:val="true"/>
        </w:rPr>
        <w:t xml:space="preserve">تفصیل صاحب </w:t>
      </w:r>
      <w:r>
        <w:rPr>
          <w:rtl w:val="true"/>
        </w:rPr>
        <w:t>«</w:t>
      </w:r>
      <w:r>
        <w:rPr>
          <w:rtl w:val="true"/>
        </w:rPr>
        <w:t>المعالم</w:t>
      </w:r>
      <w:r>
        <w:rPr>
          <w:rtl w:val="true"/>
        </w:rPr>
        <w:t xml:space="preserve">» </w:t>
      </w:r>
      <w:r>
        <w:rPr>
          <w:rtl w:val="true"/>
        </w:rPr>
        <w:t>فی المقام و مناقشته</w:t>
      </w:r>
      <w:bookmarkEnd w:id="251"/>
    </w:p>
    <w:p>
      <w:pPr>
        <w:pStyle w:val="BookText"/>
        <w:rPr/>
      </w:pPr>
      <w:r>
        <w:rPr>
          <w:rFonts w:ascii="IRNazanin" w:hAnsi="IRNazanin" w:eastAsia="IRNazanin"/>
          <w:color w:val="111111"/>
          <w:sz w:val="28"/>
          <w:sz w:val="28"/>
          <w:szCs w:val="28"/>
          <w:rtl w:val="true"/>
          <w:lang w:bidi="fa-IR"/>
        </w:rPr>
        <w:t>و قد یفصَّل بین المفرد فلا یجوز فیه، و بین التثنیة و الجمع فیجوز فیهما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الجواز فی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لأجل الامتناع العقلی، بل لأجل أنّ اللّفظ موضوع للمعنی بقید الوحدة، فاستعماله فی معنیین یوجب إلغاء قید الوحدة، و حیث إنّه لا علاقة بینهما فاستعماله فیهما غلط، أو لأنّ اللّفظ موضوع للمعنی فی حال</w:t>
      </w:r>
    </w:p>
    <w:p>
      <w:pPr>
        <w:pStyle w:val="BookText"/>
        <w:rPr/>
      </w:pPr>
      <w:r>
        <w:rPr>
          <w:rFonts w:ascii="IRNazanin" w:hAnsi="IRNazanin" w:eastAsia="IRNazanin"/>
          <w:color w:val="111111"/>
          <w:sz w:val="28"/>
          <w:sz w:val="28"/>
          <w:szCs w:val="28"/>
          <w:rtl w:val="true"/>
          <w:lang w:bidi="fa-IR"/>
        </w:rPr>
        <w:t>الوحدة، و قضیّة توقیفیّة الأوضاع و اللّغات عدم جواز استعماله فی غیر هذه الحال؛ أی استعماله فی حال إرادة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الجواز فی التثنیة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فلأنّهما فی قوّة تکریر اللّفظ</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الوحدة التی قُیِّد بها المعنی إن ارید بها مفهوم الوحدة بالحمل الأوّلی فهو واضح الفساد؛ لاستلزامه مجازیّة جمیع الألفاظ المستعملة، کاستعمال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الناطق بدون التقیّد بقید الوحدة، بل یلزم أن یکون استعمال جمیع الألفاظ فی معانیها کذلک غلطاً؛ لعدم العلاقة المجوِّزة للتجوّز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الوحدة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الوحدة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فلا تُنافی إرادة المعنی الآخر أیضاً؛ فإنّ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و الفضّة استعمال لها فی کلّ واحدٍ منهما، و کلّ واحدٍ من الذهب و الفضّة واحد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متابعة المستعمل للواضع فی جمیع الحالات و الخصوصیّات، و إلّا یلزم أن یقع الاستعمال فی مکان الوضع و زمانه و غیرُ ذلک،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اشتراط الواضع أن لا یُستعمل اللّفظ الموضوع لمعنیً فی غیر حال الوحدة، فممنوعة، و علی فرض الاشتراط لا یجب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لجوازه فی التثنیة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فی قوة تکریر اللّفظ</w:t>
      </w:r>
      <w:r>
        <w:rPr>
          <w:rStyle w:val="FootnoteAnchor"/>
          <w:rtl w:val="true"/>
        </w:rPr>
        <w:footnoteReference w:id="192"/>
      </w:r>
      <w:r>
        <w:rPr>
          <w:rFonts w:ascii="IRNazanin" w:hAnsi="IRNazanin" w:eastAsia="IRNazanin"/>
          <w:color w:val="111111"/>
          <w:sz w:val="28"/>
          <w:sz w:val="28"/>
          <w:szCs w:val="28"/>
          <w:rtl w:val="true"/>
          <w:lang w:bidi="fa-IR"/>
        </w:rPr>
        <w:t>ففیه أیضاً منع؛ لأنّ المراد من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الأعین فردان أو أفراد من الذهب أو الفضّة؛ أی الفردان من معنیً واحد، لا من معنیین، و إلّا لم یکن تثنیة و لا جمعاً له؛ لاعتبار اتّفاق اللّفظ و المعنی فیهما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تسلیم أنّ المراد فردان من نوعین، فهو خارج عن مسألة استعمال</w:t>
      </w:r>
      <w:bookmarkStart w:id="252" w:name="pg12886_133246"/>
    </w:p>
    <w:p>
      <w:pPr>
        <w:pStyle w:val="BookText"/>
        <w:rPr/>
      </w:pPr>
      <w:bookmarkEnd w:id="252"/>
      <w:r>
        <w:rPr>
          <w:rFonts w:ascii="IRNazanin" w:hAnsi="IRNazanin" w:eastAsia="IRNazanin"/>
          <w:color w:val="111111"/>
          <w:sz w:val="28"/>
          <w:sz w:val="28"/>
          <w:szCs w:val="28"/>
          <w:rtl w:val="true"/>
          <w:lang w:bidi="fa-IR"/>
        </w:rPr>
        <w:t xml:space="preserve">اللّفظ المشترک فی أکثر من معنیً واحد، بل هما لفظان ارید من کلٍّ منهما معنیً، مضافاً إلی أنّ التثنیة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بضربٍ من العنایة و ادّعاء أنّ هذا من جنس ذاک للمبالغة، و فی غیرهما بالتأویل بالمسمّی، فیخرج عمّا نحن فیه؛ لاستعمالها فی نوع واحد ادّعاء</w:t>
      </w:r>
      <w:r>
        <w:rPr>
          <w:rFonts w:eastAsia="IRNazanin" w:cs="IRNazanin"/>
          <w:color w:val="111111"/>
          <w:sz w:val="28"/>
          <w:szCs w:val="28"/>
          <w:rtl w:val="true"/>
          <w:lang w:bidi="fa-IR"/>
        </w:rPr>
        <w:t>.</w:t>
      </w:r>
    </w:p>
    <w:p>
      <w:pPr>
        <w:pStyle w:val="Heading5"/>
        <w:numPr>
          <w:ilvl w:val="4"/>
          <w:numId w:val="1"/>
        </w:numPr>
        <w:rPr/>
      </w:pPr>
      <w:bookmarkStart w:id="253" w:name="__RefHeading___Toc3023987_3224264995"/>
      <w:bookmarkStart w:id="254" w:name="_Toc94"/>
      <w:bookmarkEnd w:id="253"/>
      <w:r>
        <w:rPr>
          <w:rtl w:val="true"/>
        </w:rPr>
        <w:t>فی دلالة أخبار البطون علی وقوع الاشتراک</w:t>
      </w:r>
      <w:bookmarkEnd w:id="254"/>
    </w:p>
    <w:p>
      <w:pPr>
        <w:pStyle w:val="BookText"/>
        <w:rPr/>
      </w:pPr>
      <w:r>
        <w:rPr>
          <w:rFonts w:ascii="Amiri" w:hAnsi="Amiri" w:eastAsia="Amiri" w:cs="Amiri"/>
          <w:color w:val="111111"/>
          <w:sz w:val="28"/>
          <w:sz w:val="28"/>
          <w:szCs w:val="28"/>
          <w:rtl w:val="true"/>
          <w:lang w:bidi="ar-SA"/>
        </w:rPr>
        <w:t xml:space="preserve">ثمّ إنّه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تتوهّم أنّ الأخبار الدالّة علی أنّ للقرآن بطوناً سبعة أو سبعین</w:t>
      </w:r>
      <w:r>
        <w:rPr>
          <w:rStyle w:val="FootnoteAnchor"/>
          <w:rtl w:val="true"/>
        </w:rPr>
        <w:footnoteReference w:id="193"/>
      </w:r>
      <w:r>
        <w:rPr>
          <w:rFonts w:ascii="IRNazanin" w:hAnsi="IRNazanin" w:eastAsia="IRNazanin"/>
          <w:color w:val="111111"/>
          <w:sz w:val="28"/>
          <w:sz w:val="28"/>
          <w:szCs w:val="28"/>
          <w:rtl w:val="true"/>
          <w:lang w:bidi="fa-IR"/>
        </w:rPr>
        <w:t>تدلّ علی وقوع استعمال اللّفظ فی أکثر من معنیً واحد، فضلًا عن جوازه، و لکنّک غفلت عن أنّه لا دلالة لها أصلًا علی أنّ إرادتها کانت من باب إرادة المعنی من اللّفظ، فلعلّها کانت بإرادتها فی أنفسها حال الاستعمال فی المعنی، لا من اللّفظ کما إذا استعمل فیها، أو أنّ المراد من البطون لوازم معناها المستعمل فیه اللّفظ و إن کانت أفهامنا قاصرة عن درکها</w:t>
      </w:r>
      <w:r>
        <w:rPr>
          <w:rStyle w:val="FootnoteAnchor"/>
          <w:rtl w:val="true"/>
        </w:rPr>
        <w:footnoteReference w:id="1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التوجیهین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إرادة المعنی أو المعنیین حال الاستعمال فی المعنی لا یسمّی بطناً للقرآن و هو خلاف ظاهر تلک الأخبار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دعوی أنّ لکلّ واحد من معانی الألفاظ فی القرآن المجید من البدو إلی الختم، لوازم سبعة أو سبعین ممّا لا یلتزم بها أحد، فالأولی الاعتراف بقصور أفهامنا عن درک معانی مثل هذه الأخبار المتشابهة الصعبة المستصعبة، و إیکالها إلی أهلها الراسخین فی العلم</w:t>
      </w:r>
      <w:r>
        <w:rPr>
          <w:rFonts w:eastAsia="IRNazanin" w:cs="IRNazanin"/>
          <w:color w:val="111111"/>
          <w:sz w:val="28"/>
          <w:szCs w:val="28"/>
          <w:rtl w:val="true"/>
          <w:lang w:bidi="fa-IR"/>
        </w:rPr>
        <w:t>.</w:t>
      </w:r>
      <w:bookmarkStart w:id="255" w:name="pg12886_133247"/>
    </w:p>
    <w:p>
      <w:pPr>
        <w:pStyle w:val="Heading3"/>
        <w:numPr>
          <w:ilvl w:val="2"/>
          <w:numId w:val="1"/>
        </w:numPr>
        <w:rPr/>
      </w:pPr>
      <w:bookmarkStart w:id="256" w:name="__RefHeading___Toc3023989_3224264995"/>
      <w:bookmarkStart w:id="257" w:name="_Toc95"/>
      <w:bookmarkEnd w:id="255"/>
      <w:bookmarkEnd w:id="256"/>
      <w:r>
        <w:rPr>
          <w:rtl w:val="true"/>
        </w:rPr>
        <w:t>الأمر الثانی عشر فی المشتق</w:t>
      </w:r>
      <w:bookmarkEnd w:id="257"/>
    </w:p>
    <w:p>
      <w:pPr>
        <w:pStyle w:val="Heading4"/>
        <w:numPr>
          <w:ilvl w:val="3"/>
          <w:numId w:val="1"/>
        </w:numPr>
        <w:rPr/>
      </w:pPr>
      <w:bookmarkStart w:id="258" w:name="__RefHeading___Toc3023991_3224264995"/>
      <w:bookmarkStart w:id="259" w:name="_Toc96"/>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اختلفوا فی أنّ المشتقّ حقیقة فی خصوص المتلبّس بالمبدإ فی الحال</w:t>
      </w:r>
      <w:r>
        <w:rPr>
          <w:rStyle w:val="FootnoteAnchor"/>
          <w:rtl w:val="true"/>
        </w:rPr>
        <w:footnoteReference w:id="195"/>
      </w:r>
      <w:r>
        <w:rPr>
          <w:rFonts w:ascii="IRNazanin" w:hAnsi="IRNazanin" w:eastAsia="IRNazanin"/>
          <w:color w:val="111111"/>
          <w:sz w:val="28"/>
          <w:sz w:val="28"/>
          <w:szCs w:val="28"/>
          <w:rtl w:val="true"/>
          <w:lang w:bidi="fa-IR"/>
        </w:rPr>
        <w:t>أو فی الأعمّ منه و ممّا انقضی عنه المبدأ</w:t>
      </w:r>
      <w:r>
        <w:rPr>
          <w:rStyle w:val="FootnoteAnchor"/>
          <w:rtl w:val="true"/>
        </w:rPr>
        <w:footnoteReference w:id="196"/>
      </w:r>
      <w:r>
        <w:rPr>
          <w:rFonts w:ascii="IRNazanin" w:hAnsi="IRNazanin" w:eastAsia="IRNazanin"/>
          <w:color w:val="111111"/>
          <w:sz w:val="28"/>
          <w:sz w:val="28"/>
          <w:szCs w:val="28"/>
          <w:rtl w:val="true"/>
          <w:lang w:bidi="fa-IR"/>
        </w:rPr>
        <w:t>بعد الاتّفاق علی عدم حقیقته فیما لم یتلبّس بعدُ، و إشباع الکلام فیه و تحقیق ما هو الحقّ فی المقام یحتاج إلی تقدیم امور</w:t>
      </w:r>
      <w:r>
        <w:rPr>
          <w:rFonts w:eastAsia="IRNazanin" w:cs="IRNazanin"/>
          <w:color w:val="111111"/>
          <w:sz w:val="28"/>
          <w:szCs w:val="28"/>
          <w:rtl w:val="true"/>
          <w:lang w:bidi="fa-IR"/>
        </w:rPr>
        <w:t>:</w:t>
      </w:r>
    </w:p>
    <w:p>
      <w:pPr>
        <w:pStyle w:val="Heading4"/>
        <w:numPr>
          <w:ilvl w:val="3"/>
          <w:numId w:val="1"/>
        </w:numPr>
        <w:rPr/>
      </w:pPr>
      <w:bookmarkStart w:id="260" w:name="__RefHeading___Toc3023993_3224264995"/>
      <w:bookmarkStart w:id="261" w:name="_Toc97"/>
      <w:bookmarkEnd w:id="260"/>
      <w:r>
        <w:rPr>
          <w:rtl w:val="true"/>
        </w:rPr>
        <w:t>الأمر الأوّل</w:t>
      </w:r>
      <w:r>
        <w:rPr>
          <w:rtl w:val="true"/>
        </w:rPr>
        <w:t xml:space="preserve">: </w:t>
      </w:r>
      <w:r>
        <w:rPr>
          <w:rtl w:val="true"/>
        </w:rPr>
        <w:t>فی أنّ المسألة عقلیة أم لغویّة</w:t>
      </w:r>
      <w:bookmarkEnd w:id="261"/>
    </w:p>
    <w:p>
      <w:pPr>
        <w:pStyle w:val="Heading5"/>
        <w:numPr>
          <w:ilvl w:val="4"/>
          <w:numId w:val="1"/>
        </w:numPr>
        <w:rPr/>
      </w:pPr>
      <w:bookmarkStart w:id="262" w:name="__RefHeading___Toc3023995_3224264995"/>
      <w:bookmarkStart w:id="263" w:name="_Toc98"/>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هذه المسألة لیست من المسائل العقلیّة، بأن یقال هل یصدق المشتقّ علی ما انقضی عنه المبدأ عقلًا أو لا؟ بل لغویّة، و أنّ النزاع فیها إنّما هو فی کیفیّة وضع الواضع، و أنّه وضعه لکذا أو کذا، سواءً صدق علیه عقلًا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لما یظهر من بعض الأجلّة؛ حیث إنّ ظاهر کلامه هو أنّ المسألة عقلیّة؛ لأنّه مهّد لذلک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 شی‌ء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مع وجود ملاکه؛ أی الخصوصیّة المصحّحة له، و إلّا لزم صحّة حمل کلّ شی‌ء علی کلّ شی‌ء، ففی قولک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لزید خصوصیّة بها صحّ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یصحّ الحمل فی زمان معیّن؛ لوجود ملاکه فیه فی ذلک الزمان فقط دون سائر الأزمنة، لکن لهذا الملاک و الخصوصیّة المصحّحة للحمل سعة عرفیّة، یصحّ ذلک الحمل فی غیر هذا الزمان أیضاً بملاحظة هذه السعة العرفیة فإنّ الملاک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تکوُّنُه من نطفته، و من المعلوم أنّه إنّما یتحقّق فی زمانٍ معیّنٍ و لیس مستمرّاً فی الأزمنة، لکن للسعة المزبورة صحّ حمله علیه فی غیر ذلک الزمان أیضاً</w:t>
      </w:r>
      <w:r>
        <w:rPr>
          <w:rStyle w:val="FootnoteAnchor"/>
          <w:rtl w:val="true"/>
        </w:rPr>
        <w:footnoteReference w:id="1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ذلک أیضاً ممّا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المواطاة المعبّر عنه بحمل هو هو،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لاتّحاد الجسمیّة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الاشتقاق المعبّر عنه بحمل ذی هو،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المقام إنّما هو فی القسم الثانی، لا الأوّل؛ لعدم تعقّل النزاع فیه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ذلک أیضاً من المیرزا النائینی قدس سره علی ما فی التقریرات؛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عدم صحّة استعمال الجوامد کالإنسان و الحجر إلّا فی خصوص المتلبّس، و أنّ استعمالها فی غیره یُعدّ من الأغلاط لو کان ممّا انقضی عنه المبدأ</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البحث فی المقام فی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لفظه و وضع الواضع له هل یصدق عقلًا علی ما انقضی عنه المبدأ أو لا؟ بل النزاع إنّما هو فی کیفیّة وضع الواضع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أنّه وضع هیئته لخصوص المتلبّس بالمبدإ فی الحال أو الأعمّ منه و ممّا انقضی، و لا فرق فی ذلک بین ما کان مبدؤه</w:t>
      </w:r>
      <w:bookmarkStart w:id="264" w:name="pg12886_133249"/>
    </w:p>
    <w:p>
      <w:pPr>
        <w:pStyle w:val="BookText"/>
        <w:rPr/>
      </w:pPr>
      <w:bookmarkEnd w:id="264"/>
      <w:r>
        <w:rPr>
          <w:rFonts w:ascii="IRNazanin" w:hAnsi="IRNazanin" w:eastAsia="IRNazanin"/>
          <w:color w:val="111111"/>
          <w:sz w:val="28"/>
          <w:sz w:val="28"/>
          <w:szCs w:val="28"/>
          <w:rtl w:val="true"/>
          <w:lang w:bidi="fa-IR"/>
        </w:rPr>
        <w:t>من المصادر الحقیقیّة المتصرّفة أو من المصادر الجعلیّة الغیر المتصرِّفة، کالزوجیّة و الرقّیّة و التحجّر و التحجیر و أمثال ذلک</w:t>
      </w:r>
      <w:r>
        <w:rPr>
          <w:rFonts w:eastAsia="IRNazanin" w:cs="IRNazanin"/>
          <w:color w:val="111111"/>
          <w:sz w:val="28"/>
          <w:szCs w:val="28"/>
          <w:rtl w:val="true"/>
          <w:lang w:bidi="fa-IR"/>
        </w:rPr>
        <w:t>.</w:t>
      </w:r>
    </w:p>
    <w:p>
      <w:pPr>
        <w:pStyle w:val="Heading5"/>
        <w:numPr>
          <w:ilvl w:val="4"/>
          <w:numId w:val="1"/>
        </w:numPr>
        <w:rPr/>
      </w:pPr>
      <w:bookmarkStart w:id="265" w:name="__RefHeading___Toc3023997_3224264995"/>
      <w:bookmarkStart w:id="266" w:name="_Toc99"/>
      <w:bookmarkEnd w:id="265"/>
      <w:r>
        <w:rPr>
          <w:rtl w:val="true"/>
        </w:rPr>
        <w:t>مناقشة کلام المحقّق النائینی فی المقام</w:t>
      </w:r>
      <w:bookmarkEnd w:id="266"/>
    </w:p>
    <w:p>
      <w:pPr>
        <w:pStyle w:val="BookText"/>
        <w:rPr/>
      </w:pPr>
      <w:r>
        <w:rPr>
          <w:rFonts w:ascii="IRNazanin" w:hAnsi="IRNazanin" w:eastAsia="IRNazanin"/>
          <w:color w:val="111111"/>
          <w:sz w:val="28"/>
          <w:sz w:val="28"/>
          <w:szCs w:val="28"/>
          <w:rtl w:val="true"/>
          <w:lang w:bidi="fa-IR"/>
        </w:rPr>
        <w:t>خلافاً لما عرفت من بعض الأجلّة منهم المیرزا النائینی قدس سره، و حاصل ما أفاده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الإنسان و الجسم و الحجر و أمثال ذلک متقوّم بصورته النوعیّة، فمع زوالها لا تصدق هذه العناوین علی موادّها المجرّدة عن الصورة المذکورة، فلا یصدق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التراب الذی کان إنساناً،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الضرب و العلم و نحوهما لمّا کانا من الأعراض الطارئة علی الذوات، أمکن القول ببقاء المعروض بدونها، فیُعقل النزاع فیهما</w:t>
      </w:r>
      <w:r>
        <w:rPr>
          <w:rStyle w:val="FootnoteAnchor"/>
          <w:rtl w:val="true"/>
        </w:rPr>
        <w:footnoteReference w:id="2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أنّ النزاع فی المقام لیس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یصحّ فی حدّ نفسه؛ لأنّ الأعراض أیضاً کذلک، فإنّ الإنسان العالم غیر الإنسان الجاهل، فمع زوال العلم و صیرورته جاهلًا لا تبقی صورته النوعیّة أیضاً، فلا یصدق علیه العالم عقلًا، فعلی ما ذکره لا مجال لهذا النزاع حتّی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ذکره إنّما یستقیم فی بعض الجوامد، أمّا فی مثل الخمر إذا صار خَلّاً أو بالعکس، فإنّ الصورة النوعیّة للخمر مع زوال الإسکار باقیة عرفاً إن لم نقل ببقائها عقلًا أیضاً، مع أنّه لا یُسمّی خمراً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منه قدس سره، حیث صرّح فی أوائل هذا البحث أنّه لُغوی، و فی کیفیّة الوضع، لا فی الصدق العقلی</w:t>
      </w:r>
      <w:r>
        <w:rPr>
          <w:rStyle w:val="FootnoteAnchor"/>
          <w:rtl w:val="true"/>
        </w:rPr>
        <w:footnoteReference w:id="201"/>
      </w:r>
      <w:r>
        <w:rPr>
          <w:rFonts w:ascii="IRNazanin" w:hAnsi="IRNazanin" w:eastAsia="IRNazanin"/>
          <w:color w:val="111111"/>
          <w:sz w:val="28"/>
          <w:sz w:val="28"/>
          <w:szCs w:val="28"/>
          <w:rtl w:val="true"/>
          <w:lang w:bidi="fa-IR"/>
        </w:rPr>
        <w:t>و مع ذلک قد عرفت ما ذکره فی وجه خروج الجوامد عن البحث</w:t>
      </w:r>
      <w:r>
        <w:rPr>
          <w:rFonts w:eastAsia="IRNazanin" w:cs="IRNazanin"/>
          <w:color w:val="111111"/>
          <w:sz w:val="28"/>
          <w:szCs w:val="28"/>
          <w:rtl w:val="true"/>
          <w:lang w:bidi="fa-IR"/>
        </w:rPr>
        <w:t>.</w:t>
      </w:r>
      <w:bookmarkStart w:id="267" w:name="pg12886_133250"/>
    </w:p>
    <w:p>
      <w:pPr>
        <w:pStyle w:val="Heading4"/>
        <w:numPr>
          <w:ilvl w:val="3"/>
          <w:numId w:val="1"/>
        </w:numPr>
        <w:rPr/>
      </w:pPr>
      <w:bookmarkStart w:id="268" w:name="__RefHeading___Toc3023999_3224264995"/>
      <w:bookmarkStart w:id="269" w:name="_Toc100"/>
      <w:bookmarkEnd w:id="267"/>
      <w:bookmarkEnd w:id="268"/>
      <w:r>
        <w:rPr>
          <w:rtl w:val="true"/>
        </w:rPr>
        <w:t>الأمر الثانی</w:t>
      </w:r>
      <w:r>
        <w:rPr>
          <w:rtl w:val="true"/>
        </w:rPr>
        <w:t xml:space="preserve">: </w:t>
      </w:r>
      <w:r>
        <w:rPr>
          <w:rtl w:val="true"/>
        </w:rPr>
        <w:t>فی أقسام المفاهیم و أحکامها</w:t>
      </w:r>
      <w:bookmarkEnd w:id="269"/>
    </w:p>
    <w:p>
      <w:pPr>
        <w:pStyle w:val="Heading5"/>
        <w:numPr>
          <w:ilvl w:val="4"/>
          <w:numId w:val="1"/>
        </w:numPr>
        <w:rPr/>
      </w:pPr>
      <w:bookmarkStart w:id="270" w:name="__RefHeading___Toc3024001_3224264995"/>
      <w:bookmarkStart w:id="271" w:name="_Toc101"/>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المفاهیم المنتزعة عن الحقائق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ینتزع عن مرتبة الذات بدون واسطة أمر آخر، کمفهوم الجسمیّة المنتزعة عن ذات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خارج المحمول هو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ینتزع عنها بواسطة انضمام خصوصیّة حقیقیّة وجودیّة إلیها، کانتزاع مفهوم الأبیض و الأسود من الذات المتّصفة بالبیاض و السواد فی الخارج، و هما أمران وجودیّان حقیقیّان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المحمول بالضمیمة هو هذا القسم و القسم الآتی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ینتزع عنها بواسطة انضمام خصوصیّة اعتباریّة کالملکیة و نحوها، فإنّ انتزاع عنوان الملکیّة إنّما هو بواسطة انضمام إضافة اعتباریّة بین الملک 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ینتزع من الذات بواسطة خصوصیّة عدمیّة، کانتزاع مفهوم الأعمی من الذات، فإنّه بواسطة انضمام خصوصیّة عدم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أقسام اخر سیأتی الإشارة إلیها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الذات التی لها الخصوصیّة ممّا یمکن تحقّقها بدون تلک الخصوصیّة کالأبیض و الأسود؛ لأنّ السواد و البیاض من الأعراض المفارقة، و قد لا یمکن تحقّقها بدونها کالممکن و الواجب، فإنّ وصفی الوجوب و الإمکان من لوازم ذات الممکن و الواجب لا ینفکّان عنهما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خروج القسم الأوّل عن حریم النزاع، لا لما ذکره المیرزا النائینی قدس سره</w:t>
      </w:r>
      <w:r>
        <w:rPr>
          <w:rStyle w:val="FootnoteAnchor"/>
          <w:rtl w:val="true"/>
        </w:rPr>
        <w:footnoteReference w:id="202"/>
      </w:r>
      <w:r>
        <w:rPr>
          <w:rFonts w:ascii="IRNazanin" w:hAnsi="IRNazanin" w:eastAsia="IRNazanin"/>
          <w:color w:val="111111"/>
          <w:sz w:val="28"/>
          <w:sz w:val="28"/>
          <w:szCs w:val="28"/>
          <w:rtl w:val="true"/>
          <w:lang w:bidi="fa-IR"/>
        </w:rPr>
        <w:t>بل للإجماع علی خروجه، و وضوح عدم وضع الواضع لفظ الحجر و الإنسان لأعمّ من المتلبّس بالحجریّة و الإنسانیّة و ممّا انقضی عنه</w:t>
      </w:r>
      <w:bookmarkStart w:id="272" w:name="pg12886_133251"/>
    </w:p>
    <w:p>
      <w:pPr>
        <w:pStyle w:val="BookText"/>
        <w:rPr/>
      </w:pPr>
      <w:bookmarkEnd w:id="272"/>
      <w:r>
        <w:rPr>
          <w:rFonts w:ascii="IRNazanin" w:hAnsi="IRNazanin" w:eastAsia="IRNazanin"/>
          <w:color w:val="111111"/>
          <w:sz w:val="28"/>
          <w:sz w:val="28"/>
          <w:szCs w:val="28"/>
          <w:rtl w:val="true"/>
          <w:lang w:bidi="fa-IR"/>
        </w:rPr>
        <w:t>صورتهما النوعیّة، و صارا تراباً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الأقسام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فالمفاهیم المنتزعة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مشتقّة، و إمّا غیر 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منتزع عن الذات بدون انضمام خصوصیّة إلیها، کعنوان الموجود و العالم المنتزعین عن ذات البارئ تعالی، و إمّا مع انضمامها، کانتزاعها عن ذات الموجودات الممکنة، من غیر فرقٍ بین ما أمکن وجود المعروض بدون الخصوصیّة العارضة کالعالِم فی الممکنات، و بین غیره کعنوان الموجود و الممکن فیها؛ لأنّ الإمکان و الوجود من لوازم وجود الممکن، لا ینفکّان عنه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جمیع هذه الأقسام فی حریم النزاع و عدم اختصاصه بمادّة دون مادّة و بهیئة دون هیئة، بل البحث إنّما هو فی هیئة فاعل و مفعول و نحوهما، و أنّ زنة فاعل و مفعول هل هما موضوعتان لخصوص المتلبّس أو الأعمّ؟</w:t>
      </w:r>
    </w:p>
    <w:p>
      <w:pPr>
        <w:pStyle w:val="Heading5"/>
        <w:numPr>
          <w:ilvl w:val="4"/>
          <w:numId w:val="1"/>
        </w:numPr>
        <w:rPr/>
      </w:pPr>
      <w:bookmarkStart w:id="273" w:name="__RefHeading___Toc3024003_3224264995"/>
      <w:bookmarkStart w:id="274" w:name="_Toc102"/>
      <w:bookmarkEnd w:id="273"/>
      <w:r>
        <w:rPr>
          <w:rtl w:val="true"/>
        </w:rPr>
        <w:t>المفاهیم المنتزعة غیر المشتقّة و کلام فخر المحقّقین</w:t>
      </w:r>
      <w:bookmarkEnd w:id="274"/>
    </w:p>
    <w:p>
      <w:pPr>
        <w:pStyle w:val="BookText"/>
        <w:rPr/>
      </w:pPr>
      <w:r>
        <w:rPr>
          <w:rFonts w:ascii="IRNazanin" w:hAnsi="IRNazanin" w:eastAsia="IRNazanin"/>
          <w:color w:val="111111"/>
          <w:sz w:val="28"/>
          <w:sz w:val="28"/>
          <w:szCs w:val="28"/>
          <w:rtl w:val="true"/>
          <w:lang w:bidi="fa-IR"/>
        </w:rPr>
        <w:t>و أمّا المفهوم المنتزع الغیر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کالزوجیّة و الرِّقّیّة و نحوهما و الألفاظ المنسوبة کالحمّامی و التمّار و البقّال و العطّار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دخولها فی محطّ البحث، کما یظهر عن فخر المحقّقین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من له زوجتان کبیرتان أرضعتا زوجته الصغیرة؛ حیث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المرضعة الاولی و الصغیرة مع الدخول بإحدی الکبیرتین، و أمّا المرضعة الاخری ففی تحریمها خلاف، فاختار والدی المصنّف و ابن إدریس تحریمها؛ لأنّها یصدق علیها امّ زوجته؛ لأنّه لا یُشترط فی المشتقّ بقاء المشتقّ منه</w:t>
      </w:r>
      <w:r>
        <w:rPr>
          <w:rStyle w:val="FootnoteAnchor"/>
          <w:rtl w:val="true"/>
        </w:rPr>
        <w:footnoteReference w:id="2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بناء فخر المحقّقین کلا شقّی المسألة علی مسألة المشتقّ غیر واضح؛ لاحتمال استناده فی الشقِّ الأوّل إلی الروایتین الواردتین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بن مهزیار،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تزوّج بجاریة صغیرة، فأرضعتها امرأتُه، ثمّ أرضعتها امرأتُه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الجاریة و امرأتاه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ابن شبرمة؛ حرمت علیه الجاریة و امرأته التی أرضعتها أوّلًا، فأمّا الأخیرة فإنّها لا تحرم علیه؛ لأنّها أرضعتها و هی بنته</w:t>
      </w:r>
      <w:r>
        <w:rPr>
          <w:rFonts w:eastAsia="IRNazanin" w:cs="IRNazanin"/>
          <w:color w:val="111111"/>
          <w:sz w:val="28"/>
          <w:szCs w:val="28"/>
          <w:rtl w:val="true"/>
          <w:lang w:bidi="fa-IR"/>
        </w:rPr>
        <w:t>)</w:t>
      </w:r>
    </w:p>
    <w:p>
      <w:pPr>
        <w:pStyle w:val="BookText"/>
        <w:rPr/>
      </w:pP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فیها بضعفها للإرسال لأنّ المراد بأبی جعفر علیه السلام حیث یُطلق هو الإمام الباقر علیه السلام، و یؤیّده قرینة فتوی ابن شبرمة الذی کان فی عصره علیه السلام، و ابن مهزیار من أصحاب الإمام أبی جعفر الثانی علیه السلام، فلا یمکنه أن یروی عن أبی جعفر الباقر علیه السلام بلا واسطة فی محلّها، و علی أی تقدیر فالظاهر بناؤه الحکم فی الشقِّ الأخیر علی مسألة المشتقّ، بل الظاهر من الروایة أیضاً ذلک، و أمّا الشقّ الأوّل فلا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الحکم فیها أیضاً علی تلک المسألة؛ حیث وجّه الحکم بالحرمة فی الشقّ الأوّل علی القول بأنّ المشتقّ حقیقة فی خصوص المتلبّس بالمبدإ، و عدم الحرمة فی الشقّ الثانی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 الزوجة، و بنتها، و زوال زوجیّتها، و تحقّق ذلک کلّه إنّما هو بالرضاع المحرّم، و تحقّقُ امومة الزوجة و البنتیّة و إن کانتا سببین و علّتین لزوال زوجیّة الصغیرة، و مقتضاه عدم اجتماعهما فی زمانٍ واحد لاستحالته، فلا یصدق علی الکبیرة أنّها امّ زوجته، لکن لمّا کان آخر زمان الزوجیّة متّصلًا بأوّل زمان صدق الامومة کفی ذلک فی کونها مصداقاً لأُمَّهات النساء</w:t>
      </w:r>
    </w:p>
    <w:p>
      <w:pPr>
        <w:pStyle w:val="BookText"/>
        <w:rPr/>
      </w:pPr>
      <w:r>
        <w:rPr>
          <w:rFonts w:ascii="Amiri" w:hAnsi="Amiri" w:eastAsia="Amiri" w:cs="Amiri"/>
          <w:color w:val="111111"/>
          <w:sz w:val="28"/>
          <w:sz w:val="28"/>
          <w:szCs w:val="28"/>
          <w:rtl w:val="true"/>
          <w:lang w:bidi="ar-SA"/>
        </w:rPr>
        <w:t>عرفاً</w:t>
      </w:r>
      <w:r>
        <w:rPr>
          <w:rStyle w:val="FootnoteAnchor"/>
          <w:rtl w:val="true"/>
        </w:rPr>
        <w:footnoteReference w:id="2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ما ذکره اعتبار مضی زمان یصدق به الانقضاء عقلًا و إن لم یصدق علیه عرفا فی نفس الأمر، و لهذا تحرم المرضعة الاولی اتّفاقاً؛ لصدق التلبّس عرفاً، دون المرضعة الثانیة؛ لتحقّق الانقضاء عرفاً مع عدم کون المشتقّ حقیقةً فی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حرمة امّ الزوجة، و الحرمة هنا وضعیّة، و یلزمها عدم اجتماع هذین العنوانین؛ أی الامومة للکبیرة و الزوجیّة معاً، و هذا کافٍ فی إثبات المطلوب، و لا یحتاج إلی هذه التکلّفات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الحکم الأوّل علی مسألة المشتقّ؛ حیث ذکر فی وجه حرمة الکبیرة الاولی أنّ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الرضاع المحرِّم علّة لتحقّق عنوان الامومة و عنوان البنتیّة، و تحقّق عنوان البنتیّة، للزوجة المرتضعة علّة لانتفاء عنوان الزوجیّة عنها، فانتفاء عنوان الزوجیّة عن المرتضعة متأخّر رتبةً عن تحقّق عنوان البنتیّة؛ لاستحالة ارتفاع النقیضین فی تلک المرتبة، و بما أنّ عنوان امومة المرضعة ملازم لعنوان بنتیّة المرتضعة و فی رتبته، تکون المرضعة امّاً للزوجة المرتضعة فی رتبة بنتیّتها، لا فی رتبة انتفاء زوجیّتها المتأخّرة، فیصدق أنّها امّ زوجته فی رتبة بنتیّتها، و هذا القدر من الصدق کافٍ فی شمول دلیل تحریم امّ الزوجة لمثل الفرض</w:t>
      </w:r>
      <w:r>
        <w:rPr>
          <w:rStyle w:val="FootnoteAnchor"/>
          <w:rtl w:val="true"/>
        </w:rPr>
        <w:footnoteReference w:id="2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بالعلّة المذکورة العلّة التکوینیّة فهو ممنوع، و إن أراد بها العلّة التشریعیّة فلا بدّ من استفادتها من الدلیل الشرعی، و الدلیل فی المقام هی الآیة</w:t>
      </w:r>
      <w:bookmarkStart w:id="275" w:name="pg12886_133254"/>
    </w:p>
    <w:p>
      <w:pPr>
        <w:pStyle w:val="BookText"/>
        <w:rPr/>
      </w:pPr>
      <w:bookmarkEnd w:id="275"/>
      <w:r>
        <w:rPr>
          <w:rFonts w:ascii="IRNazanin" w:hAnsi="IRNazanin" w:eastAsia="IRNazanin"/>
          <w:color w:val="111111"/>
          <w:sz w:val="28"/>
          <w:sz w:val="28"/>
          <w:szCs w:val="28"/>
          <w:rtl w:val="true"/>
          <w:lang w:bidi="fa-IR"/>
        </w:rPr>
        <w:t>الشریفة و الأخبار الواردة فی ذلک، و عرفت أنّ المستفاد منها عدم إمکان اجتماع الامومة و الزوجیّة فی واحد، فهذا الحکم یُستفاد من الآیة الشریفة، و لا یبتنی علی مسألة المشتقّ کی یحتاج إلی هذه التکلّفات</w:t>
      </w:r>
      <w:r>
        <w:rPr>
          <w:rFonts w:eastAsia="IRNazanin" w:cs="IRNazanin"/>
          <w:color w:val="111111"/>
          <w:sz w:val="28"/>
          <w:szCs w:val="28"/>
          <w:rtl w:val="true"/>
          <w:lang w:bidi="fa-IR"/>
        </w:rPr>
        <w:t>.</w:t>
      </w:r>
    </w:p>
    <w:p>
      <w:pPr>
        <w:pStyle w:val="Heading5"/>
        <w:numPr>
          <w:ilvl w:val="4"/>
          <w:numId w:val="1"/>
        </w:numPr>
        <w:rPr/>
      </w:pPr>
      <w:bookmarkStart w:id="276" w:name="__RefHeading___Toc3024005_3224264995"/>
      <w:bookmarkStart w:id="277" w:name="_Toc103"/>
      <w:bookmarkEnd w:id="276"/>
      <w:r>
        <w:rPr>
          <w:rtl w:val="true"/>
        </w:rPr>
        <w:t>فی دخول أسماء الزمان فی محلّ النزاع</w:t>
      </w:r>
      <w:bookmarkEnd w:id="277"/>
    </w:p>
    <w:p>
      <w:pPr>
        <w:pStyle w:val="BookText"/>
        <w:rPr/>
      </w:pPr>
      <w:r>
        <w:rPr>
          <w:rFonts w:ascii="IRNazanin" w:hAnsi="IRNazanin" w:eastAsia="IRNazanin"/>
          <w:color w:val="111111"/>
          <w:sz w:val="28"/>
          <w:sz w:val="28"/>
          <w:szCs w:val="28"/>
          <w:rtl w:val="true"/>
          <w:lang w:bidi="fa-IR"/>
        </w:rPr>
        <w:t>و أمّا أسماء الزمان فقد یستشکل فی دخولها فی مورد النزاع؛ حیث إنّ محلّه هو ما کان هنا ذاتٌ ثابتة مستقرّة متلبّسة بفعل، ثمّ زال عنها التلبّس مع بقاء تلک الذات بعینها، و الزمان أمر متدرّج الوجود لیس له استقرار و ثبات، بل یوجد و ینعدم شیئاً فشیئاً؛ ینعدم جزء منه، ثمّ یوجد جزء آخر، و هکذا، فإذا وقع فعل فی زمانٍ معیّن کالقتل، فبعد انقضائه و مضیّه لا تبقی ذات؛ کی ینازع فی صدق المشتقّ علیه أو لا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فی مثل المقتل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زمان یقع فیه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العامّ فی فردٍ لا یضرّ بعمومه، فانحصاره فی الفرد المتلبّس فقط و عدم مصداق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کونه موضوعاً لمعنی عامّ بأن یکون موضوعاً لزمانٍ متّصفٍ بوقوع القتل فیه حالًا أو فیما مضی، و إن لم یتحقّق فی الخارج إلّا المتّصف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الواجب؛ حیث إنّه موضوع لمعنیً کلّی مع انحصاره فی فرد خاصّ</w:t>
      </w:r>
      <w:r>
        <w:rPr>
          <w:rStyle w:val="FootnoteAnchor"/>
          <w:rtl w:val="true"/>
        </w:rPr>
        <w:footnoteReference w:id="2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لانعدام الزمان الذی وقع فیه الضرب، و لا یبقی مع زوال التلبّس، و لا یمکن وجود مصداق آخر له، فوضعه للمعنی الکلّی لغوٌ لا حاجة إلیه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تنظیره بالواجب فهو فی غیر محلّه؛ لإمکان أفراد اخر للواجب هو الواجب</w:t>
      </w:r>
    </w:p>
    <w:p>
      <w:pPr>
        <w:pStyle w:val="BookText"/>
        <w:rPr/>
      </w:pPr>
      <w:r>
        <w:rPr>
          <w:rFonts w:ascii="IRNazanin" w:hAnsi="IRNazanin" w:eastAsia="IRNazanin"/>
          <w:color w:val="111111"/>
          <w:sz w:val="28"/>
          <w:sz w:val="28"/>
          <w:szCs w:val="28"/>
          <w:rtl w:val="true"/>
          <w:lang w:bidi="fa-IR"/>
        </w:rPr>
        <w:t>بالغیر، و أیضاً لعلّ وضعه لمعنیً عامّ؛ لإمکان اعتقاد بعض الجهلة تعدّده کالمشرکین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بالذات منحصر فی فردٍ واحدٍ، لکن لا نُسلِّم أنّ الموضوع له فیه عامّ، فإنّ للفظ الواجب وضعاً خاصّاً، و للفظ الذات أیضاً وضع آخر، لا وضع لمجموعهما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ریب فی أنّ الماهیّات مُتباینة فی الصور و الأشکال و الآثار و الأطوار، فلا بدّ أن یکون الوجود الذی ینبسط علیها مُظهِراً لها علی ما هی علیه من الأطوار و الخصوصیّات و الآثار و الکمّ و الکیف، و لو کان الوجود یوجب تغیّراً فی بعض أطوارها، أو یزید شیئاً فی أجزائها و آثارها، لما کانت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فرضنا أنّها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بموجودة، بل کان الموجود بذلک الوجود ماهیّة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الامور التدریجیّة ماهیّات خاصّة فی قبال الماهیّات القارّة، فإذا انبسط علیها الوجود کان مُظهِراً لها بما هی علیه من طور التدرّج و التصرّم، فما دام ذلک الأمر التدریجی مستمرّاً فی سیر وجوده، کان ذلک الوجود شخصاً خاصّاً من أفراد طبیعته، فإذا انتهی سیره فی الوجود، ثمّ شرع فی وجودٍ آخر، حدث فرد آخر لذلک الطبیعی،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سِنخ خاصّ من الماهیّات المتدرّجة فی الوجود، فإذا شرع المتکلّم بکلام فهو فرد واحد من ماهیّة الکلام حتّی ینتهی سیر وجوده بالسکوت، و إذا شرع فی الکلام مرّةً اخری حدث فرد آخر لتلک الماهیّة، و هکذا، و الزمان من هذا السنخ، فإنّ ماهیّته من الماهیّات التدریجیّة، فلا محالة یکون وجودها هو التدرّج فی سیر الوجود، فما دام مستمرّاً فیه فهو فرد واحد، فإذا صار بعضه ظرفاً لحدثٍ ما، ثمّ انقضی عنه، کان صحّة إطلاق اسم الزمان علی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الحقیقة أو بنحو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منوطاً بالنزاع فی وضعه علی ما حرّر فی هذه المسألة، فإذا قیل بوضعه لخصوص المتلبّس کان إطلاق الزمان علیه بعد الانقضاء مجازاً، و إذا قیل بالأعمّ کان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اسم الزمان ما دام مستمرّاً فی سیر وجوده فهو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یصدق اسم الزمان علیه فیما لو صار بعضه ظرفاً لحدثٍ ما بنحو الحقیقة أو بنحو المجاز بعد انقضائه عنه بسنین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یصحّ أن یقال للزمان الذی نحن فیه؛ إنّه مولد عیسی أو مقتل یحیی، و لا ریب فی عدم قبول الذوق العرفی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الذوق العرفی یأبی عن ذلک قطعاً، و السرّ فی ذلک 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العرف قد یقسّم الشی‌ء الواحد حقیقة إلی عدّة أقسام بحدود وهمیّة، لأغراضٍ تتعلّق بهذا التقسیم، فیتعامل مع کلّ قسمة منه بحدودها معاملة الشی‌ء المُباین بالنسبة إلی القسمة الاخری،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الزمان المتّصل مع أنّه واحد حقیقةً إلی أقسام متعدّدة، کالسنة و السنة إلی اثنی عشر شهراً، و الشهر إلی أسابیع، و الاسبوع إلی أیّام، و الأیّام إلی ساعات، إلی غیر ذلک من التقسیمات، فیتعامل مع کلّ قسم من هذه الأقسام کشی‌ءٍ واحد مستقلّ برأسه بالنسبة إلی القسم الآخر، معاملة الشی‌ء المُباین إلی مباینه، کالقسمة فی الزمان المعبّر عنها بالسنة، یکون کلّ واحدٍ من مصادیقها مبایناً مع الآخر، و هکذا الشهر و الاسبوع و الیوم، فإذا وقع حدث فی بعض أیّام السنة کانت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کالذات التی تلبّست بالمبدإ، ثمّ انقضی عنها، فیصحّ إطلاق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من ذلک الحدث الواقع فی بعض أیّام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بنحو الحقیقة؛ بناءً علی أنّ المشتقّ حقیقة فی الأعمّ، و مجازاً بناءً علی أنّه حقیقة فی خصوص المتلبّس، و هکذا الأمر بالنسبة إلی الأقسام الاخر</w:t>
      </w:r>
      <w:r>
        <w:rPr>
          <w:rStyle w:val="FootnoteAnchor"/>
          <w:rtl w:val="true"/>
        </w:rPr>
        <w:footnoteReference w:id="2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المقتل موضوع لیومٍ وقع فیه القتل أو شهر أو سنة وقع فیها ذلک، فلا ریب فی أنّ للیوم حدّاً معیّناً، و له أوّل و وسط و آخر فلو وقع الضرب فی</w:t>
      </w:r>
      <w:bookmarkStart w:id="278" w:name="pg12886_133257"/>
    </w:p>
    <w:p>
      <w:pPr>
        <w:pStyle w:val="BookText"/>
        <w:rPr/>
      </w:pPr>
      <w:bookmarkEnd w:id="278"/>
      <w:r>
        <w:rPr>
          <w:rFonts w:ascii="IRNazanin" w:hAnsi="IRNazanin" w:eastAsia="IRNazanin"/>
          <w:color w:val="111111"/>
          <w:sz w:val="28"/>
          <w:sz w:val="28"/>
          <w:szCs w:val="28"/>
          <w:rtl w:val="true"/>
          <w:lang w:bidi="fa-IR"/>
        </w:rPr>
        <w:t>أوّله لا یقال فی وسطه أو آخره المقتل و المضرب باعتبار وقوعه فی أوّله، و هکذا، فالیوم و إن کان باقیاً فی نظر العرف، لکن الزمان الذی وقع فیه الضرب أو القتل لیس باقیاً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المقتل موضوع لزمانٍ وقع فیه القتل، فلا ریب فی أنّه متصرّم عقلًا و عرفاً، فإذا وقع فی جزءٍ من یوم قتل، ثمّ انقضی، فانقضاؤُه هو انعدامه، فلا تبقی ذات متلبّسة بالفعل، ثمّ زال التلبّس فی نظر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یتسامح العرف، فیری الضرب الواقع قبل هذا الزمان بیسیر واقعاً فیه، لکنّه غیر صدق المشتقّ علی ذاتٍ انقضی عنها المبدأ، بل یُعدّ هذا متلبِّساً به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الأعاظم قدس سره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لیس النزاع فی خصوص اسم الزمان کی یستشکل فیه، بل البحث إنّما هو فی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اسمی الزمان و المکان، و أنّها موضوعة لوعاء وقع فیه الحدث بنحو الإطلاق الشامل للزمان و المکان، و حینئذٍ فعدم تصوّر ما انقضی بالنسبة إلی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خروجه عن حریم النزاع</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الجامع الحقیقی بینهما هو الموضوع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الجامع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متصوّر، لکن لا شبهة 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لمفهوم الوعاء بالحمل الأوّلی؛ ضرورة عدم تبادره منه، و أمّا الوعاء بالحمل الشائع فهو أیضاً کذلک لیس موضوعاً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أن یکون الموضوع له فیه خاصّاً</w:t>
      </w:r>
      <w:r>
        <w:rPr>
          <w:rFonts w:eastAsia="IRNazanin" w:cs="IRNazanin"/>
          <w:color w:val="111111"/>
          <w:sz w:val="28"/>
          <w:szCs w:val="28"/>
          <w:rtl w:val="true"/>
          <w:lang w:bidi="fa-IR"/>
        </w:rPr>
        <w:t>.</w:t>
      </w:r>
    </w:p>
    <w:p>
      <w:pPr>
        <w:pStyle w:val="Heading5"/>
        <w:numPr>
          <w:ilvl w:val="4"/>
          <w:numId w:val="1"/>
        </w:numPr>
        <w:rPr/>
      </w:pPr>
      <w:bookmarkStart w:id="279" w:name="__RefHeading___Toc3024007_3224264995"/>
      <w:bookmarkStart w:id="280" w:name="_Toc104"/>
      <w:bookmarkEnd w:id="279"/>
      <w:r>
        <w:rPr>
          <w:rtl w:val="true"/>
        </w:rPr>
        <w:t>کلام المحقّق النائینی فی المقام و مناقشته</w:t>
      </w:r>
      <w:bookmarkEnd w:id="28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النائینی قدس سره فی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أسماء</w:t>
      </w:r>
      <w:bookmarkStart w:id="281" w:name="pg12886_133258"/>
    </w:p>
    <w:p>
      <w:pPr>
        <w:pStyle w:val="BookText"/>
        <w:rPr/>
      </w:pPr>
      <w:bookmarkEnd w:id="281"/>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 الأضحی و الفطر و السبت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موضوعة لزمانٍ خاصّ، بل هی موضوعة لمعانٍ کلّیّة لها أفراد تدریجیّة، تتکرّر فی کلّ سنة مثلًا، و لا یمکن اجتماع فردین منها فی الوجود، و حینئذٍ فلا إشکال فی بقاء الذات و لو مع انقضاء العارض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إنّ الزمان المأخوذ فیه هو شخص ذلک الیوم بعینه لا کلّیّه فللإشکال المذکور فیه مجال، لکنّه ممنوع</w:t>
      </w:r>
      <w:r>
        <w:rPr>
          <w:rStyle w:val="FootnoteAnchor"/>
          <w:rtl w:val="true"/>
        </w:rPr>
        <w:footnoteReference w:id="213"/>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أنّ الحدث لا یقع إلّا فی زمانٍ خاصٍّ، لا فی کلّیِّه و طبیعیِّه، و هو غیر باقٍ، فالإشکال باقٍ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محیص عن الإشکال، فأسماء الزمان خارجة عن حریم النزاع و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لخروج مثل التکلّم و نحوه من الامور التدریجیّة المتصرّمة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عرفت أنّه لیس النزاع فی خصوص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زنة فاعل و مفعول و نحوهما</w:t>
      </w:r>
      <w:r>
        <w:rPr>
          <w:rFonts w:eastAsia="IRNazanin" w:cs="IRNazanin"/>
          <w:color w:val="111111"/>
          <w:sz w:val="28"/>
          <w:szCs w:val="28"/>
          <w:rtl w:val="true"/>
          <w:lang w:bidi="fa-IR"/>
        </w:rPr>
        <w:t>.</w:t>
      </w:r>
    </w:p>
    <w:p>
      <w:pPr>
        <w:pStyle w:val="Heading4"/>
        <w:numPr>
          <w:ilvl w:val="3"/>
          <w:numId w:val="1"/>
        </w:numPr>
        <w:rPr/>
      </w:pPr>
      <w:bookmarkStart w:id="282" w:name="__RefHeading___Toc3024009_3224264995"/>
      <w:bookmarkStart w:id="283" w:name="_Toc105"/>
      <w:bookmarkEnd w:id="282"/>
      <w:r>
        <w:rPr>
          <w:rtl w:val="true"/>
        </w:rPr>
        <w:t>الأمر الثالث</w:t>
      </w:r>
      <w:r>
        <w:rPr>
          <w:rtl w:val="true"/>
        </w:rPr>
        <w:t xml:space="preserve">: </w:t>
      </w:r>
      <w:r>
        <w:rPr>
          <w:rtl w:val="true"/>
        </w:rPr>
        <w:t>أصل المشتقّات و الخلاف فیه</w:t>
      </w:r>
      <w:bookmarkEnd w:id="283"/>
    </w:p>
    <w:p>
      <w:pPr>
        <w:pStyle w:val="Heading5"/>
        <w:numPr>
          <w:ilvl w:val="4"/>
          <w:numId w:val="1"/>
        </w:numPr>
        <w:rPr/>
      </w:pPr>
      <w:bookmarkStart w:id="284" w:name="__RefHeading___Toc3024011_3224264995"/>
      <w:bookmarkStart w:id="285" w:name="_Toc106"/>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اختلفوا فی أنّ أصل المشتقّات و مبدأها هل هو المصدر، کما هو مذهب ادباء البصرة</w:t>
      </w:r>
      <w:r>
        <w:rPr>
          <w:rStyle w:val="FootnoteAnchor"/>
          <w:rtl w:val="true"/>
        </w:rPr>
        <w:footnoteReference w:id="214"/>
      </w:r>
      <w:r>
        <w:rPr>
          <w:rFonts w:ascii="IRNazanin" w:hAnsi="IRNazanin" w:eastAsia="IRNazanin"/>
          <w:color w:val="111111"/>
          <w:sz w:val="28"/>
          <w:sz w:val="28"/>
          <w:szCs w:val="28"/>
          <w:rtl w:val="true"/>
          <w:lang w:bidi="fa-IR"/>
        </w:rPr>
        <w:t>، أو الفعل کما هو مذهب ادباء الکوفة</w:t>
      </w:r>
      <w:r>
        <w:rPr>
          <w:rStyle w:val="FootnoteAnchor"/>
          <w:rtl w:val="true"/>
        </w:rPr>
        <w:footnoteReference w:id="215"/>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الموضوع أوّلًا هی المصادر، و أنّها المحفوظة فی ضمن جمیع المشتقّات، أو الأفعال کذلک؟</w:t>
      </w:r>
      <w:bookmarkStart w:id="286" w:name="pg12886_133259"/>
    </w:p>
    <w:p>
      <w:pPr>
        <w:pStyle w:val="BookText"/>
        <w:rPr/>
      </w:pPr>
      <w:bookmarkEnd w:id="286"/>
      <w:r>
        <w:rPr>
          <w:rFonts w:ascii="IRNazanin" w:hAnsi="IRNazanin" w:eastAsia="IRNazanin"/>
          <w:color w:val="111111"/>
          <w:sz w:val="28"/>
          <w:sz w:val="28"/>
          <w:szCs w:val="28"/>
          <w:rtl w:val="true"/>
          <w:lang w:bidi="fa-IR"/>
        </w:rPr>
        <w:t>و هذا النزاع بمکانٍ من السخافة، خصوصاً مذهب الکوفیین؛ إذ لا معنی لانحفاظ الفعل فی ضمن جمیع المشتقّات حتّی المصدر، بل و کذا مذهب أهل البصرة، لکن یمکن حمله علی أنّ المراد أنّ ما وضع له اللّفظ أوّلًا هو المصدر، ثمّ اشتقّت منه الأفعال و الأوصاف بدون انحفاظ المصدر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سلک المتأخِّرون طریقاً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ذهبوا إلی أنّ مادّة المصدر مجرّدة عن جمیع الحرکات و السکنات و الهیئات؛ بنحو اللّابشرط إلّا من حیث ترتیب حروفه من التقدّم و التأخّر، موضوعة لنفس طبیعة الحدث، ثمّ اشتقّت منها الأفعال و الأوصاف بهیئاتها المختلفة، فوضع المادّة نوعی بما أنّها مادّة لإحدی هذه الهیئات، و کذلک وضع الهیئات من حیث إنّها موضوعة لمعانیها بما أنّها هیئة إحدی هذه المواد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3024013_3224264995"/>
      <w:bookmarkStart w:id="288" w:name="_Toc107"/>
      <w:bookmarkEnd w:id="287"/>
      <w:r>
        <w:rPr>
          <w:rtl w:val="true"/>
        </w:rPr>
        <w:t>و یمکن الإشکال علیه أیضاً</w:t>
      </w:r>
      <w:r>
        <w:rPr>
          <w:rtl w:val="true"/>
        </w:rPr>
        <w:t>:</w:t>
      </w:r>
      <w:bookmarkEnd w:id="28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المادّة مجرّدة عن جمیع الحرکات و السکنات و الهیئات، لیست من عداد الألفاظ المعتمدة علی مخرج الفم، فلا معنی للنزاع فی أنّها موضوعة لکذا أو کذا، ثمّ اشتقاق الأفعال و الصفات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یوجب عدم الفرق بین المصدر و اسم المصدر، فإنّ الثانی أیضاً موضوع لنفس طبیعة الحدث کالأوّل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مستلزم لأن 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یتخلّل بین حروف المادّة حرف غیر مربوط، مع حفظ ترتیب حروف أصل المادّة أیضاً دالّاً علی الحدث الموضوع له؛ إذ المفروض أنّ المادّة مأخوذة و محفوظة فیه بنحو اللّابشرط من هذه الجهة، و إلّا فلا بدّ أن یکون مضروب أیضاً مهملًا لتخلّل الواو بین حروفه</w:t>
      </w:r>
      <w:r>
        <w:rPr>
          <w:rFonts w:eastAsia="IRNazanin" w:cs="IRNazanin"/>
          <w:color w:val="111111"/>
          <w:sz w:val="28"/>
          <w:szCs w:val="28"/>
          <w:rtl w:val="true"/>
          <w:lang w:bidi="fa-IR"/>
        </w:rPr>
        <w:t>.</w:t>
      </w:r>
      <w:bookmarkStart w:id="289" w:name="pg12886_133260"/>
    </w:p>
    <w:p>
      <w:pPr>
        <w:pStyle w:val="BookText"/>
        <w:rPr/>
      </w:pPr>
      <w:bookmarkEnd w:id="289"/>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المادّة موضوعة بوضع علی حدة، و کذلک الهیئة، لزم ترکّب المشتقّات و دلالة کلٍّ منهما علی معنیً مستقلّ، لا الترکیب الانحلالی، و هو باطل قطعاً؛ لعدم تبادر معنیین کذلک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5"/>
        <w:numPr>
          <w:ilvl w:val="4"/>
          <w:numId w:val="1"/>
        </w:numPr>
        <w:rPr/>
      </w:pPr>
      <w:bookmarkStart w:id="290" w:name="__RefHeading___Toc3024015_3224264995"/>
      <w:bookmarkStart w:id="291" w:name="_Toc108"/>
      <w:bookmarkEnd w:id="290"/>
      <w:r>
        <w:rPr>
          <w:rtl w:val="true"/>
        </w:rPr>
        <w:t>و یمکن الجواب عن هذه الإشکالات</w:t>
      </w:r>
      <w:r>
        <w:rPr>
          <w:rtl w:val="true"/>
        </w:rPr>
        <w:t>:</w:t>
      </w:r>
      <w:bookmarkEnd w:id="291"/>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إنّما یتوجّه لو کان المقصود من وضع المادّة هو التفهیم و التفهّم بها مستقلّةً، و لیس کذلک، بل المراد أنّها موضوعة لاشتقاق الأفعال و الصفات منها، و تتهیّأ بهیئاتٍ مختلفةٍ، و لا یحتاج الوضع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قد یفتقر إلی تفهیم معنی الحدث و طبیعته للغیر، و لمّا لم یمکن النطق بالمادّة بدون الهیئة وضع هیئة اسم المصدر، بل و المصدر أیضاً؛ بناءً علی عدم الفرق بینهما؛ لأنّ الأقرب عدم أخذ الانتساب إلی فاعل ما فی مفهوم المصدر، فوُضع لمجرّد إمکان النطق بالمادّة، لا أنّها موضوعة بإزاء إمکان النطق بالمادّة، بل للتمکّن من النطق بها، و حینئذٍ فلا مانع من القول بعدم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المادّة و إن وُضعت بنحو اللّابشرط إلّا فی الترتیب بین الحروف لفظاً، لکن حیث إنّها موضوعة للتهیّؤ بإحدی الهیئات المعیّنة، فلا محالة لها ضیق ذاتی و تقیید فی نفس الأمر بکونها فی ضمن إحدی الهیئات، فلا یرد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الفشارکی قدس سره فی مقام التفصّی عنه إلی أنّ للمادّة 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الوضع التهیّئی، لا لإفادة المعنی، الثانی فی ضمن وضع الهیئة بلحاظها حین وضعت الهیئة لإفادة المعنی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الدلالة لیست تابعة للإرادة؛ أی إرادة الواضع، فإذا تحقّق الوضع لها دلّت علی الموضوع له، سواءً أراد الواضع منه الدلالة</w:t>
      </w:r>
    </w:p>
    <w:p>
      <w:pPr>
        <w:pStyle w:val="BookText"/>
        <w:rPr/>
      </w:pPr>
      <w:r>
        <w:rPr>
          <w:rFonts w:ascii="IRNazanin" w:hAnsi="IRNazanin" w:eastAsia="IRNazanin"/>
          <w:color w:val="111111"/>
          <w:sz w:val="28"/>
          <w:sz w:val="28"/>
          <w:szCs w:val="28"/>
          <w:rtl w:val="true"/>
          <w:lang w:bidi="fa-IR"/>
        </w:rPr>
        <w:t>علیه أم لا، بل و کذلک و لو صرّح بالعدم أیضاً؛ لأنّ ما هو بید الواضع هو عنان الوضع، لا الدلالة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ذهب إلیه أسوأ حالًا من أصل الإشکال؛ لاستلزامه الالتزام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المادة أوّلًا مستقلّاً للحدث، ثانیها الوضع التبعی لوضع الهیئة، و ثالثها وضع الهیئة لمعناها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 أراد وضع الهیئة فی ضمن کلّ مادّة مادّة، یلزم خصوصیّة الموضوع له فی المواد، و إن أراد لحاظ مجموع المواد حین وضع الهیئة، فلیس المجموع أمراً مغایراً لکلّ واحدةٍ واحدة، و إن أراد لحاظ مادّة من الموادّ لا علی التعیین، فهی ممّا لا تحقّق لها، فلا یُتصوّر لما ذکره فرض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للتفصّی عن الإشکال سلک بعض الأعاظم مسلکاً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الواضع وضع مادّة معیّنة بهیئاتها کلّ واحدةٍ واحدة من الهیئات مفصّلًا من الأفعال و الصفات، ثمّ قاس علیها المواد الاخر و هیئاتها من الأفعال و الصفات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اندفاع أصل الإشکال بذلک، و هو لزوم الترکُّب فی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المذکور لا بدّ أن یکون هو وضعاً لها؛ لعدم تصوّر غیر ذلک، فیرد علیه الإشکالات المتقدّمة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المادّة وُضعت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جمیع الحرکات و السکنات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لطبیعة الحدث، لکن حیث إنّه لا تحصّل و تعیّن لها استقلالًا، بل هی فی وجودها تبع للهیئة، فلا یمکن تحقّقها استقلالًا، کما أنّ الهیئة تبع للمادّة لم تدلّ علی معناها استقلالًا، نظیر الهیولی الغیر المتحصّلة إلّا بالصورة، و کما أنّ الهیولی فانیة و مندکّة فی الصورة فی عالم الحقائق، کذلک المادّة فی عالم الألفاظ تبع للهیئة فانیة و مندکّة فیها، و الموجود فی نفس الأمر هو الهیئة، و هی بسیطة، فکذلک معناها</w:t>
      </w:r>
      <w:bookmarkStart w:id="292" w:name="pg12886_133262"/>
    </w:p>
    <w:p>
      <w:pPr>
        <w:pStyle w:val="BookText"/>
        <w:rPr/>
      </w:pPr>
      <w:bookmarkEnd w:id="292"/>
      <w:r>
        <w:rPr>
          <w:rFonts w:ascii="IRNazanin" w:hAnsi="IRNazanin" w:eastAsia="IRNazanin"/>
          <w:color w:val="111111"/>
          <w:sz w:val="28"/>
          <w:sz w:val="28"/>
          <w:szCs w:val="28"/>
          <w:rtl w:val="true"/>
          <w:lang w:bidi="fa-IR"/>
        </w:rPr>
        <w:t>و مفادها، کما سیأتی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الموادّ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الهیئات فقد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مجرّدةً عن المادّة غیر قابلة للتصوّر و اللحاظ کی توضع لمعنیً من المعانی، و المفروض أنّها موضوعة مجرّدةً عن الموادّ لا المجموع المرکّب منها و من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تصوّر الهیئة فی ضمن مادّة من الموادّ و إن کانت مهملة، مثل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أیّة مادة من الموادّ، فلا إشکال حینئذٍ</w:t>
      </w:r>
      <w:r>
        <w:rPr>
          <w:rFonts w:eastAsia="IRNazanin" w:cs="IRNazanin"/>
          <w:color w:val="111111"/>
          <w:sz w:val="28"/>
          <w:szCs w:val="28"/>
          <w:rtl w:val="true"/>
          <w:lang w:bidi="fa-IR"/>
        </w:rPr>
        <w:t>.</w:t>
      </w:r>
    </w:p>
    <w:p>
      <w:pPr>
        <w:pStyle w:val="Heading4"/>
        <w:numPr>
          <w:ilvl w:val="3"/>
          <w:numId w:val="1"/>
        </w:numPr>
        <w:rPr/>
      </w:pPr>
      <w:bookmarkStart w:id="293" w:name="__RefHeading___Toc3024017_3224264995"/>
      <w:bookmarkStart w:id="294" w:name="_Toc109"/>
      <w:bookmarkEnd w:id="293"/>
      <w:r>
        <w:rPr>
          <w:rtl w:val="true"/>
        </w:rPr>
        <w:t>الأمر الرابع</w:t>
      </w:r>
      <w:r>
        <w:rPr>
          <w:rtl w:val="true"/>
        </w:rPr>
        <w:t xml:space="preserve">: </w:t>
      </w:r>
      <w:r>
        <w:rPr>
          <w:rtl w:val="true"/>
        </w:rPr>
        <w:t>فی کیفیّة وضع الأفعال و بیان مدالیلها</w:t>
      </w:r>
      <w:bookmarkEnd w:id="294"/>
    </w:p>
    <w:p>
      <w:pPr>
        <w:pStyle w:val="BookText"/>
        <w:rPr/>
      </w:pPr>
      <w:r>
        <w:rPr>
          <w:rFonts w:ascii="IRNazanin" w:hAnsi="IRNazanin" w:eastAsia="IRNazanin"/>
          <w:color w:val="111111"/>
          <w:sz w:val="28"/>
          <w:sz w:val="28"/>
          <w:szCs w:val="28"/>
          <w:rtl w:val="true"/>
          <w:lang w:bidi="fa-IR"/>
        </w:rPr>
        <w:t>و المشهور أنّ الفعل الماضی یدلّ علی الزمان الماضی، و المضارع علی الحال و الاستقبال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له علی الزمان أصلًا؛ و ذلک لأنّه إذا فُرض صدور حدث من ذات، کالضرب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عدّة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الذات التی صدر منها الضرب،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الثانی الحدث؛ أی الضرب، الثالث صدوره منه، أو حلوله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الرابع الزمان الذی وقع فیه الضرب، فالدالّ علی الذات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الحدث هو الضرب، و علی صدوره هی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فالدالّ علی تحقُّق الحدث أو ترقّبه هو هیئة الفعل، و أمّا الزمان فهو خارج عن مدلول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الحدث مستلزم عقلًا لصدوره فی الماضی، و ترقّبه مستلزم لوقوعه فی المستقبل، لکن الاستلزام العقلی غیر دلالة الفعل علی الزمان و أخذه فی مدلوله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الحکایة عن الذات و عن الحدث کلّ واحدٍ بنحو المعنی</w:t>
      </w:r>
    </w:p>
    <w:p>
      <w:pPr>
        <w:pStyle w:val="BookText"/>
        <w:rPr/>
      </w:pPr>
      <w:r>
        <w:rPr>
          <w:rFonts w:ascii="IRNazanin" w:hAnsi="IRNazanin" w:eastAsia="IRNazanin"/>
          <w:color w:val="111111"/>
          <w:sz w:val="28"/>
          <w:sz w:val="28"/>
          <w:szCs w:val="28"/>
          <w:rtl w:val="true"/>
          <w:lang w:bidi="fa-IR"/>
        </w:rPr>
        <w:t>الاسمی، و أمّا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صدور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أمر وجودی فی قبال العدم، لکن لیس هو مثل الذات فی الاستقلال، و یمکن الحکایة عنه أیضاً بنحو المعنی الاسمی بلفظ الصدور و التحقّق و إن لم یکن هو من المعانی الاسمیّة، لکن لا ارتباط بین الذات و الحدث إذا حُکی کلّ واحدٍ منهما منفرداً، لکن لو أردنا الحکایة عن الصدور بالمعنی الحرفی علی ما هو فی الواقع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الربط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الذات، 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من حیث المادّة موضوعة لطبیعة الحدث، و من حیث الهیئة لنسبة الحدث إلی الذات، لکن لمّا کان الموجود فی الواقع هو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صدوره فلیس أمراً سواه عقلًا و عرفاً، فالمحکی عنه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بسیط، لکنّه من البسائط التی یمکن تحلیله عند العقل إلی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و الهیئة، و أمّا الزمان فلیس مدلولًا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الحدث و ترقّبه یلزمه المُضیّ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 الحروف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إخطاریّة تحکی عن الواقع، کهیئة الماضی و المستقبل، و إیجادیّة کهیئة الأمر، فإنّه عبارة عن إیجاد البعث نحو الإتیان بالمأمور به، و کما أنّ الوضع فی الحروف عامّ و الموضوع له خاصّ، کذلک الأفعال، فإنّ هیئاتها موضوعة لخصوص کلّ واحدٍ من الصدورات و الروابط بلحاظها إجمالًا، کما تقدّم تفصیله فی المعانی الحرفیّة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تسلیم أنّ دلالة الفعل علی الزمان لفظیّة لا عقلیّة، فهو لا یوجب ترکّب المشتقّات، و لا یُنافی بساطة معانیها بالمعنی الذی تقدّم بیانه؛ لأنّ دلالته علی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الأبعاد الثلاثة و نحوها ممّا یتبادر منه إلی الذهن عند الإطلاق، مع عدم ترکّب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الأبعاد الثلاث و غیرها، و إلّا فمن الواضحات أنّ الزمان لیس مدلول الفعل بأحد الدلالات الثلاث المعهودة</w:t>
      </w:r>
      <w:r>
        <w:rPr>
          <w:rFonts w:eastAsia="IRNazanin" w:cs="IRNazanin"/>
          <w:color w:val="111111"/>
          <w:sz w:val="28"/>
          <w:szCs w:val="28"/>
          <w:rtl w:val="true"/>
          <w:lang w:bidi="fa-IR"/>
        </w:rPr>
        <w:t>.</w:t>
      </w:r>
      <w:bookmarkStart w:id="295" w:name="pg12886_133264"/>
    </w:p>
    <w:p>
      <w:pPr>
        <w:pStyle w:val="BookText"/>
        <w:rPr/>
      </w:pPr>
      <w:bookmarkEnd w:id="295"/>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المنافاة بین دعوی تبادر الزمان من الفعل و بساطة معناه بالمعنی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الماضی و المضارع، أمّا الأمر فلا ریب و لا إشکال فی عدم دلالته علی الزمان؛ لأنّه موضوع لطلب الطبیعة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المضارع قد یُطلق علی المتلبِّس بالفعل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الزمان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عنایة،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مشتغلًا بالصلاة بالفعل، و قد لا یطلق إلّا علی المتلبّس فی الاستقبال،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شبهة فی عدم إطلاقهما علی المتلبِّس فی الحال؛ أی حال النطق، فضلًا عن الحال بمعنی الزمان الحاضر، فهل هو مشترک لفظی لکلٍّ من الحال و الاستقبال، أو أنّه موضوع لمعنیً عامّ یشملهما، کمفهوم الزمان غیر الماضی؟ و لا سبیل إلی واحدٍ منهما؛ لبعد الأوّل، و عدم ملائمة الثانی؛ لکون الموضوع له فیه خاصّاً، فلا بدّ إمّا من الالتزام بأنّه موضوع للمتلبّس فی الحال، و استُعمل کثیراً فی الاستقبال مع القرینة بنحوٍ من العنایة حتّی أفاده بغیر قرینة، أو العکس کما هو الظاهر، و لیس مجازاً فی الحال،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 إنّما هو بملاحظة الأجزاء اللّاحقة التی لم توجد بعدُ</w:t>
      </w:r>
      <w:r>
        <w:rPr>
          <w:rStyle w:val="FootnoteAnchor"/>
          <w:rtl w:val="true"/>
        </w:rPr>
        <w:footnoteReference w:id="2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بأنّه لیس فی إطلاقه علی الحال عنایة و ادّعاءٌ لیکون مجازاً</w:t>
      </w:r>
      <w:r>
        <w:rPr>
          <w:rFonts w:eastAsia="IRNazanin" w:cs="IRNazanin"/>
          <w:color w:val="111111"/>
          <w:sz w:val="28"/>
          <w:szCs w:val="28"/>
          <w:rtl w:val="true"/>
          <w:lang w:bidi="fa-IR"/>
        </w:rPr>
        <w:t>.</w:t>
      </w:r>
    </w:p>
    <w:p>
      <w:pPr>
        <w:pStyle w:val="Heading4"/>
        <w:numPr>
          <w:ilvl w:val="3"/>
          <w:numId w:val="1"/>
        </w:numPr>
        <w:rPr/>
      </w:pPr>
      <w:bookmarkStart w:id="296" w:name="__RefHeading___Toc3024019_3224264995"/>
      <w:bookmarkStart w:id="297" w:name="_Toc110"/>
      <w:bookmarkEnd w:id="296"/>
      <w:r>
        <w:rPr>
          <w:rtl w:val="true"/>
        </w:rPr>
        <w:t>الأمر الخامس</w:t>
      </w:r>
      <w:r>
        <w:rPr>
          <w:rtl w:val="true"/>
        </w:rPr>
        <w:t xml:space="preserve">: </w:t>
      </w:r>
      <w:r>
        <w:rPr>
          <w:rtl w:val="true"/>
        </w:rPr>
        <w:t>فی اختلاف مبادئ المشتقّات</w:t>
      </w:r>
      <w:bookmarkEnd w:id="29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مبادئ المشتقّات مختلفة، فبعضها حرفة و صناعة کالتجارة و النجارة، و فی بعضها قوّة و ملکة کالاجتهاد، و بعضها من الأفعال کالأکل و الشرب، و اختلافها</w:t>
      </w:r>
    </w:p>
    <w:p>
      <w:pPr>
        <w:pStyle w:val="BookText"/>
        <w:rPr/>
      </w:pPr>
      <w:r>
        <w:rPr>
          <w:rFonts w:ascii="IRNazanin" w:hAnsi="IRNazanin" w:eastAsia="IRNazanin"/>
          <w:color w:val="111111"/>
          <w:sz w:val="28"/>
          <w:sz w:val="28"/>
          <w:szCs w:val="28"/>
          <w:rtl w:val="true"/>
          <w:lang w:bidi="fa-IR"/>
        </w:rPr>
        <w:t xml:space="preserve">لا یوجب الاختلاف فی الجهة المبحوث عنها، غایة الأمر أنّه توجب الاختلاف فی أنحاء التلبّس و الانقضاء، 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البحث فیما کان مبدؤه حرفة و صناعة أو قوّة و ملکة لیس فی أنّه موضوع لکذا أو کذا؛ لوضوح عدم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التعیینی للواجد لذلک و إن لم یتلبّس بذلک بالفعل قطعاً، مع أنّا نری صحّة إطلاق ذلک قبل الاشتغال و التلبّس بالفعل، نظیر إطلاق المسجد و المفتاح علی ما هو مُعَدّ لذلک و إن لم یقع فیه السجدة بالفعل قطعاً، فلا بدّ أن یکون البحث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استعمالها مجازاً و عنایةً فی ذلک کثیراً إلی أن استُغنی عن القرینة، هل هو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خصوص المُعَدّ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منه و ممّا انقضی عنه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من أسماء المکان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أسماء الآلة، فالظاهر انقلابها من الوصفیّة إلی الاسمیّة، و أنّها صارت أسماء لجنس المعبد و آلة الذبح، و لیست موضوعة لمکانٍ وقع فیه السجدة أو آلة یقع بها الذبح و نحوه بالفعل، فلا مجال للنزاع فی أنّها موضوعة لخصوص المتلبّس أو الأعمّ، و علی فرض أنّها من الأوصاف، فالظاهر أنّ مثل ذلک موضوع لما هو مُعَدّ لذلک و إن لم یتلبّس بذلک بعدُ للتبادر، بخلاف سائر المشتقّات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الهیئات أیضاً مختلفة من حیث المعنی المتبادر منها، فإنّ المتبادِر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هو المتلبّس بالمبدإ بالفعل؛ بحیث لا یصحّ الإطلاق مع عدم التلبّس کذلک، و کذلک الفعل المضارع منها، فإنّ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ستتلبّس بعد ذلک، و لا یصحّ مع عدم التلبّس فی المستقبل، 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یطلقان علی ما إذا تلبّس الذات بالضرب</w:t>
      </w:r>
      <w:bookmarkStart w:id="298" w:name="pg12886_133266"/>
    </w:p>
    <w:p>
      <w:pPr>
        <w:pStyle w:val="BookText"/>
        <w:rPr/>
      </w:pPr>
      <w:bookmarkEnd w:id="298"/>
      <w:r>
        <w:rPr>
          <w:rFonts w:ascii="IRNazanin" w:hAnsi="IRNazanin" w:eastAsia="IRNazanin"/>
          <w:color w:val="111111"/>
          <w:sz w:val="28"/>
          <w:sz w:val="28"/>
          <w:szCs w:val="28"/>
          <w:rtl w:val="true"/>
          <w:lang w:bidi="fa-IR"/>
        </w:rPr>
        <w:t xml:space="preserve">و القتل فی زمانٍ ما و إن لم یکن مشتغلًا بذلک بالفعل،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یطلق إلّا علی ما فیه نبع و استمرار و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 منشأ ذلک هو الاختلاف فی الوضع و الالتزام بتعدّد الأوضاع</w:t>
      </w:r>
      <w:r>
        <w:rPr>
          <w:rStyle w:val="FootnoteAnchor"/>
          <w:rtl w:val="true"/>
        </w:rPr>
        <w:footnoteReference w:id="222"/>
      </w:r>
      <w:r>
        <w:rPr>
          <w:rFonts w:ascii="IRNazanin" w:hAnsi="IRNazanin" w:eastAsia="IRNazanin"/>
          <w:color w:val="111111"/>
          <w:sz w:val="28"/>
          <w:sz w:val="28"/>
          <w:szCs w:val="28"/>
          <w:rtl w:val="true"/>
          <w:lang w:bidi="fa-IR"/>
        </w:rPr>
        <w:t>و لکنّ الظاهر أنّه أیضاً ناش عن کثرة الاستعمال حتّی صار حقیقة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قیام المبدأ بالذات إمّا بنحو الحلول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من الأفعال اللّازمة، و إمّا بنحو الصدور،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مجال للقول بأنّها موضوعة لمعنی عامّ شامل لهما کمفهوم الربط؛ لمنافاته لما اخترناه من أنّ الموضوع له فیها خاصّ، و لا للقول بتعدّد الأوضاع، 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فیها هو الروابط الجزئیة علی ما هی علیه فی نفس الأمر</w:t>
      </w:r>
      <w:r>
        <w:rPr>
          <w:rFonts w:eastAsia="IRNazanin" w:cs="IRNazanin"/>
          <w:color w:val="111111"/>
          <w:sz w:val="28"/>
          <w:szCs w:val="28"/>
          <w:rtl w:val="true"/>
          <w:lang w:bidi="fa-IR"/>
        </w:rPr>
        <w:t>.</w:t>
      </w:r>
    </w:p>
    <w:p>
      <w:pPr>
        <w:pStyle w:val="Heading4"/>
        <w:numPr>
          <w:ilvl w:val="3"/>
          <w:numId w:val="1"/>
        </w:numPr>
        <w:rPr/>
      </w:pPr>
      <w:bookmarkStart w:id="299" w:name="__RefHeading___Toc3024021_3224264995"/>
      <w:bookmarkStart w:id="300" w:name="_Toc111"/>
      <w:bookmarkEnd w:id="299"/>
      <w:r>
        <w:rPr>
          <w:rtl w:val="true"/>
        </w:rPr>
        <w:t>الأمر السادس</w:t>
      </w:r>
      <w:r>
        <w:rPr>
          <w:rtl w:val="true"/>
        </w:rPr>
        <w:t xml:space="preserve">: </w:t>
      </w:r>
      <w:r>
        <w:rPr>
          <w:rtl w:val="true"/>
        </w:rPr>
        <w:t>فی المقصود فی الحال فی عنوان البحث</w:t>
      </w:r>
      <w:bookmarkEnd w:id="300"/>
    </w:p>
    <w:p>
      <w:pPr>
        <w:pStyle w:val="BookText"/>
        <w:rPr/>
      </w:pPr>
      <w:r>
        <w:rPr>
          <w:rFonts w:ascii="IRNazanin" w:hAnsi="IRNazanin" w:eastAsia="IRNazanin"/>
          <w:color w:val="111111"/>
          <w:sz w:val="28"/>
          <w:sz w:val="28"/>
          <w:szCs w:val="28"/>
          <w:rtl w:val="true"/>
          <w:lang w:bidi="fa-IR"/>
        </w:rPr>
        <w:t>لیس المُراد بالحال فی عنوان البحث زمان النطق قطعاً؛ ضرورة عدم التجوّز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علی القول بوضعه لخصوص المتلبّس مع عدم تلبّسه بالمبدإ حال النطق، و 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الاشتغال به زمان النطق، و لا حال الجری و الإطلاق و لا حال النسبة أیضاً؛ لتأخّر ذلک کلّه عمّا هو مورد البحث، فإنّ مورد النزاع إنّما هو فی المفهوم التصوّری للمشتقّ، و أنّه موضوع لأی شی‌ءٍ تصوّراً، و هذا إنّما هو قبل الجری و الاستعمال، بل المراد بالحال هو التلبّس الفعلی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فی المقام إنّما هو فی أنّ المشتقّ هل هو موضوع لخصوص المتلبّس بالفعل، أو المعنی الأعمّ منه و ممّا انقضی عنه التلبّس؟</w:t>
      </w:r>
    </w:p>
    <w:p>
      <w:pPr>
        <w:pStyle w:val="BookText"/>
        <w:rPr/>
      </w:pPr>
      <w:r>
        <w:rPr>
          <w:rFonts w:ascii="IRNazanin" w:hAnsi="IRNazanin" w:eastAsia="IRNazanin"/>
          <w:color w:val="111111"/>
          <w:sz w:val="28"/>
          <w:sz w:val="28"/>
          <w:szCs w:val="28"/>
          <w:rtl w:val="true"/>
          <w:lang w:bidi="fa-IR"/>
        </w:rPr>
        <w:t>و بذلک یظهر ما فی کلام بعض الأعاظم؛ حیث جعل المشتقّات علی أقسام؛ منها ما یعتبر فیها التلبّس، الثانی ما لا یعتبر فیه التلبّس فی الحال، بل یکفی المَلَکة، و جعله حقیقةً فی الأوّل و مجازاً فی الثانی</w:t>
      </w:r>
      <w:r>
        <w:rPr>
          <w:rStyle w:val="FootnoteAnchor"/>
          <w:rtl w:val="true"/>
        </w:rPr>
        <w:footnoteReference w:id="223"/>
      </w:r>
      <w:r>
        <w:rPr>
          <w:rFonts w:ascii="IRNazanin" w:hAnsi="IRNazanin" w:eastAsia="IRNazanin"/>
          <w:color w:val="111111"/>
          <w:sz w:val="28"/>
          <w:sz w:val="28"/>
          <w:szCs w:val="28"/>
          <w:rtl w:val="true"/>
          <w:lang w:bidi="fa-IR"/>
        </w:rPr>
        <w:t>لما عرفت أنّ الکلام فی المقام إنّما هو فی المفهوم التصوّری من دون دَخْل للاستعمال فیه، بل النزاع جارٍ و إن فُرض عدم استعمال المشتقّ أصلًا، و لم یجرِ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ما أورده بعضهم علی جریانه فیما یمتنع التلبّس بالمبدإ فی الخارج، کالممتنع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البارئ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لم یتلبّس به و إن لم یکن ممتنعاً،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ثبوت ذات فیهما یثبت له الامتناع أو العدم للقاعدة الفرعیة،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انقلاب الامتناع إلی الإمکان و العدم إلی الوجود</w:t>
      </w:r>
      <w:r>
        <w:rPr>
          <w:rStyle w:val="FootnoteAnchor"/>
          <w:rtl w:val="true"/>
        </w:rPr>
        <w:footnoteReference w:id="2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أنّ الکلام إنّما هو فی المفهوم التصوّری للمشتقّ من غیر دخْل لتحقّق التلبّس فی الخارج و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عن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بالمحمول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الکون الرابط، فلا یحتاج إلی ذاتٍ ثبت لها الامتناع أو العدم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الکون الرابط المصطلح علیه إنّما هو فیما کان الموضوع موجوداً،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المحمول العدمی، لا فی الموضوع الممتنع أو المعدوم، کما فی المقام، فهو ینافی عدم وجود الموضوع أو امتناعه، نعم لا یُنافی عدم المحمول أو امتناعه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أعمی</w:t>
      </w:r>
      <w:r>
        <w:rPr>
          <w:rFonts w:eastAsia="IRNazanin" w:cs="IRNazanin"/>
          <w:color w:val="111111"/>
          <w:sz w:val="28"/>
          <w:szCs w:val="28"/>
          <w:rtl w:val="true"/>
          <w:lang w:bidi="fa-IR"/>
        </w:rPr>
        <w:t>».</w:t>
      </w:r>
      <w:bookmarkStart w:id="301" w:name="pg12886_133268"/>
    </w:p>
    <w:p>
      <w:pPr>
        <w:pStyle w:val="Heading4"/>
        <w:numPr>
          <w:ilvl w:val="3"/>
          <w:numId w:val="1"/>
        </w:numPr>
        <w:rPr/>
      </w:pPr>
      <w:bookmarkStart w:id="302" w:name="__RefHeading___Toc3024023_3224264995"/>
      <w:bookmarkStart w:id="303" w:name="_Toc112"/>
      <w:bookmarkEnd w:id="301"/>
      <w:bookmarkEnd w:id="302"/>
      <w:r>
        <w:rPr>
          <w:rtl w:val="true"/>
        </w:rPr>
        <w:t>الأمر السابع</w:t>
      </w:r>
      <w:r>
        <w:rPr>
          <w:rtl w:val="true"/>
        </w:rPr>
        <w:t xml:space="preserve">: </w:t>
      </w:r>
      <w:r>
        <w:rPr>
          <w:rtl w:val="true"/>
        </w:rPr>
        <w:t>فی الجامع علی الأعمّ</w:t>
      </w:r>
      <w:bookmarkEnd w:id="303"/>
    </w:p>
    <w:p>
      <w:pPr>
        <w:pStyle w:val="BookText"/>
        <w:rPr/>
      </w:pPr>
      <w:r>
        <w:rPr>
          <w:rFonts w:ascii="IRNazanin" w:hAnsi="IRNazanin" w:eastAsia="IRNazanin"/>
          <w:color w:val="111111"/>
          <w:sz w:val="28"/>
          <w:sz w:val="28"/>
          <w:szCs w:val="28"/>
          <w:rtl w:val="true"/>
          <w:lang w:bidi="fa-IR"/>
        </w:rPr>
        <w:t>لا بدّ علی القول بوضعه للأعمّ من فرض جامع بین المتلبّس و ما انقضی عنه هو الموضوع له، بل هو من أرکان هذا البحث؛ إذ لا مجال له مع عدم الجامع بینهما؛ إذ لا مجال للقول بالاشتراک اللّفظی و تعدّد الوضع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لخصوص المتلبّس، و اخری لما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لغویّة البحث و عدم ترتّب الثمرة علیه</w:t>
      </w:r>
      <w:r>
        <w:rPr>
          <w:rStyle w:val="FootnoteAnchor"/>
          <w:rtl w:val="true"/>
        </w:rPr>
        <w:footnoteReference w:id="226"/>
      </w:r>
      <w:r>
        <w:rPr>
          <w:rFonts w:ascii="IRNazanin" w:hAnsi="IRNazanin" w:eastAsia="IRNazanin"/>
          <w:color w:val="111111"/>
          <w:sz w:val="28"/>
          <w:sz w:val="28"/>
          <w:szCs w:val="28"/>
          <w:rtl w:val="true"/>
          <w:lang w:bidi="fa-IR"/>
        </w:rPr>
        <w:t>و لا لدعوی أنّ الموضوع له فی المشتقّات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بتصوّر معنیً عامّ شامل للمتلبّس و ما انقضی عنه و وضعه لأفراده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ترتّب الثمرة المذکورة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ثمرة اخری و هی إجمال الخطاب علی القول بالأعمّ، و عدمه علی القول الآخر، فلا مناص عن القول بعموم الموضوع له فیها، فعلی القول بالأعمّ یحتاج إلی جامع هو الموضوع له، و لا شبهة فی عدم وجود الجامع المقولی فی المقام لعدم تصوّره، کما لا یتصوّر الجامع المقولی بین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أنّهما من قبیل الأمرین الوجودیّین، فما یتصوّر أن یکون جامعاً بینهما هو عنوان المتلبّس مطلقاً، لکنّه یشمل المتلبّس بالمستقبل أیضاً، و کذلک المتلبّس به فی الجملة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الجامع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یمکن أن یقال فی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ما خرج من الوجود إلی العدم أعمّ من المتلبّس بالفعل أو ما انقضی عنه التلبّس</w:t>
      </w:r>
      <w:r>
        <w:rPr>
          <w:rFonts w:eastAsia="IRNazanin" w:cs="IRNazanin"/>
          <w:color w:val="111111"/>
          <w:sz w:val="28"/>
          <w:szCs w:val="28"/>
          <w:rtl w:val="true"/>
          <w:lang w:bidi="fa-IR"/>
        </w:rPr>
        <w:t>.</w:t>
      </w:r>
      <w:bookmarkStart w:id="304" w:name="pg12886_133269"/>
    </w:p>
    <w:p>
      <w:pPr>
        <w:pStyle w:val="BookText"/>
        <w:rPr/>
      </w:pPr>
      <w:bookmarkEnd w:id="304"/>
      <w:r>
        <w:rPr>
          <w:rFonts w:ascii="IRNazanin" w:hAnsi="IRNazanin" w:eastAsia="IRNazanin"/>
          <w:color w:val="111111"/>
          <w:sz w:val="28"/>
          <w:sz w:val="28"/>
          <w:szCs w:val="28"/>
          <w:rtl w:val="true"/>
          <w:lang w:bidi="fa-IR"/>
        </w:rPr>
        <w:t>و هو أیضاً بعید غایته، لا أظنّ أن یلتزم به القائل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جامع بینهما مقولیّاً ذاتیّاً و لا عرضیّاً، و الظاهر أنّ القائلین بالأعمّ لم یتفطّنوا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لا بدّ هنا من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ذهبوا إلی ذلک بملاحظة بعض الاستعمالات و الموارد التی استعمل فیها المشتقّ فیما انقضی عنه المبدأ، و أمّا علی المذهب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حقیقة فی خصوص المتلبّس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یفتقر إلی تصویر الجامع و وجوده</w:t>
      </w:r>
      <w:r>
        <w:rPr>
          <w:rFonts w:eastAsia="IRNazanin" w:cs="IRNazanin"/>
          <w:color w:val="111111"/>
          <w:sz w:val="28"/>
          <w:szCs w:val="28"/>
          <w:rtl w:val="true"/>
          <w:lang w:bidi="fa-IR"/>
        </w:rPr>
        <w:t>.</w:t>
      </w:r>
    </w:p>
    <w:p>
      <w:pPr>
        <w:pStyle w:val="Heading4"/>
        <w:numPr>
          <w:ilvl w:val="3"/>
          <w:numId w:val="1"/>
        </w:numPr>
        <w:rPr/>
      </w:pPr>
      <w:bookmarkStart w:id="305" w:name="__RefHeading___Toc3024025_3224264995"/>
      <w:bookmarkStart w:id="306" w:name="_Toc113"/>
      <w:bookmarkEnd w:id="305"/>
      <w:r>
        <w:rPr>
          <w:rtl w:val="true"/>
        </w:rPr>
        <w:t>الأمر الثامن</w:t>
      </w:r>
      <w:r>
        <w:rPr>
          <w:rtl w:val="true"/>
        </w:rPr>
        <w:t xml:space="preserve">: </w:t>
      </w:r>
      <w:r>
        <w:rPr>
          <w:rtl w:val="true"/>
        </w:rPr>
        <w:t>فی الأصل عند الشک فی المقام</w:t>
      </w:r>
      <w:bookmarkEnd w:id="306"/>
    </w:p>
    <w:p>
      <w:pPr>
        <w:pStyle w:val="BookText"/>
        <w:rPr/>
      </w:pPr>
      <w:r>
        <w:rPr>
          <w:rFonts w:ascii="IRNazanin" w:hAnsi="IRNazanin" w:eastAsia="IRNazanin"/>
          <w:color w:val="111111"/>
          <w:sz w:val="28"/>
          <w:sz w:val="28"/>
          <w:szCs w:val="28"/>
          <w:rtl w:val="true"/>
          <w:lang w:bidi="fa-IR"/>
        </w:rPr>
        <w:t>لا أصل لفظی یرجع إلیه فی المقام عند الشکّ و عدم الدلیل علی إثبات أحد القولین، بل لا وجه للرجوع إلیه علی فرض وجوده؛ لما عرفت من أنّ النزاع إنّما هو فی مفهوم المشتقّ و مدلوله الموضوع له، و أنّ البحث فیه لغوی لا یفیده الأصل اللّفظی، بل المرجع فی فرض الشکّ هو الأصل العملی، و یختلف باختلاف الموارد؛ فما له حالة سابقة ملحوظة فهو مورد الاستصحاب، و إلّا فالبراءة</w:t>
      </w:r>
      <w:r>
        <w:rPr>
          <w:rFonts w:eastAsia="IRNazanin" w:cs="IRNazanin"/>
          <w:color w:val="111111"/>
          <w:sz w:val="28"/>
          <w:szCs w:val="28"/>
          <w:rtl w:val="true"/>
          <w:lang w:bidi="fa-IR"/>
        </w:rPr>
        <w:t>.</w:t>
      </w:r>
    </w:p>
    <w:p>
      <w:pPr>
        <w:pStyle w:val="Heading4"/>
        <w:numPr>
          <w:ilvl w:val="3"/>
          <w:numId w:val="1"/>
        </w:numPr>
        <w:rPr/>
      </w:pPr>
      <w:bookmarkStart w:id="307" w:name="__RefHeading___Toc3024027_3224264995"/>
      <w:bookmarkStart w:id="308" w:name="_Toc114"/>
      <w:bookmarkEnd w:id="307"/>
      <w:r>
        <w:rPr>
          <w:rtl w:val="true"/>
        </w:rPr>
        <w:t>الأقوال فی المسألة و مناقشتها</w:t>
      </w:r>
      <w:bookmarkEnd w:id="308"/>
    </w:p>
    <w:p>
      <w:pPr>
        <w:pStyle w:val="Heading5"/>
        <w:numPr>
          <w:ilvl w:val="4"/>
          <w:numId w:val="1"/>
        </w:numPr>
        <w:rPr/>
      </w:pPr>
      <w:bookmarkStart w:id="309" w:name="__RefHeading___Toc3024029_3224264995"/>
      <w:bookmarkStart w:id="310" w:name="_Toc115"/>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إذا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عند القدماء ذات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الوضع لخصوص المتلبّس؛ أی مفهومه المنطبق علیه</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للأعم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المتأخّرون أقوالًا اخر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کالتفصیل بین ما کان المشتقّ محکوماً علیه و محکوماً به، فاشترطوا البقاء فی</w:t>
      </w:r>
      <w:bookmarkStart w:id="311" w:name="pg12886_133270"/>
    </w:p>
    <w:p>
      <w:pPr>
        <w:pStyle w:val="BookText"/>
        <w:rPr/>
      </w:pPr>
      <w:bookmarkEnd w:id="311"/>
      <w:r>
        <w:rPr>
          <w:rFonts w:ascii="IRNazanin" w:hAnsi="IRNazanin" w:eastAsia="IRNazanin"/>
          <w:color w:val="111111"/>
          <w:sz w:val="28"/>
          <w:sz w:val="28"/>
          <w:szCs w:val="28"/>
          <w:rtl w:val="true"/>
          <w:lang w:bidi="fa-IR"/>
        </w:rPr>
        <w:t>الثانی دون الأوّل</w:t>
      </w:r>
      <w:r>
        <w:rPr>
          <w:rStyle w:val="FootnoteAnchor"/>
          <w:rtl w:val="true"/>
        </w:rPr>
        <w:footnoteReference w:id="229"/>
      </w:r>
      <w:r>
        <w:rPr>
          <w:rFonts w:ascii="Amiri" w:hAnsi="Amiri" w:eastAsia="Amiri" w:cs="Amiri"/>
          <w:color w:val="111111"/>
          <w:sz w:val="28"/>
          <w:sz w:val="28"/>
          <w:szCs w:val="28"/>
          <w:rtl w:val="true"/>
          <w:lang w:bidi="ar-SA"/>
        </w:rPr>
        <w:t>، و الظاهر أنّ هذا التفصیل ناش عن ملاحظة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الآیة،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إذ لا شبهة فی وجوب حدّ السارق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صدر عنه ذلک و لو قبل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التلبّس أیضاً للآیة، و الاستدلال بهما لا یتمّ إلّا علی القول بالأعمّ إذا جعل موضوعاً کما فی الآیتین، دون ما إذا کان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هذا التفصیل هو الآیتان؛ بملاحظة مفروغیّة وجوب حدِّ مَن صدر منه الزنا و السرقة و إن 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المبدأ من المصادر السیّالة کالتکلّم و نحوه، و بین الامور القارّة، فاشترطوا البقاء فی الثانی، دون الأوّل</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الأقوال التی لا جدوی فی التعرّض لها</w:t>
      </w:r>
      <w:r>
        <w:rPr>
          <w:rFonts w:eastAsia="IRNazanin" w:cs="IRNazanin"/>
          <w:color w:val="111111"/>
          <w:sz w:val="28"/>
          <w:szCs w:val="28"/>
          <w:rtl w:val="true"/>
          <w:lang w:bidi="fa-IR"/>
        </w:rPr>
        <w:t>.</w:t>
      </w:r>
    </w:p>
    <w:p>
      <w:pPr>
        <w:pStyle w:val="Heading5"/>
        <w:numPr>
          <w:ilvl w:val="4"/>
          <w:numId w:val="1"/>
        </w:numPr>
        <w:rPr/>
      </w:pPr>
      <w:bookmarkStart w:id="312" w:name="__RefHeading___Toc3024031_3224264995"/>
      <w:bookmarkStart w:id="313" w:name="_Toc116"/>
      <w:bookmarkEnd w:id="312"/>
      <w:r>
        <w:rPr>
          <w:rtl w:val="true"/>
        </w:rPr>
        <w:t>الحقّ فی المسألة و أدلّة الأخصّی</w:t>
      </w:r>
      <w:bookmarkEnd w:id="313"/>
    </w:p>
    <w:p>
      <w:pPr>
        <w:pStyle w:val="Heading6"/>
        <w:numPr>
          <w:ilvl w:val="5"/>
          <w:numId w:val="1"/>
        </w:numPr>
        <w:rPr/>
      </w:pPr>
      <w:bookmarkStart w:id="314" w:name="__RefHeading___Toc3024033_3224264995"/>
      <w:bookmarkStart w:id="315" w:name="_Toc117"/>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خصوص المتلبّس؛ بمعنی أنّه موضوع لمفهوم لا ینطبق إلّا علی المتلبِّس بالفعل، و الدلیل علی ذلک هو التبادر فقط</w:t>
      </w:r>
      <w:r>
        <w:rPr>
          <w:rFonts w:eastAsia="IRNazanin" w:cs="IRNazanin"/>
          <w:color w:val="111111"/>
          <w:sz w:val="28"/>
          <w:szCs w:val="28"/>
          <w:rtl w:val="true"/>
          <w:lang w:bidi="fa-IR"/>
        </w:rPr>
        <w:t>.</w:t>
      </w:r>
    </w:p>
    <w:p>
      <w:pPr>
        <w:pStyle w:val="Heading6"/>
        <w:numPr>
          <w:ilvl w:val="5"/>
          <w:numId w:val="1"/>
        </w:numPr>
        <w:rPr/>
      </w:pPr>
      <w:bookmarkStart w:id="316" w:name="__RefHeading___Toc3024035_3224264995"/>
      <w:bookmarkStart w:id="317" w:name="_Toc118"/>
      <w:bookmarkEnd w:id="316"/>
      <w:r>
        <w:rPr>
          <w:rtl w:val="true"/>
        </w:rPr>
        <w:t>و أمّا الاستدلالات المذکورة فی کتب الاصولیین فهی مخدوشة</w:t>
      </w:r>
      <w:r>
        <w:rPr>
          <w:rtl w:val="true"/>
        </w:rPr>
        <w:t>:</w:t>
      </w:r>
      <w:bookmarkEnd w:id="3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بدّ فی الحمل من وجود خصوصیّة فی الموضوع توجب صحّته، و إلّا یلزم صحّة حمل کلّ شی‌ء علی کلّ شی‌ء، فهذه الخصوصیّة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التلبّس الفعلی بالضرب، و هو المطلوب، أو غیره من الامور المنتزعة،</w:t>
      </w:r>
    </w:p>
    <w:p>
      <w:pPr>
        <w:pStyle w:val="BookText"/>
        <w:rPr/>
      </w:pPr>
      <w:r>
        <w:rPr>
          <w:rFonts w:ascii="IRNazanin" w:hAnsi="IRNazanin" w:eastAsia="IRNazanin"/>
          <w:color w:val="111111"/>
          <w:sz w:val="28"/>
          <w:sz w:val="28"/>
          <w:szCs w:val="28"/>
          <w:rtl w:val="true"/>
          <w:lang w:bidi="fa-IR"/>
        </w:rPr>
        <w:t>و لیس فیه ما یصلح لذلک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النزاع مبنی علی النزاع فی أنّ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أو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فهو موضوع لخصوص المتلبِّس، و علی الثانی للأعمّ، و حیث إنّ الحقّ هو الأوّل، و أنّه لا فرق بین المشتقّ و مبدئه إلّا باللابشرطیّة و البشرطاللائیة، فالحقّ هو أنّه موضوع لخصوص المتلبّس</w:t>
      </w:r>
      <w:r>
        <w:rPr>
          <w:rStyle w:val="FootnoteAnchor"/>
          <w:rtl w:val="true"/>
        </w:rPr>
        <w:footnoteReference w:id="234"/>
      </w:r>
      <w:r>
        <w:rPr>
          <w:rFonts w:ascii="Amiri" w:hAnsi="Amiri" w:eastAsia="Amiri" w:cs="Amiri"/>
          <w:color w:val="111111"/>
          <w:sz w:val="28"/>
          <w:sz w:val="28"/>
          <w:szCs w:val="28"/>
          <w:rtl w:val="true"/>
          <w:lang w:bidi="ar-SA"/>
        </w:rPr>
        <w:t>، کما ذهب إلیه المحقّق الدَّوانی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الاستدلالات لا تلائم هذا البحث؛ لما عرفت من أنّ البحث فیه إنّما هو فی المفهوم التصوّری للمشتقّ، و أنّ البحث لُغوی لا عقلی، کما هو مقتضی استدلال المحقّق المزبور، إذ لا ارتباط له بالبحث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شبهة فی أنّ مثل الأبیض و الأسود و نحوهما من الأوصاف المتقابلة المتضادّة یمتنع اجتماعهما فی موضوع واحد، و حینئذٍ فلو فرض اتّصاف جسم أوّلًا بالسواد، ثمّ زال السواد عنه، و اتّصف بالبیاض، و فرض أنّ المشتقّ حقیقة فی الأعمّ، لزم صدقُ عنوانی الأسود و الأبیض علی الجسم المذکور و ارتفاعُ التضادّ بینهما، و لکنّه محال فیلزمه استحالة القول بالأعمّ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الأسود و الأبیض متضادّان لا یمکن اجتماعهما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التبادر، و إلّا فلا مضادّة بینهما، فحیث إنّ المتبادر هو خصوص المتلبّس، فلا یطلق علیه الوصف الآخر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کالاستدلال بصحّة السلب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318" w:name="pg12886_133272"/>
    </w:p>
    <w:p>
      <w:pPr>
        <w:pStyle w:val="BookText"/>
        <w:rPr/>
      </w:pPr>
      <w:bookmarkEnd w:id="318"/>
      <w:r>
        <w:rPr>
          <w:rFonts w:ascii="IRNazanin" w:hAnsi="IRNazanin" w:eastAsia="IRNazanin"/>
          <w:color w:val="111111"/>
          <w:sz w:val="28"/>
          <w:sz w:val="28"/>
          <w:szCs w:val="28"/>
          <w:rtl w:val="true"/>
          <w:lang w:bidi="fa-IR"/>
        </w:rPr>
        <w:t>فإنّ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مسبوقة دائماً بالتبادر، و اورد علی الاستدلال بصحّة السلب أیضاً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صحّته مطلقاً و بدون القید، فهی ممنوعة، و إن ارید صحّته مقیّداً بالحال فغیر مفیدة؛ لأنّ ما هو علامة المجاز هو صحّته مطلقاً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القید قیداً للمحمول؛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بضارب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تلبّسه بالضرب و زواله، و اخذ الموضوع و السلب مطلقین، فهو صحیح؛ لأنّ سلب المقیّد أعمّ من سلب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القید للسلب؛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فی الحال بضارب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للموضوع؛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الحال لیس بضارب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فغیر ضائر بکونها علامة؛ ضرورة صدق المطلق علی أفراده علی کلّ حال</w:t>
      </w:r>
      <w:r>
        <w:rPr>
          <w:rStyle w:val="FootnoteAnchor"/>
          <w:rtl w:val="true"/>
        </w:rPr>
        <w:footnoteReference w:id="2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إذا کان للموضوع فربّما یصیر الحمل غلطاً، کما لو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الآن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القید جزءاً للموضوع، و علی تقدیر جعله قیداً للسلب أیضاً لا یتمّ الاستدلال بها للمطلوب؛ لأنّ المطلوب هو عدم صحّة إطلاق الضارب علی ما انقضی عنه الضرب علی نحو إطلاقه علی المتلبّس به فعلًا، و هذا الدلیل لا یفی بإثباته؛ حیث إنّ القید إذا جعل للموضوع أو السلب فالمسلوب هو الضاربیّة المطلقة عن الموضوع المقیّد أو سلب الضاربیّة المقیّدة بالحال عن زید المطلق لا السلب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أیضاً لا یخلو عن المناقشة، فالدلیل علی هذا القول ینحصر بالتبادر</w:t>
      </w:r>
      <w:r>
        <w:rPr>
          <w:rFonts w:eastAsia="IRNazanin" w:cs="IRNazanin"/>
          <w:color w:val="111111"/>
          <w:sz w:val="28"/>
          <w:szCs w:val="28"/>
          <w:rtl w:val="true"/>
          <w:lang w:bidi="fa-IR"/>
        </w:rPr>
        <w:t>.</w:t>
      </w:r>
    </w:p>
    <w:p>
      <w:pPr>
        <w:pStyle w:val="Heading5"/>
        <w:numPr>
          <w:ilvl w:val="4"/>
          <w:numId w:val="1"/>
        </w:numPr>
        <w:rPr/>
      </w:pPr>
      <w:bookmarkStart w:id="319" w:name="__RefHeading___Toc3024037_3224264995"/>
      <w:bookmarkStart w:id="320" w:name="_Toc119"/>
      <w:bookmarkEnd w:id="319"/>
      <w:r>
        <w:rPr>
          <w:rtl w:val="true"/>
        </w:rPr>
        <w:t>أدلّة الأعمّی و مناقشتها</w:t>
      </w:r>
      <w:bookmarkEnd w:id="3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للأعمّ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التبادر</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المتبادر هو خصوص المتلبّس لا الأعمّ، و أنّ دعواه فی المقام فرع وجود الجامع الذاتی أو المقولی بین المتلبّس و المنقضی عنه المبدأ، و هو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فی وجوب قطع ید من تلبّس بالسرقة فی زمانٍ سابق؛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 حدّ الزانی کذلک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و لا یتمّ دلالتهما علی وجوبهما مع انقضاء التلبّس، إلّا علی القول بأنّه حقیقة فی الأعمّ؛ إذ علی القول باعتبار التلبّس بالفعل لا یصدق السّارق و الزّانی علیهما، و لا تشملهما الآیتان، مع أنّ دلالتهما علیه ممّا لا شبهة فیه تعتری لأحد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أنّ الموضوع لوجوب الحدّ هو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المنتزعان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ممنوع، بل الموضوع له فیهما هو صدور الفعل فی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السرقة و الزنا بمجرّده علّة تامّة لوجوب القطع و الحدّ و لو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علی من وقع علیه القتل و الضرب و لو فی الزمان السابق، و هو دلیل علی أنّ المشتقّ حقیقة فی الأعمّ، و إلّا لم یصدق ذلک علیهما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التجأ بعض من ذهب إلی أنّه حقیقة فی خصوص المتلبّس بالفعل، إلی</w:t>
      </w:r>
    </w:p>
    <w:p>
      <w:pPr>
        <w:pStyle w:val="BookText"/>
        <w:rPr/>
      </w:pPr>
      <w:r>
        <w:rPr>
          <w:rFonts w:ascii="IRNazanin" w:hAnsi="IRNazanin" w:eastAsia="IRNazanin"/>
          <w:color w:val="111111"/>
          <w:sz w:val="28"/>
          <w:sz w:val="28"/>
          <w:szCs w:val="28"/>
          <w:rtl w:val="true"/>
          <w:lang w:bidi="fa-IR"/>
        </w:rPr>
        <w:t>دعوی خروج اسم المفعول عن حریم النزاع و محطّ البحث فی هذا الباب</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فرق بین اسمی الفاعل و المفعول فی أنّه کما یمکن صدور الحَدَث من ذات و انقضاؤه، یمکن وقوعه علی الذات و انقضاؤه بحسب العرف و اللّغة، و لا سبیل إلی توهّم بقاء القتل و الضرب الواقعین علی الذات بعد زمان الوقوع، کما یشهد به العرف و اللّغة، فلا مجال لتوهّم خروجه عن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الإمام علیه السلام فی غیر واحدٍ من الأخبار</w:t>
      </w:r>
      <w:r>
        <w:rPr>
          <w:rStyle w:val="FootnoteAnchor"/>
          <w:rtl w:val="true"/>
        </w:rPr>
        <w:footnoteReference w:id="246"/>
      </w:r>
      <w:r>
        <w:rPr>
          <w:rFonts w:ascii="Amiri" w:hAnsi="Amiri" w:eastAsia="Amiri" w:cs="Amiri"/>
          <w:color w:val="111111"/>
          <w:sz w:val="28"/>
          <w:sz w:val="28"/>
          <w:szCs w:val="28"/>
          <w:rtl w:val="true"/>
          <w:lang w:bidi="ar-SA"/>
        </w:rPr>
        <w:t>بعدم صلاحیّة عَبَدة الأصنام و الأوثان لمنصب الإمامة و الخلافة و لو بعد إسلامهم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تعریضاً بمَن تصدّی لهما ممّن عبد الأصنام مدّةً مدیدة فی الزمان السابق و لو بعد إسلامهم، و هو إنّما یتمّ علی القول بالأعمّ، و إلّا فمن المعلوم عدم تلبّسهم بالظلم و عبادة الأصنام حین تصدّیهم للخلافة، فیکشف استدلاله علیه السلام بالآیة عن أنّ المشتقّ حقیقة فی الأعمّ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لو کان الموضوع و العلّة التامّة لعدم الصلاحیة لتصدّی الخلافة هو صدق عنوان الظالم علیه، و لیس کذلک، بل الموضوع و العلّة التامّة لذلک هو صدور الظلم و لو آناً ما، سواءً کان قابلًا للبقاء کعبادة الصنم، أم لا کدفنهم البنات، فلا یتمّ هذا الاستدلال أیضاً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الکلام علی وجه یرتفع النقاب عن وجه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الآیة الشریفة فی مقام بیان عِظم قدر الخلافة، و جلالة منصبها، و علوّ درجتها و شأنها، و عِظم خطر الرئاسة الإلهیّة علی الناس، و السلطة علیهم و علی أموالهم، و أنها أجلّ المناصب</w:t>
      </w:r>
      <w:bookmarkStart w:id="321" w:name="pg12886_133275"/>
    </w:p>
    <w:p>
      <w:pPr>
        <w:pStyle w:val="BookText"/>
        <w:rPr/>
      </w:pPr>
      <w:bookmarkEnd w:id="321"/>
      <w:r>
        <w:rPr>
          <w:rFonts w:ascii="Amiri" w:hAnsi="Amiri" w:eastAsia="Amiri" w:cs="Amiri"/>
          <w:color w:val="111111"/>
          <w:sz w:val="28"/>
          <w:sz w:val="28"/>
          <w:szCs w:val="28"/>
          <w:rtl w:val="true"/>
          <w:lang w:bidi="ar-SA"/>
        </w:rPr>
        <w:t>الإلهیّة، کما یشهد لذلک سیاق الآیة،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و ذکر الصدوق قدس سره نحواً من عشرین قضیّة اتّفقت لإبراهیم ابتلاه اللَّه بها، التی من جملتها أمره تعالی بذبح ولده</w:t>
      </w:r>
      <w:r>
        <w:rPr>
          <w:rStyle w:val="FootnoteAnchor"/>
          <w:rtl w:val="true"/>
        </w:rPr>
        <w:footnoteReference w:id="250"/>
      </w:r>
      <w:r>
        <w:rPr>
          <w:rFonts w:ascii="IRNazanin" w:hAnsi="IRNazanin" w:eastAsia="IRNazanin"/>
          <w:color w:val="111111"/>
          <w:sz w:val="28"/>
          <w:sz w:val="28"/>
          <w:szCs w:val="28"/>
          <w:rtl w:val="true"/>
          <w:lang w:bidi="fa-IR"/>
        </w:rPr>
        <w:t>، فإنّ ابتلاء اللَّه تعالی إیّاه لم یکن لأجل الاختبار و الامتحان الحقیقی؛ لعلمه تعالی بحاله قبل وجوده و وجود کافّة الممکنات، بل لأجل تکمیله لأجل الصبر و تحمّل الشدائد و المشاقّ و تقویة روحه و نفسه؛ لافتقار الرئاسة علی الناس و الخلافة و دعوتهم إلی التوحید و الصراط المستقیم إلی ذلک، و إلی عصمته و عدم صدور الظلم منه و لو آناً ما، فصدورُ الظلم و عبادة الأصنام و لو فی الأزمنة السابقة، مانعٌ عن وصول الشخص إلی هذه المرتبة العظمی، التی هی فوق منصب الخلّة و نیلها، و لمّا أراد إبراهیم أن یعرف أنّه هل یوجد من ذرّیّته من یلیق لهذا المنصب؟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لاشتیاقه و حبّه أن یکون ذُرّیّته رؤساء علی الناس؛ لتنزّهه و تنزّه جمیع الأنبیاء عن المقاصد الدنیویّة، بل لمجرّد أن یعرف ذلک و یطّلع علیه،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هذا نفیاً لما سأله إبراهیم، بل مفاده أنّ اللّائق لهذا المنصب هو من لم یصدر منه ظلم أصلًا، و حینئذٍ فالآیة أجنبیّة عمّا نحن فیه</w:t>
      </w:r>
      <w:r>
        <w:rPr>
          <w:rFonts w:eastAsia="IRNazanin" w:cs="IRNazanin"/>
          <w:color w:val="111111"/>
          <w:sz w:val="28"/>
          <w:szCs w:val="28"/>
          <w:rtl w:val="true"/>
          <w:lang w:bidi="fa-IR"/>
        </w:rPr>
        <w:t>.</w:t>
      </w:r>
    </w:p>
    <w:p>
      <w:pPr>
        <w:pStyle w:val="Heading4"/>
        <w:numPr>
          <w:ilvl w:val="3"/>
          <w:numId w:val="1"/>
        </w:numPr>
        <w:rPr/>
      </w:pPr>
      <w:bookmarkStart w:id="322" w:name="__RefHeading___Toc3024039_3224264995"/>
      <w:bookmarkStart w:id="323" w:name="_Toc120"/>
      <w:bookmarkEnd w:id="322"/>
      <w:r>
        <w:rPr>
          <w:rtl w:val="true"/>
        </w:rPr>
        <w:t>و ینبغی التنبیه علی امور</w:t>
      </w:r>
      <w:bookmarkEnd w:id="323"/>
    </w:p>
    <w:p>
      <w:pPr>
        <w:pStyle w:val="Heading5"/>
        <w:numPr>
          <w:ilvl w:val="4"/>
          <w:numId w:val="1"/>
        </w:numPr>
        <w:rPr/>
      </w:pPr>
      <w:bookmarkStart w:id="324" w:name="__RefHeading___Toc3024041_3224264995"/>
      <w:bookmarkStart w:id="325" w:name="_Toc121"/>
      <w:bookmarkEnd w:id="324"/>
      <w:r>
        <w:rPr>
          <w:rtl w:val="true"/>
        </w:rPr>
        <w:t>الأمر الأوّل</w:t>
      </w:r>
      <w:r>
        <w:rPr>
          <w:rtl w:val="true"/>
        </w:rPr>
        <w:t xml:space="preserve">: </w:t>
      </w:r>
      <w:r>
        <w:rPr>
          <w:rtl w:val="true"/>
        </w:rPr>
        <w:t>الأقوال فی ترکیب المشتقّ و بساطته و الحقّ فیها</w:t>
      </w:r>
      <w:bookmarkEnd w:id="325"/>
    </w:p>
    <w:p>
      <w:pPr>
        <w:pStyle w:val="BookText"/>
        <w:rPr/>
      </w:pPr>
      <w:r>
        <w:rPr>
          <w:rFonts w:ascii="IRNazanin" w:hAnsi="IRNazanin" w:eastAsia="IRNazanin"/>
          <w:color w:val="111111"/>
          <w:sz w:val="28"/>
          <w:sz w:val="28"/>
          <w:szCs w:val="28"/>
          <w:rtl w:val="true"/>
          <w:lang w:bidi="fa-IR"/>
        </w:rPr>
        <w:t>اختلفوا فی أنّ المشتقّ بسیط أو مرکّب علی أقوال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الترکیب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التفصیلی،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ترکّب اللّفظ من لفظین موضوعین؛ کلّ واحدٍ لمعنیً، و الترکیب الانحلالی، و هو عبارة عن اللّفظ و المعنی البسیطین القابلین للتحلیل عند التعمّل العقلی مع بساطة اللّفظ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قسم آخر للبسیط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یقبل لفظه الانحلال و لو عقلًا، و کذلک معناه لکنّه ینحلّ کانحلال الجوامد إلی الهیولی و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أوّلًا من التعرّض لبیان الوجه فی کلّ واحدٍ من أقسام الترکّب و البساطة، ثمّ التعرّض لما هو المختار فی المشتقّ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القسم الأوّل من الترکیب فی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إنّ المشتقّ مرکّب من المادّة و الهیئة، و کلٌّ منهما موضوع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لطبیعة الحدث، و الثانیة لانتسابه إلی الفاعل، فکلّ واحدةٍ منهما موضوعة لمعنیً، فهو مرکّب بهذا المعنی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تصویر القسم الثانی من الترکیب أیضاً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واحدةٍ من المادّة و الصورة و إن وضعت لمعنیً غیر الآخر، لکن المفهوم منها شی‌ء واحد، و أمّا المادّة و الهیئة فلا یستقلّ کلّ واحد منهما عن الآخر فی اللّفظ، و لا فی مقام الدلالة، و لا من حیث المعنی، و هذا فی عالم الألفاظ کالهیولی و الصورة فی عالم الحقائق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تصویر البساطة بالمعنی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الغیر القابل للانحلال و لو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 المصدر و المشتقّ إلّا بالاعتبار، و هو اللّابشرطیّة و البشرطلائیّة، کما ذهب إلیه المحقّق الدَّوانی</w:t>
      </w:r>
      <w:r>
        <w:rPr>
          <w:rStyle w:val="FootnoteAnchor"/>
          <w:rtl w:val="true"/>
        </w:rPr>
        <w:footnoteReference w:id="251"/>
      </w:r>
      <w:r>
        <w:rPr>
          <w:rFonts w:ascii="IRNazanin" w:hAnsi="IRNazanin" w:eastAsia="IRNazanin"/>
          <w:color w:val="111111"/>
          <w:sz w:val="28"/>
          <w:sz w:val="28"/>
          <w:szCs w:val="28"/>
          <w:rtl w:val="true"/>
          <w:lang w:bidi="fa-IR"/>
        </w:rPr>
        <w:t>و حیث إنّه لا یمکن حمل الحدث علی الذات وضعت هیئة المشتقّ لإمکان الحمل، لا لإفادة المعنی، نظیر ما تقدّم من أنّ هیئة المصدر موضوعة لإمکان النطق بالمادّة لا غیر، فعلی هذا فمفهوم المشتقّ بسیط غیر قابل للانحلال العقلی، فالأقوال فی المشتقّ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 مرکّب تفصیلًا، و القول بأنّه بسیط، لکنّه</w:t>
      </w:r>
    </w:p>
    <w:p>
      <w:pPr>
        <w:pStyle w:val="BookText"/>
        <w:rPr/>
      </w:pPr>
      <w:r>
        <w:rPr>
          <w:rFonts w:ascii="IRNazanin" w:hAnsi="IRNazanin" w:eastAsia="IRNazanin"/>
          <w:color w:val="111111"/>
          <w:sz w:val="28"/>
          <w:sz w:val="28"/>
          <w:szCs w:val="28"/>
          <w:rtl w:val="true"/>
          <w:lang w:bidi="fa-IR"/>
        </w:rPr>
        <w:t>قابل للانحلال بالتعمّل العقلی، و القول بأنّه بسیط غیر قابل للانحلال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هیئات المشتقّات اسمیّة و فعلیّة أیضاً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موضوعة لمعنیً حرفی، و هو إیجاد الطلب و حقیقة البعث بالحمل الشائع، و هو معنی قائم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الماضی 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لفظهما بسیط قابل للانحلال، و معناهما أیضاً کذلک، فاللّفظ و المعنی فیهما متطابقان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المشتقّات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موضوعة لمعنیً بسیط؛ لعدم أخذ الذات و لا الانتساب إلی فاعل و لا غیر ذلک فی مفهومهما، بل الموادّ فیها موضوعة لنفس طبیعة الحدث، و هی فی تحصّلها تحتاج إلی التهیّؤ بهیئة من الهیئات، و تحصّلها بهیئة المصدر لا تفید فی إمکان الحمل، فوضع هیئة فاعل لمجرّد إمکان الحمل علی الذات، و إلّا فلیس الانتساب إلی فاعل ما مأخوذاً فی مدلوله، فأظنّ أنّ المسألة ذات قولین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القابلة للانحلال</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البساطة الغیر القابلة 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الترکّب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أظنّ أنّ أحداً یلتزم به؛ بأن 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و الانتساب إلی فاعل ما، و الحدث؛ لشهادة الوجدان علی خلافه و أمّا ما یتراءی من بعض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لها الضرب</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مرادهم أنّه مرکّب منهما، بل هو فی مقام تقریب المعنی إلی الأذهان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لمعنیً بسیط قابل للانحلال العقلی، و لا مفرّ للقائل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w:t>
      </w:r>
    </w:p>
    <w:p>
      <w:pPr>
        <w:pStyle w:val="BookText"/>
        <w:rPr/>
      </w:pPr>
      <w:r>
        <w:rPr>
          <w:rFonts w:ascii="IRNazanin" w:hAnsi="IRNazanin" w:eastAsia="IRNazanin"/>
          <w:color w:val="111111"/>
          <w:sz w:val="28"/>
          <w:sz w:val="28"/>
          <w:szCs w:val="28"/>
          <w:rtl w:val="true"/>
          <w:lang w:bidi="fa-IR"/>
        </w:rPr>
        <w:t>الفرق بین المشتقّ و بین مبدئه إلّا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الالتزام بالترکیب الانحلالی، و إلّا فلا یمکنه حمل المشتقّ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بصرف عنان الکلام إلی التحقیق فی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المشتقّ و مبدئه إلّا بالبشرطلائیّة و اللّابشرطیّة</w:t>
      </w:r>
      <w:r>
        <w:rPr>
          <w:rStyle w:val="FootnoteAnchor"/>
          <w:rtl w:val="true"/>
        </w:rPr>
        <w:footnoteReference w:id="255"/>
      </w:r>
      <w:r>
        <w:rPr>
          <w:rFonts w:ascii="IRNazanin" w:hAnsi="IRNazanin" w:eastAsia="IRNazanin"/>
          <w:color w:val="111111"/>
          <w:sz w:val="28"/>
          <w:sz w:val="28"/>
          <w:szCs w:val="28"/>
          <w:rtl w:val="true"/>
          <w:lang w:bidi="fa-IR"/>
        </w:rPr>
        <w:t>، و بیان أنّهما من الامور الاعتباریّة أو من الامور الواقعیّة، و هو یحتاج إلی تقدیم مقدّمة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الموجودات الخارجیّة مختلفة فی أنفسها، و لها مراتب تسیر فیها، کالعناصر و المعادن و النباتات و الحیوانات و الإنسان، و لکلّ واحدةٍ من هذه المراتب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التوقّف، و مرتبة التحرّک و السیر إلی المرتبة الأعلی منها، إلّا المرتبة الأخیرة، و هی مرتبة الإنسانیّة، فلها مرتبة واحدة، و هی مرتبة التوقّف؛ و ذلک لأنّ الموجود فی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یتوقّف فیها، و هی العناصر کالماء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ببساطته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یتحرّک عنها، فهو العنصر المترقّی إلی أن یصیر معدناً، فإمّا أن یتوقّف فیه، فهی الجواهر المعدنیّة، و إمّا أن یتحرّک، و یترقّی إلی المرتبة التی فوقها، و هی مرتبة النباتیة، فإن توقّف فیها بعد الوصول إلیها، فهی النباتات، و إن لم یتوقّف، بل تحرّک و ترقّی إلی ما فوقها، و هی مرتبة الحیوانیة کالبقر و الغنم، فإمّا أن یتوقّف فیها، فهو الحیوان، و إلّا فیتحرّک نحو المرتبة الأخیرة، و هی الإنسانیّة و یتوقف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الأنواع مأخوذة من المراتب المتوقّفة، و کذلک الفصول، و أمّا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مأخوذة و منتزعة من المراتب المتحرّکة، و المراتب المتحرّکة هی المعبّر عنها باللابشرط، کالعنصر المتحرِّک و المعدن المتحرِّک و الحیوان المتحرِّک، و المراتب المتوقّفة هی المعبَّر عنها بالبشرطلائیّة، کالعناصر و المعادن و النباتات و الحیوانات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المعادن و النباتات و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بشرط لا فی الواقع</w:t>
      </w:r>
    </w:p>
    <w:p>
      <w:pPr>
        <w:pStyle w:val="BookText"/>
        <w:rPr/>
      </w:pPr>
      <w:r>
        <w:rPr>
          <w:rFonts w:ascii="IRNazanin" w:hAnsi="IRNazanin" w:eastAsia="IRNazanin"/>
          <w:color w:val="111111"/>
          <w:sz w:val="28"/>
          <w:sz w:val="28"/>
          <w:szCs w:val="28"/>
          <w:rtl w:val="true"/>
          <w:lang w:bidi="fa-IR"/>
        </w:rPr>
        <w:t>و نفس الأمر، و هی المراتب المتوقّفة منها، أو اللّابشرطیّة، و هی المراتب المتحرّکة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اللّابشرطیّة و البشرطلائیّة من الامور الواقعیّة النفس الأمریّة التی لها واقع محفوظ، لا من الامور الاعتباریّة القائمة بالاعتبار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فلنرجع إلی ما قیل من أنّ الفرق بین المشتقّ و مبدئه لیس إلّا باللّابشرطیّة و البشرطلائیّة، و قد أشرنا سابقاً أنّ مفاد الحمل هو الهُوهُویّة و الاتّحاد،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إنّما یصحّ إذا اتّحدا؛ بأن یکون لهما هویّة واحدة فی الواقع و نفس الأمر فی المراتب اللّابشرطیّة، و إلّا لم یصحّ حمل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أنّ الملاک فی صحّة الحمل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الاتّحاد و الهُوهُویّة الخارجیّة، فکذلک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الاتّحاد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ذاتیّاً، لکن للموضوع و المحمول فیه أیضاً نحو اتّحاد، و حیث إنّ الحدث البشرطلا آبٍ و متعصٍّ عن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الاتّحاد إنّما هو فی المراتب اللّابشرطیّة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الهیئة لإخراج المادّة عن التعصّی عن الحمل فقط، لا لإفادة المعنی، کما عن المحقّق الشیرازی</w:t>
      </w:r>
      <w:r>
        <w:rPr>
          <w:rStyle w:val="FootnoteAnchor"/>
          <w:rtl w:val="true"/>
        </w:rPr>
        <w:footnoteReference w:id="256"/>
      </w:r>
      <w:r>
        <w:rPr>
          <w:rFonts w:ascii="IRNazanin" w:hAnsi="IRNazanin" w:eastAsia="IRNazanin"/>
          <w:color w:val="111111"/>
          <w:sz w:val="28"/>
          <w:sz w:val="28"/>
          <w:szCs w:val="28"/>
          <w:rtl w:val="true"/>
          <w:lang w:bidi="fa-IR"/>
        </w:rPr>
        <w:t>، و القائل بالبساطة الغیر القابلة للانحلال لا مناص له عن الالتزام بذلک، و إلّا فالقول بأنّ کلّ واحدة من المادّة و الهیئة موضوعة بوضع علی حِدة لإفادة المعنی، لا یناسب القول بالبساطة علی النحو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المشتقّ و مبدئه موضوع لمعنیً واحد و هو الحدث لکنّه إن اعتبر بنحو اللّابشرط أمکن حمله علی الذات و إن اعتبر بنحو البشرطلا فهو آبٍ و عاص عن الحمل و أنّ الفرق بینهما بمجرّد اعتبار المعتبر لا فی الواقع و نفس الأمر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اعتبار المعتبر لا یغیّر الحدث عمّا هو علیه فی الواقع و نفس الأمر، فإن کان فی الواقع و نفس الأمر متعصیاً عن الحمل، فلا یتبدّل عمّا هو</w:t>
      </w:r>
    </w:p>
    <w:p>
      <w:pPr>
        <w:pStyle w:val="BookText"/>
        <w:rPr/>
      </w:pPr>
      <w:r>
        <w:rPr>
          <w:rFonts w:ascii="IRNazanin" w:hAnsi="IRNazanin" w:eastAsia="IRNazanin"/>
          <w:color w:val="111111"/>
          <w:sz w:val="28"/>
          <w:sz w:val="28"/>
          <w:szCs w:val="28"/>
          <w:rtl w:val="true"/>
          <w:lang w:bidi="fa-IR"/>
        </w:rPr>
        <w:t>علیه بمجرّد اعتبار المعتبر له بنحو اللّابشرطیّة، بل هو باقٍ عمّا هو علیه من إبائه عن الحمل مع الاعتبار أیضاً، و إلّا فلا، سواء اخذ بنحو اللّابشرطیّة أو البشرطلائیّة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الامور النفس الأمریّة، فلا یرد علی ما ذکرنا 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یمتنع حمل العلم و الحرکة علی الذات و إن اعتُبرا بنحو اللّابشرط</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صحّة الحمل هو الاتّحاد و الهُوهُویّة الخارجیّة فی الحمل الشائع و الاتّحاد فی المفهوم فی الحمل الأوّلی، و حینئذٍ فلا بدّ فی صحّة حمل المشتقّ علی الذات من وجود الملاک المزبور، و هو اتّحاده معها فی الوجود، و من المعلوم عدم اتّحاد الحدث مع الذات، فلا بدّ أن یکون فی المشتقّ حیثیّة بها صحّ حمله علیها، و اتّحاده معها فی الوجود، فلا محالة یکون مفهوم المشتقّ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الذات و الحدث و النسبة، و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الحدث و النسبة، کما عن المحقّق العراقی قدس سره علی ما فی التقریرات، فدلالته علی الذات عقلیّة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مستلزم للترکّب؛ لاحتیاج النسبة المأخوذة فی مفهومه إلی المنتسبین، فمرجعه إلی الأوّل الذی لا یلتزم هو قدس 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الذات و الصفة عند التعمّل العقلی و تحلیله، و إلّا فالمتبادر من المشتقّ أنّه مفهوم بسیط؛ أی الذات المعنونة لا مقیّداً بالعنوان، و هذا هو الحقّ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لفظ المشتقّ و مفهومه، بسیط قابل للانحلال و الترکیب عند التحلیل العقلی إلی المادّة و الهیئة و الذات و الصفة، و کذلک مدلوله، کما مرّ نظیره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بسیط من جمیع الجهات، و أنّ البساطة بحسب المفهوم وحدته إدراکاً و تصوّراً؛ بحیث لا یتصوّر عند تصوّره إلّا شی‌ء واحد، لا شیئان و إن انحلّ بتعمّل من العقل إلی شیئین، کانحلال مفهوم الحجر و الشجر إلی شی‌ء له الحجریّة و الشجریّة، مع وضوح بساطة مفهومیهما</w:t>
      </w:r>
      <w:r>
        <w:rPr>
          <w:rStyle w:val="FootnoteAnchor"/>
          <w:rtl w:val="true"/>
        </w:rPr>
        <w:footnoteReference w:id="2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المشتقّ بالجوامد غیر صحیح؛ لأنّ تحلیل الجوامد إلی شیئین غیر تحلیل المشتقّ إلیهما؛ لأنّ تحلیل الجوامد إنّما هو إلی المادّة و الصورة فی الخارج، بخلاف المشتقّ، فإنّ تحلیله إلیهما إنّما هو فی عالم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المحقّق الشریف علی القول بالترکیب بأنّه إن اخذ مفهوم الذات فیه أو الشی‌ء یلزم دخول العرض العامّ فی الفصل، و هو محال، و إن اخذ مصداق الذات أو الشی‌ء فیه یلزم انقلاب القضیّة الممکنة إلی الضروریّة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ضاحک أو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زیداً مصداق الذات أو الشی‌ء، و حمل الشی‌ء علی نفسه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ترکّب المشتقّ من الذات و الحدث، فإن ارید بالذات مفهومها و نحوه کمفهوم الشی‌ء، لزم دخول العرض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مفهوم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فی مثل الناطق و نظائره،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بها مصداق الشی‌ء و الذات لزم انقلاب مادّة الإمکان إلی الضرورة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مصداق الذات أو الشی‌ء هو الإنسان و زید و ثبوت الشی‌ء لنفسه ضروری فکأنّه قیل فی المثالین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أیضاً محال، فیستحیل ترکّب المشتقّ</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إشکالًا عقلیّاً علی القول بترکّب المشتقّ لیؤدّی إلی الاستحالة، بل مرجعه إلی دعوی تبادر خلاف ذلک من مفهوم المشتقّ، و أنّ القول</w:t>
      </w:r>
    </w:p>
    <w:p>
      <w:pPr>
        <w:pStyle w:val="BookText"/>
        <w:rPr/>
      </w:pPr>
      <w:r>
        <w:rPr>
          <w:rFonts w:ascii="IRNazanin" w:hAnsi="IRNazanin" w:eastAsia="IRNazanin"/>
          <w:color w:val="111111"/>
          <w:sz w:val="28"/>
          <w:sz w:val="28"/>
          <w:szCs w:val="28"/>
          <w:rtl w:val="true"/>
          <w:lang w:bidi="fa-IR"/>
        </w:rPr>
        <w:t>بالترکّب یوجب عدم صحّة تمثیل المنطقیّین للفصل بالناطق، لا دخول العرض العامّ فی الفصل الواقعی فی نفس الأمر، بناءً علی الشقّ الأوّل من التردید المذکور فی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 إشکاله هو أنّ ترکّب المشتقّ یستلزم أن یکون تمثیلهم للممکنة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أو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 لا انقلاب مادّة الإمکان إلی الضرورة فی الواقع و نفس الأمر، فإنّ الواقع لا یتغیّر عمّا هو علیه، مع أنّ إشکال الانقلاب جارٍ فی الشقّ الأوّل من التردید أیضاً؛ لأنّ ثبوت مفهوم الشیئیّة للإنسان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لیس إشکالًا عقلیّاً، بل غایته دعوی تبادر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استقامة ما ذکره و صحّته، یثبت به عدم ترکّب المشتقّ من الذات و غیرها، و عدم أخذ الذات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مفهوماً و لا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 ترکّبه أصلًا و بساطته مطلقاً، فلعلّ القائل بالترکّب یدّعی ترکّبه من الحدث و النسبة، کما اختاره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ارتباط لهذا الإشکال بالقول بترکّب المشتقّ، بل هو لازم سواء قلنا بترکّبه أو بساطته؛ إذ لو فرض بساطته و عدم أخذ الذات فی مفهومه، فلا أقلّ من دلالة المادّة علی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موضوعة لمجرّد إمکان الحمل و إخراج المادّة عن التعصّی عن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مناص للقائل ببساطته عن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نطقٌ لا بشرط، و لا شبهة فی أنّ الحدث من الأعراض، فیلزم دخول العرض فی الفصل، و هو محال، فهذه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علی کلّ تقدیر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الإغماض عمّا ذکرناه إنّما یرد ما ذکره علی القول بالترکّب التفصیلی، 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أنّه شی‌ء له النطق، و أمّا علی ما اخترناه من</w:t>
      </w:r>
    </w:p>
    <w:p>
      <w:pPr>
        <w:pStyle w:val="BookText"/>
        <w:rPr/>
      </w:pPr>
      <w:r>
        <w:rPr>
          <w:rFonts w:ascii="IRNazanin" w:hAnsi="IRNazanin" w:eastAsia="IRNazanin"/>
          <w:color w:val="111111"/>
          <w:sz w:val="28"/>
          <w:sz w:val="28"/>
          <w:szCs w:val="28"/>
          <w:rtl w:val="true"/>
          <w:lang w:bidi="fa-IR"/>
        </w:rPr>
        <w:t xml:space="preserve">أنّ مفهومه بسیطٌ لکنّه قابل للانحلال العقلی، 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الذات المعنونة بهذا العنوان فلا، و کذلک ما ذکره من لزوم الانقلاب بناءً علی الشرطیّة الثانیة، فإنّه إنّما یلزم علی القول بالترکّب التفصیلی، و أمّا علی ما اخترناه فلا، بل علی القول بالترکّب التفصیلی یصیر مجموع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 لأنّه خاصّة مرکّبة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الانحلال إلی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استدلال بعض آخر لبساطة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اخذت الذات فی مفهوم المشتقّ لزم التناقض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و للزم التکرار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اللّازم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استدلال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اخذت الذات فی مفهومه لزم الالتزام باشتمال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نسب</w:t>
      </w:r>
      <w:r>
        <w:rPr>
          <w:rStyle w:val="FootnoteAnchor"/>
          <w:rtl w:val="true"/>
        </w:rPr>
        <w:footnoteReference w:id="261"/>
      </w:r>
      <w:r>
        <w:rPr>
          <w:rFonts w:ascii="IRNazanin" w:hAnsi="IRNazanin" w:eastAsia="IRNazanin"/>
          <w:color w:val="111111"/>
          <w:sz w:val="28"/>
          <w:sz w:val="28"/>
          <w:szCs w:val="28"/>
          <w:rtl w:val="true"/>
          <w:lang w:bidi="fa-IR"/>
        </w:rPr>
        <w:t>،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تطویل الکلام فی هذه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أیضاً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الفرق بین المشتقّ و مبدئه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بمفهومه لا یأبی عن الحمل علی من تلبّس بالمبدإ، و لا یعصی عن الجری علیه؛ لما هما علیه من نحوٍ من الاتّحاد، بخلاف المبدأ، فإنّه بمعناه یأبی عن ذلک، بل إذا قیس و نسب إلیه کان غیره لا هو، و ملاک الحمل و الجری إنّما هو نحوٌ من الاتّحاد و الهُوهُویّة، و إلی هذا یرجع ما ذکره أهل المعقول فی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المشتقّ یکون لا بشرط، و المبدأ بشرط لا، و أنّ مفهوم المشتقّ غیر آبٍ عن الحمل، و مفهوم المبدأ آبٍ عنه</w:t>
      </w:r>
      <w:r>
        <w:rPr>
          <w:rStyle w:val="FootnoteAnchor"/>
          <w:rtl w:val="true"/>
        </w:rPr>
        <w:footnoteReference w:id="2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الفرق بین المشتقّ و مبدئه صحیح، إلّا أنّ المهمّ إنّما هو بیان الوجه و العلّة لإباء المبدأ عن الحمل دون المشتقّ، و عرفت أنّ اللّابشرطیّة و البشرطلائیّة من الامور الواقعیّة النفس الأمریّة لا الاعتباریّة، و حینئذٍ فإن أراد أنّ المبدأ مأخوذ فی المشتقّ مع أنّه بشرط لا، یلزم أخذ المادّة فی ضمن المشتقّ بشرط لا و لا بشرط کلیهما، و هو غیر معقول، و إن أراد أخذه فی مفهوم المشتقّ بدون قید البشرطلائیّة، فلم تؤخذ المادّة بتمامها فی المشتقّ، فلا یدلّ علی تمام المبدأ، بل علی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الذات التی یجری علیها المشتقّ، و ثانیها المادّة؛ أی طبیعة الحدث، الثالث هیئة المشتقّ، و رابعها المصدر 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الذات و المصدر واضح، و کذلک بین الذات و الهیئة، و کذا بین المصدر و الهیئة، و أمّا طبیعة الحدث التی هی مدلول المادّة فلیس لها تحصّل، فلا یمکن التعبیر عنها کی یفرّق بینها و بین غیرها، و لا بدّ فی تحصّلها من تلبّسها بهیئة، فإن تلبّست بهیئة المصدر أو اسم المصدر فهی غیر قابلة للحمل علی الذات، و إن تهیّأت بهیئة فاعل أو مفعول تقبل الحمل علیها، فالدالّ علی الذات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القابل للتحلیل،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الذات المعنونة بهذا العنوان بنحو الحمل الشائع، لا التقیّد المفهومی، فهو معنیً بسیط، لکنّه قابل للانحلال بما أنّه مدلول، و الدالّ علی نفس العنوان هو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أنّ الحمل یستدعی التغایر من وجه و الاتّحاد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التغایر بین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اعتباری و الاتّحاد حقیقی،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حقیقی فی تقرّرهما الماهوی، أو فی الوجود و الاتّحاد اعتباری بتنزیل</w:t>
      </w:r>
    </w:p>
    <w:p>
      <w:pPr>
        <w:pStyle w:val="BookText"/>
        <w:rPr/>
      </w:pPr>
      <w:r>
        <w:rPr>
          <w:rFonts w:ascii="IRNazanin" w:hAnsi="IRNazanin" w:eastAsia="IRNazanin"/>
          <w:color w:val="111111"/>
          <w:sz w:val="28"/>
          <w:sz w:val="28"/>
          <w:szCs w:val="28"/>
          <w:rtl w:val="true"/>
          <w:lang w:bidi="fa-IR"/>
        </w:rPr>
        <w:t>الأشیاء المتغایرة منزلة الشی‌ء الواحد و ملاحظتها من حیث المجموع، فیلحقه بهذا الاعتبار وحدة اعتباریّة، فیصحّ حمل کلّ جزء من أجزائه المأخوذة لا بشرط علیه، و حمل کلّ واحد منها علی الآخر،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جسم أو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الإنسان مرکّب فی الخارج حقیقة من الجسم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أحد المتغایرین فی الوجود علی الآخر بالقیاس إلی ظرف التغایر، لا یصح إلّا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المجموع المرکّب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واحداً، و أخذ الأجزاء لا بشرط، و اعتبار الحمل بالنسبة إلی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العَرَض لا بشرط لا یصحِّح حمله علی موضوعه ما لم یعتبر المجموع شیئاً واحداً، فإذا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أو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نرد بزید المرکَّب من الذات و صفة العلم أو الحرکة، بل نرید به الذات وحدها، امتنع حمل العلم و الحرکة علیه و إن اعتبر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المشتقّ باعتبار الهیئة مفاد ذی هو، و لا فرق بین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حمله علی الذات کذلک البیاض، و أنّ الحقّ أنّ الفرق بین المشتقّ و مبدئه هو الفرق بین الشی‌ء وذی الشی‌ء، لا أنّه مرکّب منهما، بل أمر منتزع من الذات بملاحظة قیام المبدأ بها</w:t>
      </w:r>
      <w:r>
        <w:rPr>
          <w:rStyle w:val="FootnoteAnchor"/>
          <w:rtl w:val="true"/>
        </w:rPr>
        <w:footnoteReference w:id="2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قدس سره قریب ممّا ذکرناه بأدنی تفاوت فی بعض الجزئیات، فما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ملاحظة اعتبار المجموع و اعتباره شیئاً واحداً، یُنافی الحمل و مخلٌّ به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حیث إنّه قدس سره لم یرد اعتبار ذلک فی جمیع القضایا</w:t>
      </w:r>
      <w:bookmarkStart w:id="326" w:name="pg12886_133286"/>
    </w:p>
    <w:p>
      <w:pPr>
        <w:pStyle w:val="BookText"/>
        <w:rPr/>
      </w:pPr>
      <w:bookmarkEnd w:id="326"/>
      <w:r>
        <w:rPr>
          <w:rFonts w:ascii="IRNazanin" w:hAnsi="IRNazanin" w:eastAsia="IRNazanin"/>
          <w:color w:val="111111"/>
          <w:sz w:val="28"/>
          <w:sz w:val="28"/>
          <w:szCs w:val="28"/>
          <w:rtl w:val="true"/>
          <w:lang w:bidi="fa-IR"/>
        </w:rPr>
        <w:t>الحملیّة، کما یستفاد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فهم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یُشکل علیه بعدم لحاظ ذلک فی الحدود،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صریح کلامه هو أنّ اعتبار ذلک إنّما هو فیما لو کان التغایر بین الموضوع و المحمول حقیقیّاً فقط، فلعلّه قدس سره لم یتأمّل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لم یکن عنده کتابه، و إلّا لم یورد علیه بما ذکره، فالحقّ هو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بدّ من اعتبار التغایر بین الموضوع و المحمول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لاحتیاج النسبة إلی منتسبین متغایرین</w:t>
      </w:r>
      <w:r>
        <w:rPr>
          <w:rStyle w:val="FootnoteAnchor"/>
          <w:rtl w:val="true"/>
        </w:rPr>
        <w:footnoteReference w:id="265"/>
      </w:r>
      <w:r>
        <w:rPr>
          <w:rFonts w:ascii="IRNazanin" w:hAnsi="IRNazanin" w:eastAsia="IRNazanin"/>
          <w:color w:val="111111"/>
          <w:sz w:val="28"/>
          <w:sz w:val="28"/>
          <w:szCs w:val="28"/>
          <w:rtl w:val="true"/>
          <w:lang w:bidi="fa-IR"/>
        </w:rPr>
        <w:t>، و زاد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التغایر الاعتباری، بل لا بدّ من التغایر الحقیقی و فی نفس الأمر؛ لاحتیاج النسبة إلی منتسبین کذلک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مثل المثال المذکور هو الهُوهُویّة و الاتّحاد، و القضایا التی مفادها ذلک لا تتضمّن النسبة أصلًا،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حیث إنّ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لا أنّه منتسب إلی آخر، و لا حمل الصورة الذهنیّة لزید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للنسبة المحتاجة إلی المنتسبین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النسبة</w:t>
      </w:r>
      <w:r>
        <w:rPr>
          <w:rFonts w:eastAsia="IRNazanin" w:cs="IRNazanin"/>
          <w:color w:val="111111"/>
          <w:sz w:val="28"/>
          <w:szCs w:val="28"/>
          <w:rtl w:val="true"/>
          <w:lang w:bidi="fa-IR"/>
        </w:rPr>
        <w:t>.</w:t>
      </w:r>
    </w:p>
    <w:p>
      <w:pPr>
        <w:pStyle w:val="Heading5"/>
        <w:numPr>
          <w:ilvl w:val="4"/>
          <w:numId w:val="1"/>
        </w:numPr>
        <w:rPr/>
      </w:pPr>
      <w:bookmarkStart w:id="327" w:name="__RefHeading___Toc3024043_3224264995"/>
      <w:bookmarkStart w:id="328" w:name="_Toc122"/>
      <w:bookmarkEnd w:id="327"/>
      <w:r>
        <w:rPr>
          <w:rtl w:val="true"/>
        </w:rPr>
        <w:t>الأمر الثانی</w:t>
      </w:r>
      <w:r>
        <w:rPr>
          <w:rtl w:val="true"/>
        </w:rPr>
        <w:t xml:space="preserve">: </w:t>
      </w:r>
      <w:r>
        <w:rPr>
          <w:rtl w:val="true"/>
        </w:rPr>
        <w:t>فی حمل المشتقّات علی الذات المقدّسة</w:t>
      </w:r>
      <w:bookmarkEnd w:id="328"/>
    </w:p>
    <w:p>
      <w:pPr>
        <w:pStyle w:val="Heading6"/>
        <w:numPr>
          <w:ilvl w:val="5"/>
          <w:numId w:val="1"/>
        </w:numPr>
        <w:rPr/>
      </w:pPr>
      <w:bookmarkStart w:id="329" w:name="__RefHeading___Toc3024045_3224264995"/>
      <w:bookmarkStart w:id="330" w:name="_Toc123"/>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قد یُستشکل فی جری المشتقّات علی اللَّه تعالی کالعالم و القادر من حیث الهیئة و المادّة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حیث الهیئة فلما عرفت من أنّها موضوعة لمعنیً ینحلّ إلی ذات و حدث؛ أی المعنون المقتضی للتغایر بین الذات 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المادّة فلما عرفت من أنّها موضوعة للحدث العارض علی الذات، تعالی اللَّه عن المعروضیّة للحوادث، و لهذا التزم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إطلاقها علیه بضربٍ من العنایة و التجوّز</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الصفات المحمولة علیه تعالی بغیر معانیها العامّة الجاریة علی غیره تعالی، فهو غیر مفهوم و لا معلوم إلّا بما یقابلها، ففی مثل ما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نعنی أنّه تعالی من ینکشف لدیه الشی‌ء، فهو ذاک المعنی العامّ، أو أنّه مصداق لما یقابل ذاک المعنی، تعالی اللَّه عن ذلک علوّاً کبیراً، و إمّا أن لا یُعنی شی‌ء فهو مجرّد تکلفة اللسان و بلا معنی</w:t>
      </w:r>
      <w:r>
        <w:rPr>
          <w:rStyle w:val="FootnoteAnchor"/>
          <w:rtl w:val="true"/>
        </w:rPr>
        <w:footnoteReference w:id="2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إنّما یرد علی المعتزلة القائلین بقیام الذات مقام الصفات و نیابتها عنها</w:t>
      </w:r>
      <w:r>
        <w:rPr>
          <w:rStyle w:val="FootnoteAnchor"/>
          <w:rtl w:val="true"/>
        </w:rPr>
        <w:footnoteReference w:id="269"/>
      </w:r>
      <w:r>
        <w:rPr>
          <w:rFonts w:ascii="IRNazanin" w:hAnsi="IRNazanin" w:eastAsia="IRNazanin"/>
          <w:color w:val="111111"/>
          <w:sz w:val="28"/>
          <w:sz w:val="28"/>
          <w:szCs w:val="28"/>
          <w:rtl w:val="true"/>
          <w:lang w:bidi="fa-IR"/>
        </w:rPr>
        <w:t xml:space="preserve">لا علی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مراده قدس سره أنّ ذاته المقدّسة لما کانت عین العلم و القدرة و نحوهما فحمل العالم و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المُعَنون المنتزع من الذات بلحاظ اتّصافها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بنحو الحقیقة، فهو مجاز، و لا یرد علیه الإشکال الذی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عنه هو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مغایرة المبدأ علی ما یجری علیه المشتقّ مفهوماً و إن اتّحدا عیناً، فهو خروج عن مورد الإشکال؛ لعدم کفایة اتّحاد الذات مع المبدأ فی صحّة الحمل، بل المصحِّح هو اتّحاد الذات و المحمول الذی فرض ترکّبه عند التحلیل، و یمتنع اتّحاده مع ذاته تعالی، فلا بدّ أن یکون عارضاً علیه، تعالی اللَّه عن المعروضیّة للحوادث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المقام هو أنّ مقتضی جری المشتقّات علیه تعالی</w:t>
      </w:r>
      <w:bookmarkStart w:id="331" w:name="pg12886_133288"/>
    </w:p>
    <w:p>
      <w:pPr>
        <w:pStyle w:val="BookText"/>
        <w:rPr/>
      </w:pPr>
      <w:bookmarkEnd w:id="331"/>
      <w:r>
        <w:rPr>
          <w:rFonts w:ascii="IRNazanin" w:hAnsi="IRNazanin" w:eastAsia="IRNazanin"/>
          <w:color w:val="111111"/>
          <w:sz w:val="28"/>
          <w:sz w:val="28"/>
          <w:szCs w:val="28"/>
          <w:rtl w:val="true"/>
          <w:lang w:bidi="fa-IR"/>
        </w:rPr>
        <w:t>علی نحو جریها علی غیره تعالی یُنافی المذهب الحقّ المنصور من عینیّة الذات مع الصفات، و أنّه لا بدّ فیه من تغایر المبدأ مع الذات مفهوماً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تفصّی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بالالتزام بالتجوّز</w:t>
      </w:r>
      <w:r>
        <w:rPr>
          <w:rStyle w:val="FootnoteAnchor"/>
          <w:rtl w:val="true"/>
        </w:rPr>
        <w:footnoteReference w:id="271"/>
      </w:r>
      <w:r>
        <w:rPr>
          <w:rFonts w:ascii="IRNazanin" w:hAnsi="IRNazanin" w:eastAsia="IRNazanin"/>
          <w:color w:val="111111"/>
          <w:sz w:val="28"/>
          <w:sz w:val="28"/>
          <w:szCs w:val="28"/>
          <w:rtl w:val="true"/>
          <w:lang w:bidi="fa-IR"/>
        </w:rPr>
        <w:t>أیضاً غیر سدید مخالف للوجدان؛ لأنّه لیس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و ادّعاءً، و لا شبهة فی أنّه بنحو الحقیقة،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p>
    <w:p>
      <w:pPr>
        <w:pStyle w:val="Heading6"/>
        <w:numPr>
          <w:ilvl w:val="5"/>
          <w:numId w:val="1"/>
        </w:numPr>
        <w:rPr/>
      </w:pPr>
      <w:bookmarkStart w:id="332" w:name="__RefHeading___Toc3024047_3224264995"/>
      <w:bookmarkStart w:id="333" w:name="_Toc124"/>
      <w:bookmarkEnd w:id="332"/>
      <w:r>
        <w:rPr>
          <w:rtl w:val="true"/>
        </w:rPr>
        <w:t>و یمکن دفع الإشکال بوجوه</w:t>
      </w:r>
      <w:r>
        <w:rPr>
          <w:rtl w:val="true"/>
        </w:rPr>
        <w:t>:</w:t>
      </w:r>
      <w:bookmarkEnd w:id="3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صحّة الحمل هو اتّحاد الموضوع و المحمول إمّا حقیقةً أو اعتباراً، و أنّ مفهوم المشتقّ بسیط قابل للانحلال مفهوماً، لا مصداقاً و حقیقةً، فمفهوم العالم و القادر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عنه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فی عالم المفهومیّة إلی الذات و الحدث، لا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مفهوم العالم إلّا المُعنون، و لم یعتبر فی مفهومه عینیّة الذات للحدث أو تغایرهما، إلّا أنّ البرهان القاطع قائم علی اتّحادهما فی اللَّه تعالی و عروض الحدث علی الذات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معنی عینیّة الذات مع الصفات فیه تعالی نیابة الذات عن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المعتزلة</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العلم و القدرة و اللَّه تعالی من الألفاظ المترادفة، و أنّ العلم عین القدرة، و القدرة عین الذات، کما قد یتوهّم</w:t>
      </w:r>
      <w:r>
        <w:rPr>
          <w:rStyle w:val="FootnoteAnchor"/>
          <w:rtl w:val="true"/>
        </w:rPr>
        <w:footnoteReference w:id="273"/>
      </w:r>
      <w:r>
        <w:rPr>
          <w:rFonts w:ascii="IRNazanin" w:hAnsi="IRNazanin" w:eastAsia="IRNazanin"/>
          <w:color w:val="111111"/>
          <w:sz w:val="28"/>
          <w:sz w:val="28"/>
          <w:szCs w:val="28"/>
          <w:rtl w:val="true"/>
          <w:lang w:bidi="fa-IR"/>
        </w:rPr>
        <w:t>لاستلزامه الإلحاد فی صفاته تعالی و أسمائه؛ لأنّ مرجعه إلی فقدان الصفات لا وجدانها، بل التعبیر بأنّه علم أو قدرة ممّا یتنافر عنه عرفاً، و کذلک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النفرة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یعبّر بذلک، فإنّما هو لأجل انس الذهن الحاصل من کثرة استعمالهم ذلک فی الفلسفة و شوب أذهانهم بذلک، فهم متّهمون فی ذلک، و إلّا فلا فرق بین المذکورات أصلًا کما یتنافر من القول بأنّه تعالی خالقیّة أو رازقیّة؛ لعدم الفرق بین صفات الذات و صفات الأفعال فی ذلک، بل معنی العینیّة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المقدّسة مع بساطتها جامعة لجمیع هذه الصفات المختلفة، و موصوف بجمیع الصفات الجمالیّة و الکمالیّة، من دون أن یستلزم الترکّب فی ذاته؛ لأنّه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 أو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جامع لجمیع هذه الصفات، و قد حقّق فی محلّه أنّه تعالی مع بساطته کلّ الکمال، و لا تنثلم بذلک بساطته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إنّ جری المشتقّات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الذوات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المبدأ فیه زائداً علی الذات کما فی جریها علی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عین الذات کما فی جریها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أمکن إثبات أنّ جری المشتقّات علیه تعالی بنحو الحقیقة بأحد الوجوه المتقدّمة فهو، و إلّا تعیَّن الالتزام بالتجوّز، کما ذهب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أهل العرف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غلطٌ؛ غفلة عن عدم صحّته؛ لعدم درک أفهامهم القاصرة لهذه المطالب الدقیقة فهو خطأ منهم من دون التفات بحیث لو نبّههم أحد لذلک رجعوا عنه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الأعاجیب؛ ضرورة أنّ هذه الإطلاقات صادرة علیه تعالی من الخواصّ الملتفتین لهذه المطالب، مضافاً إلی استعمال ذلک فی الأخبار و الآیات القرآنیّة،</w:t>
      </w:r>
    </w:p>
    <w:p>
      <w:pPr>
        <w:pStyle w:val="BookText"/>
        <w:rPr/>
      </w:pPr>
      <w:r>
        <w:rPr>
          <w:rFonts w:ascii="IRNazanin" w:hAnsi="IRNazanin" w:eastAsia="IRNazanin"/>
          <w:color w:val="111111"/>
          <w:sz w:val="28"/>
          <w:sz w:val="28"/>
          <w:szCs w:val="28"/>
          <w:rtl w:val="true"/>
          <w:lang w:bidi="fa-IR"/>
        </w:rPr>
        <w:t>و عدم انحصارها فی الإطلاقات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الإشکال من حیث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المذکور مبنی علی تعیّن أنّ المبدأ فی جمیع المشتقّات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عدم کونه من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کالمعدن و الحیوانات و الهیولی، و نحو ذلک ممّا لا یقبل التصریف و التصرّف؛ إذ لا بدّ فی المبدأ من قبوله للتصریف، سواء کان من الأحداث أو من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المبدأ واحد له مراتب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من الأعراض، کما فی علم غیره تعالی و قدرته، و بعضها لیس من الجواهر و لا من الأعراض، بل فوق الجواهر و الأعراض، کما فی علمه تعالی و قدرته کما بُرهن فی الفلسفة علی أنّ الوجود کذلک و أنّه لیس بجوهر و لا عرض</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لیس جوهراً و لا عرضاً، و کذلک قدرته و نحوها من الأوصاف الثابتة له تعالی، و حینئذٍ فالإشکال المذکور أیضاً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فی المشتقّات الاسمیة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الوضع فی المشتقّات الفعلیّة عامّ و الموضوع له خاصّ؛ لاختلاف قیام مبادئها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صدوراً و حلولًا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جامع بینها؛ لیقال إنّه الموضوع له فیها، و أمّا المشتقّات الاسمیّة فالوضع و الموضوع له فیها کلاهما عامّ؛ لوجود الجامع بین أنواعها، و هو عنوان الاتّصاف بالمبدإ، سواء کان بنحو الصدور أم بنحو الحلول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و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جعله الموضوع له فیها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المشتقّ و به یتمّ الکلام أیضاً فی المقدّمات و الحمد للَّه</w:t>
      </w:r>
      <w:r>
        <w:rPr>
          <w:rFonts w:eastAsia="IRNazanin" w:cs="IRNazanin"/>
          <w:color w:val="111111"/>
          <w:sz w:val="28"/>
          <w:szCs w:val="28"/>
          <w:rtl w:val="true"/>
          <w:lang w:bidi="fa-IR"/>
        </w:rPr>
        <w:t>.</w:t>
      </w:r>
      <w:bookmarkStart w:id="334" w:name="pg12886_133291"/>
    </w:p>
    <w:p>
      <w:pPr>
        <w:pStyle w:val="BookText"/>
        <w:rPr/>
      </w:pPr>
      <w:bookmarkEnd w:id="334"/>
      <w:r>
        <w:rPr>
          <w:rFonts w:ascii="IRNazanin" w:hAnsi="IRNazanin" w:eastAsia="IRNazanin"/>
          <w:color w:val="111111"/>
          <w:sz w:val="28"/>
          <w:sz w:val="28"/>
          <w:szCs w:val="28"/>
          <w:rtl w:val="true"/>
          <w:lang w:bidi="fa-IR"/>
        </w:rPr>
        <w:t>و أمّا المطالب</w:t>
      </w:r>
      <w:r>
        <w:rPr>
          <w:rFonts w:eastAsia="IRNazanin" w:cs="IRNazanin"/>
          <w:color w:val="111111"/>
          <w:sz w:val="28"/>
          <w:szCs w:val="28"/>
          <w:rtl w:val="true"/>
          <w:lang w:bidi="fa-IR"/>
        </w:rPr>
        <w:t>:</w:t>
      </w:r>
    </w:p>
    <w:p>
      <w:pPr>
        <w:pStyle w:val="Heading2"/>
        <w:numPr>
          <w:ilvl w:val="1"/>
          <w:numId w:val="1"/>
        </w:numPr>
        <w:rPr/>
      </w:pPr>
      <w:bookmarkStart w:id="335" w:name="__RefHeading___Toc3024049_3224264995"/>
      <w:bookmarkStart w:id="336" w:name="_Toc125"/>
      <w:bookmarkEnd w:id="335"/>
      <w:r>
        <w:rPr>
          <w:rtl w:val="true"/>
        </w:rPr>
        <w:t>المطلب الأوّل فی الأوامر و فیه فصول</w:t>
      </w:r>
      <w:r>
        <w:rPr>
          <w:rtl w:val="true"/>
        </w:rPr>
        <w:t>:</w:t>
      </w:r>
      <w:bookmarkEnd w:id="3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3024051_3224264995"/>
      <w:bookmarkStart w:id="338" w:name="_Toc126"/>
      <w:bookmarkEnd w:id="337"/>
      <w:r>
        <w:rPr>
          <w:rtl w:val="true"/>
        </w:rPr>
        <w:t>اشارة</w:t>
      </w:r>
      <w:bookmarkStart w:id="339" w:name="pg12886_133293"/>
      <w:bookmarkEnd w:id="338"/>
    </w:p>
    <w:p>
      <w:pPr>
        <w:pStyle w:val="Heading3"/>
        <w:numPr>
          <w:ilvl w:val="2"/>
          <w:numId w:val="1"/>
        </w:numPr>
        <w:rPr/>
      </w:pPr>
      <w:bookmarkStart w:id="340" w:name="__RefHeading___Toc3024053_3224264995"/>
      <w:bookmarkStart w:id="341" w:name="_Toc127"/>
      <w:bookmarkEnd w:id="339"/>
      <w:bookmarkEnd w:id="340"/>
      <w:r>
        <w:rPr>
          <w:rtl w:val="true"/>
        </w:rPr>
        <w:t>الفصل الأوّل فی بیان الموضوع له لمادّة الأمر</w:t>
      </w:r>
      <w:bookmarkEnd w:id="341"/>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جمیع الهیئات التی یمکن عروضها علیها؛ إذ کما أنّ المشتقّ مرکّب من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موضوعة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الأمر و سائر مشتقّاته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ذلک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للطّلب الحقیقی؛ أی الإرادة الحقیقیّة النفسانیة بما أنّها مُظهَرة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الإشارة و نحوهما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للطلب الإنشائی؛ أی الإرادة الإنشائیّة المظهَرة بما ذکر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للقول المخصوص، و هو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للجامع بین هیئات صیغ الأمر بما له من المعنی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معانی الهیئات من المعانی الحرفیة، فکلّ</w:t>
      </w:r>
    </w:p>
    <w:p>
      <w:pPr>
        <w:pStyle w:val="BookText"/>
        <w:rPr/>
      </w:pPr>
      <w:r>
        <w:rPr>
          <w:rFonts w:ascii="IRNazanin" w:hAnsi="IRNazanin" w:eastAsia="IRNazanin"/>
          <w:color w:val="111111"/>
          <w:sz w:val="28"/>
          <w:sz w:val="28"/>
          <w:szCs w:val="28"/>
          <w:rtl w:val="true"/>
          <w:lang w:bidi="fa-IR"/>
        </w:rPr>
        <w:t>واحدة من الهیئات موضوعة لمعنیً حرفی، و لیس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ذاتی حرفی، لکن یمکن لحاظها و النظر إلیها بعین الاستقلال و المعنی الاسمی، فیلاحظ بهذا الاعتبار لها جامع اسمی هو بما له من المعنی موضوع له لمادّة الأمر و حینئذٍ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زید عمراً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موضوعة للجامع بین هیئات صیغ الأمر، بل للجامع بینها و بین سائر أدوات البعث؛ من الإشارة و الکتابة و غیرهما بما له من المعانی، علی إشکال فی الکتابة، و حینئذٍ فیصدق الأمر علی الأوامر الصوریة الامتحانیة أیضاً بنحو الحقیقة، و هو المراد من القول المخصوص، الذی حکی الإجماع عن أهل اللغة علی أنّه الموضوع له للأمر</w:t>
      </w:r>
      <w:r>
        <w:rPr>
          <w:rStyle w:val="FootnoteAnchor"/>
          <w:rtl w:val="true"/>
        </w:rPr>
        <w:footnoteReference w:id="280"/>
      </w:r>
      <w:r>
        <w:rPr>
          <w:rFonts w:ascii="IRNazanin" w:hAnsi="IRNazanin" w:eastAsia="IRNazanin"/>
          <w:color w:val="111111"/>
          <w:sz w:val="28"/>
          <w:sz w:val="28"/>
          <w:szCs w:val="28"/>
          <w:rtl w:val="true"/>
          <w:lang w:bidi="fa-IR"/>
        </w:rPr>
        <w:t>و یدلّ علیه أیضاً التبادر و الاعتبار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فمادّة الأمر موضوعة لمعنیً جامد غیر متصرّف، فلا یصح الاشتقاق منه؛ بداهة أنّ الهیئات من الجوامد، و هو واضح الفساد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الهیئات مع قطع النظر عن صدورها من الآمر و فی أنفسها من الجوامد، لکنّها بما أنّها صادرة منه من الأحداث الاشتقاقیّة، فالاشتقاق منها إنّما هو بهذا اللحاظ، نظیر التکلّم، فإنّه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صدوره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الجوامد، لکنّه بما أنّه صادر منه من الأحداث الاشتقاقیّة</w:t>
      </w:r>
      <w:r>
        <w:rPr>
          <w:rFonts w:eastAsia="IRNazanin" w:cs="IRNazanin"/>
          <w:color w:val="111111"/>
          <w:sz w:val="28"/>
          <w:szCs w:val="28"/>
          <w:rtl w:val="true"/>
          <w:lang w:bidi="fa-IR"/>
        </w:rPr>
        <w:t>.</w:t>
      </w:r>
      <w:bookmarkStart w:id="342" w:name="pg12886_133295"/>
    </w:p>
    <w:p>
      <w:pPr>
        <w:pStyle w:val="Heading3"/>
        <w:numPr>
          <w:ilvl w:val="2"/>
          <w:numId w:val="1"/>
        </w:numPr>
        <w:rPr/>
      </w:pPr>
      <w:bookmarkStart w:id="343" w:name="__RefHeading___Toc3024055_3224264995"/>
      <w:bookmarkStart w:id="344" w:name="_Toc128"/>
      <w:bookmarkEnd w:id="342"/>
      <w:bookmarkEnd w:id="343"/>
      <w:r>
        <w:rPr>
          <w:rtl w:val="true"/>
        </w:rPr>
        <w:t>الفصل الثانی فی معانی مادّة الأمر</w:t>
      </w:r>
      <w:bookmarkEnd w:id="344"/>
    </w:p>
    <w:p>
      <w:pPr>
        <w:pStyle w:val="BookText"/>
        <w:rPr/>
      </w:pPr>
      <w:r>
        <w:rPr>
          <w:rFonts w:ascii="IRNazanin" w:hAnsi="IRNazanin" w:eastAsia="IRNazanin"/>
          <w:color w:val="111111"/>
          <w:sz w:val="28"/>
          <w:sz w:val="28"/>
          <w:szCs w:val="28"/>
          <w:rtl w:val="true"/>
          <w:lang w:bidi="fa-IR"/>
        </w:rPr>
        <w:t>إنّهم ذکروا للأمر معانی کثیرة من الفعل و الشأن و الأمر العجیب إلی غیر ذلک ممّا هو مذکور فی الکتب الاصولیّة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مشترک لفظی موضوع تارة للمعنی الحدثی، و بهذا الاعتبار یجمع علی أوامر، و اخری لمعنیً جامع بین معانیه الجامدة، و هو المساوق لمفهوم الشی‌ء أو أخصّ منه لإطلاق الشی‌ء علی اللَّه تعالی، إلّا أنّه لا کالأشیاء بخلاف الأمر</w:t>
      </w:r>
      <w:r>
        <w:rPr>
          <w:rStyle w:val="FootnoteAnchor"/>
          <w:rtl w:val="true"/>
        </w:rPr>
        <w:footnoteReference w:id="282"/>
      </w:r>
      <w:r>
        <w:rPr>
          <w:rFonts w:ascii="IRNazanin" w:hAnsi="IRNazanin" w:eastAsia="IRNazanin"/>
          <w:color w:val="111111"/>
          <w:sz w:val="28"/>
          <w:sz w:val="28"/>
          <w:szCs w:val="28"/>
          <w:rtl w:val="true"/>
          <w:lang w:bidi="fa-IR"/>
        </w:rPr>
        <w:t>و بهذا الاعتبار یجمع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مشترک معنوی موضوع لمعنیً جامع بین المعنی الحدثی و بین سائر معانیه الجامدة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بالاشتراک اللّفظی أو المعنوی فرع کون الموضوع شیئاً واحداً، و لیس کذلک فإنّ الموضوع للمعنی الحدثی هو مادّة الأمر، و الموضوع للمعانی الجامدة هو مجموع هیئة الأمر و مادّته، و حینئذٍ فلا یتمّ القولان المذکوران؛ أی القول بالاشتراک اللّفظی و المعنوی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خصوص القول بالاشتراک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مستلزم أن لا یشتقّ منه؛ لأنّه و إن أمکن تصویر الجامع بین المعنی الحدثی و الجامد، لکن الجامع بینهما أیضاً</w:t>
      </w:r>
    </w:p>
    <w:p>
      <w:pPr>
        <w:pStyle w:val="BookText"/>
        <w:rPr/>
      </w:pPr>
      <w:r>
        <w:rPr>
          <w:rFonts w:ascii="IRNazanin" w:hAnsi="IRNazanin" w:eastAsia="IRNazanin"/>
          <w:color w:val="111111"/>
          <w:sz w:val="28"/>
          <w:sz w:val="28"/>
          <w:szCs w:val="28"/>
          <w:rtl w:val="true"/>
          <w:lang w:bidi="fa-IR"/>
        </w:rPr>
        <w:t>جامد غیر قابل للتصرّف مع وضوح فساده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یظهر من بعضهم من إرجاع المعانی الجامدة إلی المعنی الحدثی؛ بدعوی أنّ الأمر بالمعانی الجامدة أمر تکوینی، کما أنّه بالمعنی الحدثی تشریعی، فکلاهما حدثی</w:t>
      </w:r>
      <w:r>
        <w:rPr>
          <w:rStyle w:val="FootnoteAnchor"/>
          <w:rtl w:val="true"/>
        </w:rPr>
        <w:footnoteReference w:id="284"/>
      </w:r>
      <w:r>
        <w:rPr>
          <w:rFonts w:ascii="IRNazanin" w:hAnsi="IRNazanin" w:eastAsia="IRNazanin"/>
          <w:color w:val="111111"/>
          <w:sz w:val="28"/>
          <w:sz w:val="28"/>
          <w:szCs w:val="28"/>
          <w:rtl w:val="true"/>
          <w:lang w:bidi="fa-IR"/>
        </w:rPr>
        <w:t>مع أنّ هذا الکلام أشبه بالمطالب الفلسفیّة التی لا ارتباط لها بالمقام، فإنّ البحث فی المقام لغوی فی بیان المعنی الموضوع له للأمر</w:t>
      </w:r>
      <w:r>
        <w:rPr>
          <w:rFonts w:eastAsia="IRNazanin" w:cs="IRNazanin"/>
          <w:color w:val="111111"/>
          <w:sz w:val="28"/>
          <w:szCs w:val="28"/>
          <w:rtl w:val="true"/>
          <w:lang w:bidi="fa-IR"/>
        </w:rPr>
        <w:t>.</w:t>
      </w:r>
      <w:bookmarkStart w:id="345" w:name="pg12886_133297"/>
    </w:p>
    <w:p>
      <w:pPr>
        <w:pStyle w:val="Heading3"/>
        <w:numPr>
          <w:ilvl w:val="2"/>
          <w:numId w:val="1"/>
        </w:numPr>
        <w:rPr/>
      </w:pPr>
      <w:bookmarkStart w:id="346" w:name="__RefHeading___Toc3024057_3224264995"/>
      <w:bookmarkStart w:id="347" w:name="_Toc129"/>
      <w:bookmarkEnd w:id="345"/>
      <w:bookmarkEnd w:id="346"/>
      <w:r>
        <w:rPr>
          <w:rtl w:val="true"/>
        </w:rPr>
        <w:t>الفصل الثالث فی اعتبار العلوّ و الاستعلاء فی الأمر</w:t>
      </w:r>
      <w:bookmarkEnd w:id="347"/>
    </w:p>
    <w:p>
      <w:pPr>
        <w:pStyle w:val="BookText"/>
        <w:rPr/>
      </w:pPr>
      <w:r>
        <w:rPr>
          <w:rFonts w:ascii="IRNazanin" w:hAnsi="IRNazanin" w:eastAsia="IRNazanin"/>
          <w:color w:val="111111"/>
          <w:sz w:val="28"/>
          <w:sz w:val="28"/>
          <w:szCs w:val="28"/>
          <w:rtl w:val="true"/>
          <w:lang w:bidi="fa-IR"/>
        </w:rPr>
        <w:t>هل یعتبر فی صدق الأمر علی ما ذکر علوّ الآمر، أو أنّ المعتبر فیه الاستعلاء، و إن لم یکن عالیاً، أو أنّ المعتبر کلاهما، أو أحدهما الغیر المعیّن، أو لا یعتبر شی‌ء منها فی صدقه؟</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أقربها الأوّل، فلا یعتبر الاستعلاء فیه للتبادر و ارتکاز ذلک فی الأذهان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العلوّ و ما یقابله من الامور الاعتباریة التی تختلف باختلاف الاعتبار بلحاظ اختلاف الأعصار و الأمصار فإنّ حاکم البلد عالٍ عرفاً ما دام فیها باقیاً علی رئاسته و حکومته، فلو فرض أنّه خرج عنه، و وقع بید السرّاق و قطّاع الطریق، الذین هم فوقه فی القوّة و الشجاعة، أو خُلع عن منصبه و رئاسته، لم یعتبره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صدق الأمر صدوره من العالی، فلا یصدق الأمر علی الصادر من المساوی أو الدانی و إن استعلی، فلا دخل للاستعلاء فی صدقه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شبهة فی أنّ کیفیّة اعتبار العلوّ إنّما هو بنحو تقیید الماهیّة، و أنّ الواضع لاحظ الجامع بین الهیئات بما له من المعنی مقیّداً بصدوره من العالی، و وضع المادّة بإزائه، فالموضوع للأمر هو الطبیعة المقیّدة فی ظرف تقرّرها الماهوی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یتراءی من کلام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لمادّة الأمر هو الحصّة الملازمة، فإن أراد ما ذکرناه، فنعم الوفاق، لکن لا یلائمه التعبیر بالحصّة الملازمة، و إن أراد أنّ الموضوع له هو طبیعة الجامع بلا قید، و مع ذلک لا یصدق علی الصادر 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العالی، فلا یخفی ما فیه؛ لأنّ الموضوع له لمادّة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الجامع بلا قید و عدم لحاظ الواضع قید العلوّ فی الموضوع له، فهو یستلزم صدقه علی الصادر من غیر العالی أیضاً؛ إذ لا مانع آخر فی صدقه علیه</w:t>
      </w:r>
      <w:r>
        <w:rPr>
          <w:rFonts w:eastAsia="IRNazanin" w:cs="IRNazanin"/>
          <w:color w:val="111111"/>
          <w:sz w:val="28"/>
          <w:szCs w:val="28"/>
          <w:rtl w:val="true"/>
          <w:lang w:bidi="fa-IR"/>
        </w:rPr>
        <w:t>.</w:t>
      </w:r>
      <w:bookmarkStart w:id="348" w:name="pg12886_133299"/>
    </w:p>
    <w:p>
      <w:pPr>
        <w:pStyle w:val="Heading3"/>
        <w:numPr>
          <w:ilvl w:val="2"/>
          <w:numId w:val="1"/>
        </w:numPr>
        <w:rPr/>
      </w:pPr>
      <w:bookmarkStart w:id="349" w:name="__RefHeading___Toc3024059_3224264995"/>
      <w:bookmarkStart w:id="350" w:name="_Toc130"/>
      <w:bookmarkEnd w:id="348"/>
      <w:bookmarkEnd w:id="349"/>
      <w:r>
        <w:rPr>
          <w:rtl w:val="true"/>
        </w:rPr>
        <w:t>الفصل الرابع فی المعنی الحقیقی لمادّة الأمر</w:t>
      </w:r>
      <w:bookmarkEnd w:id="350"/>
    </w:p>
    <w:p>
      <w:pPr>
        <w:pStyle w:val="BookText"/>
        <w:rPr/>
      </w:pPr>
      <w:r>
        <w:rPr>
          <w:rFonts w:ascii="IRNazanin" w:hAnsi="IRNazanin" w:eastAsia="IRNazanin"/>
          <w:color w:val="111111"/>
          <w:sz w:val="28"/>
          <w:sz w:val="28"/>
          <w:szCs w:val="28"/>
          <w:rtl w:val="true"/>
          <w:lang w:bidi="fa-IR"/>
        </w:rPr>
        <w:t>فی أنّ لفظ الأمر هل هو حقیقة فی الطلب الوجوبی، أو أنّه حقیقة فی مُطلق الطلب؟</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الموضوع له لمادّة الأمر هو الجامع بین هیئات صیغ الأمر؛ أی القول المخصوص الصّادر من العالی بنعت الوجوب؛ لیکون مجازاً فی الطلب الندبی، أو أنّها موضوعة له بنحو الإطلاق؟</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إثبات أحدهما إلّا التبادر، کما یدّعی تارة علی الأوّل</w:t>
      </w:r>
      <w:r>
        <w:rPr>
          <w:rStyle w:val="FootnoteAnchor"/>
          <w:rtl w:val="true"/>
        </w:rPr>
        <w:footnoteReference w:id="285"/>
      </w:r>
      <w:r>
        <w:rPr>
          <w:rFonts w:ascii="IRNazanin" w:hAnsi="IRNazanin" w:eastAsia="IRNazanin"/>
          <w:color w:val="111111"/>
          <w:sz w:val="28"/>
          <w:sz w:val="28"/>
          <w:szCs w:val="28"/>
          <w:rtl w:val="true"/>
          <w:lang w:bidi="fa-IR"/>
        </w:rPr>
        <w:t>و اخری علی الثانی</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الاستدلال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و إن کان مطلقاً، لکنه فیه شبه التبادر إلی الوجوب عند الإطلاق کما عن المیرزا النائینی قدس سره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بأنّ الطلب الوجوبی أخفّ مئونة من الندبی لأنّه الطلب التامّ الکامل، بخلاف الندبی، فإنّه طلب ناقص محدود یحتاج إلی تعدّد الدالّ، فحمله علی الوجوبی أولی لعدم احتیاجه إلی القید، کما عن المحقّق العراقی قدس سره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خلط بین ما نحن فیه و بین البحث عن صیغة الأمر فی أنّها تدلّ علی الوجوب أو لا، و هذان الاستدلالان إنّما یُناسبان الثانی لا الأوّل؛ أی البحث فی مادّة الأمر، و أنّه وقع الخلط بینهما فی کلیهما، و قد عرفت أنّه لا طریق إلی إثبات أحد</w:t>
      </w:r>
    </w:p>
    <w:p>
      <w:pPr>
        <w:pStyle w:val="BookText"/>
        <w:rPr/>
      </w:pPr>
      <w:r>
        <w:rPr>
          <w:rFonts w:ascii="IRNazanin" w:hAnsi="IRNazanin" w:eastAsia="IRNazanin"/>
          <w:color w:val="111111"/>
          <w:sz w:val="28"/>
          <w:sz w:val="28"/>
          <w:szCs w:val="28"/>
          <w:rtl w:val="true"/>
          <w:lang w:bidi="fa-IR"/>
        </w:rPr>
        <w:t>الاحتمالین سوی التبادر، و لم یثبت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بالتبادر و انسباقه إلی الذهن عند الإطلاق</w:t>
      </w:r>
      <w:r>
        <w:rPr>
          <w:rStyle w:val="FootnoteAnchor"/>
          <w:rtl w:val="true"/>
        </w:rPr>
        <w:footnoteReference w:id="289"/>
      </w:r>
      <w:r>
        <w:rPr>
          <w:rFonts w:ascii="Amiri" w:hAnsi="Amiri" w:eastAsia="Amiri" w:cs="Amiri"/>
          <w:color w:val="111111"/>
          <w:sz w:val="28"/>
          <w:sz w:val="28"/>
          <w:szCs w:val="28"/>
          <w:rtl w:val="true"/>
          <w:lang w:bidi="ar-SA"/>
        </w:rPr>
        <w:t>مؤیِّداً ذلک ببعض الآیات و الروایات،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قوله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و قول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علی امَّتی لأمرتُهم بالسواک</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 لبُریرة بعد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إنّما أنا شافع</w:t>
      </w:r>
      <w:r>
        <w:rPr>
          <w:rFonts w:eastAsia="IRNazanin" w:cs="IRNazanin"/>
          <w:color w:val="111111"/>
          <w:sz w:val="28"/>
          <w:szCs w:val="28"/>
          <w:rtl w:val="true"/>
          <w:lang w:bidi="fa-IR"/>
        </w:rPr>
        <w:t>)</w:t>
      </w:r>
    </w:p>
    <w:p>
      <w:pPr>
        <w:pStyle w:val="BookText"/>
        <w:rPr/>
      </w:pPr>
      <w:r>
        <w:rPr>
          <w:rStyle w:val="FootnoteAnchor"/>
          <w:rtl w:val="true"/>
        </w:rPr>
        <w:footnoteReference w:id="293"/>
      </w:r>
      <w:r>
        <w:rPr>
          <w:rFonts w:ascii="IRNazanin" w:hAnsi="IRNazanin" w:eastAsia="IRNazanin"/>
          <w:color w:val="111111"/>
          <w:sz w:val="28"/>
          <w:sz w:val="28"/>
          <w:szCs w:val="28"/>
          <w:rtl w:val="true"/>
          <w:lang w:bidi="fa-IR"/>
        </w:rPr>
        <w:t>إلی غیر ذلک من الآیات و الأخبار؛ حیث إنّه تعالی رتّب علی مخالفة الأمر فی هذه الآیات ما هو من لوازم الوجوب، و کذلک الأخبار من تحذیر المخالف للأمر و التوبیخ علیه، و بیان أنّ الأمر بالسواک موجب لإیقاع الامّة فی المشقّة، مع ثبوت استحباب السواک و رجحانه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هذه المذکورات من خواصّ الوجوب و لوازمه، لا لمطلق الطلب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للإشکال فی دلالة هذه الآیات و الأخبار علی المطلوب مجال واسع إلّا أنّه قدس سره قد ذکرها تأییداً لا استدلالًا، و لا بأس به علی فرض ثبوت التبادر، و حینئذٍ فلا وجه للإشکال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الاستدلال بها یتوقّف علی جواز التمسّک بعموم العامّ لإثبات عدم فردیّة المشکوکِ فردیّته له، بعد القطع بخروجه منه حکماً</w:t>
      </w:r>
      <w:r>
        <w:rPr>
          <w:rStyle w:val="FootnoteAnchor"/>
          <w:rtl w:val="true"/>
        </w:rPr>
        <w:footnoteReference w:id="294"/>
      </w:r>
      <w:r>
        <w:rPr>
          <w:rFonts w:ascii="IRNazanin" w:hAnsi="IRNazanin" w:eastAsia="IRNazanin"/>
          <w:color w:val="111111"/>
          <w:sz w:val="28"/>
          <w:sz w:val="28"/>
          <w:szCs w:val="28"/>
          <w:rtl w:val="true"/>
          <w:lang w:bidi="fa-IR"/>
        </w:rPr>
        <w:t>و ذلک لما عرفت من عدم ترتّب المذکورات فی الآیات و الروایات من التوبیخ و الحذر و غیرهما علی الطلب الندبی، فلا إشکال فی خروج الطلب الندبی عن الآیات و الأخبار، لکنّ الإشکال إنّما</w:t>
      </w:r>
    </w:p>
    <w:p>
      <w:pPr>
        <w:pStyle w:val="BookText"/>
        <w:rPr/>
      </w:pPr>
      <w:r>
        <w:rPr>
          <w:rFonts w:ascii="IRNazanin" w:hAnsi="IRNazanin" w:eastAsia="IRNazanin"/>
          <w:color w:val="111111"/>
          <w:sz w:val="28"/>
          <w:sz w:val="28"/>
          <w:szCs w:val="28"/>
          <w:rtl w:val="true"/>
          <w:lang w:bidi="fa-IR"/>
        </w:rPr>
        <w:t>هو فی أنّ خروجه هل هو بنحو التخصّص؛ لیکون لفظ الأمر حقیقة فی الوجوب فقط، أو بنحو التخصیص؛ لیکون الطلب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له؟ فعلی فرض جواز التمسّک بأصالة العموم أو الإطلاق، فهی تقتضی خروج الطلب الندبی عن الفردیّة للأمر،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خصوص الطلب الوجوبی، لکن قد تقرّر فی محلّه</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العموم و الإطلاق من الاصول العقلائیّة، و بناء العقلاء إنّما هو فی صورة الشکّ فی المراد، و بها یکشف المراد، لا فی صورة الشکّ فی أنّ اللّفظ هل هو موضوع لکذا و کذا کما فی المقام؟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عدم ورود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إنّما ذکرها للتأیید، لا الاستدلال بها</w:t>
      </w:r>
      <w:r>
        <w:rPr>
          <w:rFonts w:eastAsia="IRNazanin" w:cs="IRNazanin"/>
          <w:color w:val="111111"/>
          <w:sz w:val="28"/>
          <w:szCs w:val="28"/>
          <w:rtl w:val="true"/>
          <w:lang w:bidi="fa-IR"/>
        </w:rPr>
        <w:t>.</w:t>
      </w:r>
      <w:bookmarkStart w:id="351" w:name="pg12886_133302"/>
    </w:p>
    <w:p>
      <w:pPr>
        <w:pStyle w:val="Heading3"/>
        <w:numPr>
          <w:ilvl w:val="2"/>
          <w:numId w:val="1"/>
        </w:numPr>
        <w:rPr/>
      </w:pPr>
      <w:bookmarkStart w:id="352" w:name="__RefHeading___Toc3024061_3224264995"/>
      <w:bookmarkStart w:id="353" w:name="_Toc131"/>
      <w:bookmarkEnd w:id="351"/>
      <w:bookmarkEnd w:id="352"/>
      <w:r>
        <w:rPr>
          <w:rtl w:val="true"/>
        </w:rPr>
        <w:t>الفصل الخامس فی اتّحاد الطلب و الإرادة</w:t>
      </w:r>
      <w:bookmarkEnd w:id="353"/>
    </w:p>
    <w:p>
      <w:pPr>
        <w:pStyle w:val="Heading4"/>
        <w:numPr>
          <w:ilvl w:val="3"/>
          <w:numId w:val="1"/>
        </w:numPr>
        <w:rPr/>
      </w:pPr>
      <w:bookmarkStart w:id="354" w:name="__RefHeading___Toc3024063_3224264995"/>
      <w:bookmarkStart w:id="355" w:name="_Toc132"/>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اختلفوا فی اتّحاد الطلب و الإرادة مفهوماً و مصداقاً و عدمه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ثانیهما الأشاعرة</w:t>
      </w:r>
      <w:r>
        <w:rPr>
          <w:rStyle w:val="FootnoteAnchor"/>
          <w:rtl w:val="true"/>
        </w:rPr>
        <w:footnoteReference w:id="296"/>
      </w:r>
      <w:r>
        <w:rPr>
          <w:rFonts w:ascii="IRNazanin" w:hAnsi="IRNazanin" w:eastAsia="IRNazanin"/>
          <w:color w:val="111111"/>
          <w:sz w:val="28"/>
          <w:sz w:val="28"/>
          <w:szCs w:val="28"/>
          <w:rtl w:val="true"/>
          <w:lang w:bidi="fa-IR"/>
        </w:rPr>
        <w:t>، و أوّلهما المعتزلة و أصحابُنا الإمامیّة</w:t>
      </w:r>
      <w:r>
        <w:rPr>
          <w:rStyle w:val="FootnoteAnchor"/>
          <w:rtl w:val="true"/>
        </w:rPr>
        <w:footnoteReference w:id="297"/>
      </w:r>
      <w:r>
        <w:rPr>
          <w:rFonts w:ascii="IRNazanin" w:hAnsi="IRNazanin" w:eastAsia="IRNazanin"/>
          <w:color w:val="111111"/>
          <w:sz w:val="28"/>
          <w:sz w:val="28"/>
          <w:szCs w:val="28"/>
          <w:rtl w:val="true"/>
          <w:lang w:bidi="fa-IR"/>
        </w:rPr>
        <w:t>و هذه المسألة من المسائل الکلامیّة فهی بالإعراض عنها فی المقام أحری، لکن لا بأس بالإشارة الإجمالیّة إلی بیان منشأ هذه المسألة، و ما هو السبب فی ظهور الاختلاف فیها، و قبل الشروع فی المقصود لا بدّ من تقدیم مقدّمة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أنّه لا إشکال فی أنّ الآیاتِ و الأخبارَ الواردة لبیان الأحکام الشرعیّة المتضمّنة لها، منزّلة علی الفهم العرفی؛ لأنّها مُلقاة إلی العرف و العقلاء من العوامّ و غیرهم، فما هو المستفاد منها عرفاً تُحمل علیه، و إن أدّی إلی ما یخالف حکم العقل؛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الدالّة علی حرمة الدم</w:t>
      </w:r>
      <w:r>
        <w:rPr>
          <w:rStyle w:val="FootnoteAnchor"/>
          <w:rtl w:val="true"/>
        </w:rPr>
        <w:footnoteReference w:id="298"/>
      </w:r>
      <w:r>
        <w:rPr>
          <w:rFonts w:ascii="Amiri" w:hAnsi="Amiri" w:eastAsia="Amiri" w:cs="Amiri"/>
          <w:color w:val="111111"/>
          <w:sz w:val="28"/>
          <w:sz w:val="28"/>
          <w:szCs w:val="28"/>
          <w:rtl w:val="true"/>
          <w:lang w:bidi="ar-SA"/>
        </w:rPr>
        <w:t>و أنّه نجس</w:t>
      </w:r>
      <w:r>
        <w:rPr>
          <w:rStyle w:val="FootnoteAnchor"/>
          <w:rtl w:val="true"/>
        </w:rPr>
        <w:footnoteReference w:id="299"/>
      </w:r>
      <w:r>
        <w:rPr>
          <w:rFonts w:ascii="IRNazanin" w:hAnsi="IRNazanin" w:eastAsia="IRNazanin"/>
          <w:color w:val="111111"/>
          <w:sz w:val="28"/>
          <w:sz w:val="28"/>
          <w:szCs w:val="28"/>
          <w:rtl w:val="true"/>
          <w:lang w:bidi="fa-IR"/>
        </w:rPr>
        <w:t>، یراد منها ما یصدق علیه الدم عرفاً، فهو المحکوم بالحرمة و النجاسة دون ما لم یصدق علیه الدم عرفاً و إن صدق علیه عقلًا، کما لو ذهب بالغسل عینه و إن بقی لونه، فإنّه لیس بدم عرفاً، فلیس حراماً و نجساً، لکنّه دم عقلًا؛ لبقاء أجزائه الصغار؛ لاستحالة بقاء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معروضه، و استحالة انتقال العرض عن معروضه، فبقاء لونه دلیل عقلًا علی بقاء أجزائه الصغار، لکنّه مع ذلک لیس بحرام و نجس؛ لما عرفت من أنّ الآیات و الأخبار منزّلة علی الفهم العُرفی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الآیات و الأخبار الواردة فی الأخلاقیّات و المعارف و التوحید، فلا یصحّ تنزیلها علی الفهم العرفی بالتمسّک بظاهرها؛ إذ ربما یؤدّی ذلک إلی فساد الاعتقاد و الإلحاد و الزندقة،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و نظائرها، فإنّه لا یجوز حملها علی ما هو المفهوم منه عند العوامّ و العرف، مثل المفهوم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حملها علی ما هو المفهوم منها عقلًا؛ بإعمال الدقّة العقلیّة، کما ورد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الآیات النازلة فی أوّل سورة الحدید إنّما هی للمتعمّقین فی آخر الزمان</w:t>
      </w:r>
      <w:r>
        <w:rPr>
          <w:rStyle w:val="FootnoteAnchor"/>
          <w:rtl w:val="true"/>
        </w:rPr>
        <w:footnoteReference w:id="302"/>
      </w:r>
      <w:r>
        <w:rPr>
          <w:rFonts w:ascii="Amiri" w:hAnsi="Amiri" w:eastAsia="Amiri" w:cs="Amiri"/>
          <w:color w:val="111111"/>
          <w:sz w:val="28"/>
          <w:sz w:val="28"/>
          <w:szCs w:val="28"/>
          <w:rtl w:val="true"/>
          <w:lang w:bidi="ar-SA"/>
        </w:rPr>
        <w:t>،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إلی آخر الآیات و هکذا الآیات الدالّة علی أنّه تعالی متکلِّم عالم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و نحوها، فإنّ الأخذ بظاهرها بمفهومه العرفی یؤدّی إلی الإلحاد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بعض من أنّ المراد هو الکلام النفسی الحالّ فیه تعالی، أو القائم به، أو إیجاد الکلام و الصوت فی الأجسام</w:t>
      </w:r>
      <w:r>
        <w:rPr>
          <w:rStyle w:val="FootnoteAnchor"/>
          <w:rtl w:val="true"/>
        </w:rPr>
        <w:footnoteReference w:id="305"/>
      </w:r>
      <w:r>
        <w:rPr>
          <w:rFonts w:ascii="IRNazanin" w:hAnsi="IRNazanin" w:eastAsia="IRNazanin"/>
          <w:color w:val="111111"/>
          <w:sz w:val="28"/>
          <w:sz w:val="28"/>
          <w:szCs w:val="28"/>
          <w:rtl w:val="true"/>
          <w:lang w:bidi="fa-IR"/>
        </w:rPr>
        <w:t>، أو أنّ کلامه تعالی فعله، فکلّها باطلة؛ لاستلزامها الحدوث و النقص و الإمکان بالنسبة إلیه تعالی، و وقوعه تعالی محلًا للحوادث، کالقول بأنّ المراد هو الکلام اللّفظی الصادر منه تعالی القائم به تعالی، فالقول بذلک کلّه یؤدّی إلی فساد العقیدة و الإلحاد فی ذاته تعالی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و الاعتقاد بثبوت الأوصاف المذکورة فی الأخبار و الآیات له تعالی، بما لها من المعانی الممکنة فی حقّه تعالی و إن عجزت عقولنا و قصرت أفهامنا</w:t>
      </w:r>
    </w:p>
    <w:p>
      <w:pPr>
        <w:pStyle w:val="BookText"/>
        <w:rPr/>
      </w:pPr>
      <w:r>
        <w:rPr>
          <w:rFonts w:ascii="IRNazanin" w:hAnsi="IRNazanin" w:eastAsia="IRNazanin"/>
          <w:color w:val="111111"/>
          <w:sz w:val="28"/>
          <w:sz w:val="28"/>
          <w:szCs w:val="28"/>
          <w:rtl w:val="true"/>
          <w:lang w:bidi="fa-IR"/>
        </w:rPr>
        <w:t>عن درکها فهو، ممّا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ما أجاب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الأشاعرة من القول بالکلام النفسی، و قیاس ذاته المقدّسة علی ذوات المخلوقین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النزاع و البحث فی هذه المسألة هو الاختلاف فی صفاته تعالی من العالمیة و القادریّة و المُتکلّمیّة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فنفاها المعتزلة، و ذهبوا إلی نیابة الذات مناب الصفات؛ لتوهّمهم أنّ إثباتها له تعالی یوجب النقصَ فی ذاته تعالی، و وقوعَه تعالی فی معرض الحوادث المستلزم للإمکان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أثبتها له تعالی الأشاعرة علی نحو إثباتها للمخلوقین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الفلاسفة قولًا وسطاً بین القولین خارجاً عن حدّی الإفراط و التفریط، و هو أنّه تعالی مُتکلّم؛ بمعنی أنّه تعالی یوجد الکلام فی شجر أو حجر و نحوهما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ذهب بعضهم إلی أنّ معنی التکلّم فی غیره تعالی أیضاً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افترقت الأشاعرة إلی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ثبوت الکلام اللّفظی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تعالی مع ذلک قدیم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أنکر الآخرون قدمه تعالی، و التزموا بأنّه فی معرض الحوادث</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الأکثرون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الکلام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نفسی، و أنّ الثابت</w:t>
      </w:r>
    </w:p>
    <w:p>
      <w:pPr>
        <w:pStyle w:val="BookText"/>
        <w:rPr/>
      </w:pPr>
      <w:r>
        <w:rPr>
          <w:rFonts w:ascii="IRNazanin" w:hAnsi="IRNazanin" w:eastAsia="IRNazanin"/>
          <w:color w:val="111111"/>
          <w:sz w:val="28"/>
          <w:sz w:val="28"/>
          <w:szCs w:val="28"/>
          <w:rtl w:val="true"/>
          <w:lang w:bidi="fa-IR"/>
        </w:rPr>
        <w:t>له تعالی هو النفسی لا اللّفظی، مع الاعتقاد بقدمه تعالی</w:t>
      </w:r>
      <w:r>
        <w:rPr>
          <w:rStyle w:val="FootnoteAnchor"/>
          <w:rtl w:val="true"/>
        </w:rPr>
        <w:footnoteReference w:id="312"/>
      </w:r>
      <w:r>
        <w:rPr>
          <w:rFonts w:ascii="IRNazanin" w:hAnsi="IRNazanin" w:eastAsia="IRNazanin"/>
          <w:color w:val="111111"/>
          <w:sz w:val="28"/>
          <w:sz w:val="28"/>
          <w:szCs w:val="28"/>
          <w:rtl w:val="true"/>
          <w:lang w:bidi="fa-IR"/>
        </w:rPr>
        <w:t>، و الکلام النفسی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المحکی بالجمل الخبریّة، و ثانیهما المحکی بالجمل الإنشائیّة، و هو المعنی بالطلب، و أنّه غیر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نُخبر بالقضیّة کذباً مع العلم بعدم وقوعها، فیکشف ذلک عن وجود الکلام النفسی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الأوامر الامتحانیة، کالأمر بذبح إبراهیمَ ولدَه</w:t>
      </w:r>
      <w:r>
        <w:rPr>
          <w:rStyle w:val="FootnoteAnchor"/>
          <w:rtl w:val="true"/>
        </w:rPr>
        <w:footnoteReference w:id="314"/>
      </w:r>
      <w:r>
        <w:rPr>
          <w:rFonts w:ascii="IRNazanin" w:hAnsi="IRNazanin" w:eastAsia="IRNazanin"/>
          <w:color w:val="111111"/>
          <w:sz w:val="28"/>
          <w:sz w:val="28"/>
          <w:szCs w:val="28"/>
          <w:rtl w:val="true"/>
          <w:lang w:bidi="fa-IR"/>
        </w:rPr>
        <w:t>مع عدم إرادة وقوع المأمور به و صدوره، و کالأوامر الامتحانیّة من الموالی العرفیة عبیدهم، و لا یراد منها وقوع المأمور به، فالطلب فیها موجود دون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الطلب هنا لیس حقیقیّاً، بل إنشائی، و هو عین الإرادة فالإرادة فیها أیضاً متحقّقة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تعلّق الأمر فی الأوامر الامتحانیّة بنفس الفعل بل بمقدّماته، کالإضجاع و تناول المُدیة فی قصّة إبراهیم؛ لغایة تکمیل نفسه بذلک، فإنّ المهمّ و العُمدة فی التأثیر فی ذلک هو الإتیان بمقدّماته بقصد إیجاد أصل الفعل بعد الإتیان بالمقدّمات ففیه کمال المشقّة و الکلفة علی النفس، و بالإتیان بالمقدّمات یتحقّق الأثر المطلوب من الأمر، و لا یفتقر إلی أصل الفعل الذی هو ذو المقدّمة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إذا راجعنا أنفسنا و وجداننا لا نجد سوی الإرادة و الصفات</w:t>
      </w:r>
    </w:p>
    <w:p>
      <w:pPr>
        <w:pStyle w:val="BookText"/>
        <w:rPr/>
      </w:pPr>
      <w:r>
        <w:rPr>
          <w:rFonts w:ascii="IRNazanin" w:hAnsi="IRNazanin" w:eastAsia="IRNazanin"/>
          <w:color w:val="111111"/>
          <w:sz w:val="28"/>
          <w:sz w:val="28"/>
          <w:szCs w:val="28"/>
          <w:rtl w:val="true"/>
          <w:lang w:bidi="fa-IR"/>
        </w:rPr>
        <w:t>النفسانیّة المعروفة شیئاً آخر یسمّی بالطلب</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الوجدان لا یدلّ علی عدم الوجود؛ إذ ربّما یوجد فی صُقع النفس قوًی غیر مُدرَکة لنا، 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ذاته تعالی علی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 ما هو کمال لنا فهو کمال أیضاً له تعالی، و أنّ کلّ ما هو نقص بالنسبة إلینا فهو نقص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مرجع الصفات الثابتة له تعالی التی هی کمال مطلق، و صفات للوجود بما أنّه موجود أیضاً إلی الوجود، و أمّا ما هی صفة للموجود المحدود لا بما أنّه موجود، فلیست کمالًا مطلقاً، بل هی نقص بالنسبة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 هو کمال مطلق من الصفات إلی الوجود الصرف، الثابتة للوجود بما أنّه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الثابتة للموجود بما أنّه موجود محدود، لیست کمالًا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الدعویان مُبتنیتان علی القول بأصالة الوجود التی هی اسّ کلّ المعارف، فالکمال الحقیقی هو الوجود المطلق، و کلّ ما کان مرجعه إلیه فهو کمال مطلق، و ما لم یرجع إلیه فلا؛ إذ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العدم و إمّا الماهیّة، و هی أمر اعتباری، لیست کمالًا للوجود بما أنّه موجود، فلا یمکن إثبات الصفات التی لا ترجع إلی الوجود له تعالی، إذ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العدم أو الماهیّة، و إثباتها له تعالی نقص لا کمال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الکمال الحقیقی هو الوجود المطلق المجرّد الثابت للوجود بما أنّه موجود، و لیس الثابت فیه غیر المثبت له، بل هو عینه، و من یُثبِت له تعالی الصفات علی نحو إثباتها لغیره تعالی، فلا بدّ أن ینزل الوجود المطلق عن مرتبته إلی حدّ</w:t>
      </w:r>
    </w:p>
    <w:p>
      <w:pPr>
        <w:pStyle w:val="BookText"/>
        <w:rPr/>
      </w:pPr>
      <w:r>
        <w:rPr>
          <w:rFonts w:ascii="IRNazanin" w:hAnsi="IRNazanin" w:eastAsia="IRNazanin"/>
          <w:color w:val="111111"/>
          <w:sz w:val="28"/>
          <w:sz w:val="28"/>
          <w:szCs w:val="28"/>
          <w:rtl w:val="true"/>
          <w:lang w:bidi="fa-IR"/>
        </w:rPr>
        <w:t>الجسمیّة متصوّراً بصورةٍ، تعالی اللَّه عن ذلک، و إلّا فلا یمکن إثبات التکلّم له بمعناه المتصرّم المتدرّج فی الوجود المحتاج إلی الفاعل للتکلّم المتدرّج و إلی الإرادة التدریجیة المستلزمة للحدوث، المستلزم للإمکان تعالی اللَّه عنه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الفلاسفة فهو أیضاً فاسد؛ لأنّ إیجاد الکلام و الصوت فی الشجرة و نحوها کإیجاده باللسان، یحتاج إلی إرادة جدیدة، فیلزم وقوعه تعالی محلّاً للحوادث، و هو محال، فلا یمکن إثباته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إثبات صفة التکلّم و نحوه بمعنی لطیف دقیق، هو کمال مطلق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إلّا فلا یمکن إثباتها له بالمعانی التی ذکروها له تعالی، بل نسلبها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أجاب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استدلّ به الأشاعرة لمذهبهم من الأوامر الامتحانیة، کما عرفت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 الطلب و الإرادة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إنشائی، إلّا أنّ المنصرِف إلیه الإطلاق من الإرادة هو الحقیقی منها، و المنصرف إلیه من الطلب هو الإنشائی منه، و هذا لا یوجب تغایرهما، و أنّ الموجود المتحقّق فی الأوامر الامتحانیّة هو الإنشائی منهما دون الحقیقی</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عدم صحّة التقسیم المذکور؛ إذ الإرادة و الطلب ینحصران فی الحقیقی، و لا معنی للإنشائی منهما؛ إذ إنشاؤهما عبارة عن اعتبارهما، و الاعتباریّات عند العقلاء محصورة، کالبیع و الصلح و غیرهما من العناوین الاعتباریّة، و لیس الطلب و الإرادة منها، فالتقسیم المذکور نظیر تقسیم الإنسان و الحجر إلی الحقیقی و الاعتباری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منه قدس سره حیث إنّه جمع بین القولین، و جعل النزاع بینهما لفظیّاً؛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ممّا حقّقناه أن یقع الصلح بین الطرفین و لم یکن نزاع فی البین؛ بأن</w:t>
      </w:r>
    </w:p>
    <w:p>
      <w:pPr>
        <w:pStyle w:val="BookText"/>
        <w:rPr/>
      </w:pPr>
      <w:r>
        <w:rPr>
          <w:rFonts w:ascii="IRNazanin" w:hAnsi="IRNazanin" w:eastAsia="IRNazanin"/>
          <w:color w:val="111111"/>
          <w:sz w:val="28"/>
          <w:sz w:val="28"/>
          <w:szCs w:val="28"/>
          <w:rtl w:val="true"/>
          <w:lang w:bidi="fa-IR"/>
        </w:rPr>
        <w:t>یکون المراد من حدیث الاتّحاد ما عرفت من العینیّة مفهوماً و وجوداً حقیقیّاً و إنشائیّاً و یکون المراد بالمغایرة و الاثنینیّة هو اثنینیّة الإنشائی من الطلب، کما هو کثیراً ما یُراد من إطلاق لفظه، و الحقیقی من الإرادة، کما هو المراد غالباً منها، فیرجع النزاع لفظیّاً فافهم</w:t>
      </w:r>
      <w:r>
        <w:rPr>
          <w:rStyle w:val="FootnoteAnchor"/>
          <w:rtl w:val="true"/>
        </w:rPr>
        <w:footnoteReference w:id="3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توهّم التوفیق و الصلح بین مذهبی الأشاعرة و المعتزلة ممّا 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الجواب عن استدلال الأشاعرة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ملاحظة وجه الفرق بین الأوامر الامتحانیة و غیرها، و أنّ الفرق بینهما ذاتی، أو من جهة مقدّمات الإرادة، أو من جهة الدواعی؛ فإنّ کلّ فعل اختیاری صادر من عاقل کالأمر بضرب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مسبوق بمقدّمات و لو بنحو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ذلک فی الذهن و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أنّ فیه مصلحة أو مفسدة و منفعة أو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ما فیه المصلحة و ترک 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لائم ذلک طبعه و ناسب نفسه حصل له الاشتیاق و کلّما کان أکثر ملائمة لنفسه کان الاشتیاق إلیه أشدّ، کشرب الماء بالنسبة إلی من غلبه العطش، ثمّ یحصل إرادة ذلک الفعل، و إن لم یلائم نفسه و طبعه امتنع الاشتیاق إلیه، و مع ذلک قد یختار الفعل، و تتحقق الإرادة؛ لوجود مصلحة فیه، کما فی شرب المریض الدواء المُرّ النافع لمرضه أو قطع یده لدفع سرایة المرض المهلک، و نحو 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الأکید غیر الإرادة؛ لما عرفت أنّه کثیراً ما یرید الإنسان فعلًا من دون أن یشتاق إلیه، فضلًا عن الأکید منه، کما فی الأمثلة المذکورة، و کلّ واحدة من المقدّمات المذکورة أیضاً غیر الاخری؛ لأنّها من مقولات مختلفة فالخطور فعل أو انفعال علی خلاف فیه، و کذلک التصدیق بالفائدة و الاختیار من</w:t>
      </w:r>
    </w:p>
    <w:p>
      <w:pPr>
        <w:pStyle w:val="BookText"/>
        <w:rPr/>
      </w:pPr>
      <w:r>
        <w:rPr>
          <w:rFonts w:ascii="IRNazanin" w:hAnsi="IRNazanin" w:eastAsia="IRNazanin"/>
          <w:color w:val="111111"/>
          <w:sz w:val="28"/>
          <w:sz w:val="28"/>
          <w:szCs w:val="28"/>
          <w:rtl w:val="true"/>
          <w:lang w:bidi="fa-IR"/>
        </w:rPr>
        <w:t>مقولة الفعل قطعاً، و کلّ واحد من تلک المقدّمات غیر الإرادة أیضاً فما یقال من أنّ الإرادة هو الشوق الأکید</w:t>
      </w:r>
      <w:r>
        <w:rPr>
          <w:rStyle w:val="FootnoteAnchor"/>
          <w:rtl w:val="true"/>
        </w:rPr>
        <w:footnoteReference w:id="320"/>
      </w:r>
      <w:r>
        <w:rPr>
          <w:rFonts w:ascii="IRNazanin" w:hAnsi="IRNazanin" w:eastAsia="IRNazanin"/>
          <w:color w:val="111111"/>
          <w:sz w:val="28"/>
          <w:sz w:val="28"/>
          <w:szCs w:val="28"/>
          <w:rtl w:val="true"/>
          <w:lang w:bidi="fa-IR"/>
        </w:rPr>
        <w:t>مردود؛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أنّه کثیراً ما تتحقّق الإرادة من دون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الاشتیاق من مقولة الانفعال للنفس اتّفاقاً و الإرادة فعل النفس، و الفعل غیر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تحقّقت مقدّمات الإرادة و مبادئها وجدت الإرادة، فتتحرّک العضلات نحو الفعل، کعضلات الفم و اللسان نحو الأمر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الأوامر الامتحانیّة و غیرها فی ذاتیهما و طبعیهما؛ لأنّ کلّ واحد منهما أمر بالحمل الشائع، و لا فی مبادئ الإرادة من الخطور و التصدیق بالفائدة و غیرها، غایة الأمر أنّ فائدة الأوامر الامتحانیّة هو الامتحان و الاختبار أو الإعذار، و فائدة غیرها وجود الفعل فی الخارج، فالداعی للأوامر الامتحانیّة هو الاختبار أو الإعذار، و الداعی فی الأوامر الحقیقیّة هو تحقّق الفعل فی الخارج لترتّب مصلحة علیه، و الاختلاف فی الداعی لا یوجب الاختلاف بینهما فی حقیقتهما، و إلّا فهذا الاختلاف موجود فی الأوامر الغیر الامتحانیّة أیضاً؛ فإنّ الداعی للأمر بالأکل غیر الداعی للأمر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الأوامر الصادرة من الموالی العرفیّة امتحانیّة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الأوامر الواردة فی الکتاب المجید الصادرة من اللَّه تعالی أو أوامره التکوینیّة، فلیست کذلک؛ لأنّها غیر مسبوقة بالخطور و التصدیق بالفائدة و نحوها؛ لاستحالة ذلک بالنسبة إلیه تعالی، سواء کانت فعلًا أو انفعالًا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الأفعالُ الصادرة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مُعلّلة بأغراض و منافع راجعة إلی نفس الأمر أو غیره، بخلاف الأفعال و الأوامر الصادرة منه تعالی، فإنّها غیر معلّلة</w:t>
      </w:r>
    </w:p>
    <w:p>
      <w:pPr>
        <w:pStyle w:val="BookText"/>
        <w:rPr/>
      </w:pPr>
      <w:r>
        <w:rPr>
          <w:rFonts w:ascii="IRNazanin" w:hAnsi="IRNazanin" w:eastAsia="IRNazanin"/>
          <w:color w:val="111111"/>
          <w:sz w:val="28"/>
          <w:sz w:val="28"/>
          <w:szCs w:val="28"/>
          <w:rtl w:val="true"/>
          <w:lang w:bidi="fa-IR"/>
        </w:rPr>
        <w:t>بهذه الأغراض، بل غرضه تعالی نفسه، فحبّه تعالی للغیر لحبّه نفسه و ذاته تعالی، فذاته المقدّسة معلولة لفعله، و النتائج المترتّبة علی أفعاله العائدة إلی الغیر من الفوائد، لا من الأغراض و العلل الغائیّة، فإنّ سائر الموجودات لیست شیئاً فی قبال وجوده تعالی، لیس لها استقلال فی الوجود، بل وجود متدلٍّ، و معنیً حرفی، و صرف الربط، و فانیة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یتراءی من الاصولیّین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یحصل الغرض بفعل کذا، و لا یحصل لو لم یفعل</w:t>
      </w:r>
      <w:r>
        <w:rPr>
          <w:rStyle w:val="FootnoteAnchor"/>
          <w:rtl w:val="true"/>
        </w:rPr>
        <w:footnoteReference w:id="321"/>
      </w:r>
      <w:r>
        <w:rPr>
          <w:rFonts w:ascii="IRNazanin" w:hAnsi="IRNazanin" w:eastAsia="IRNazanin"/>
          <w:color w:val="111111"/>
          <w:sz w:val="28"/>
          <w:sz w:val="28"/>
          <w:szCs w:val="28"/>
          <w:rtl w:val="true"/>
          <w:lang w:bidi="fa-IR"/>
        </w:rPr>
        <w:t>، لا بدّ و أن یحمل علی الأوامر العرفیّة، و إلّا فهذا التعبیر بالنسبة إلی أوامره و أفعاله تعالی غیر صحیح، صادرٌ عن غفلة عن استلزامه سلبَ الإرادة عنه تعالی، و هو باطل بالضرورة، بل معنی إرادته إحداثه، و أنّه لا یتخلّل بین إرادته و فعله ما یتخلّل بینهما فی غیره تعالی، کتحریک العضلات نحو الفعل، بل یوجد بمجرّد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غیره تعالی من سنخ إرادته، إلّا أنّ إرادة غیره تعالی مرتبة نازلة منها، و کذلک کلام اللَّه المنزل علی قلب رسول اللَّه صلی الله علیه و آله و سلم فإنّه لیس بصوت یُسمع و لا لفظ یقرع، لکن یتنزّل عن مرتبته، حتّی نزل علی قلبه صلی الله علیه و آله و سلم، و یتنزّل حتّی صار لفظا و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معانی تحریف القرآن الذی ورد فی بعض الأخبار أو البطون السبعة أو السبعین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 الأشاعرة لتغایر الطلب و الإرادة بالأوامر الامتحانیّة، غیرُ صحیح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شبهة فی أنّ الکفّار و العصاة مکلّفون بالتکالیف الشرعیة قطعاً، و حینئذٍ فإمّا أنّ أمره تعالی لهم بها عن إرادة فیلزم تخلّف المراد عنها،</w:t>
      </w:r>
    </w:p>
    <w:p>
      <w:pPr>
        <w:pStyle w:val="BookText"/>
        <w:rPr/>
      </w:pPr>
      <w:r>
        <w:rPr>
          <w:rFonts w:ascii="IRNazanin" w:hAnsi="IRNazanin" w:eastAsia="IRNazanin"/>
          <w:color w:val="111111"/>
          <w:sz w:val="28"/>
          <w:sz w:val="28"/>
          <w:szCs w:val="28"/>
          <w:rtl w:val="true"/>
          <w:lang w:bidi="fa-IR"/>
        </w:rPr>
        <w:t>و هو محال، أو لا معها، بل المتحقّق فقط هو الطلب، و هو المطلوب</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استحالة تخلّف المراد عن الإرادة إنّما هی من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 بالنظام علی الوجه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الإرادة التشریعیّة، ثمّ أورد علی نفسه إشکالات، و أجاب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اینجا رسید سر بشکست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البحث فی هذا المقام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مسألة الجبر و التفویض و الأمر بین الأمرین، الثانی فی بیان الموضوع للثواب و العقاب و ما یترتّبان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الجبر و التفویض من المسائل العقلیّة التی لا اختصاص لها بأفعال العباد، بل هی جاریة فی کلّ علّة و معلول، و صادرٍ بالنسبة إلی مصدره، و أثرٍ بالنسبة إلی مؤثّره، و المتّبع فیها البرهان القطعی، و الآیات و الأخبار الظاهرة علی خلافه لا بدّ من تأویلها علی ما یوافق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قوم</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اللَّه تعالی خلق العقل الأوّل، و فوّض إلیه الأمر، و أنّ کلّ ما هو علّة فی عالم التحقّق من المجرّدات و المادّیّات، فهو مستقلّ فی التأثیر فالشمس علّة تامّة للإشراق، و النار للإحراق، و الإنسان بالنسبة إلی الأفعال الصادرة منه؛ من التعقّل و الضرب و نحوهما من الأفعال الظاهریة و الباطنیّة؛ من الهضم و الجذب و الدفع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علّة فهی مستقلّة فی التأثیر، و تامّة لا تحتاج فی تأثیرها إلی ما هو خارج عنها، حتّی أنّهم ذهبوا إلی أنّ اللَّه تعالی لو 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الإخلال فی بقاء نظام العالم؛ لأنّه تعالی فاعل العلّة الاولی من الممکنات، و هو العقل الأوّل لا لإبقائها، کما أنّ البَنّاء علة موجدة للبِناء، لا مُبقیة له، و هو مسلک المفوّضة</w:t>
      </w:r>
    </w:p>
    <w:p>
      <w:pPr>
        <w:pStyle w:val="BookText"/>
        <w:rPr/>
      </w:pPr>
      <w:r>
        <w:rPr>
          <w:rFonts w:ascii="Amiri" w:hAnsi="Amiri" w:eastAsia="Amiri" w:cs="Amiri"/>
          <w:color w:val="111111"/>
          <w:sz w:val="28"/>
          <w:sz w:val="28"/>
          <w:szCs w:val="28"/>
          <w:rtl w:val="true"/>
          <w:lang w:bidi="ar-SA"/>
        </w:rPr>
        <w:t>لعنهم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یقابل هذا القول، فأنکروا العلّیّة و المعلولیّة و التأثیر و التأثّر الحقیقی فی الممکنات، و أنّ الآثار المترتّبة علی بعض الموجودات هو بمعنی أنّ عادة اللَّه جرت علی إیجادها بعد وجود تلک الموجودات، فعادة اللَّه جاریة بإیجاده الحرارة و الإضاءة و الإشراق عند وجود النار و الشمس، و إلّا فالنار لیست بمُحرقة، و الشمس بمشرقة، و هکذا فی کلّ أثر بالنسبة إلی مؤثّره کالحموضة و الحلاوة بالنسبة إلی الخلّ و الدبس حتّی أنّهم تفوّهوا بذلک فی النتیجة المترتّبة علی الأقیسة و أنّ عادة اللَّه جرت علی حصول العلم بالنتیجة بعد المقدّمتین و إلّا فلا فرق بین المقدّمتین 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علیّة کل منهما لإثبات تلک النتیجة، و کذلک الأفعال الصادرة من الإنسان؛ من الضرب و الشتم و التکلّم و الاستماع إلی غیر ذلک، فإنّها کلّها منسوبة إلیه تعالی</w:t>
      </w:r>
      <w:r>
        <w:rPr>
          <w:rStyle w:val="FootnoteAnchor"/>
          <w:rtl w:val="true"/>
        </w:rPr>
        <w:footnoteReference w:id="326"/>
      </w:r>
      <w:r>
        <w:rPr>
          <w:rFonts w:ascii="IRNazanin" w:hAnsi="IRNazanin" w:eastAsia="IRNazanin"/>
          <w:color w:val="111111"/>
          <w:sz w:val="28"/>
          <w:sz w:val="28"/>
          <w:szCs w:val="28"/>
          <w:rtl w:val="true"/>
          <w:lang w:bidi="fa-IR"/>
        </w:rPr>
        <w:t>و هو مذهب الجبریّة من الأشاعرة خذلهم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فالبرهان بل البراهین القطعیّة العقلیّة قائمة علی خلافه و فساده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الاستقلال فی التأثیر الذی تفوّهوا به فی جمیع العلل و المؤثّرات، لا یمکن إلّا فی شی‌ء یمکنه طرد جمیع الأعدام المتطرّقة إلی أثره و معلوله، و سدّ باب الأعدام بالنسبة إلیه من کلّ جانب، فإن کنت کذلک فهی مستقلّة فی التأثیر و إیجاد معلولها، و ذلک مستحیل فی غیره تعالی؛ لأنّ من طرق عدم المعلول هو عدمه لأجل عدم علّته، و العلّة الممکنة لا تتمکّن من طرد هذا العدم؛ لأنّ معنی الممکن بالذات هو إمکان عدمه، فإذا أمکن عدم العلّة أمکن عدم المعلول، و مع إمکان ذلک و عدم تمکّن العلّة من طرد هذا العدم، فلا معنی لاستقلالها فی التأثیر، فالاستقلال فی التأثیر منحصر فی الواجب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تفویض الأمر إلی العلّة الاولی من الممکنات؛ بحیث تتمکّن من طرد جمیع الأعدام المتطرّقة إلی معلولها، فهو أیضاً محال، فإنّ جمیع ما سوی اللَّه من الموجودات الممکنة أظلال غیر مستقلّة و صرف ربط و فقر بالذات، کما لا یخفی علی من لاحظ کیفیّة ارتباط المعلول بالعلّة، فإذا کان غیره تعالی من الموجودات کذلک امتنع انقلابها إلی الغنی بالذات بحیث یصیر مستقلّاً تامّاً کاملًا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انقلاب الممکن بالذات إلی الغنی بالذات مستحیل، و إلّا لزم الشرک و تعدّد الواجب بالذات، و لهذا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بالتفویض مشرک</w:t>
      </w:r>
      <w:r>
        <w:rPr>
          <w:rStyle w:val="FootnoteAnchor"/>
          <w:rtl w:val="true"/>
        </w:rPr>
        <w:footnoteReference w:id="328"/>
      </w:r>
      <w:r>
        <w:rPr>
          <w:rFonts w:ascii="IRNazanin" w:hAnsi="IRNazanin" w:eastAsia="IRNazanin"/>
          <w:color w:val="111111"/>
          <w:sz w:val="28"/>
          <w:sz w:val="28"/>
          <w:szCs w:val="28"/>
          <w:rtl w:val="true"/>
          <w:lang w:bidi="fa-IR"/>
        </w:rPr>
        <w:t>، و ما ذکرناه مبنی علی المذهب المنصور الموافق للتحقیق؛ من القول بأصالة الوجود و اعتباریّة الماهیّة، و علی بساطة الوجود و اشتراکه، کما حقّق فی محلّه</w:t>
      </w:r>
      <w:r>
        <w:rPr>
          <w:rStyle w:val="FootnoteAnchor"/>
          <w:rtl w:val="true"/>
        </w:rPr>
        <w:footnoteReference w:id="329"/>
      </w:r>
      <w:r>
        <w:rPr>
          <w:rFonts w:ascii="IRNazanin" w:hAnsi="IRNazanin" w:eastAsia="IRNazanin"/>
          <w:color w:val="111111"/>
          <w:sz w:val="28"/>
          <w:sz w:val="28"/>
          <w:szCs w:val="28"/>
          <w:rtl w:val="true"/>
          <w:lang w:bidi="fa-IR"/>
        </w:rPr>
        <w:t>و أنّ وجود جمیع الممکنات بسیط غیر مرکّب من الهیولی و الصورة؛ کی یقال بتبدیل الصورة عند الانقلاب إلی الوجود، فهذا المذهب ضروری البطلان و الفساد؛ أی مذهب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المذهب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الجبر، فهو أیضاً مخالف للبراهین العقلیّة، و لیس المقام محلّ بسط الکلام فیه؛ لخروجه عن البحث الأصلی، لکن نشیر إلیه إجمالًا، فنقول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 للتحقیق هو القول بأصالة الوجود، و أنّه بسیط غیر مرکّب من الجنس و الفصل، و لیس من الأنواع و مقولًا بالتشکیک ذا مراتب متفاوتة مختلفة فی النقص و الکمال، سواء کان مادّیّاً أم ملکوتیّاً مجرّداً، کلّ ذلک بالبراهین القطعیّة العقلیّة علیها المذکورة فی محلّها، فوجود الأعراض ناقص بالنسبة إلی ما فوقه،</w:t>
      </w:r>
    </w:p>
    <w:p>
      <w:pPr>
        <w:pStyle w:val="BookText"/>
        <w:rPr/>
      </w:pPr>
      <w:r>
        <w:rPr>
          <w:rFonts w:ascii="IRNazanin" w:hAnsi="IRNazanin" w:eastAsia="IRNazanin"/>
          <w:color w:val="111111"/>
          <w:sz w:val="28"/>
          <w:sz w:val="28"/>
          <w:szCs w:val="28"/>
          <w:rtl w:val="true"/>
          <w:lang w:bidi="fa-IR"/>
        </w:rPr>
        <w:t>فالمرتبة الناقصة من الوجود متعلّقة و مرتبطة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بالمرتبة الکاملة، فوجود المعلول مرتبط و متعلّق بوجود العلّة بتمام ذاته و حقیقته، و المرتبة الکاملة أیضاً مربوطة بالمرتبة الناقصة و إنّما قلنا بتعلّق المعلول بتمام ذاته بوجود العلّة؛ إذ لو تعلّق ببعض ذاته لا بتمام ذاته لزم ترکیب الوجود من الجنس و الفصل، و قد ثبت فی محلّه أنّه بسیط لا ترکّب فیه، فهو متعلّق بتمام ذاته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تأثیر و تأثّر فی الممکنات أصلًا، بل عادة اللَّه جرت علی إیجاد شی‌ء عقیب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کالحرارة عند وجود النار، و الإشراق عند وجود الشمس،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یتعلّق الناقص بتمام ذاته بالکامل و عدم ربط الکامل بالناقص فیلزم انقلاب الناقص إلی الکامل، و هو محال؛ لقیام البرهان العقلی علی امتناع انقلاب مرتبة من الوجود إلی مرتبة اخری منه، و یلزم ترکّبه أیضاً؛ لاحتیاج الانقلاب إلی المادّة و الصورة، و یلزم عدم کونه مقولًا بالتشکیک و ذا مراتب متفاوتة فی النقص و الکمال، و یلزمه أیضاً القول بأصالة الماهیّة و اعتباریّة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مخالف للبراهین العقلیّة القطعیّة المذکورة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کانت الأفعال کلّها منسوبة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یکن لغیره تعالی دخْلٌ فی وجودها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الامور المتدرّجة المتصرّمة، کالتکلّم و نحوه، و هی تفتقر إلی فاعل متدرّج الوجود، و هو متوقّف علی إرادة متدرّجة، و هی مستلزمة للحدوث فی ذی الإرادة، المستلزم للإمکان، فلا بدّ أن یلتزم بانقلاب الأمر المتدرّج إلی القارّ، و هو مُحال، و إمّا بأنّه تعالی محلّ للحوادث، بل إمکانه تعالی، و هو کفر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ورد فی بعض الأخبار أنّ القول بالجبر کفر باللَّه، أو أنّ القائل به کافر باللَّه تعالی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البسیط من جمیع الجهات لا یصدر منه إلّا</w:t>
      </w:r>
    </w:p>
    <w:p>
      <w:pPr>
        <w:pStyle w:val="BookText"/>
        <w:rPr/>
      </w:pPr>
      <w:r>
        <w:rPr>
          <w:rFonts w:ascii="IRNazanin" w:hAnsi="IRNazanin" w:eastAsia="IRNazanin"/>
          <w:color w:val="111111"/>
          <w:sz w:val="28"/>
          <w:sz w:val="28"/>
          <w:szCs w:val="28"/>
          <w:rtl w:val="true"/>
          <w:lang w:bidi="fa-IR"/>
        </w:rPr>
        <w:t>الواحد</w:t>
      </w:r>
      <w:r>
        <w:rPr>
          <w:rStyle w:val="FootnoteAnchor"/>
          <w:rtl w:val="true"/>
        </w:rPr>
        <w:footnoteReference w:id="331"/>
      </w:r>
      <w:r>
        <w:rPr>
          <w:rFonts w:ascii="IRNazanin" w:hAnsi="IRNazanin" w:eastAsia="IRNazanin"/>
          <w:color w:val="111111"/>
          <w:sz w:val="28"/>
          <w:sz w:val="28"/>
          <w:szCs w:val="28"/>
          <w:rtl w:val="true"/>
          <w:lang w:bidi="fa-IR"/>
        </w:rPr>
        <w:t>، و هو أیضاً ممّا قامت علیه البراهین العقلیّة القطعیّة، و المقام هو القدر المتیقَّن من موردها، و القولُ بالجبر و استناد جمیع الأفعال إلیه تعالی بلا واسطة الأسباب یوجب انخرام تلک القاعدة المبرهن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بالجبر و استناد الموجودات و الأفعال إلیه تعالی بلا واسطة العلل و المعلولات و الأسباب، مخالفٌ للبراهین العقلیّة، و ینجرّ إلی الکفر باللَّه تعالی، کما أنّ القول بالتفویض و استقلال الموجودات الممکنة فی التأثیر و الإیجاد ممتنع عقلًا، و مخالف للبراهین العقلیّة القطعیّة، و موجب للشرک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قولًا ثالثاً خارج عن طرفی الإفراط و التفریط، و هو القول بالأمر بین الأمرین</w:t>
      </w:r>
      <w:r>
        <w:rPr>
          <w:rStyle w:val="FootnoteAnchor"/>
          <w:rtl w:val="true"/>
        </w:rPr>
        <w:footnoteReference w:id="332"/>
      </w:r>
      <w:r>
        <w:rPr>
          <w:rFonts w:ascii="IRNazanin" w:hAnsi="IRNazanin" w:eastAsia="IRNazanin"/>
          <w:color w:val="111111"/>
          <w:sz w:val="28"/>
          <w:sz w:val="28"/>
          <w:szCs w:val="28"/>
          <w:rtl w:val="true"/>
          <w:lang w:bidi="fa-IR"/>
        </w:rPr>
        <w:t>، یصدق علیه البین حقیقة، و هو القول باستناد کلّ أثر إلی مؤثّره فی الممکنات، کالإحراق إلی النار، و الإشراق إلی الشمس، و هکذا، لکن لا مستقلًا، فکما أنّ جمیع الموجودات الممکنة موجودة، لکن لا استقلالًا، و متّصفة بأوصاف کذلک، کالإرادة و التکلّم و العلم فی الإنسان، کذلک هی مؤثّرة فی آثارها و أفعالها و معلولاتها، لکن لا بنحو الاستقلال؛ لما مرّ من أنّها صرف الربط و التعلّق و محض الفقر و الاحتیاج، لا استقلال لها أصلًا، فالمفوّضة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محرقة و علّة تامّة مستقلّة فی الإحراق، و هکذا الإنسان بالنسبة إلی أفعاله الصادرة منه و المجبّرة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المؤثّر و الموجود للآثار طُرّاً و الأفعال قاطبة هو اللَّه تعالی بلا واسطة، و إنّ عادة اللَّه جاریة علی خلق شی‌ء عقیب شی‌ء و إلّا فلا تأثیر و لا تأثّر للممکنات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مشرقة لا مستقلًاّ، و النار محرقة لا مستقلًاّ، و الإنسان موجد لأفعاله لکن لا استقلالًا، و هکذا کلّ علّة ممکنة مؤثّرة فی معلولها موجدة لها،</w:t>
      </w:r>
    </w:p>
    <w:p>
      <w:pPr>
        <w:pStyle w:val="BookText"/>
        <w:rPr/>
      </w:pPr>
      <w:r>
        <w:rPr>
          <w:rFonts w:ascii="IRNazanin" w:hAnsi="IRNazanin" w:eastAsia="IRNazanin"/>
          <w:color w:val="111111"/>
          <w:sz w:val="28"/>
          <w:sz w:val="28"/>
          <w:szCs w:val="28"/>
          <w:rtl w:val="true"/>
          <w:lang w:bidi="fa-IR"/>
        </w:rPr>
        <w:t>لکن لا استقلالًا، فبقولنا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موجدة و مؤثّرة ننفی قول المجبّرة و مذهبهم، و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استقلالًا ننفی قول المفوّضة فهذا القول وسط بین القولین، و هو الموافق للبراهین و الآیات و الروایات، فیصحّ إسناد الآثار الصادرة من الموجودات الممکنة إلیه تعالی بنحو الحقیقة، فإنّه علّة العلل کما یصحّ إسنادها إلی عللها التکوینیّة الممکنة أیضاً بنحو الحقیقة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فالجبری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اللَّه و ما رمی النبی صلی الله علیه و آله و سلم و المفوّض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النبی صلی الله علیه و آله و سلم و ما رمی اللَّه، و لکنّا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اللَّه و رمی النبی؛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کلاهما بنحو الحقیقة،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یُضِلُّ مَنْ یَشاءُ وَ یَهْدِی مَنْ یَشاءُ</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فإنّ معناه أنّهم شاءوا و شاء اللَّه، فأسند المشیئة إلیهم و إلی ذاته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و توضیح مفاد هذه الآیة و أمثالها یتوقّف علی تقدیم مقدّمة 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المتأصِّل فی الکون هو الوجود، و 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و أن ترجع جمیع الصفات الکمالیّة إلی الوجود، و لا یصدر من حقیقة الوجود أیضاً إلّا الوجود، إلّا أنّه وجود محدود ناقص بالنسبة إلی مؤثّره و مبدئه، الذی هو الوجود الصرف الکامل، الذی لا یتطرّق إلیه نقصٌ أصلًا، و أمّا نقص الصادر منه و محدودیّته فلیس هو من ناحیة المبدأ و المصدر، بل لأجل تأخّره الذاتی عن مرتبة مبدئه، و النقص و الحدّ لیسا من الامور المُتأصِّلة فی الکون، بل أمر عدمی اعتباری؛ إذ لو کان</w:t>
      </w:r>
    </w:p>
    <w:p>
      <w:pPr>
        <w:pStyle w:val="BookText"/>
        <w:rPr/>
      </w:pPr>
      <w:r>
        <w:rPr>
          <w:rFonts w:ascii="IRNazanin" w:hAnsi="IRNazanin" w:eastAsia="IRNazanin"/>
          <w:color w:val="111111"/>
          <w:sz w:val="28"/>
          <w:sz w:val="28"/>
          <w:szCs w:val="28"/>
          <w:rtl w:val="true"/>
          <w:lang w:bidi="fa-IR"/>
        </w:rPr>
        <w:t>متأصِّلًا و متعلَّقاً للجعل 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کأصل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المتحقّق أصلین و أنّ الواجب تعالی واجد لهما، و إلّا لزم النقص فی ذاته تعالی، فیلزم الترکّب فی ذاته، المستلزم للإمکان،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الحدّ و النقص فی الصادر لیس متعلّقاً للجعل أوّلًا و بالذات، بل ثانیاً و بالعرض و تبعاً للوجود، و أنّهما من ناحیة ذات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بإیراد مثال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لتقریب المراد إلی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جعلت مرآة فی مقابل الشمس، فإشراقها أوّلًا و بالذات إنّما هو فی المرآة، و انعکاس الإشراق من المرآة إلی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بالعَرض، فإشراق الشمس فی المرآة إشراق تامّ کامل، لا نقص و لا محدودیّة فیه أصلًا، و أمّا الإشراق من المرآة إلی الجدار فهو ناقص محدود، و هذا الحدّ و النقص لیسا من ناحیة الشمس؛ لأنّ إشراقها الذاتی الأوّلی غیر محدود، بل هو من ناحیة المرآة التی هی الواسطة فی الإشراق فی الجدار، و هذه المحدودیّة و النقص أمر اعتباری عدمی، لا أمر حقیقی؛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الصادر من الشمس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الإشراق و النقص، فقالت 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الموجد للإشراق الثانی فی الجدار هی المرآة مستقلّة، و قالت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الشمس لیس إلّا،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المرآة، لکن لا استقلالًا، بل بإشراق الشمس فی المرآة؛ بحیث لو لا إشراق الشمس لم یصدر الإشراق الثانی من المرآة، فهی موجدة له بإعانة الشمس</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أمثلة اخری کالتمثیل للمقام بقوی النفس و جوارحها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القولین المزبورین فی طرفی الإفراط و التفریط، و مخالفان للبراهین العقلیّة القطعیّة، و إنّ الموافق للبراهین و الآیات و الأخبار هو القول الثالث، و هو الأمر بین الأمرین</w:t>
      </w:r>
      <w:r>
        <w:rPr>
          <w:rFonts w:eastAsia="IRNazanin" w:cs="IRNazanin"/>
          <w:color w:val="111111"/>
          <w:sz w:val="28"/>
          <w:szCs w:val="28"/>
          <w:rtl w:val="true"/>
          <w:lang w:bidi="fa-IR"/>
        </w:rPr>
        <w:t>.</w:t>
      </w:r>
      <w:bookmarkStart w:id="356" w:name="pg12886_133318"/>
    </w:p>
    <w:p>
      <w:pPr>
        <w:pStyle w:val="BookText"/>
        <w:rPr/>
      </w:pPr>
      <w:bookmarkEnd w:id="356"/>
      <w:r>
        <w:rPr>
          <w:rFonts w:ascii="Amiri" w:hAnsi="Amiri" w:eastAsia="Amiri" w:cs="Amiri"/>
          <w:color w:val="111111"/>
          <w:sz w:val="28"/>
          <w:sz w:val="28"/>
          <w:szCs w:val="28"/>
          <w:rtl w:val="true"/>
          <w:lang w:bidi="ar-SA"/>
        </w:rPr>
        <w:t>إذا عرفت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صحّة إسناد جمیع الأفعال الصادرة من الإنسان إلیه تعالی 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 مِنْ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نقص و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یصحّ إسناده إلیه تعالی أوّلًا و بالذات، بل المنسوب إلیه تعالی أوّلًا و بالذات هو وجود الإنسان فقط، دون محدودیّته و نقصه، کما أنّ محدودیة إشراق المرآة لا یستند إلی الشمس، و إنّما یستند إلیها إشراقها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الکلام فی قوله تعالی فی الحدیث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أنا أولی بحسناتک منک، و أنت أولی بسیئاتک منّی</w:t>
      </w:r>
      <w:r>
        <w:rPr>
          <w:rFonts w:eastAsia="IRNazanin" w:cs="IRNazanin"/>
          <w:color w:val="111111"/>
          <w:sz w:val="28"/>
          <w:szCs w:val="28"/>
          <w:rtl w:val="true"/>
          <w:lang w:bidi="fa-IR"/>
        </w:rPr>
        <w:t>)</w:t>
      </w:r>
    </w:p>
    <w:p>
      <w:pPr>
        <w:pStyle w:val="BookText"/>
        <w:rPr/>
      </w:pPr>
      <w:r>
        <w:rPr>
          <w:rStyle w:val="FootnoteAnchor"/>
          <w:rtl w:val="true"/>
        </w:rPr>
        <w:footnoteReference w:id="338"/>
      </w:r>
      <w:r>
        <w:rPr>
          <w:rFonts w:ascii="IRNazanin" w:hAnsi="IRNazanin" w:eastAsia="IRNazanin"/>
          <w:color w:val="111111"/>
          <w:sz w:val="28"/>
          <w:sz w:val="28"/>
          <w:szCs w:val="28"/>
          <w:rtl w:val="true"/>
          <w:lang w:bidi="fa-IR"/>
        </w:rPr>
        <w:t>و نظائره الواردة فی الآیات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للأشاعرة شبهات استدلّوا بها لمذهبهم أسدّها و أتقنها عندهم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الصادرة من الإنسان لو صدرت بالاختیار، فمعنی الاختیار هو أنّها مسبوقة بالإرادة، و ننقل الکلام إلیها،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أیضاً من أفعال النفس، فإمّا هی صادرة بلا اختیار فهو المطلوب، و یلزمه عدم اختیاریّة الفعل الخارجی أیضاً له، فإنّ أثر الفعل الغیر الاختیاری أیضاً غیر اختیاری، و إمّا هی صادرة عن اختیار فهو أیضاً مسبوق بالإرادة، و ننقل الکلام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فإمّا أن ینتهی إلی إرادة غیر اختیاریّة، أو إلی الإرادة الأزلیّة الأبدیّة السرمدیّة، و هو المطلوب، أو یتسلسل، و هو محال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3024065_3224264995"/>
      <w:bookmarkStart w:id="358" w:name="_Toc133"/>
      <w:bookmarkEnd w:id="357"/>
      <w:r>
        <w:rPr>
          <w:rtl w:val="true"/>
        </w:rPr>
        <w:t>و اجیبَ عن ذلک بوجوه</w:t>
      </w:r>
      <w:r>
        <w:rPr>
          <w:rtl w:val="true"/>
        </w:rPr>
        <w:t>:</w:t>
      </w:r>
      <w:bookmarkEnd w:id="3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الداماد من أنّ التسلسل الذی هو محال هو ترتّب امور غیر متناهیة فی الوجود، و ما نحن فیه لیس کذلک؛ إذ الإرادة حالة شوقیّة وجدانیّة للنفس، و الإراداتُ المترتّبة علی الوجه المذکور من الامور الاعتباریّة، فإذا لم یعتبرها</w:t>
      </w:r>
      <w:bookmarkStart w:id="359" w:name="pg12886_133319"/>
    </w:p>
    <w:p>
      <w:pPr>
        <w:pStyle w:val="BookText"/>
        <w:rPr/>
      </w:pPr>
      <w:bookmarkEnd w:id="359"/>
      <w:r>
        <w:rPr>
          <w:rFonts w:ascii="Amiri" w:hAnsi="Amiri" w:eastAsia="Amiri" w:cs="Amiri"/>
          <w:color w:val="111111"/>
          <w:sz w:val="28"/>
          <w:sz w:val="28"/>
          <w:szCs w:val="28"/>
          <w:rtl w:val="true"/>
          <w:lang w:bidi="ar-SA"/>
        </w:rPr>
        <w:t>معتبر، و انقطع الاعتبار، لم توجد، فتنقطع السلسلة بانقطاع الاعتبار</w:t>
      </w:r>
      <w:r>
        <w:rPr>
          <w:rStyle w:val="FootnoteAnchor"/>
          <w:rtl w:val="true"/>
        </w:rPr>
        <w:footnoteReference w:id="340"/>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الجواب اقتباس عمّا أجابوا به عن الإشکال الذی أوردوه علی اللّازم و الملزوم، و هو أنّه إمّا أن یکون بین اللّازم و الملزوم لزوم،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باطل؛ لأنّه یلزم أن لا یکون اللّازم لازماً، و هو خلف، و علی الأوّل فهذا اللزوم أیضاً لازم، فیلزم لزوم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یتسلسل، و یجری هذا الإشکال بالنسبة إلی الضرورة فی القضیّة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فأجابوا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الشِّقّ الأوّل، لکن لزوم أمر اعتباری لا حقیقی، فینقطع بانقطاع الاعتبار، و هکذا فیما نحن فیه؛ فإنّ الإرادة قد تنسب إلی الفعل الخارجی، و هی حینئذٍ حالة شوقیّة وجدانیّة متحقّقة، و قد تُضاف إلی إرادة اخری؛ أی إرادة الإرادة، و إرادة إرادة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فهی من الامور الاعتباریّة المتقوِّمة بالاعتبار، فتترتّب مع الاعتبار، و تنقطع مع انقطاع الاعتبار، فلا یلزم التسلسل</w:t>
      </w:r>
      <w:r>
        <w:rPr>
          <w:rFonts w:eastAsia="IRNazanin" w:cs="IRNazanin"/>
          <w:color w:val="111111"/>
          <w:sz w:val="28"/>
          <w:szCs w:val="28"/>
          <w:rtl w:val="true"/>
          <w:lang w:bidi="fa-IR"/>
        </w:rPr>
        <w:t>.</w:t>
      </w:r>
    </w:p>
    <w:p>
      <w:pPr>
        <w:pStyle w:val="Heading4"/>
        <w:numPr>
          <w:ilvl w:val="3"/>
          <w:numId w:val="1"/>
        </w:numPr>
        <w:rPr/>
      </w:pPr>
      <w:bookmarkStart w:id="360" w:name="__RefHeading___Toc3024067_3224264995"/>
      <w:bookmarkStart w:id="361" w:name="_Toc134"/>
      <w:bookmarkEnd w:id="360"/>
      <w:r>
        <w:rPr>
          <w:rtl w:val="true"/>
        </w:rPr>
        <w:t>و فی هذا الجواب نظر</w:t>
      </w:r>
      <w:r>
        <w:rPr>
          <w:rtl w:val="true"/>
        </w:rPr>
        <w:t>:</w:t>
      </w:r>
      <w:bookmarkEnd w:id="361"/>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أفاده المحقّق صاحب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مجموع هذه الإرادات الاعتباریة من حیث المجموع إذا لوحظ، هل هو عن إرادة أو لا؟ فعلی الثانی یلزم الجبر، و علی الأوّل یتسلسل؛ لأنّ الإرادة السابقة من الأفعال الاختیاریّة للنفس، فلا بدّ أن یسبقها إرادة اخری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منه قدس سره، نظیر الجواب عمّا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أن لا تنتهی سلسلة العلل و المعلولات فی الممکنات أزلًا و أبداً، من دون الاحتیاج إلی موجد لها واجب الوجود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أنّه یمکن للعقل الإحاطة بمجموع تلک العلل</w:t>
      </w:r>
    </w:p>
    <w:p>
      <w:pPr>
        <w:pStyle w:val="BookText"/>
        <w:rPr/>
      </w:pPr>
      <w:r>
        <w:rPr>
          <w:rFonts w:ascii="IRNazanin" w:hAnsi="IRNazanin" w:eastAsia="IRNazanin"/>
          <w:color w:val="111111"/>
          <w:sz w:val="28"/>
          <w:sz w:val="28"/>
          <w:szCs w:val="28"/>
          <w:rtl w:val="true"/>
          <w:lang w:bidi="fa-IR"/>
        </w:rPr>
        <w:t>و المعلولات الغیر المتناهیة الواقعة فی سلسلة الممکنات، فالمجموع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 غنی بالذات عن الغیر فی الوجود، و هو محال؛ لأنّ ضمّ الفقیر بالذات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ضمّ الممکن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یصیر المجموع واجباً، أو لیس بواجب،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هذا البحث علی البحث فی الملازمة بین اللّازم و الملزوم، فی غیر محلّه؛ لأنّه قیاس الحقائق بالاعتباریّات، فإنّ شبهة الأشاعرة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من الامور الحقیقیّة و من الأفعال النفسانیّة، فإمّا أن توجد بلا إرادة و اختیار، فهو المطلوب لهم، و إلّا فلا بدّ أن یسبقها إرادة اخری، و ننقل الکلام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فإمّا أن یتسلسل، و هو محال، و إمّا أن ینتهی إلی إرادة غیر اختیاریّة، و هو المطلوب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اللزوم بین اللّازم و الملزوم فهو أمر انتزاعی، بل اعتباری لا حقیقة له فی نفس الأمر، و لا وجود له سوی وجود اللّازم و الملزوم، اللذین هما منشأ انتزاعه، فلیس للّزوم بینهما وجود مستقلّ؛ لیرد علیه ما ذکر، بخلاف الإرادة، فإنّها من الحقائق التی لها واقع، فلا وجه لقیاسها بالأمر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مبحث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الإرادة و الاختیار و إن لم تکن بالاختیار، إلّا أنّ بعض المبادئ للفعل غالباً یکون وجوده بالاختیار؛ للتمکّن من عدمه بالتأمّل فیما یترتّب علی ما عزم علیه من تبعة العقوبة و اللوم و المذمّة</w:t>
      </w:r>
      <w:r>
        <w:rPr>
          <w:rStyle w:val="FootnoteAnchor"/>
          <w:rtl w:val="true"/>
        </w:rPr>
        <w:footnoteReference w:id="3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 أفاده قدس سره، هو أنّ الإرادة قد تکون بلا اختیار، و حینئذٍ فالإشکال فی هذه الصورة باقٍ بحاله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 الکلام إلی هذا البعض من المبادئ،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بالاختیار،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الثانی یثبت مطلوب الأشاعرة؛ لأنّ أثر الأمر الاضطراری أیضاً اضطراری، و علی الأوّل یلزم التسلسل، فما ذکره قدس سره أیضاً ممّا لا یندفع به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أنّ الإرادة قد تتحقّق لمصلحة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الوجدان؛ لأنّا نری إمکان أن یقصد الإنسان البقاء فی مکان خاصّ عشرة أیّام؛ بملاحظة أنّ صحّة الصوم و تمامیّة الصلاة تتوقّف علی القصد المذکور، مع العلم بعدم ترتّب هذا الأثر علی نفس البقاء واقعاً</w:t>
      </w:r>
      <w:r>
        <w:rPr>
          <w:rStyle w:val="FootnoteAnchor"/>
          <w:rtl w:val="true"/>
        </w:rPr>
        <w:footnoteReference w:id="3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عقلیّة، لا عرفیّة عقلائیّة؛ لیرجع فیها إلی حکم العرف و العقلاء و الوجدان؛ لأنّا ننقل الکلام إلی القصد المذکور أنّه هل هو بالاختیار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الأفعال الخارجیّة مسبوقة بالإرادة، و أمّا نفس الإرادة التی هی من أفعال النفس فهی توجد بنفسها و بذاتها</w:t>
      </w:r>
      <w:r>
        <w:rPr>
          <w:rStyle w:val="FootnoteAnchor"/>
          <w:rtl w:val="true"/>
        </w:rPr>
        <w:footnoteReference w:id="345"/>
      </w:r>
      <w:r>
        <w:rPr>
          <w:rFonts w:ascii="IRNazanin" w:hAnsi="IRNazanin" w:eastAsia="IRNazanin"/>
          <w:color w:val="111111"/>
          <w:sz w:val="28"/>
          <w:sz w:val="28"/>
          <w:szCs w:val="28"/>
          <w:rtl w:val="true"/>
          <w:lang w:bidi="fa-IR"/>
        </w:rPr>
        <w:t>و هذا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الموجودات إنّما هو بالوجود، و أمّا وجود نفس الوجود فبذاته، و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رطوبة کلّ شی‌ء إنّما هو بالماء، و أمّا رطوبة نفس الماء فهی ذاتیّة له، و أنّ أبیضیّة کل شی‌ء بالبیاض، و أمّا أبیضیّة نفس البیاض فذاتیّة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ذلک المجیب ذلک علی القول بعدم الفرق بین المشتقّ و مبدئه إلّا باللّابشرطیّة و البشرطلائیّة و عدم أخذ الذات فی مفهوم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عدم أخذ الذات فی مفهوم المشتقّ، بل مفهومه عبارة عن المُعنون بهذه الصفة 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المبنی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الخلط فی کلامه قدس سره بین الجهة التعلیلیّة و التقییدیّة؛ فإنّ دعوی الأشاعرة هی أنّ الإرادة من الممکنات، فهی فی وجودها تفتقر إلی علّة و إرادة اخری؛ لاستحالة وجود الممکن بلا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ما ذکره فی الجواب إلی أنّه لا فرق بین المشتقّ کالمرید و مبدئه کالإرادة، إلّا أنّ الإرادة مقیّدة بعدم شی‌ء معها، و هذا</w:t>
      </w:r>
    </w:p>
    <w:p>
      <w:pPr>
        <w:pStyle w:val="BookText"/>
        <w:rPr/>
      </w:pPr>
      <w:r>
        <w:rPr>
          <w:rFonts w:ascii="IRNazanin" w:hAnsi="IRNazanin" w:eastAsia="IRNazanin"/>
          <w:color w:val="111111"/>
          <w:sz w:val="28"/>
          <w:sz w:val="28"/>
          <w:szCs w:val="28"/>
          <w:rtl w:val="true"/>
          <w:lang w:bidi="fa-IR"/>
        </w:rPr>
        <w:t>خروج عن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اتّصاف شی‌ء بصفة من الصفات النفسانیّة إنّما هو باعتبار تعلّقها بنفس هذا الشی‌ء لا مقیّداً بها،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معلومیّة الشی‌ء للإنسان و محبوبیّته أو مبغوضیّته أو أنّه مختار و مرادٌ له، إنّما هو باعتبار تعلّق العلم و الحبّ و البغض و الإرادة به نفسه لا مقیّداً بها فکون الشی‌ء مختاراً للإنسان أو مراداً له إنّما هو باعتبار تعلّق الإرادة و الاختیار بنفس هذا الشی‌ء لا باختیاره و إرادته، فلا یتعلّق الإرادة و الاختیار بالإرادة و الاختیار، فالفعل الاختیاری عبارة عمّا تعلّق به الإرادة و الاختیار و إن کانا ذاتیّین و لا عن اختیار، ثمّ لو تنزّلنا عن هذا البحث العقلی، و راجعنا فیه الوجدان و حکم العرف و العقلاء، فلا ریب فی لوم العقلاء و ذمّهم عبداً ارتکب ما هو مبغوض للمولی، و مدحهم لو فعل ما هو محبوب له اختیاراً، و حکمهم باستحقاقه المثوبة؛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العالم و عیشُ بنی آدم مبنی علی ذلک، فإنکار حکم العقلاء باستحقاق العقاب و الثواب و الحسن و القبح، و أنّ اللَّه یُدخل الجنّة من یشاء و إن کان عاصیاً کافراً، و یدخل النار من یشاء و إن کان عبداً مطیعاً مؤمناً یکذّبه الوجدان، و علی فرض تفوّههم بذلک لساناً یکذّبه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ریب فی الفرق فی محیط العقلاء بین الفعل الصادر عن اختیار و إرادة و بین الصادر لا عن إرادة قطعاً، و ترتیبهم الآثار علی الأوّل دون الثانی</w:t>
      </w:r>
      <w:r>
        <w:rPr>
          <w:rStyle w:val="FootnoteAnchor"/>
          <w:rtl w:val="true"/>
        </w:rPr>
        <w:footnoteReference w:id="346"/>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فی المقام فی جهات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النسبة بین مقدّمات الفعل الاختیاری و نفس الفعل الاختیاری، و هل هی نسبة العِلّیة و المعلولیّة أو غیرها؟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المشهور من أنّ الشی‌ء ما لم یجب لم یوجد</w:t>
      </w:r>
      <w:r>
        <w:rPr>
          <w:rStyle w:val="FootnoteAnchor"/>
          <w:rtl w:val="true"/>
        </w:rPr>
        <w:footnoteReference w:id="347"/>
      </w:r>
      <w:r>
        <w:rPr>
          <w:rFonts w:ascii="IRNazanin" w:hAnsi="IRNazanin" w:eastAsia="IRNazanin"/>
          <w:color w:val="111111"/>
          <w:sz w:val="28"/>
          <w:sz w:val="28"/>
          <w:szCs w:val="28"/>
          <w:rtl w:val="true"/>
          <w:lang w:bidi="fa-IR"/>
        </w:rPr>
        <w:t>صحیح أو لا؟</w:t>
      </w:r>
    </w:p>
    <w:p>
      <w:pPr>
        <w:pStyle w:val="BookText"/>
        <w:rPr/>
      </w:pPr>
      <w:r>
        <w:rPr>
          <w:rFonts w:ascii="IRNazanin" w:hAnsi="IRNazanin" w:eastAsia="IRNazanin"/>
          <w:color w:val="111111"/>
          <w:sz w:val="28"/>
          <w:sz w:val="28"/>
          <w:szCs w:val="28"/>
          <w:rtl w:val="true"/>
          <w:lang w:bidi="fa-IR"/>
        </w:rPr>
        <w:t>و علی فرض صحّته هل یُنافی ترتّب الثواب و العقاب علی الأفعال أو لا؟</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یترتّب علیه الثواب و العقاب و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أشرنا سابقاً إلی أنّ الفعل الخارجی الصادر من الإنسان مسبوق بمقدّمات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التصوّر، و التصدیق بالفائدة، و القضاء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الشوق، و اختیار إیجاده، ثمّ تتحقّق الإرادة فتتحرّک العضلات نحو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ذکره جمع من المحقّقین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التصوّرات من أفعال النفس</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انفعال بانتقاش صورة ما رآه فی الخارج فی الذهن، فإنّ هذا التصوّر انفعال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أفعالها کتصوّر المهندس صورة بناء فی ذهنه قبل وجوده فی الخارج بفعّالیّة النفس، و لا شبهة فی أنّه فرق بین هذا الفعل النفسانی الحاصل بفعّالیّة النفس و بین الفعل الخارجی؛ إذ الفعل الخارجی الاختیاری لا بدّ و أنّ یُسبق بالمبادئ المذکورة، و لیس الفعل الخارجی فعلًا للنفس؛ لا مادّةً و لا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المادّة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الهیئة، کهیئة البیت، فإنّها إنّما تتحقّق عند تحریک العضلات، و وضع لبنة علی لبنة بکیفیّة خاصة، و لیست ناشئة عن فعّالیة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الفعل الخارجی فی وجوده إلی المبادئ المذکورة، بخلاف نفس تلک المبادئ</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التصوّر الذی هو فعل من أفعال النفس فعدم احتیاجه إلی تلک المبادئ</w:t>
      </w:r>
    </w:p>
    <w:p>
      <w:pPr>
        <w:pStyle w:val="BookText"/>
        <w:rPr/>
      </w:pPr>
      <w:r>
        <w:rPr>
          <w:rFonts w:ascii="IRNazanin" w:hAnsi="IRNazanin" w:eastAsia="IRNazanin"/>
          <w:color w:val="111111"/>
          <w:sz w:val="28"/>
          <w:sz w:val="28"/>
          <w:szCs w:val="28"/>
          <w:rtl w:val="true"/>
          <w:lang w:bidi="fa-IR"/>
        </w:rPr>
        <w:t>واضح، و إلّا فلو توقّف وجود تصوّر علی تصوّره 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التصدیق بالصلاح و الفساد فهو انفعال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 و الحکم فهو من أفعال النفس کالعزم و الاختیار، لکن فرق بینه و بین الفعل الخارجی من جهة افتقار الفعل الخارجی فی وجوده إلی تلک المبادئ تفصیلًا، بخلافه، فإنّ العزم لا یحتاج فی وجوده فی النفس إلی عزم ذلک العزم و هکذا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الأفعال الخارجیّة الصادرة من النفس بوسائط و بین الأفعال الصادرة منها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الاولی تحتاج فی وجودها إلی المبادئ المذکورة تفصیلًا، بخلاف الثانیة، فإنّها لا تحتاج إلی المبادئ فی وجودها، و مع ذلک هی أیضاً من الأفعال الاختیاریّة للنفس، صادرة منها بالاختیار لا بالاضطرار و الإجبار، و أنّها و إن لم تتوقّف فی وجودها علی المبادئ المذکورة تفصیلًا، لکنّها مسبوقة بمقدّمات فی صُقع النفس بالإجمال فی مرتبة الذات، و هی من شئون النفس لیست خارجةً عنها، فالأفعال الصادرة من النفس توجد عن إدراک و شعور من النفس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 هذا یشیر ما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الأشیاء بالمشیّة، و خلق المشیّة بنفسها</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بذلک ما ذکره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اختیاریّة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صادرة عن اختیار و شعور و إدراک من النفس، لکن لا تتوقّف علی المقدّمات المذکورة تفصیلًا توقّف الفعل الخارجی علیها، بل علی مقدّمات ارتکازیّة کامنة فی صقع النفس بذاتها، و هی من شئونها، فلا یلزم التسلسل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یرد علی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وجود فعل خارجی أصلًا حتّی بالنسبة إلیه تعالی، و لا یلتزمون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شبهات الأشاعرة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ما لم یجب 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بها لمذهبهم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 أو ممتنع، أو ممکن، و الحصر عقلی، و الممکن عبارة عن ماهیّة واقعة فی حدّ سواء من طرفی الوجود و العدم؛ بحیث لا یترجّح أحدهما علی الآخر أصلًا، و إلّا لخرجت عن الإمکان؛ إذ لو فرض رجحان طرف الوجود، فإمّا أن یکون ذاتیّاً له؛ أی أولویّة ذاتیّة کامنة فیه موجبة للوجود، أو غیریّاً؛ أی أولویّة موجبة للوجود خارجة عن ذاته، و علی أیِّ تقدیر تصیر الماهیّة واجبة الوجود، غایة الأمر أنّ وجوبها علی الثانی بالغیر، فمع طرف العلّة جمیع الأعدام التی یمکن تطرّقها من جهة المقتضی و من جهة الشرائط و الموانع، تصیر واجبة الوجود، و مع عدم طرد جمیع تلک الأعدام فهی ممتنعة الوجود، و لا فرق فی بقاء المعدوم فی کتم العدم بین عدم طرد العلّة جمیع الأعدام المتطرّقة إلیها و بین عدم طرد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موجود لا بدّ أن یجب وجوده أوّلًا، ثمّ یوجد، فمعنی أنّ الشی‌ء ما لم یجب لم یوجد هو أنّه ما لم یُسدّ جمیع أبواب عدمه المتطرِّقة إلیه لم یمکن وجوده، فهذه القاعدة صحیحة لا غُبار علیها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بعض المتکلّمین بین الآثار الصادرة من الفاعل المختار و بین الصادرة من الفاعل المضطرّ، و أنّها صحیحة فی الثانی؛ أی الفاعل الذی یصدر منه الآثار بلا إرادة و شعور، کالإشراق من الشمس، و الإحراق من النار؛ حذراً من عدم إمکان إثبات واجب الوجود تعالی؛ لأنّها لو لم تجب عند وجودها، و توجد بلا سبق الوجوب، لزم الترجیح بلا مرجّح؛ لأنّ المفروض أنّ الماهیّة الممکنة فی حدّ سواء من طرفی الوجود و العدم، فلو لم یسبق وجودها الوجوب لزم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الصادرة من الفاعل المختار عن شعور و إرادة، فالقاعدة فیه غیر صحیحة؛ حذراً من لزوم القول باضطراریّة الأفعال الصادرة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توهّموا أنّ جریان تلک القاعدة و صحّتها فی جمیع الممکنات مستلزم للقول بأنّ الأفعال الصادرة منه تعالی غیر اختیاریّة لوجوبها، و أنّه یلزم من عدم صحّتها رأساً و عدم جریانها فی شی‌ء من الممکنات، عدمُ إمکان إثبات واجب الوجود؛ لأنّ المفروض حینئذٍ إمکان أن توجد الممکنات بدون الموجب لها، فلأجل دفع محذور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فاعل بالاضطرار، ذهبوا إلی عدم صحّتها فی الفواعل المختارة، و لأجل دفع محذور عدم إمکان إثبات واجب الوجود ذهبوا إلی صحّتها فی الفواعل المضطرّة، و استدلّوا علی ذلک ببعض ما ورد من الأخبار الواردة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البحث فی المقام عقلی لا مجال فیه إلی التمسّک بالأدلّة الشرعیّة، و تقدّم أنّ هذه القاعدة کلّیّة قام علیها البرهان العقلی القطعیّ، فلا بدّ من تأویل ما ظاهره علی خلافها من الأدلّة الشرعیّة علی وجه لا یُنافیها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استلزامها فی الفواعل المختارة للقول باضطراریّة الأفعال الصادرة منه تعالی، فهو ناش عن خلطٍ وقَعَ فی المقام؛ و ذلک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ما لا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بالوجوب و سدّ أبواب الأعدام المتطرّقة إلیه، فیوجد و یصیر واجباً، و لا یُعقل بقاؤه بعد الوجود علی الإمکان؛ بمعنی السواء من طرفی الوجود و العدم، و أمّا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 عن الاختیار بتأثیره فی الأثر و إیجابه الإیجاد فی هذا التأثیر و الإیجاب، بل هو دلیل و علامة للاختیار و یؤکّده، و إلی هذا أشار المحقّق السبزواری قدس سره فی منظومته؛ أنّ من الأغلاط الغلط فی الکتابة کاشتباه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بالموجِب بالکسر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الترجیح بلا مرجِّح فهو غیر مستحیل، و المستحیل هو الترجّح بلا مرجّح، و لا ارتباط للمسألة العرفیّة التی أوردوها لجواز الترجیح بلا مرجّح، مثل اختیار العطشان أحد الماءین المتساویین من جمیع الجهات، و لا یمکث عطشاناً لأجل محذور استحالة الترجیح بلا مرجّح، و نظائره بالمقام لأنّها مسائل عرفیّة لا تصلح دلیلًا للمسألة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استدلّ به الأشاعرة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أنّه تعالی مرید، و تتعلّق إرادته بجمیع الأشیاء، و أنّ إرادته عین علمه تعالی بالنظام علی الوجه الأکمل للعالم، فهی عین ذاته، فإذا تعلّقت بشی‌ء من الأفعال، کالتکلّم الصادر من الإنسان، وجب وجوده، و إلّا لزم تخلّف إرادته تعالی عن المراد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هذا أشار بعض الشعراء</w:t>
      </w:r>
      <w:r>
        <w:rPr>
          <w:rStyle w:val="FootnoteAnchor"/>
          <w:rtl w:val="true"/>
        </w:rPr>
        <w:footnoteReference w:id="353"/>
      </w:r>
      <w:r>
        <w:rPr>
          <w:rFonts w:ascii="IRNazanin" w:hAnsi="IRNazanin" w:eastAsia="IRNazanin"/>
          <w:color w:val="111111"/>
          <w:sz w:val="28"/>
          <w:sz w:val="28"/>
          <w:szCs w:val="28"/>
          <w:rtl w:val="true"/>
          <w:lang w:bidi="fa-IR"/>
        </w:rPr>
        <w:t>فی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نخورم علم خدا جهل بود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مراده أنّه لو لم یشربه یلزم ذلک؛ کی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الشرب لا یستلزم ذلک، بل یکشف عن عدم إرادته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ما ذکرناه و إلیه یرجع ما حُکی عن بعضهم من أنّ إرادته تعلّقت بالنظام الجُملی للعالم، و لا تتخلّف الإرادة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الآثار الموجودة فی الخارج مستندة إلیه تعالی، و تعلّقت إرادته الأزلیّة به، و استحال انفکاکها عن المراد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فی الجواب عن الشبهات المتقدّمة لهم و للمعتزلة، یظهر الجواب عن هذه الشبهة أیضاً؛ إذ إن ارید أنّ هذه الآثار و الأفعال الخارجیّة مستندة إلیه تعالی علی</w:t>
      </w:r>
    </w:p>
    <w:p>
      <w:pPr>
        <w:pStyle w:val="BookText"/>
        <w:rPr/>
      </w:pPr>
      <w:r>
        <w:rPr>
          <w:rFonts w:ascii="IRNazanin" w:hAnsi="IRNazanin" w:eastAsia="IRNazanin"/>
          <w:color w:val="111111"/>
          <w:sz w:val="28"/>
          <w:sz w:val="28"/>
          <w:szCs w:val="28"/>
          <w:rtl w:val="true"/>
          <w:lang w:bidi="fa-IR"/>
        </w:rPr>
        <w:t>نحو استنادها إلینا بلا واسطة أسباب و علل، فقد عرفت استحالته؛ لأنّ الأفعال المتدرّجة الوجود محتاجة إلی إرادة متدرّجة، و هی تستلزم فاعلًا متدرِّجاً، و هو محال بالنسبة إلیه تعالی؛ لاستلزامه الحدوث و الإمکان، و إن ارید أنّه یصحّ استنادها إلیه و لو بواسطة الأسباب و المسبَّبات، کما یصحّ إسنادها إلی غیره تعالی أیضاً من الإنسان و غیره، فهو صحیح؛ لما عرفت من أنّ جمیع الموجودات الممکنة محض ربطٍ و فقر إلیه تعالی، و فی الواقع و نفس الأمر لیست فی الحقیقة شیئاً و الوجود الصِّرف المطلق منحصر فیه تعالی، و مرجع جمیع العلائق الموجودة فی الموجودات بعضها مع بعض إلی العلاقة بالکمال المطلق، فجمیع الموجودات فانیة محضاً فی ذاته المقدّسة، و مع ذلک فهم مختارون فی الأفعال الصادرة منهم مریدون لها فصحّة إسنادها إلیه تعالی لا ینافی صحّة إسنادها إلیهم و اختیارهم فی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المقام الثانی من المقامین اللَّذینِ أشرنا إلیهما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موضوع استحقاق الثواب و العقاب و الملاک فیهما، و توضیح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الذاتی لا یعلّل</w:t>
      </w:r>
      <w:r>
        <w:rPr>
          <w:rStyle w:val="FootnoteAnchor"/>
          <w:rtl w:val="true"/>
        </w:rPr>
        <w:footnoteReference w:id="355"/>
      </w:r>
      <w:r>
        <w:rPr>
          <w:rFonts w:ascii="IRNazanin" w:hAnsi="IRNazanin" w:eastAsia="IRNazanin"/>
          <w:color w:val="111111"/>
          <w:sz w:val="28"/>
          <w:sz w:val="28"/>
          <w:szCs w:val="28"/>
          <w:rtl w:val="true"/>
          <w:lang w:bidi="fa-IR"/>
        </w:rPr>
        <w:t>، و بیان صحّته و سقمه، و توضیح 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الشقی شقی فی بطن امّه، و السعید سعید فی بطن امّه</w:t>
      </w:r>
      <w:r>
        <w:rPr>
          <w:rFonts w:eastAsia="IRNazanin" w:cs="IRNazanin"/>
          <w:color w:val="111111"/>
          <w:sz w:val="28"/>
          <w:szCs w:val="28"/>
          <w:rtl w:val="true"/>
          <w:lang w:bidi="fa-IR"/>
        </w:rPr>
        <w:t>)</w:t>
      </w:r>
    </w:p>
    <w:p>
      <w:pPr>
        <w:pStyle w:val="BookText"/>
        <w:rPr/>
      </w:pPr>
      <w:r>
        <w:rPr>
          <w:rStyle w:val="FootnoteAnchor"/>
          <w:rtl w:val="true"/>
        </w:rPr>
        <w:footnoteReference w:id="356"/>
      </w:r>
      <w:r>
        <w:rPr>
          <w:rFonts w:ascii="IRNazanin" w:hAnsi="IRNazanin" w:eastAsia="IRNazanin"/>
          <w:color w:val="111111"/>
          <w:sz w:val="28"/>
          <w:sz w:val="28"/>
          <w:szCs w:val="28"/>
          <w:rtl w:val="true"/>
          <w:lang w:bidi="fa-IR"/>
        </w:rPr>
        <w:t>، و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الکلام فی ذلک یحتاج إلی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للذاتی و العرضی اصطلاحین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لیس بخارج عن الذات، و هو منحصر فی الجنس و الفصل، و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هو خارج عن الذات، سواء کان لازماً للماهیّة کالزوجیّة</w:t>
      </w:r>
    </w:p>
    <w:p>
      <w:pPr>
        <w:pStyle w:val="BookText"/>
        <w:rPr/>
      </w:pPr>
      <w:r>
        <w:rPr>
          <w:rFonts w:ascii="IRNazanin" w:hAnsi="IRNazanin" w:eastAsia="IRNazanin"/>
          <w:color w:val="111111"/>
          <w:sz w:val="28"/>
          <w:sz w:val="28"/>
          <w:szCs w:val="28"/>
          <w:rtl w:val="true"/>
          <w:lang w:bidi="fa-IR"/>
        </w:rPr>
        <w:t>للأربعة، أم لا کالسواد و البیاض للجسم الأسود و الأبیض</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البرهان، و الذاتی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هو المنتزع عن حاقّ الشی‌ء و لازم للذات لا ینفکّ عنها، سواء کان من أجزاء الماهیّة، أم من لوازمها الذاتیّة الغیر المنفکّة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یمکن انفکاکه عن الماهیّة کالسواد و البیاض</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الذاتی فی الاصطلاح الأوّل أخصّ منه فی الاصطلاح الثانی؛ لصدق الثانی علی لوازم الماهیّة الخارجة عنها، کالزوجیّة للأربعة، و الإمکان فی الماهیّة الممکنة، بخلاف الأوّل، و العرضی علی عکس ذلک، فإنّه فی الاصطلاح الثانی أخصّ منه فی الاصطلاح الأوّل؛ لصدق العرضی فی الاصطلاح الأوّل علی لوازم الماهیّة؛ لخروجها عن الماهیّة، دونه فی الاصطلاح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بالذاتی و العرضی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 لا یُعلّل، و العرضی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الذاتی و العرضی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الإیساغوجی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أنّه لا یسأل عن أنّه لِمَ صار الإنسان إنساناً، أو حیواناً، أو ناطقاً؟ لأنّها ذاتیّة، و 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الجعل و صحّته هو الإمکان، فإنّ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الذی وجوده ضروری، فهو لا یحتاج إلی الجعل، و کذا الممتنع الذی عدمه ضروری، و الممکن عبارة عن ماهیّة واقعة فی حدّ سواء من طرفی الوجود و العدم، فترجیح أحد الطرفین یحتاج إلی العلّة، إلّا أنّ عدم وجود علّة الوجود کافٍ فی علّیّته للعدم، فوجود جمیع الممکنات معلّل دون وجود الواجب؛ لأنّه ذاتی له، فلا یعلّل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واجبة أو ممکنة، کما أنّ جمیع المفاهیم لا تخلو عن 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الممکن و الممتنع، و الواجب منحصر فی الحقّ تعالی، و ما سواه ممکن الوجود، فوجود الحقّ تعالی ضروری ذاتی، و الذاتی لا یُعلَّل، و وجود</w:t>
      </w:r>
    </w:p>
    <w:p>
      <w:pPr>
        <w:pStyle w:val="BookText"/>
        <w:rPr/>
      </w:pPr>
      <w:r>
        <w:rPr>
          <w:rFonts w:ascii="IRNazanin" w:hAnsi="IRNazanin" w:eastAsia="IRNazanin"/>
          <w:color w:val="111111"/>
          <w:sz w:val="28"/>
          <w:sz w:val="28"/>
          <w:szCs w:val="28"/>
          <w:rtl w:val="true"/>
          <w:lang w:bidi="fa-IR"/>
        </w:rPr>
        <w:t>سائر الموجودات عرضی فیعلّل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المتأصّل المتحقِّق هو الوجود، و أمّا الماهیّة و أجزاؤها و لوازمها فهی امور اعتباریّة، و فی الحقیقة هی عدم 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و إنّما یعتبرها العقل، لیس لها تأثیر و تأثّر و لا شأن من الشئون، فجمیع الآثار الموجودة فی الخارج مستندة إلی الوجود، و مع ذلک هی بالنسبة إلی ذاتها و ذاتیّاتها لا تُعَلَّل، و بالنسبة إلی الوجود و عوارضه من السواد و البیاض تعلّل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لاحظنا نظام الموجودات فلا تخلو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أنّها واجبة فی حدّ ذاتها؛ بمعنی أنّها ذاتها بذاتها نفس الوجود و الغِنی و العلّیّة، کذات البارئ تعالی، و إمّا لیست بواجبة کذلک، بل وجودها نفس الارتباط و التعلّق و المعلولیّة، کوجود ما سوی اللَّه، فوجود واجب الوجود و غناه و علّیّته لا تعلّل؛ لأنّها عین ذاته المقدّسة، و الذاتی لا یعلّل، و أمّا ما سوی اللَّه تعالی ففی تعلّقه و معلولیّته أیضاً لا یعلّل؛ لأنّه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السعادة و الشقاوة و معناهما فی اصطلاح العرف و العادة غیر ما هو فی عرف المتشرِّعة المؤمنین بالغیب، و هما بهذین الاصطلاحین غیر ما هو المفهوم و المراد منهما فی اصطلاح أهل الحکمة و الفلسفة؛ و ذلک لأنّ السعید فی اصطلاح العرف عبارة عن النائل ما یلائم نفسه من اللذّات و الشهوات، و لم یصبه ما یُنافی طبعه من الهموم و الغموم و البلایا و الأمراض و نحوها، و الشقی بخلافه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السعید فی اصطلاح المؤمنین المتشرّعین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عمّن کان من أصحاب الیمین من أهل الجنّة خالداً فیها ما دامت السماوات و الأرض، حتّی أنّه لو فرض أنّ أحداً ابتُلی فی الدنیا بأنواع البلایا و الأمراض و الفقر و الفاقة، و لم ینل من الشهوات و الآمال الدنیویّة شیئاً، لکنّه إذا انتقل إلی عالم البقاء فتحت علیه أبواب الجنان، و اغلقت علیه أبواب النیران، کان سعیداً مطلقاً عندهم، لأنّ تلک الآلام و الأسقام الدنیویّة بالقیاس</w:t>
      </w:r>
    </w:p>
    <w:p>
      <w:pPr>
        <w:pStyle w:val="BookText"/>
        <w:rPr/>
      </w:pPr>
      <w:r>
        <w:rPr>
          <w:rFonts w:ascii="IRNazanin" w:hAnsi="IRNazanin" w:eastAsia="IRNazanin"/>
          <w:color w:val="111111"/>
          <w:sz w:val="28"/>
          <w:sz w:val="28"/>
          <w:szCs w:val="28"/>
          <w:rtl w:val="true"/>
          <w:lang w:bidi="fa-IR"/>
        </w:rPr>
        <w:t>إلی ما یناله من نعم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الحور و القصور و جنّات تجری فیها الأنهار خالدین فیها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کالعدم، حتّی أنّه روی أنّ فی الشرب من میاه الجنّة جمیع أقسام اللذّات الدنیویة، فإنّ قیاس اللّذّات الدنیویّة إلی اللّذّات الاخرویّة قیاس المتناهی إلی غیر المتناهی،</w:t>
      </w:r>
    </w:p>
    <w:p>
      <w:pPr>
        <w:pStyle w:val="BookText"/>
        <w:rPr/>
      </w:pPr>
      <w:r>
        <w:rPr>
          <w:rFonts w:ascii="IRNazanin" w:hAnsi="IRNazanin" w:eastAsia="IRNazanin"/>
          <w:color w:val="111111"/>
          <w:sz w:val="28"/>
          <w:sz w:val="28"/>
          <w:szCs w:val="28"/>
          <w:rtl w:val="true"/>
          <w:lang w:bidi="fa-IR"/>
        </w:rPr>
        <w:t>و روی أنّه یُعطی العبد المؤمن السعید فی الجنّة کتاباً 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الحی القیّوم الذی لا یموت إلی الحی الذی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لَفِی خُسْرٍ إِلَّا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و منه یعلم معنی الشقی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السعادة و الشقاوة فی اصطلاح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الخیر و الوجود، فمن وجوده خیر محض، فهو سعید مطلق کاللَّه تعالی، و إن لم یطلق ذلک علیه تعالی، لکن وجوده تعالی خیر محض، بخلاف سائر الموجودات، فکلّ ما هو أکمل فهو إلی السعادة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الماهیّة الممکنة التی هی فی الحقیقة عدمٌ صِرف و لیسٌ محض</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السعادة و الشقاوة فی الاصطلاح الأوّل و الثانی لیستا من الذاتیّات للإنسان و أجزائه، و لا عین ذاته و لا لازم ماهیّته، و إلّا یلزم أن یکون أفراد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سعیداً محضاً، أو شقیّاً محضاً، لا البعض سعیداً و بعضهم شقیّاً، و قد عرفت أنّ الذی لا یُعلّل هو الذاتی فی باب الإیساغوجی، و هما لیسا ذاتیّین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باب البرهان و لا فی باب الإیساغوجی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العوارض التی یمکن انفکاکها عن الإنسان، بل هما کسبیّان یکتسبهما الإنسان بإرادته و اختیاره، نعم هما فی اصطلاح الفلاسفة ذاتیان فلا یعلّلان، لکن المراد منهما فی الأخبار و الآیات هو أحد الاصطلاحین الأوّلین؛ لأنّ همَّ الأنبیاء</w:t>
      </w:r>
    </w:p>
    <w:p>
      <w:pPr>
        <w:pStyle w:val="BookText"/>
        <w:rPr/>
      </w:pPr>
      <w:r>
        <w:rPr>
          <w:rFonts w:ascii="IRNazanin" w:hAnsi="IRNazanin" w:eastAsia="IRNazanin"/>
          <w:color w:val="111111"/>
          <w:sz w:val="28"/>
          <w:sz w:val="28"/>
          <w:szCs w:val="28"/>
          <w:rtl w:val="true"/>
          <w:lang w:bidi="fa-IR"/>
        </w:rPr>
        <w:t>و الأولیاء و غرضَهم و غایةَ بعثهم، هو هدایة الناس إلی السعادة الأبدیّة، و الوصول إلی رضوان اللَّه و نیل نعم الجنّة و زجرهم عمّا یوجب الشقاوة الأبدیّة و دخول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المطالب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الوجود و اعتباریّة الماهیّة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بیانها و هدایة الناس إلی معرفتها من شئون الأنبیاء و الأولیاء و وظائفهم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بیان أنّه لِمَ اختار بعض أفراد الإنسان السعادة و بعضهم الآخر الشقاوة و بیان معنی حدیث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p>
    <w:p>
      <w:pPr>
        <w:pStyle w:val="BookText"/>
        <w:rPr/>
      </w:pPr>
      <w:r>
        <w:rPr>
          <w:rStyle w:val="FootnoteAnchor"/>
          <w:rtl w:val="true"/>
        </w:rPr>
        <w:footnoteReference w:id="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w:t>
      </w:r>
    </w:p>
    <w:p>
      <w:pPr>
        <w:pStyle w:val="BookText"/>
        <w:rPr/>
      </w:pPr>
      <w:r>
        <w:rPr>
          <w:rStyle w:val="FootnoteAnchor"/>
          <w:rtl w:val="true"/>
        </w:rPr>
        <w:footnoteReference w:id="363"/>
      </w:r>
      <w:r>
        <w:rPr>
          <w:rFonts w:ascii="IRNazanin" w:hAnsi="IRNazanin" w:eastAsia="IRNazanin"/>
          <w:color w:val="111111"/>
          <w:sz w:val="28"/>
          <w:sz w:val="28"/>
          <w:szCs w:val="28"/>
          <w:rtl w:val="true"/>
          <w:lang w:bidi="fa-IR"/>
        </w:rPr>
        <w:t>، و أنّ الثواب و العقاب علامَ یترتّبان؟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جهة اشتراک مع سائر الموجودات فی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کالجمادات و النباتات و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الجسمیّة و النموّ و غیرها، وجهة افتراق عنها، و هی 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مدرک للجزئیّات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بها یُدرک الکلّیّات،</w:t>
      </w:r>
    </w:p>
    <w:p>
      <w:pPr>
        <w:pStyle w:val="BookText"/>
        <w:rPr/>
      </w:pPr>
      <w:r>
        <w:rPr>
          <w:rFonts w:ascii="Amiri" w:hAnsi="Amiri" w:eastAsia="Amiri" w:cs="Amiri"/>
          <w:color w:val="111111"/>
          <w:sz w:val="28"/>
          <w:sz w:val="28"/>
          <w:szCs w:val="28"/>
          <w:rtl w:val="true"/>
          <w:lang w:bidi="ar-SA"/>
        </w:rPr>
        <w:t>و لذا ورد فی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خلق اللَّه العقل استنطقه،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خلقتُ خلقاً هو أحبّ إلی منک، و لا أکملتک إلّا فیما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إیّاک آمُر، و إیّاک أنهی، و إیّاک اعاقب، و إیّاکَ اثیب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
      </w:r>
      <w:r>
        <w:rPr>
          <w:rFonts w:ascii="IRNazanin" w:hAnsi="IRNazanin" w:eastAsia="IRNazanin"/>
          <w:color w:val="111111"/>
          <w:sz w:val="28"/>
          <w:sz w:val="28"/>
          <w:szCs w:val="28"/>
          <w:rtl w:val="true"/>
          <w:lang w:bidi="fa-IR"/>
        </w:rPr>
        <w:t>، و بالعقل یتمکّن الإنسان أن یطّلع إلی عالم الغیب و ما وراء الطبیعة، و التصدیق بأنّ لهذه المصنوعات و المخلوقات و الموجودات صانعاً و خالقاً و موجداً، و به یدرک التکالیف الشرعیّة الإلهیّة، و تسمّی هذه القوّة بالعاقلة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قوّة اخری تسمّی بالعاملة، بها یستعدّ الإنسان للتدرّج فی مدارج السعادة و نیل مرتبة هی فوق مرتبة الملائکة المقرّبین، فالموضوع للعقاب و الثواب هو الإتیان</w:t>
      </w:r>
    </w:p>
    <w:p>
      <w:pPr>
        <w:pStyle w:val="BookText"/>
        <w:rPr/>
      </w:pPr>
      <w:r>
        <w:rPr>
          <w:rFonts w:ascii="IRNazanin" w:hAnsi="IRNazanin" w:eastAsia="IRNazanin"/>
          <w:color w:val="111111"/>
          <w:sz w:val="28"/>
          <w:sz w:val="28"/>
          <w:szCs w:val="28"/>
          <w:rtl w:val="true"/>
          <w:lang w:bidi="fa-IR"/>
        </w:rPr>
        <w:t>بما هو محبوب للشارع أو مبغوض له بالإرادة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لصحّة ترتّب الثواب و العقاب شرائط لو انتفی واحد منها انتفیا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للفاعل قوّة بها یدرک الکلّیّات، و یتمکّن من الاطّلاع علی عالم الغیب، و التصدیق بأنّ للعالَم خالقاً و مدبِّراً و صانعاً، و أنّه مکلّف و لیس بمهمل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بیان التکالیف إلیه علی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الفعل منه بالإرادة و الاختیار بدون القسر و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اجتماع تلک الشرائط و الأرکان یصحّ عقوبته أو مثوبته عند العرف و العقلاء، و لا یفتقران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واجب الوجود تعالی واجب من جمیع الجهات، و لا جهة إمکان فیه تعالی أصلًا، فهو تعالی واجب الوجود من جهة ذاته، و من جهة علمه و قدرته و إرادته و سائر صفاته، فمن هو لائق لنیل کمال و استعداد قبوله من أفراد الإنسان أعطاه اللَّه، و یمتنع منع الإفاضة إلیه؛ لأنّه تعالی إمّا أن یعلم بقابلیّة العبد و استعداده و أهلیّته و لیاقته له،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باطل بالضرورة، و تعالی اللَّه عنه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فالمنع و عدم الإفاضة یؤدّی إلی البخل، تعالی اللَّه عن ذلک، فوجب علی اللَّه إعطاؤه إیّاه و إفاضته، و هذا لا یُنافی اختیاره تعالی و قدرته، فإنّ الفاعل المختار عبارة عمّن یتمکّن من الفعل و الترک معاً، إلّا أنّ الإرادة الأزلیّة تعلّقت بالإعطاء لا بعدم الإعطاء، مع قدرته علی عدمه أیضاً، و استحالة ترک الإعطاء لما ذکرناه، لا لعدم قدرته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الإعطاء و الإفاضة بالإرادة و الاختیار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اختلاف أفراد الإنسان فی السعادة و الشقاوة و مراتبهما، و منشأ هذا الاختلاف هو اختلافهما فی مبادئهما، فإنّ مبدأ الإنسان هی المادّة المَنَویّة التی هی خلاصة الأغذیة الحاصلة بعد الهضم الرابع، و لمّا کانت الأغذیة مختلفة</w:t>
      </w:r>
    </w:p>
    <w:p>
      <w:pPr>
        <w:pStyle w:val="BookText"/>
        <w:rPr/>
      </w:pPr>
      <w:r>
        <w:rPr>
          <w:rFonts w:ascii="IRNazanin" w:hAnsi="IRNazanin" w:eastAsia="IRNazanin"/>
          <w:color w:val="111111"/>
          <w:sz w:val="28"/>
          <w:sz w:val="28"/>
          <w:szCs w:val="28"/>
          <w:rtl w:val="true"/>
          <w:lang w:bidi="fa-IR"/>
        </w:rPr>
        <w:t>غایة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اللطافة المعنویّة بمراتبها و فی ما یقابلها و الامتزاجات الحاصلة من الأغذیة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مبادئ خلقة أفراد الإنسان، فاختلف الأفراد اختلافاً فاحشاً فی جهات مختلفة؛ بحیث لا یوجد اثنان منها یتشابهان من جمیع الجهات، فإنّ الطعام مطلقاً حینما وصل إلی الجوف، و اجتذبته الجاذبة، ینتقل إلی أن یصل إلی الهضم الرابع، و یتمیّز الدم بالهضم العروقی عمّا هو مبدأ خلقة الإنسان، و کلّما کان الطعام ألطف کان استعداده للسعادة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اختلاف الإنسان فی السعادة و الشقاوة بمراتبهما، هو اختلاف الأغذیة و الأشربة من حیث اللطافة المعنویّة و عدمها، و من حیث اختلاطها، و یحتمل أن تکون أخبار الطینة</w:t>
      </w:r>
      <w:r>
        <w:rPr>
          <w:rStyle w:val="FootnoteAnchor"/>
          <w:rtl w:val="true"/>
        </w:rPr>
        <w:footnoteReference w:id="365"/>
      </w:r>
      <w:r>
        <w:rPr>
          <w:rFonts w:ascii="IRNazanin" w:hAnsi="IRNazanin" w:eastAsia="IRNazanin"/>
          <w:color w:val="111111"/>
          <w:sz w:val="28"/>
          <w:sz w:val="28"/>
          <w:szCs w:val="28"/>
          <w:rtl w:val="true"/>
          <w:lang w:bidi="fa-IR"/>
        </w:rPr>
        <w:t>ناظرة و مشیرة إلی ذلک بإرادة اختلاف الموادّ المنویّة فیما ذکرناه من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أسباب اختلاف الأفراد فی الاستعدادات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اختلاف أصلاب الآباء من حیث اتّصافهم بالصفات الحمیدة أو المذمومة و الکمالات النفسانیّة و ما یقابلها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أرحام الامّهات فی الطهارة المعنویّة و خباثتها فنشو الولد فی الرَّحم الطاهر موجب لسعادة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الشامخ للآباء و الرحم الطاهر للُامّهات و مقابلهما، ممّا له دَخْلٌ فی اختلاف مراتب الأفراد و الأولاد فی السعادة و کمالها و الشقاوة و لهذا</w:t>
      </w:r>
    </w:p>
    <w:p>
      <w:pPr>
        <w:pStyle w:val="BookText"/>
        <w:rPr/>
      </w:pPr>
      <w:r>
        <w:rPr>
          <w:rFonts w:ascii="IRNazanin" w:hAnsi="IRNazanin" w:eastAsia="IRNazanin"/>
          <w:color w:val="111111"/>
          <w:sz w:val="28"/>
          <w:sz w:val="28"/>
          <w:szCs w:val="28"/>
          <w:rtl w:val="true"/>
          <w:lang w:bidi="fa-IR"/>
        </w:rPr>
        <w:t>ورد فی زیارة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أنّک کنتَ نوراً فی الأصلاب الشامخة و الأرحام المطهّرة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6"/>
      </w:r>
      <w:r>
        <w:rPr>
          <w:rFonts w:ascii="IRNazanin" w:hAnsi="IRNazanin" w:eastAsia="IRNazanin"/>
          <w:color w:val="111111"/>
          <w:sz w:val="28"/>
          <w:sz w:val="28"/>
          <w:szCs w:val="28"/>
          <w:rtl w:val="true"/>
          <w:lang w:bidi="fa-IR"/>
        </w:rPr>
        <w:t>إلی آخره، فإنّ أصلاب آباء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شامخة و أرحام أمّهاتهم طاهرة من لدن آدم إلی الخاتم؛ و لهذا أمر النبی صلی الله علیه و آله و سلم</w:t>
      </w:r>
    </w:p>
    <w:p>
      <w:pPr>
        <w:pStyle w:val="BookText"/>
        <w:rPr/>
      </w:pPr>
      <w:r>
        <w:rPr>
          <w:rFonts w:ascii="IRNazanin" w:hAnsi="IRNazanin" w:eastAsia="IRNazanin"/>
          <w:color w:val="111111"/>
          <w:sz w:val="28"/>
          <w:sz w:val="28"/>
          <w:szCs w:val="28"/>
          <w:rtl w:val="true"/>
          <w:lang w:bidi="fa-IR"/>
        </w:rPr>
        <w:t>علی ما فی الأخبار و التواریخ</w:t>
      </w:r>
      <w:r>
        <w:rPr>
          <w:rStyle w:val="FootnoteAnchor"/>
          <w:rtl w:val="true"/>
        </w:rPr>
        <w:footnoteReference w:id="367"/>
      </w:r>
      <w:r>
        <w:rPr>
          <w:rFonts w:ascii="IRNazanin" w:hAnsi="IRNazanin" w:eastAsia="IRNazanin"/>
          <w:color w:val="111111"/>
          <w:sz w:val="28"/>
          <w:sz w:val="28"/>
          <w:szCs w:val="28"/>
          <w:rtl w:val="true"/>
          <w:lang w:bidi="fa-IR"/>
        </w:rPr>
        <w:t>بالانعزال عن الناس حینما أراد اللَّه تعالی تکوّن امّ الأئمّة النجباء فاطمة الزهراء سلام اللَّه علیها و علی أبیها و بعلها و ذُرّیّتها المعصومین حتّی عن خدیجة علیها السلام</w:t>
      </w:r>
      <w:r>
        <w:rPr>
          <w:rStyle w:val="FootnoteAnchor"/>
          <w:rtl w:val="true"/>
        </w:rPr>
        <w:footnoteReference w:id="368"/>
      </w:r>
      <w:r>
        <w:rPr>
          <w:rFonts w:ascii="IRNazanin" w:hAnsi="IRNazanin" w:eastAsia="IRNazanin"/>
          <w:color w:val="111111"/>
          <w:sz w:val="28"/>
          <w:sz w:val="28"/>
          <w:szCs w:val="28"/>
          <w:rtl w:val="true"/>
          <w:lang w:bidi="fa-IR"/>
        </w:rPr>
        <w:t>لِئلّا یسمع کلامهم، و لا یقع نظره الشریف علیهم، و ترک معاشرتهم، مع أنّ أخلاق الناس لم تؤثّر فی نفسه الشریفة صلی الله علیه و آله و سلم و 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امر فیها بأن یأتی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بفواکه الجنّة</w:t>
      </w:r>
      <w:r>
        <w:rPr>
          <w:rStyle w:val="FootnoteAnchor"/>
          <w:rtl w:val="true"/>
        </w:rPr>
        <w:footnoteReference w:id="369"/>
      </w:r>
      <w:r>
        <w:rPr>
          <w:rFonts w:ascii="IRNazanin" w:hAnsi="IRNazanin" w:eastAsia="IRNazanin"/>
          <w:color w:val="111111"/>
          <w:sz w:val="28"/>
          <w:sz w:val="28"/>
          <w:szCs w:val="28"/>
          <w:rtl w:val="true"/>
          <w:lang w:bidi="fa-IR"/>
        </w:rPr>
        <w:t>لیکون مبدأ خِلقتها من ثمار الجنّة، لا من طعام الدّنیا؛ لأنّها ام الأئمة الطاهرین علیهم السلام و لیس ذلک کلّه إلّا لما ذکرناه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السرّ فی الأحکام و الآداب الواردة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الواجبات و المحرّمات و المندوبات و المکروهات، کاختیار العفیفة العاقلة الجمیلة الکریمة الأصل</w:t>
      </w:r>
      <w:r>
        <w:rPr>
          <w:rStyle w:val="FootnoteAnchor"/>
          <w:rtl w:val="true"/>
        </w:rPr>
        <w:footnoteReference w:id="370"/>
      </w:r>
      <w:r>
        <w:rPr>
          <w:rFonts w:ascii="IRNazanin" w:hAnsi="IRNazanin" w:eastAsia="IRNazanin"/>
          <w:color w:val="111111"/>
          <w:sz w:val="28"/>
          <w:sz w:val="28"/>
          <w:szCs w:val="28"/>
          <w:rtl w:val="true"/>
          <w:lang w:bidi="fa-IR"/>
        </w:rPr>
        <w:t>، و تعیین أوقات الوقاع</w:t>
      </w:r>
      <w:r>
        <w:rPr>
          <w:rStyle w:val="FootnoteAnchor"/>
          <w:rtl w:val="true"/>
        </w:rPr>
        <w:footnoteReference w:id="371"/>
      </w:r>
      <w:r>
        <w:rPr>
          <w:rFonts w:ascii="IRNazanin" w:hAnsi="IRNazanin" w:eastAsia="IRNazanin"/>
          <w:color w:val="111111"/>
          <w:sz w:val="28"/>
          <w:sz w:val="28"/>
          <w:szCs w:val="28"/>
          <w:rtl w:val="true"/>
          <w:lang w:bidi="fa-IR"/>
        </w:rPr>
        <w:t>، و النهی عنه فی أوقات مخصوصة</w:t>
      </w:r>
      <w:r>
        <w:rPr>
          <w:rStyle w:val="FootnoteAnchor"/>
          <w:rtl w:val="true"/>
        </w:rPr>
        <w:footnoteReference w:id="372"/>
      </w:r>
      <w:r>
        <w:rPr>
          <w:rFonts w:ascii="IRNazanin" w:hAnsi="IRNazanin" w:eastAsia="IRNazanin"/>
          <w:color w:val="111111"/>
          <w:sz w:val="28"/>
          <w:sz w:val="28"/>
          <w:szCs w:val="28"/>
          <w:rtl w:val="true"/>
          <w:lang w:bidi="fa-IR"/>
        </w:rPr>
        <w:t>، و الأمر بتناول الحامل أغذیة مخصوصة</w:t>
      </w:r>
      <w:r>
        <w:rPr>
          <w:rStyle w:val="FootnoteAnchor"/>
          <w:rtl w:val="true"/>
        </w:rPr>
        <w:footnoteReference w:id="373"/>
      </w:r>
      <w:r>
        <w:rPr>
          <w:rFonts w:ascii="IRNazanin" w:hAnsi="IRNazanin" w:eastAsia="IRNazanin"/>
          <w:color w:val="111111"/>
          <w:sz w:val="28"/>
          <w:sz w:val="28"/>
          <w:szCs w:val="28"/>
          <w:rtl w:val="true"/>
          <w:lang w:bidi="fa-IR"/>
        </w:rPr>
        <w:t>، و النهی عن بعضها</w:t>
      </w:r>
      <w:r>
        <w:rPr>
          <w:rStyle w:val="FootnoteAnchor"/>
          <w:rtl w:val="true"/>
        </w:rPr>
        <w:footnoteReference w:id="374"/>
      </w:r>
      <w:r>
        <w:rPr>
          <w:rFonts w:ascii="Amiri" w:hAnsi="Amiri" w:eastAsia="Amiri" w:cs="Amiri"/>
          <w:color w:val="111111"/>
          <w:sz w:val="28"/>
          <w:sz w:val="28"/>
          <w:szCs w:val="28"/>
          <w:rtl w:val="true"/>
          <w:lang w:bidi="ar-SA"/>
        </w:rPr>
        <w:t>، و آداب المرضعة و آداب المجالسة</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کلّه مُؤثّر فی طِباع الولد و دخیل فی السعادة و الشقاوة</w:t>
      </w:r>
      <w:r>
        <w:rPr>
          <w:rFonts w:eastAsia="IRNazanin" w:cs="IRNazanin"/>
          <w:color w:val="111111"/>
          <w:sz w:val="28"/>
          <w:szCs w:val="28"/>
          <w:rtl w:val="true"/>
          <w:lang w:bidi="fa-IR"/>
        </w:rPr>
        <w:t>.</w:t>
      </w:r>
      <w:bookmarkStart w:id="362" w:name="pg12886_133336"/>
    </w:p>
    <w:p>
      <w:pPr>
        <w:pStyle w:val="BookText"/>
        <w:rPr/>
      </w:pPr>
      <w:bookmarkEnd w:id="362"/>
      <w:r>
        <w:rPr>
          <w:rFonts w:ascii="IRNazanin" w:hAnsi="IRNazanin" w:eastAsia="IRNazanin"/>
          <w:color w:val="111111"/>
          <w:sz w:val="28"/>
          <w:sz w:val="28"/>
          <w:szCs w:val="28"/>
          <w:rtl w:val="true"/>
          <w:lang w:bidi="fa-IR"/>
        </w:rPr>
        <w:t>و مع ذلک کلّه لا یُنافی ذلک صحّة العقوبة و المثوبة علی الأفعال الصادرة من المکلّفین اختیاراً، مع وجود أرکان موضوعهما و شرائطه المتقدّمة؛ لأنّ الامور المذکورة لیست علّة تامّة لصدور الفعل عنهم لا بالاختیار، فإنّ الشقی إنّما یفعل القبیح مع العلم و الشعور و الإرادة و الاختیار، و هو قادر علی ترکه، و کذلک المطیع إنّما یطیع مع العلم و الشعور و الإرادة و الاختیار، فیصحّ عقوبة الأوّل و مثوبة الثانی، کما هو کذلک فی الموالی العرفیّة بالنسبة إلی عبیدهم، فالمناط لصحّة العقاب و الثواب هو صدور الفعل عن علم و شعور و اختیار، لا سوء السریرة أو حسنها، و لعلّ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p>
    <w:p>
      <w:pPr>
        <w:pStyle w:val="BookText"/>
        <w:rPr/>
      </w:pPr>
      <w:r>
        <w:rPr>
          <w:rStyle w:val="FootnoteAnchor"/>
          <w:rtl w:val="true"/>
        </w:rPr>
        <w:footnoteReference w:id="376"/>
      </w:r>
      <w:r>
        <w:rPr>
          <w:rFonts w:ascii="IRNazanin" w:hAnsi="IRNazanin" w:eastAsia="IRNazanin"/>
          <w:color w:val="111111"/>
          <w:sz w:val="28"/>
          <w:sz w:val="28"/>
          <w:szCs w:val="28"/>
          <w:rtl w:val="true"/>
          <w:lang w:bidi="fa-IR"/>
        </w:rPr>
        <w:t>إشارة إلی ما فصّلناه من اختلاف أفراد الناس بحسب السعادة و الشقاوة و الملکات الحمیدة و غیرها و الأخلاق الفاضلة و غیرها، التی لا تُنافی الاختیار، و 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امّه و السعید من سَعِدَ فی بطن امّه</w:t>
      </w:r>
      <w:r>
        <w:rPr>
          <w:rFonts w:eastAsia="IRNazanin" w:cs="IRNazanin"/>
          <w:color w:val="111111"/>
          <w:sz w:val="28"/>
          <w:szCs w:val="28"/>
          <w:rtl w:val="true"/>
          <w:lang w:bidi="fa-IR"/>
        </w:rPr>
        <w:t>)</w:t>
      </w:r>
    </w:p>
    <w:p>
      <w:pPr>
        <w:pStyle w:val="BookText"/>
        <w:rPr/>
      </w:pPr>
      <w:r>
        <w:rPr>
          <w:rStyle w:val="FootnoteAnchor"/>
          <w:rtl w:val="true"/>
        </w:rPr>
        <w:footnoteReference w:id="377"/>
      </w:r>
      <w:r>
        <w:rPr>
          <w:rFonts w:ascii="IRNazanin" w:hAnsi="IRNazanin" w:eastAsia="IRNazanin"/>
          <w:color w:val="111111"/>
          <w:sz w:val="28"/>
          <w:sz w:val="28"/>
          <w:szCs w:val="28"/>
          <w:rtl w:val="true"/>
          <w:lang w:bidi="fa-IR"/>
        </w:rPr>
        <w:t>، و لا إشکال فیه</w:t>
      </w:r>
      <w:r>
        <w:rPr>
          <w:rFonts w:eastAsia="IRNazanin" w:cs="IRNazanin"/>
          <w:color w:val="111111"/>
          <w:sz w:val="28"/>
          <w:szCs w:val="28"/>
          <w:rtl w:val="true"/>
          <w:lang w:bidi="fa-IR"/>
        </w:rPr>
        <w:t>.</w:t>
      </w:r>
    </w:p>
    <w:p>
      <w:pPr>
        <w:pStyle w:val="Heading4"/>
        <w:numPr>
          <w:ilvl w:val="3"/>
          <w:numId w:val="1"/>
        </w:numPr>
        <w:rPr/>
      </w:pPr>
      <w:bookmarkStart w:id="363" w:name="__RefHeading___Toc3024069_3224264995"/>
      <w:bookmarkStart w:id="364" w:name="_Toc135"/>
      <w:bookmarkEnd w:id="363"/>
      <w:r>
        <w:rPr>
          <w:rtl w:val="true"/>
        </w:rPr>
        <w:t>خاتمة</w:t>
      </w:r>
      <w:bookmarkEnd w:id="364"/>
    </w:p>
    <w:p>
      <w:pPr>
        <w:pStyle w:val="BookText"/>
        <w:rPr/>
      </w:pPr>
      <w:r>
        <w:rPr>
          <w:rFonts w:ascii="Amiri" w:hAnsi="Amiri" w:eastAsia="Amiri" w:cs="Amiri"/>
          <w:color w:val="111111"/>
          <w:sz w:val="28"/>
          <w:sz w:val="28"/>
          <w:szCs w:val="28"/>
          <w:rtl w:val="true"/>
          <w:lang w:bidi="ar-SA"/>
        </w:rPr>
        <w:t xml:space="preserve">هی إنّ الإنسان بجمیع أفراده یُحبّ الکمال، و یبغض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لکن هذه الفطرة مستورة بالحجُب الظلمانیّة و الآمال الدنیویّة، و لذلک بعث اللَّه تعالی الأنبیاء لتذکیرهم و تنبیههم عن غفلتهم و هدایتهم و إرشادهم إلی صراط اللَّه و إلی ما هو کمال لهم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وجوب الصلوات الخمس و غیرها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أسباب</w:t>
      </w:r>
    </w:p>
    <w:p>
      <w:pPr>
        <w:pStyle w:val="BookText"/>
        <w:rPr/>
      </w:pPr>
      <w:r>
        <w:rPr>
          <w:rFonts w:ascii="Amiri" w:hAnsi="Amiri" w:eastAsia="Amiri" w:cs="Amiri"/>
          <w:color w:val="111111"/>
          <w:sz w:val="28"/>
          <w:sz w:val="28"/>
          <w:szCs w:val="28"/>
          <w:rtl w:val="true"/>
          <w:lang w:bidi="ar-SA"/>
        </w:rPr>
        <w:t xml:space="preserve">لحصول ذلک الکمال، کما یظهر من بعض الأخبار الواردة فی أسرار الصلاة و غیرها من العبادات و کذلک آدابها و الأدعیة المأثورة قبل تکبیرة الافتتاح و فی أوقات مخصوصة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اللّهمّ لبّیک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65" w:name="pg12886_133338"/>
    </w:p>
    <w:p>
      <w:pPr>
        <w:pStyle w:val="Heading3"/>
        <w:numPr>
          <w:ilvl w:val="2"/>
          <w:numId w:val="1"/>
        </w:numPr>
        <w:rPr/>
      </w:pPr>
      <w:bookmarkStart w:id="366" w:name="__RefHeading___Toc3024071_3224264995"/>
      <w:bookmarkStart w:id="367" w:name="_Toc136"/>
      <w:bookmarkEnd w:id="365"/>
      <w:bookmarkEnd w:id="366"/>
      <w:r>
        <w:rPr>
          <w:rtl w:val="true"/>
        </w:rPr>
        <w:t>الفصل السادس فی معانی صیغة الأمر</w:t>
      </w:r>
      <w:bookmarkEnd w:id="367"/>
    </w:p>
    <w:p>
      <w:pPr>
        <w:pStyle w:val="BookText"/>
        <w:rPr/>
      </w:pPr>
      <w:r>
        <w:rPr>
          <w:rFonts w:ascii="IRNazanin" w:hAnsi="IRNazanin" w:eastAsia="IRNazanin"/>
          <w:color w:val="111111"/>
          <w:sz w:val="28"/>
          <w:sz w:val="28"/>
          <w:szCs w:val="28"/>
          <w:rtl w:val="true"/>
          <w:lang w:bidi="fa-IR"/>
        </w:rPr>
        <w:t>لا شبهة فی أنّه قد استعملت صیغة الأمر فی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کالبعث، و الإغراء، و التمنّی، و الترجّی، و الإعجاز، و التسخیر، و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ذکره الاصولیّون، فهل هو حقیقة فی الجمیع أو 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هیئات الأفعال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فبعضها موضوعة للحکایة و الإخبار عن معانیها و تحقّقها فی الخارج،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الإخبار بأنّه ستتحقّق فی المستقبل،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موضوعة لإیجاد البعث و إغراء المخاطب نحو الفعل، مثل هیئة صیغة الأمر، نظیر ما عرفت سابقاً من أنّ الحروف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إخطاریّة لتحقّق معانیها قبل الحکایة و الإخبار،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من 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إیقاعیّة توقع معانیها باستعمالها، فلیس لمعانیها تحقّق قبل استعمالها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و حروف النداء و نحوها فباستعمالها یوجد النداء و القسم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صیغة الأمر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لإیجاد البعث و الإغراء باستعمالها نحو الفعل، غایة الأمر أنّه یختلف الداعی إلی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إمّا لوجود المصلحة فی الفعل المأمور به، فالداعی هو إیجاده فی الخارج، و إمّا هو نفس البعث من دون وجود مصلحة فی الفعل الخارجی، و إمّا أمر آخر، کالتهدید و التعجیز و غیرهما، فالدواعی للأمر مختلفة، لا أنّ صیغة الأمر مستعملة فیها، فإنّها دائماً مستعملة فی البعث فقط فی جمیع موارد استعمالاتها، و إنّما الاختلاف فی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استعمال صیغة الأمر فی المعانی المذکورة هو ما ذکرناه، فنعم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أنّها کما تُستعمل فی إیجاد البعث حقیقة، کذلک تستعمل فی التمنّی و الترجّی و نحو ذلک، فهو خلاف الوجدان و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صیغة الأمر فی جمیع الموارد موضوعة لإیجاد البعث، و مستعملة فیها بالإرادة الاستعمالیة، و یراد منها بالإرادة الجدّیّة أحد المعانی المذکورة، کما فی سائر المجازات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الکلام فی الأوامر المستعملة الواردة فی کلام اللَّه المجید،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حِجارَةً أَوْ حَدِیداً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و نحوها إذا لم نقل بأنها أوامر تکوینیّة، فإنّها مستعملة فی البعث بداعی التعجیز و الترجّی و التسخیر؛ بنحو یمکن أن ینسب إلیه تعالی و فی حقّه تعالی، لا بمعانیها التی تنسب إلی غیره تعالی، المستلزمة لتأثّر النفس لاستحالته بالنسبة إلیه تعالی، و هکذا الکلام فی الأوامر الامتحانیّة و الاستفهامات الواردة فی القرآن المجید و نحوها مثل ألفاظ الترجّی، کقوله تعالی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فإنّها لیست للاستعلام و الاستفهام الحقیقی، بل استعملت فی الاستفهام، لکن المراد الجدّی غیره، و کذلک التمنّی و الترجّی، و لعلّ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آداب الأمر بالمعروف و النهی عن المنکر؛ من رعایة الملاءمة، و القول اللیِّن، و عدم التغلیظ بالقول، و إعمال الخشونة حتّی فی مثل فرعون، الذی بلغ فی الطغیان و العصیان غایتهما حتّی استعلی علیه تعالی</w:t>
      </w:r>
      <w:r>
        <w:rPr>
          <w:rFonts w:eastAsia="IRNazanin" w:cs="IRNazanin"/>
          <w:color w:val="111111"/>
          <w:sz w:val="28"/>
          <w:szCs w:val="28"/>
          <w:rtl w:val="true"/>
          <w:lang w:bidi="fa-IR"/>
        </w:rPr>
        <w:t>.</w:t>
      </w:r>
      <w:bookmarkStart w:id="368" w:name="pg12886_133340"/>
    </w:p>
    <w:p>
      <w:pPr>
        <w:pStyle w:val="Heading3"/>
        <w:numPr>
          <w:ilvl w:val="2"/>
          <w:numId w:val="1"/>
        </w:numPr>
        <w:rPr/>
      </w:pPr>
      <w:bookmarkStart w:id="369" w:name="__RefHeading___Toc3024073_3224264995"/>
      <w:bookmarkStart w:id="370" w:name="_Toc137"/>
      <w:bookmarkEnd w:id="368"/>
      <w:bookmarkEnd w:id="369"/>
      <w:r>
        <w:rPr>
          <w:rtl w:val="true"/>
        </w:rPr>
        <w:t>الفصل السابع فی أنّ صیغة الأمر هل هی موضوعة للوجوب، أو الاستحباب، أو لمطلق الطلب؟</w:t>
      </w:r>
      <w:bookmarkEnd w:id="370"/>
    </w:p>
    <w:p>
      <w:pPr>
        <w:pStyle w:val="Heading4"/>
        <w:numPr>
          <w:ilvl w:val="3"/>
          <w:numId w:val="1"/>
        </w:numPr>
        <w:rPr/>
      </w:pPr>
      <w:bookmarkStart w:id="371" w:name="__RefHeading___Toc3024075_3224264995"/>
      <w:bookmarkStart w:id="372" w:name="_Toc138"/>
      <w:bookmarkEnd w:id="371"/>
      <w:r>
        <w:rPr>
          <w:rtl w:val="true"/>
        </w:rPr>
        <w:t>[</w:t>
      </w:r>
      <w:r>
        <w:rPr>
          <w:rtl w:val="true"/>
        </w:rPr>
        <w:t>أمّا فی الإیجاد التکوینی</w:t>
      </w:r>
      <w:r>
        <w:rPr>
          <w:rtl w:val="true"/>
        </w:rPr>
        <w:t>]</w:t>
      </w:r>
      <w:bookmarkEnd w:id="372"/>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أوّلًا من التعرّض لبیان معنی الوجوب و الاستحباب، ثمّ تحقیق ما هو الحقّ فی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مختلفة من حیث اختلافها فی الاشتمال علی المصالح المختلفة؛ لأنّ المصلحة الکامنة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ملزمة أو غیر ملزمة، و مراتب الملزمة أیضاً مختلفة قد تبلغ إلی النهایة، فتُحرِّک العضلات بنحو الفور و السرعة نحو الفعل؛ بحیث ربما یوقع و یجعل نفسه فی معرض المهالک؛ لإیجاد ذلک الفعل کإنقاذ ولده الشفیق علیه من الحرْق و الغَرَق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الإیجاد التکوینی</w:t>
      </w:r>
      <w:r>
        <w:rPr>
          <w:rFonts w:eastAsia="IRNazanin" w:cs="IRNazanin"/>
          <w:color w:val="111111"/>
          <w:sz w:val="28"/>
          <w:szCs w:val="28"/>
          <w:rtl w:val="true"/>
          <w:lang w:bidi="fa-IR"/>
        </w:rPr>
        <w:t>.</w:t>
      </w:r>
    </w:p>
    <w:p>
      <w:pPr>
        <w:pStyle w:val="Heading4"/>
        <w:numPr>
          <w:ilvl w:val="3"/>
          <w:numId w:val="1"/>
        </w:numPr>
        <w:rPr/>
      </w:pPr>
      <w:bookmarkStart w:id="373" w:name="__RefHeading___Toc3024077_3224264995"/>
      <w:bookmarkStart w:id="374" w:name="_Toc139"/>
      <w:bookmarkEnd w:id="373"/>
      <w:r>
        <w:rPr>
          <w:rtl w:val="true"/>
        </w:rPr>
        <w:t>و أمّا الإیجاد التشریعی</w:t>
      </w:r>
      <w:r>
        <w:rPr>
          <w:rtl w:val="true"/>
        </w:rPr>
        <w:t>:</w:t>
      </w:r>
      <w:bookmarkEnd w:id="374"/>
    </w:p>
    <w:p>
      <w:pPr>
        <w:pStyle w:val="Heading5"/>
        <w:numPr>
          <w:ilvl w:val="4"/>
          <w:numId w:val="1"/>
        </w:numPr>
        <w:rPr/>
      </w:pPr>
      <w:bookmarkStart w:id="375" w:name="__RefHeading___Toc3024079_3224264995"/>
      <w:bookmarkStart w:id="376" w:name="_Toc140"/>
      <w:bookmarkEnd w:id="375"/>
      <w:r>
        <w:rPr>
          <w:rtl w:val="true"/>
        </w:rPr>
        <w:t>[</w:t>
      </w:r>
      <w:r>
        <w:rPr>
          <w:rtl w:val="true"/>
        </w:rPr>
        <w:t>أمّا فی الجمل الإنشائیة</w:t>
      </w:r>
      <w:r>
        <w:rPr>
          <w:rtl w:val="true"/>
        </w:rPr>
        <w:t>]</w:t>
      </w:r>
      <w:bookmarkEnd w:id="37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إرادة إیجاد الغیر له فی الخارج لترتّب مصلحة علیه، فیأمره بإیجاده، و هذا الأمر و البعث أیضاً کسائر الأفعال الصادرة من الإنسان مسبوق بمبادئ الإرادة من التصوّر و التصدیق بالفائدة و غیرهما، فتتحرّک عضلة اللسان نحو الأمر و البعث، و لکن هذا البعث لا یوجب انبعاثه، بل یوجب خطور المأمور به فی ذهن المکلّف المأمور و تصوّره المصلحة و الإرادة، فتتحرّک عضلاته نحو الإتیان بالمأمور به فالانبعاث مسبَّب عن مقدّمات الفعل الاختیاری، لا عن البعث و الأمر، و مراتب الانبعاث أیضاً مختلفة بحسب اختلاف مراتب المصلحة الملزمة، أو بحسب مراتب الخوف فی العبید، و المرتبة العلیا من الانبعاث هی الناشئة عن الخوف من العقاب، مثل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تأکّد الطلب و عدمه من لفظ الآمر و تعبیره فی الأمر؛ باقترانه بأدوات التأکید، أو بیان ما یترتّب علیه من المصالح و نحوه، و تظهر فائدة معرفة ذلک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الأمر و بین سائر الأفعال الصادرة من الإنسان فی أنّه مسبوق بالإرادة و 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للإرادة أیضاً مراتب مختلفة قوّة و ضعفاً بالوجدان بحسب اختلاف المصالح المترتّبة علی المراد، کما فی أمر الولد بترک ما یوجب هلاکه، فإنّ الإرادة فیه آکد من الأمر بفعل یترتّب علیه نفع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الشوق إذا بلغ حدّ الکمال فهو عین الإرادة، لا یختلف شدّة و ضعفاً، و إذا لم یبلغ حدّاً یکون مبدأ الفعل فهو غیر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یشهد به الوجدان؛ إذ ربّما یرید الإنسان فعلًا لا اشتیاق له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سابقاً أنّ الاشتیاق و إن بلغ حدّ الکمال فهو غیر الإرادة، بل هو من مبادئها، بل قد لا یتحقّق شوق فی بعض الأفعال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ذلک لا نُسلّم عدم اختلاف مراتبه إذا بلغ حدّ الکمال؛ لأنّ المفروض عنده أنّه عین الإرادة، و هی مختلفة قوّة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اختلاف الإرادة قوّة و ضعفاً إنّما یصح فی الإرادة التشریعیة لا فی التکوینیة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فی أنّه هل للأمر ظهور لفظی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البعث المسبوق بالإرادة الأکیدة ظهوراً مسبَّباً عن الوضع أو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لیس له ظهور فیه أصلًا؛ لا وضعاً، و لا انصرافاً؟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یجب حمله علی الوجوب لأجل مقدّمات الحکمة أو لا؟ و علی الثانی هل هو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إرادة حتمیّة أکیدة أو لا؟ و علی الثانی هل هو محمول عند العرف و العقلاء علی الوجوب من جهة اخری أو لا؟</w:t>
      </w:r>
    </w:p>
    <w:p>
      <w:pPr>
        <w:pStyle w:val="BookText"/>
        <w:rPr/>
      </w:pPr>
      <w:r>
        <w:rPr>
          <w:rFonts w:ascii="IRNazanin" w:hAnsi="IRNazanin" w:eastAsia="IRNazanin"/>
          <w:color w:val="111111"/>
          <w:sz w:val="28"/>
          <w:sz w:val="28"/>
          <w:szCs w:val="28"/>
          <w:rtl w:val="true"/>
          <w:lang w:bidi="fa-IR"/>
        </w:rPr>
        <w:t>فهذه جهات لا بدّ أن یبحث عنها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أنّ الأمر موضوع للبعث الحقیقی، لا لمفهومه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أنّ الموضوع له فی الهیئات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 ذلک أنّ لفظه موضوع البعث بالحمل الشائع مقیَّداً بأنّه عن إرادة حتمیّة، فهو غیر معقول؛ لتأخّر مصداق البعث عن استعمال صیغة الأمر بتحریک جارحة اللسان، و هو متأخّر عن تحریک أوتار الحُلقوم التی بها ینقبض الحُلقوم و ینبسط، و هو متأخّر عن الإرادة، فالإرادة متقدّمة ذاتاً علی البعث بالحمل الشائع بمراتب، فکیف یجعل البعث المقیَّد بها هو الموضوع له لصیغة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استحالته لامتناع وقوع المتقدِّم ذاتاً و رتبة فی عرض المتأخّر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أنّه موضوع لجامع عرضی بین أفراد البعث المسبوق بالإرادة الأکیدة فی قبال أفراد البعث المسبوق بالإرادة الغیر الأکیدة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بالجامع العرضی لعدم الجامع المقولی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ممکناً لکن المتبادر منه خلافه فلیس هو الموضوع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انصراف صیغة الأمر إلی الطلب المسبوق بالإرادة الأکیدة فمنشؤها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الأکملیّة؛ بدعوی أکملیّة البعث الحقیقی المسبوق بالإرادة الأکیدة من غیره من أفراد البعث، فینصرف إلیه إطلاق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الأکملیّة لا تصلح لذلک و لا توجب الانصراف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انس الذهن الحاصل من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صیغة الأمر فی الطلب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شائع فی الأخبار، کما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فرض أکثریة استعمالها فی الوجوب فمطلق الأکثریّة لا تکفی للانصراف، بل لا بدّ من کثرة بالغة حدّاً یُعدّ غیره نادراً للغایة؛ بحیث یُعدّ کالمعدوم، و ما نحن فیه لیس کذلک؛ لما عرفت من شیوع استعمالها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ظهور لفظیّاً لهیئة صیغة الأمر فی الوجوب؛ لا من جهة الوضع، و لا من جهة الانصراف، و حینئذٍ فلو فرض أنّها موضوعة لمطلق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لها کاشفیّة عند العقلاء عن الإرادة الحتمیّة نظیر کاشفیة الأمارات عن الواقع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الثانی؛ لأنّه لا بدّ فی الکاشفیة العقلائیّة من منشأ عقلائی إمّا ذاتی کالقطع، فإنّ له خصوصیّة ذاتیّة بها یکشف عن الواقع، أو غیر ذاتیّة، بل جعلیّة، ککاشفیّة الأمارات عن الواقع بالجعل؛ لأجل غلبة مطابقتها للواقع بحیث یُعدّ عدمها فی الندرة کالعدم، و ما نحن فیه لیس کذلک؛ لما عرفت من أنّ استعماله فی الندب أیضاً کثیر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مقدّمات الحکمة فذکرها المحقّق العراقی علی ما فی التقریرات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فی مقام بیان دلالة مادّة الأمر علی الوجوب، و ثانیهما فی مقام بیان دلالة صیغة الأمر علی الطلب الوجوبی، و ذکر فی المقام الأوّل له تقریبین فی جریانها فی المفهوم، و قال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البیان الأوّل فی المقام الأوّل لا یجری فیه فی تشخیص المصداق، و قال فی توضیحه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لو کان لمفهوم الکلام فردان و مصداقان فی الخارج، و استدعی أحدُهما زیادة مئونةٍ و بیان دون الآخر؛ حیث یرید المتکلّم أحدهما؛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الحتمیّة الوجوبیّة تفترق عن الإرادة الندبیّة بالشدّة، فما به الامتیاز فیها عین ما به الاشتراک، و أمّا الإرادة الندبیّة فهی إنّما تفترق عن الوجوبیّة بالضعف، فما به الامتیاز فیها غیر</w:t>
      </w:r>
    </w:p>
    <w:p>
      <w:pPr>
        <w:pStyle w:val="BookText"/>
        <w:rPr/>
      </w:pPr>
      <w:r>
        <w:rPr>
          <w:rFonts w:ascii="IRNazanin" w:hAnsi="IRNazanin" w:eastAsia="IRNazanin"/>
          <w:color w:val="111111"/>
          <w:sz w:val="28"/>
          <w:sz w:val="28"/>
          <w:szCs w:val="28"/>
          <w:rtl w:val="true"/>
          <w:lang w:bidi="fa-IR"/>
        </w:rPr>
        <w:t>ما به الاشتراک، فالإرادة الوجوبیّة مطلقة من حیث الوجوب الذی یتحقّق به الوجوب، بخلاف الإرادة الندبیّة، فإنّها محدودة بحدّ خاصّ به یکون إرادة ندبیة، و علیه فإطلاق الکلام فی مقام الدلالة علی الإرادة الخاصّة کافٍ فی الدلالة علی أنّها وجوبیّة؛ إذ لا حدّ لها یتحقّق به وجوبیّة؛ لیفتقر المتکلّم فی مقام إفادته إلی بیان ذلک الحدّ؛ لأنّ ما به الاشتراک فی المقام عین ما به الامتیاز، و هذا بخلاف ما لو کانت الإرادة ندبیّة، فإنّها محدودة بحدّ خاصّ لیس من سنخ المحدود، و لهذا یفتقر المتکلّم فی مقام بیانه إلی تقیید الکلام بما یدلّ علیه</w:t>
      </w:r>
      <w:r>
        <w:rPr>
          <w:rStyle w:val="FootnoteAnchor"/>
          <w:rtl w:val="true"/>
        </w:rPr>
        <w:footnoteReference w:id="3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توضیح الکلام فی المقدّمات المذکورة للإطلاق فی باب المطلق، ثمّ بیان جریانها فیما نحن فیه و عدمه فنقول إذا کان لمفهوم لفظٍ کالرقبة فردان أحدهما مؤمنة و الاخری کافرة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للمتکلّم، و هو جعل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و محکوماً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باختیاره و إرادته، و هو دلالته علی معناه الموضوع له، فإنّها تابعة للوضع، فالمتکلّم العاقل المختار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یقیّدها بالمؤمنة، و مع ذلک أراد خصوص المؤمنة، صحّ الاحتجاج علیه من جهة ظهور الفعل فی الإطلاق، لا من جهة وضع اللّفظ للرقبة بقول مطلق، بل للحکم علیها بوجوب الإعتاق من جهة أنّه فعل اختیاری من الأفعال ظاهر فی وجوب عتق مطلق الرقبة؛ لأنّ جعل الرقبة بنحو الإطلاق موضوعاً للحکم و إرادة المقیّد، یُنافی الحکمة، فمقتضی تلک المقدّمات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الصیغة علی مطلق الطلب؛ لأنّ</w:t>
      </w:r>
    </w:p>
    <w:p>
      <w:pPr>
        <w:pStyle w:val="BookText"/>
        <w:rPr/>
      </w:pPr>
      <w:r>
        <w:rPr>
          <w:rFonts w:ascii="IRNazanin" w:hAnsi="IRNazanin" w:eastAsia="IRNazanin"/>
          <w:color w:val="111111"/>
          <w:sz w:val="28"/>
          <w:sz w:val="28"/>
          <w:szCs w:val="28"/>
          <w:rtl w:val="true"/>
          <w:lang w:bidi="fa-IR"/>
        </w:rPr>
        <w:t>لمفهوم الطلب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الوجوبی، و الآخر الندبی، کما فی الرقبة، فلو اطلق لفظ الأمر و ارید به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الوجوبی فقط، أو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القید صحّ الاحتجاج علیه، فمقتضی إطلاق الأمر و مقدّمات الحکمة فی المقام هو الحمل علی مطلق الطلب، لا خصوص الوجوبی أو الندبی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البعث الإلزامی، الثانی البعث الندبی، الثالث القدر المشترک بینهما، و هو مفهوم الطلب و البعث، و الأوّلان من مصادیقه و أفراده، و لا بدّ من امتیاز المفهوم عن المصداق بخصوصیات بها یمتاز کلّ منهما عن الآخر و إلّا اتّحد القسم و المَقْسم، و لا شبهة فی أنّ ما یدلّ علی البعث لا دلالة له علی الخصوصیّات، فکما أنّ ما به الامتیاز فی البعث الندبی عن الآخر غیر ما به الاشتراک، و هو الخصوصیّة الکامنة فیه، کذلک ما به الامتیاز فی البعث الإلزامی غیر ما به الاشتراک، و کما أنّ إرادة البعث الندبی من إطلاق الأمر تُنافی الحکمة، کذلک إرادة البعث الإلزامی، فلا بدّ فی إرادة کلٍّ منهما من التقیید و إلّا فإطلاق الهیئة لا یدلّ علی أزید من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مطلق البعث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فالبعث الإلزامی لیس أخفّ مئونة فی مقام الإفادة عن البعث الندبی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به الاشتراک فی البعث الإلزامی عین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شیئاً فی المقام أصلًا؛ لأنّه فی الحقائق الخارجیّة البسیطة التی لها مراتب کالوجود؛ حیث إنّه حقیقة واحدة ذات مراتب مختلفة فی الکمال و النقص و غیرهما لا جنس له و لا فصل، فما به الامتیاز فی جمیع مراتبه عین ما به الاشتراک، و إنّما یتمیّز ما به الامتیاز عمّا به الاشتراک فیما له جنس و فصل، و مع ذلک لو ارید منه مرتبة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التفهیم و التفهّم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التقیید بما یدلّ علیه کالوجود الکامل أو الناقص، و لیس مدلول القید جزء مفهومه؛ لأنّ المفروض أنّه بسیط لا جزء</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المفاهیم فما به الامتیاز فیها غیر ما به الاشتراک دائماً، و کما فیما نحن فیه، فما به الامتیاز فی الإرادات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 من حیث القوّة و الضعف و الإلزام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به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مرجع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قدس سره لبیان جریان مقدّمات الحکمة فی مادّة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أفاده لبیان جریانها فی هیئته، إلّا أنّها هناک فی المفهوم، و هنا فی تشخیص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الوجه الثانی فی بیان جریانها فی مادّة الأمر،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المقصود من الأمر هو إیجاد الفعل فی الخارج، فالطلب التامّ هو الطلب الإلزامی فقط؛ لترتّب الثواب علی فعله و العقاب علی ترکه، و أمّا الطلب الغیر الإلزامی فهو طلب محدود ناقص؛ لعدم ترتّب العقاب علی مخالفته، فلا یُنافی إطلاق الأمر و إرادة الطلب الإلزامی للحکمة و لا قصور فیه فی البیان، بخلاف الطلب الغیر الإلزامی، فإنّ إطلاق الأمر قاصر عن إفادته، فإطلاقه و إرادته یُنافی الحکمة، بل لا بدّ من التقیید بما یفیده</w:t>
      </w:r>
      <w:r>
        <w:rPr>
          <w:rStyle w:val="FootnoteAnchor"/>
          <w:rtl w:val="true"/>
        </w:rPr>
        <w:footnoteReference w:id="3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الوجه؛ لما عرفت من أنّ نسبة مفهوم الطلب و البعث إلی الطلب الإلزامی و الغیر الإلزامی علی السواء، و هی نسبة المفهوم إلی المصداق، و أنّه لا بدّ فی کلٍّ منهما من خصوصیّة بها یمتاز کلّ واحد عن الآخر و إرادة کلّ واحد منهما تحتاج إلی قید و بیان الخصوصیّة، و إلّا فالمادّة لا تدلّ إلّا علی المفهوم؛ أی مفهوم الطلب الذی هو مقسم لهما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استفادة الوجوب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للوجوب؛ لا لأجل وضعها لذلک، و لا لأجل الانصراف المذکور، و لا لمقدّمات الحکمة، و لا لما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کما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الاستغراق فی مدخوله من دون افتقار إلی مقدّمات الحکمة، فکذلک ما نحن فیه یحمل الطلب علی الوجوبی عند العرف من دون احتیاجه إلی جریان مقدّمات الحکمة</w:t>
      </w:r>
      <w:r>
        <w:rPr>
          <w:rStyle w:val="FootnoteAnchor"/>
          <w:rtl w:val="true"/>
        </w:rPr>
        <w:footnoteReference w:id="3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ذکره من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الاستغراق فی مدخوله صحیح، لکنّه إنّما هو لأجل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لذلک، بخلاف ما نحن فیه؛ لأنّ المفروض أنّ صیغة الأمر لیست موضوعة للطلب الوجوبی فقط، فالقیاس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لما أفاده المحقّق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البعث الحقیقی هو الإلزامی فقط لا غیر؛ لترتّب الثواب علی فعله و العقاب علی ترکه، و أنّ الأمر غیر راضٍ بترکه، و أمّا الندبی فلیس بأمر فی الحقیقة، و حینئذٍ فإذا اطلق الأمر فلا بدّ من حمله علی الحقیقی؛ أی الإلزامی</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نراه بالعیان و الوجدان أنّ الأمر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إلزامی و غیر إلزامی، یصدق علی کلّ واحد منهما أنّه أمر حقیقةً، فالأمر الندبی أیضاً أمر حقیقة، و ما ذکر قدس سره مجرّد دعوی لا شاهد 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الوجه فی حمل الأمر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قیام الحجّة للمولی علی العبد بمجرّد الأمر و افتقاره إلی الجواب و عدم صحّة الاعتذار فی ترکه باحتماله إرادة الندب؛ إذ لا ریب فی لزوم إطاعة المولی بامتثال أمره و لو بنحو الإطلاق و تقبیح العرف و العقلاء التارک للامتثال معتذراً بإطلاق الأمر و عدم دلالته علی الوجوب و احتمال إرادة الندب فتمام الموضوع لوجوب الموافقة و حرمة المخالفة عندهم هو البعث و الأمر کما لو أمر</w:t>
      </w:r>
      <w:bookmarkStart w:id="377" w:name="pg12886_133348"/>
    </w:p>
    <w:p>
      <w:pPr>
        <w:pStyle w:val="BookText"/>
        <w:rPr/>
      </w:pPr>
      <w:bookmarkEnd w:id="377"/>
      <w:r>
        <w:rPr>
          <w:rFonts w:ascii="IRNazanin" w:hAnsi="IRNazanin" w:eastAsia="IRNazanin"/>
          <w:color w:val="111111"/>
          <w:sz w:val="28"/>
          <w:sz w:val="28"/>
          <w:szCs w:val="28"/>
          <w:rtl w:val="true"/>
          <w:lang w:bidi="fa-IR"/>
        </w:rPr>
        <w:t>بالإشارة بالید أو الرأس و العین فإنّه یجب امتثاله عندهم و لا دخل 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موضوع لمجرّد البعث، و أمّا الوجوب فلیس مفهومه لا وضعاً و لا انصرافاً و لا کشفاً عقلائیّاً، بل وجوب المتابعة و الموافقة مع إطلاق الأمر حکم عقلائی تمام موضوعه هو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الجُمَل الانشائیّة</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024081_3224264995"/>
      <w:bookmarkStart w:id="379" w:name="_Toc141"/>
      <w:bookmarkEnd w:id="378"/>
      <w:r>
        <w:rPr>
          <w:rtl w:val="true"/>
        </w:rPr>
        <w:t>و أمّا الجُمل الإخباریّة الصادرة فی مقام الإنشاء</w:t>
      </w:r>
      <w:bookmarkEnd w:id="379"/>
    </w:p>
    <w:p>
      <w:pPr>
        <w:pStyle w:val="BookText"/>
        <w:rPr/>
      </w:pPr>
      <w:r>
        <w:rPr>
          <w:rFonts w:ascii="IRNazanin" w:hAnsi="IRNazanin" w:eastAsia="IRNazanin"/>
          <w:color w:val="111111"/>
          <w:sz w:val="28"/>
          <w:sz w:val="28"/>
          <w:szCs w:val="28"/>
          <w:rtl w:val="true"/>
          <w:lang w:bidi="fa-IR"/>
        </w:rPr>
        <w:t>،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فلا فرق بینها و بین الجُمَل الإنشائیّة فیما ذکرناه، لکنّ الکلام إنّما هو فی أنّ استعمالها فی مقام الإنشاء هل هو بنحو المجاز فی الکلمة، أو بنحو الحقیقة الادّعائیة،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لیس بنحو المجاز فی الکلمة، بل عرفت سابقاً أنّ الأمر فی جمیع المجازات کذلک؛ أی لیس بنحو المجاز فی الکلمة، بل بنحو الادّعاء، و استعمال الجُمَل الخبریّة فی مقام الإنشاء متعارف بین العرف و العقلاء، بل الطلب و البعث بها آکد من البعث بالجمل الإنشائیّة؛ لما فیه من الدلالة أو الإشارة إلی أنّ المخاطب المکلّف عالم بأنّه لا بدّ من الإتیان بالفعل، و أنّه یفعله من دون افتقار إلی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یستفاد من تضاعیف أحادیثنا المرویّة عن الأئمّة علیهم السلام أنّ استعمال صیغة الأمر فی الندب کان شائعاً فی عرفهم؛ بحیث صار من المجازات الراجحة المساوی احتمالها لاحتمال الحقیقة عند انتفاء المرجّح الخارجی، فیشکل التعلّق فی إثبات وجوب أمر بمجرّد ورود الأمر به منهم علیهم السلام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یکون مقصوده هو أنّا نری أنّ استعمال صیغة الأمر فی الندب فی الأخبار علی نحو استعمالها فی الوجوب من دون نصب قرینة حالیّة أو مقالیّة، غایة</w:t>
      </w:r>
    </w:p>
    <w:p>
      <w:pPr>
        <w:pStyle w:val="BookText"/>
        <w:rPr/>
      </w:pPr>
      <w:r>
        <w:rPr>
          <w:rFonts w:ascii="IRNazanin" w:hAnsi="IRNazanin" w:eastAsia="IRNazanin"/>
          <w:color w:val="111111"/>
          <w:sz w:val="28"/>
          <w:sz w:val="28"/>
          <w:szCs w:val="28"/>
          <w:rtl w:val="true"/>
          <w:lang w:bidi="fa-IR"/>
        </w:rPr>
        <w:t>الأمر أنّه یفهم من الخارج و سائر الأخبار إرادة الندب، کما لا یخفی علی من لاحظ الأخبار الواردة فی مثل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یرد علیه ما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استعماله فی الندب فی الأخبار و إن کان کثیراً، إلّا أنّه مع القرینة الدالّة علیه، و کثرة الاستعمال کذلک لا توجب صیرورته مجازاً مشهوراً؛ لیُرجَّح أو یتوقّف علی الخلاف فی المجاز المشهور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مدّعاه هو استعماله فی الندب علی نحو استعماله فی الوجوب؛ أی من دون نصب قرینة مقترنة به، و إنّما عُلم إرادته من الخارج</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 صاحب المعالم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علی فرض کثرة استعماله فی الندب أو أکثریّته بالنسبة إلی استعماله فی الوجوب،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الإتیان بالمأمور به بمجرّد صدور الأمر من المولی بنحو الإطلاق بحکم العرف و العقلاء؛ لتحقّق تمام الموضوع لوجوب الطاعة و امتثاله عندهم و حرمة المخالفة، فیجب اتّباعه إلّا أن یثبت خلافه، و کثرة الاستعمال فی الندب لا تُنافی ذلک</w:t>
      </w:r>
      <w:r>
        <w:rPr>
          <w:rFonts w:eastAsia="IRNazanin" w:cs="IRNazanin"/>
          <w:color w:val="111111"/>
          <w:sz w:val="28"/>
          <w:szCs w:val="28"/>
          <w:rtl w:val="true"/>
          <w:lang w:bidi="fa-IR"/>
        </w:rPr>
        <w:t>.</w:t>
      </w:r>
      <w:bookmarkStart w:id="380" w:name="pg12886_133350"/>
    </w:p>
    <w:p>
      <w:pPr>
        <w:pStyle w:val="Heading3"/>
        <w:numPr>
          <w:ilvl w:val="2"/>
          <w:numId w:val="1"/>
        </w:numPr>
        <w:rPr/>
      </w:pPr>
      <w:bookmarkStart w:id="381" w:name="__RefHeading___Toc3024083_3224264995"/>
      <w:bookmarkStart w:id="382" w:name="_Toc142"/>
      <w:bookmarkEnd w:id="380"/>
      <w:bookmarkEnd w:id="381"/>
      <w:r>
        <w:rPr>
          <w:rtl w:val="true"/>
        </w:rPr>
        <w:t>الفصل الثامن فی الواجب التوصّلی و التعبّدی</w:t>
      </w:r>
      <w:bookmarkEnd w:id="382"/>
    </w:p>
    <w:p>
      <w:pPr>
        <w:pStyle w:val="Heading4"/>
        <w:numPr>
          <w:ilvl w:val="3"/>
          <w:numId w:val="1"/>
        </w:numPr>
        <w:rPr/>
      </w:pPr>
      <w:bookmarkStart w:id="383" w:name="__RefHeading___Toc3024085_3224264995"/>
      <w:bookmarkStart w:id="384" w:name="_Toc143"/>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و التعاریف المتداولة فی ألسنة القوم للتوصّلی و التعبّدی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التوصّلی عبارة عمّا عُلم الغرض من الأمر به، و التعبّدی بخلافه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لا یُعتبر فی الإتیان به و سقوط أمرِهِ قصدُ التقرّب إلی اللَّه، و التعبّدی خلافه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یطلق التوصّلی علی ما یکفی مجرّد وقوعه فی الخارج فی سقوط أمره و لو لا عن إرادة و اختیار، بل بإتیانه فی ضمن محرّم، کغسل الثوب و نحوه و لو بالماء المغصوب، بخلاف التعبّدی، فإنّه یعتبر فی فعله و سقوط أمره الإتیان به عن إرادة و اختیار مع المباشرة و بنحو المباح</w:t>
      </w:r>
      <w:r>
        <w:rPr>
          <w:rStyle w:val="FootnoteAnchor"/>
          <w:rtl w:val="true"/>
        </w:rPr>
        <w:footnoteReference w:id="392"/>
      </w:r>
      <w:r>
        <w:rPr>
          <w:rFonts w:ascii="IRNazanin" w:hAnsi="IRNazanin" w:eastAsia="IRNazanin"/>
          <w:color w:val="111111"/>
          <w:sz w:val="28"/>
          <w:sz w:val="28"/>
          <w:szCs w:val="28"/>
          <w:rtl w:val="true"/>
          <w:lang w:bidi="fa-IR"/>
        </w:rPr>
        <w:t>إلی غیر ذلک من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الواجبات الشرعیّة علی أنحاء فبعضها یسقط بمجرّد تحقّقه فی الخارج بأی نحوٍ من الأنحاء کغسل الثوب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یحتاج بعضها إلی قصد عنوانه، و لا یتحقّق بدونه، کالتعظیم لو وجب بالنذر و نحوه، و کردّ السلام، و الاکتساب لمئونته و مئونة عیاله الواجبی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قصد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التقرّب به إلی اللَّه تعالی کالخمس و الزکاة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 یحتاج و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عنوان العبودیّة</w:t>
      </w:r>
    </w:p>
    <w:p>
      <w:pPr>
        <w:pStyle w:val="BookText"/>
        <w:rPr/>
      </w:pPr>
      <w:r>
        <w:rPr>
          <w:rFonts w:ascii="IRNazanin" w:hAnsi="IRNazanin" w:eastAsia="IRNazanin"/>
          <w:color w:val="111111"/>
          <w:sz w:val="28"/>
          <w:sz w:val="28"/>
          <w:szCs w:val="28"/>
          <w:rtl w:val="true"/>
          <w:lang w:bidi="fa-IR"/>
        </w:rPr>
        <w:t>و المذلّة و الخشوع و الخضوع کالصلاة و الصوم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إطلاق التعبّدی علی الأخیرین، فالقسم الثالث أیضاً تعبّدی، فتعریفه بما یراد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الأعاظم</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جامع؛ لخروج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الخمس و الزکاة و نحوهما من الواجبات القُربیّة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مع أنّه تعبّدی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تعریفه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التوصّلی هو ما یحصل الغرض منه بمجرّد وقوعه و حصوله فی الخارج و سقوط الأمر به</w:t>
      </w:r>
      <w:r>
        <w:rPr>
          <w:rStyle w:val="FootnoteAnchor"/>
          <w:rtl w:val="true"/>
        </w:rPr>
        <w:footnoteReference w:id="394"/>
      </w:r>
      <w:r>
        <w:rPr>
          <w:rFonts w:ascii="IRNazanin" w:hAnsi="IRNazanin" w:eastAsia="IRNazanin"/>
          <w:color w:val="111111"/>
          <w:sz w:val="28"/>
          <w:sz w:val="28"/>
          <w:szCs w:val="28"/>
          <w:rtl w:val="true"/>
          <w:lang w:bidi="fa-IR"/>
        </w:rPr>
        <w:t>یقتضی خروج العناوین القصدیّة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السلام و التعظیم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التوصّلی و دخوله فی التعبّدی، لکن الأمر فیه سهل؛ لأنّها تعاریف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یشترط فی امتثاله و سقوط الأمر به قصد الامتثال و القربة، به فیشمل القسمین الأخیرین، و التوصّلی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 الواجب التعبّدی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أخذ قصد امتثال الأمر فی متعلّقه؛ فإنّه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تکلیف محال ذاتاً لوجوه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قصد الامتثال و الأمر فی متعلّقه لزم تقدّم ما هو متأخّر ذاتاً بمرتبتین؛ و ذلک لأنّ الأحکام الشرعیّة من العوارض الطارئة علی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متعلّقات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متأخّر رتبة عن متعلّقه تأخّر العارض عن معروضه، و قصد الأمر متأخّر برتبة عن الأمر، فلو اخذ قصد الأمر فی متعلّقه لزم تقدّم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برتبتین علی الأمر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مستلزم للدور المحال؛ لأنّ موضوع الأمر 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بقصد الأمر، فقصد الأمر جزء لموضوع الأمر، فالأمر متوقّف علی موضوعه، المتوقّف جزؤه علی الأمر، فیتوقّف الأمر علی الأمر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الأحکام الشرعیّة مجعولة علی موضوعاتها بنحو القضیّة الحقیقیّة، التی یُفرض الموضوع فیها موجوداً مطابقاً للواقع و نفس الأمر، ثمّ یُنشأ الحکم علی ذلک الموضوع فی ذلک الفرض، و لا ریب أنّ مرتبة فرض وجود الموضوع متقدّمة علی رتبة جعل الحکم علیه، فإذا کان نفس الحکم جزء الموضوع لزم وجوده حال کونه موضوعاً برتبة قبل وجود نفسه فی حال کونه حکماً، و هو محال، فأخذُ الحکم موضوعاً لنفسه أو جزءاً من موضوع نفسه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جعل الحکم و إنشائه، و هکذا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أوضح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فعلیّة الحکم و حال الامتثال</w:t>
      </w:r>
      <w:r>
        <w:rPr>
          <w:rStyle w:val="FootnoteAnchor"/>
          <w:rtl w:val="true"/>
        </w:rPr>
        <w:footnoteReference w:id="3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کلّها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 أنّ الأحکام عوارض للموضوعات الخارجیّة أنّها أعراض ذهنیّة، و هی الإرادة القائمة بالنفس، فهو غیر معقول، و الإرادة غیر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أعراض خارجیّة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الخارجی عبارة عمّا لا یوجد إلّا فی موضوع، و لیس فیما نحن فیه إلّا الوجود اللّفظی؛ أی التلفّظ بالأمر القائم بالأمر و تموّج الهواء، و إلّا فالإتیان بالمأمور به المتحقّق فی الخارج لیس عرضاً أو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وجود متعلّق الأمر و تحقّقه فی الخارج أوّلًا، ثمّ تعلّق الأمر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الخارج ظرف السقوط و الامتثال، بل لا معنی للأمر بإیجاد</w:t>
      </w:r>
    </w:p>
    <w:p>
      <w:pPr>
        <w:pStyle w:val="BookText"/>
        <w:rPr/>
      </w:pPr>
      <w:r>
        <w:rPr>
          <w:rFonts w:ascii="IRNazanin" w:hAnsi="IRNazanin" w:eastAsia="IRNazanin"/>
          <w:color w:val="111111"/>
          <w:sz w:val="28"/>
          <w:sz w:val="28"/>
          <w:szCs w:val="28"/>
          <w:rtl w:val="true"/>
          <w:lang w:bidi="fa-IR"/>
        </w:rPr>
        <w:t>الموجود فی الخارج، فالأمر دائماً یتعلّق بما لیس بموجود فیه و لا تحقّق له فیه؛ لیوجده المکلّف، و أنّ متعلّق الأمر هی الطبیعة الملحوظة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فی أخذ قصد الأمر فی متعلّقه، و أنّه یمکن أن یتصوّر الآمر الإتیان بالطبیعة بقصد الأمر فی ذهنه، ثمّ الأمر به، و لا یلزم منه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واضح، فإنّ قصد الأمر فی مقام الامتثال و إن یتوقّف علی الأمر، لکن الأمر لا یتوقّف علی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أنّا لا نسلّم جعل الأحکام علی موضوعاتها بنحو القضیّة الحقیقیّة، التی تستدعی فرض وجود الموضوع، فإنّه ممنوع، مع أنّ فرض وجود الموضوع غیر وجوده واقعاً، و الأوّل قائم بوجود الفارض، و لا یمتنع فرض وجوده قبل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قصد الأمر فی متعلّقه لزم اجتماع اللحاظین المتنافیین الآلی و الاستقلالی فی زمان واحد، و هو محال؛ لأنّ الأمر بشی‌ء یقتضی أن یتصوّره الآمر تصوّراً آلیّاً؛ لأنّ الأمر للبعث، و أخذه فی متعلّقه یستلزم تصوّره و تصوّر متعلّقه کلّ واحدٍ منهما استقلالیّاً؛ لاستلزام تقییده به ذلک، فیلزم اجتماع اللحاظین المذکورین، و هو محال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اللحاظین إنّما یمتنع إذا کانا فی زمان واحد، و ما نحن فیه لیس کذلک، بل فیه لحاظات متعدّدة فی آنات متعدّدة، فإنّ الأمر یستدعی لحاظه استقلالًا أوّلًا، ثمّ لحاظ متعلّقه کذلک ثانیاً و فی الآن الثانی، ثمّ تصوّر الأمر آلیّاً ثالثاً؛ لأنّه آلة للبعث، ثمّ لحاظه رابعاً استقلالًا لتقیید متعلّقه بقصده، فهذه اللحاظات و التصوّرات لیست فی آنٍ واحد، بل فی آنات متعدّدة مترتّبة، و لا محذور فیه، بل کثیراً ما یتّفق ذلک فی المحاورات،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 أمام الأمیر ضرباً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فیلاحظ النسبة فیه آلیّة و استقلالیّة فی أزمنة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دلیل و لا برهان علی امتناع أخذ قصد الأمر فی متعلّقه ذاتاً، و أنّه تکلیف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محالًا ذاتاً، لکنّه تکلیف بالمحال؛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اعتبار قدرة المکلّف علی فعل المأمور به فی صحّة التکلیف و لا یقدر المکلّف حین التکلیف علی فعل المأمور به بقصد الأمر، فلا یصحّ تکلیفه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قدرة المکلّف قبل التکلیف و حینه، و فی هذا الحال لا یتمکّن المکلّف من الفعل بقصد الأمر؛ لعدم صدور الأمر بعد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اعتبار القدرة قبل الأمر و حینه، بل المسلّم اشتراطها حین الامتثال، و هو قادر علیه حین الامتثال؛ لتحقّق الأمر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الأعاظم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قصد الأمر فی متعلّقه یلزم تقدّم الشی‌ء علی نفسه عند إنشاء الحکم و عند فعلیّته و عند الامتثال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تقدّم الشی‌ء علی نفسه فی مقام إنشاء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استحالة التکلیف ذاتاً، و أنّه تکلیف محال، و قد تقدّم جوابه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تقدّم الشی‌ء علی نفسه عند فعلیّة الحکم و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أنّه تکلیف بالمحال؛ و ذلک لأنّ الغرض من تشریع الأحکام هو صیرورتها فعلیّةً، و یلزم من أخذ قصد الأمر فی متعلّقها عدم صیرورتها فعلیّةً؛ لأنّ فعلیّة الأمر و الحکم تتوقّف علی فعلیة متعلّقه و موضوعه، و فعلیّة موضوعه تتوقّف علی فعلیّة الأمر، و هذا هو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فعلیّة التکلیف علی فعلیّة الأمر مسلّم، لکن لا نسلِّم توقّف فعلیّة الأمر علی فعلیّة موضوعه، بل یتوقّف علی فعلیّة تصوّره و لحاظه، و اللحاظ لا یفتقر إلی وجود الملحوظ فی الخارج، کما مرّ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اخذ قصد الأمر فی متعلّقه لزم أن یکون الشی‌ء داعیاً إلی داعویّة نفسه أو علّةً لعلّیّة نفسه، و هو باطل؛ و ذلک لأنّه لا ریب فی أنّ الأمر یدعو إلی متعلّقه فلو اخذ قصد الامتثال قیداً لمتعلّق الأمر لزم ذلک، و هو علی حدّ کون الشی‌ء علّة لعلّیّة نفسه، و ذلک أوضح فساداً من کون الشی‌ء علّة لنفسه</w:t>
      </w:r>
      <w:r>
        <w:rPr>
          <w:rStyle w:val="FootnoteAnchor"/>
          <w:rtl w:val="true"/>
        </w:rPr>
        <w:footnoteReference w:id="4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الاشتباه ناشٍ عن تخیّل أنّ العلل الشرعیّة کالعلل التکوینیّة فی استحالة انفکاک معلولاتها عنها، لکن فساده واضح؛ فإنّ الأمر بعث إیقاعی لیس علّة تامّة للانبعاث؛ لیلزم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أجاب به بعض الأعاظم فی بحثه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بالصلاة بقصد الأمر فحین الامتثال لیس قصد الأمر مأموراً به؛ لأنّه حاصل، و الأمر به أمر بتحصیل الحاصل، و هو محال، و لا یلزم أن یدعو الأمر إلی داعویّة نفسه؛ لیلزم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یدعوه إلی الصلاة بقصد الامتثال مع إمکان الإتیان بها لا بقصد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الداعی إلی ذلک إلّا تعلّق الأمر به، فیلزم داعویّة الأمر و محرّکیّته إلی داعویّة نفسه و محرّکیّته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متعلِّق بطبیعة الصلاة مقیّدة بقصد الأمر، فإذا أتی به لا بقصد</w:t>
      </w:r>
    </w:p>
    <w:p>
      <w:pPr>
        <w:pStyle w:val="BookText"/>
        <w:rPr/>
      </w:pPr>
      <w:r>
        <w:rPr>
          <w:rFonts w:ascii="IRNazanin" w:hAnsi="IRNazanin" w:eastAsia="IRNazanin"/>
          <w:color w:val="111111"/>
          <w:sz w:val="28"/>
          <w:sz w:val="28"/>
          <w:szCs w:val="28"/>
          <w:rtl w:val="true"/>
          <w:lang w:bidi="fa-IR"/>
        </w:rPr>
        <w:t>الامتثال لم یأتِ بالمأمور به؛ لأنّ المأمور به هو المقیّد، لکن لا یلزم الدعوة إلی قصد الأمر بنفسه، فإنّ الأمر به أمر بتحصیل الحاصل، و 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أنّا نری بالوجدان أنّه یمکن الامتثال مع فرض تعلّق الأمر بشی‌ء مقیّداً بإتیانه بقصد الامتثال، و أدلّ دلیل علی إمکان الشی‌ء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بأنّه لو اخذ قصد الأمر فی متعلّقه لما أمکن الامتثال؛ لأنّ نفس المأتی لم یتعلّق به أمر؛ لأنّ المفروض تعلّقه به مقیّداً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المذکور ینحلّ إلی أمرین متعلَّق أحدهما موضوع الآخر، فینحلّ فیما نحن فیه إلی الأمر بالصلاة، و إلی الأمر بإتیانها بقصد الامتثال، و حینئذٍ فالصلاة مأمور بها، و لا فرق فیه بین أن یؤخذ قصد الامتثال شرطاً أو شطراً</w:t>
      </w:r>
      <w:r>
        <w:rPr>
          <w:rStyle w:val="FootnoteAnchor"/>
          <w:rtl w:val="true"/>
        </w:rPr>
        <w:footnoteReference w:id="404"/>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بانحلال کلّ واحد من الأوامر و النواهی إلی أوامر متعددة فاسد؛ فإنَّ الأمر فی جمیع الأوامر واحد، حتّی فی ما لو توجّه إلی جماعة؛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الأمر فیه واحد، و المأمور متعدّد، نظیر النداء مع تعدّد المنادی، ففیما نحن فیه أمر واحد تعلّق بالمرکّب من الصلاة و قصد الامتثال، لکن أصل الاستدلال غیر صحیح؛ فإنّ الأمر حسب الفرض تعلّق بالصلاة، غایة الأمر هی مقیّدة بقصد الأمر أو معه، فإنّ الأمر بها واقع محقّق، فیمکن الامتثال بقصد الأمر و لا محذور فیه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اخذ قصد الامتثال فی متعلّق الأمر لزم التنافی فی اللحاظ فی التقدّم و التأخّر؛ و ذلک لأنّ الموضوع و ما یتعلّق به الأمر متقدّم علی الأمر و الحکم لحاظاً و تصوّراً، و لحاظ الحکم متقدّم علی ما یأتی من قِبَله، فیلزم تقدّم قصد</w:t>
      </w:r>
    </w:p>
    <w:p>
      <w:pPr>
        <w:pStyle w:val="BookText"/>
        <w:rPr/>
      </w:pPr>
      <w:r>
        <w:rPr>
          <w:rFonts w:ascii="IRNazanin" w:hAnsi="IRNazanin" w:eastAsia="IRNazanin"/>
          <w:color w:val="111111"/>
          <w:sz w:val="28"/>
          <w:sz w:val="28"/>
          <w:szCs w:val="28"/>
          <w:rtl w:val="true"/>
          <w:lang w:bidi="fa-IR"/>
        </w:rPr>
        <w:t>الامتثال فی اللحاظ علی الحکم؛ لأنّه من متعلّقات موضوعه، و تأخّره عن الموضوع برتبتین؛ لأنّه جاء من قِبَل الأمر و الحکم، فیلزم أن یکون متقدّماً و متأخِّراً فی لحاظ واحد، 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دعوة الأمر إلی إیجاد متعلّقه إنّما هی من آثار الأمر و شئونه بوجوده الذهنی فی نفس المکلف، لا من آثار وجوده الخارجی و شئونه، و الأمرُ الذی وقع النزاع فی إمکان أخذ دعوة الأمر جزءاً أو قیداً، هو الأمر بوجوده الخارجی الحقیقی، فلو اخذ فی متعلّقه جزءاً أو قیداً لما استلزم شیئاً من المحاذیر المذکورة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یُجدی لدفع الدور، و لیس هو المدّعی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الاستحالة التی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ناشئة من نفس اللحاظ فیکون اللحاظ محالًا؛ أی حاظ شی‌ء واحد متقدّماً و متأخّراً، فمن المعلوم أنّه لیس کذلک، و إلّا یلزم استحالة تقیید الصلاة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لعدم الفرق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ناشئة من ناحیة الملحوظ فلا ریب أنّ 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تقیید المأمور به بقصد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ممکن، کما اعترف هو قدس سره به، و الأمر الممکن لا یوجب امتناع شی‌ء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الأمر فی متعلّقه لیس محالًا ذاتاً، و لا تکلیفاً بالمحال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 عدم إمکانه، فهل یمکن أخذه شرعاً بتعدّد الأمر بأن یتعلّق أحدهما بطبیعة الصلاة، و الثانی بها مقیّداً بإتیانها بقصد الامتثال، فیتوسّل الآمر إلی</w:t>
      </w:r>
    </w:p>
    <w:p>
      <w:pPr>
        <w:pStyle w:val="BookText"/>
        <w:rPr/>
      </w:pPr>
      <w:r>
        <w:rPr>
          <w:rFonts w:ascii="IRNazanin" w:hAnsi="IRNazanin" w:eastAsia="IRNazanin"/>
          <w:color w:val="111111"/>
          <w:sz w:val="28"/>
          <w:sz w:val="28"/>
          <w:szCs w:val="28"/>
          <w:rtl w:val="true"/>
          <w:lang w:bidi="fa-IR"/>
        </w:rPr>
        <w:t>غرضه بهذه الوسیلة، کما ذهب إلیه الشیخ قدس سره</w:t>
      </w:r>
      <w:r>
        <w:rPr>
          <w:rStyle w:val="FootnoteAnchor"/>
          <w:rtl w:val="true"/>
        </w:rPr>
        <w:footnoteReference w:id="406"/>
      </w:r>
      <w:r>
        <w:rPr>
          <w:rFonts w:ascii="IRNazanin" w:hAnsi="IRNazanin" w:eastAsia="IRNazanin"/>
          <w:color w:val="111111"/>
          <w:sz w:val="28"/>
          <w:sz w:val="28"/>
          <w:szCs w:val="28"/>
          <w:rtl w:val="true"/>
          <w:lang w:bidi="fa-IR"/>
        </w:rPr>
        <w:t>أو لا کما ذهب إلیه بعض آخر</w:t>
      </w:r>
      <w:r>
        <w:rPr>
          <w:rStyle w:val="FootnoteAnchor"/>
          <w:rtl w:val="true"/>
        </w:rPr>
        <w:footnoteReference w:id="407"/>
      </w:r>
      <w:r>
        <w:rPr>
          <w:rFonts w:ascii="IRNazanin" w:hAnsi="IRNazanin" w:eastAsia="IRNazanin"/>
          <w:color w:val="111111"/>
          <w:sz w:val="28"/>
          <w:sz w:val="28"/>
          <w:szCs w:val="28"/>
          <w:rtl w:val="true"/>
          <w:lang w:bidi="fa-IR"/>
        </w:rPr>
        <w:t>؟ فنقول استشکل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 من أنّا نقطع بأنّه لیس فی العبادات إلّا أمر واحد، کغیرها من الواجبات و المستحبّات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یسقط بمجرّد موافقته و لو لم یقصد به الامتثال؛ لکونه توصّلیّاً، کما هو قضیّة الأمر الثانی، فلا یبقی مجال لموافقة الأمر الثانی، فلا یتوسّل الآمر إلی غرضه بهذه الوسیلة و الحیلة، و إمّا أن لا یسقط بذلک، فلا وجه له إلّا عدم حصول غرضه بذلک، مع حکم العقل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موافقته علی نحو یحصل غرضه، و لا یحتاج إلی الأمر الثانی</w:t>
      </w:r>
      <w:r>
        <w:rPr>
          <w:rStyle w:val="FootnoteAnchor"/>
          <w:rtl w:val="true"/>
        </w:rPr>
        <w:footnoteReference w:id="4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الوجهین غیر وجیهین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دعوی القطع المذکور مجازفة؛ لعدم حصول هذا القطع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فإنّه قدس سره لم یذکر أنّ الامتثال فی صورة الشکّ فی اعتبار قصد الامتثال هل یتحقّق أو لا؟ أی لم یتعرّض لصورة الشکّ و الواقع لا یخلو عن أحد الأمرین فذهب بعضهم إلی البراءة فیه لا الاشتغال</w:t>
      </w:r>
      <w:r>
        <w:rPr>
          <w:rStyle w:val="FootnoteAnchor"/>
          <w:rtl w:val="true"/>
        </w:rPr>
        <w:footnoteReference w:id="410"/>
      </w:r>
      <w:r>
        <w:rPr>
          <w:rFonts w:ascii="IRNazanin" w:hAnsi="IRNazanin" w:eastAsia="IRNazanin"/>
          <w:color w:val="111111"/>
          <w:sz w:val="28"/>
          <w:sz w:val="28"/>
          <w:szCs w:val="28"/>
          <w:rtl w:val="true"/>
          <w:lang w:bidi="fa-IR"/>
        </w:rPr>
        <w:t>، و حینئذٍ فیلزم أن یأمر المولی ثانیاً بإتیانه بقصد الامتثال؛ حیث إنّ الامتثال بدونه مشکوک فیه؛ ردعاً عن الحکم بالبراءة،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یستکشف من بدیهیّة اعتبار قصد الامتثال فی العبادات و أنّه من المسلّمات وجودُ أمر آخر هنا متعلّق 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ربّما یمکن أن یقال باعتبار قصد التنجّز فی العبادات مع الإمکان،</w:t>
      </w:r>
    </w:p>
    <w:p>
      <w:pPr>
        <w:pStyle w:val="BookText"/>
        <w:rPr/>
      </w:pPr>
      <w:r>
        <w:rPr>
          <w:rFonts w:ascii="IRNazanin" w:hAnsi="IRNazanin" w:eastAsia="IRNazanin"/>
          <w:color w:val="111111"/>
          <w:sz w:val="28"/>
          <w:sz w:val="28"/>
          <w:szCs w:val="28"/>
          <w:rtl w:val="true"/>
          <w:lang w:bidi="fa-IR"/>
        </w:rPr>
        <w:t>و لعلّه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إلّا مع تنبیه الشارع علی ذلک؛ لأنّ مقتضی الحکم بالاشتغال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وجوه الإشکالات التی یصعب الذبّ عنها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لو تعلّق بنفس طبیعة الصلاة مجرّدة فلا ریب أنّها کذلک لیست مطلوبة و مرادةً، فلا یتعلّق البعث بها حقیقةً؛ لاستحالة البعث الحقیقی إلی ما لیس هو بمطلوب حقیقة، فلا معنی للأمر الثانی بفعلها و إیجادها بقصد الأمر الأوّل؛ لما عرفت من استحالة البعث إلیها مجرّدةً، و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بالقید</w:t>
      </w:r>
      <w:r>
        <w:rPr>
          <w:rStyle w:val="FootnoteAnchor"/>
          <w:rtl w:val="true"/>
        </w:rPr>
        <w:footnoteReference w:id="411"/>
      </w:r>
      <w:r>
        <w:rPr>
          <w:rFonts w:ascii="IRNazanin" w:hAnsi="IRNazanin" w:eastAsia="IRNazanin"/>
          <w:color w:val="111111"/>
          <w:sz w:val="28"/>
          <w:sz w:val="28"/>
          <w:szCs w:val="28"/>
          <w:rtl w:val="true"/>
          <w:lang w:bidi="fa-IR"/>
        </w:rPr>
        <w:t>فرضاً، و قال المحقّق العراقی قدس سره إنّ الأمر الأوّل قد تعلّق بالحصّة المقارنة للقید، لا بالصلاة مجرّدةً و لا بالطبیعة المقیّدة</w:t>
      </w:r>
      <w:r>
        <w:rPr>
          <w:rStyle w:val="FootnoteAnchor"/>
          <w:rtl w:val="true"/>
        </w:rPr>
        <w:footnoteReference w:id="412"/>
      </w:r>
      <w:r>
        <w:rPr>
          <w:rFonts w:ascii="IRNazanin" w:hAnsi="IRNazanin" w:eastAsia="IRNazanin"/>
          <w:color w:val="111111"/>
          <w:sz w:val="28"/>
          <w:sz w:val="28"/>
          <w:szCs w:val="28"/>
          <w:rtl w:val="true"/>
          <w:lang w:bidi="fa-IR"/>
        </w:rPr>
        <w:t>، فکأنّ نظره إلی دفع هذا الإشکال و إن لم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یمکن تصوّره فی الطبیعة الموجودة فی الخارج، فإنّ طبیعة الإنسان یمکن تصوّرها مقارنة للفسق و العدالة أو غیرهما؛ لوجود الفرد الفاسق و العادل منها فی الخارج، فمع عدم وجودها فی الخارج لا یتمّ ما ذکره؛ فإنّه یستحیل تصوّر المقیّد مقارناً لقیدٍ لا یمکن تقییده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ذلک لو وجد فی الخارج؛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بما له من الوجود فی الخارج حکمه کذا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الذبّ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للمولی نحوین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مطلوبه مرکّباً من الأجزاء العرضیّة، مثل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یأمر ببناء المسجد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ثانیهما الأمر بوضع اللبنة و الآجر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یأمر بکلّ واحد منها مستقلّاً، و حینئذٍ فمطلوبه الذی تعلّق به الإرادة هو مجموع المتعلّقات لأوامره، لا کلّ واحد منها مستقلّاً، فالبعث الحقیقی و الإرادة کذلک تعلّقا</w:t>
      </w:r>
      <w:bookmarkStart w:id="385" w:name="pg12886_133360"/>
    </w:p>
    <w:p>
      <w:pPr>
        <w:pStyle w:val="BookText"/>
        <w:rPr/>
      </w:pPr>
      <w:bookmarkEnd w:id="385"/>
      <w:r>
        <w:rPr>
          <w:rFonts w:ascii="IRNazanin" w:hAnsi="IRNazanin" w:eastAsia="IRNazanin"/>
          <w:color w:val="111111"/>
          <w:sz w:val="28"/>
          <w:sz w:val="28"/>
          <w:szCs w:val="28"/>
          <w:rtl w:val="true"/>
          <w:lang w:bidi="fa-IR"/>
        </w:rPr>
        <w:t>بالمجموع، لا بکلّ واحد، و إذا کان مطلوبه مرکّباً من الأجزاء الطولیة، کما فیما نحن فیه؛ أی الصلاة المقیّدة بإتیانها بقصد امتثال الأمر، فالنحو الأوّل من الأمر فیه یعنی الأمر بکلّ واحدٍ مستقلّاً غیر ممکن بالفرض، لکن یمکن بالنحو الثانی، فمجموع المتعلّقین لأمرین هو مطلوبه الحقیقی الذی تعلّق به البعث الحقیقی و الإرادة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یمکن أن یذبّ عن إشکال آخر أورده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طبیعة الصلاة مجرّدة لیست مُقرِّبة حتّی یتعلّق بها الأمر الأوّل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التقرّب المعتبر فی العبادة حاصل فی المجموع، لا فی کلّ واحد من الأجزاء، و هذا کافٍ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التقرّب المعتبر فی العبادة هو بمعنی قصد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الإتیان بالفعل بداعی حسنه، أو أنّه ذو مصلحة، أو أنّه ممّا تعلّق به إرادته تعالی،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الصلاة به بمکان من الإمکان، لکنّه غیر معتبر قطعاً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الإشکالات الواردة علیه فی فرض کونه بمعنی قصد الامتثال واردة علیه لو فرض أنّه بهذه المعانی أیضاً، بل الأجوبة المذکورة عنه غیر متمشّیة هنا</w:t>
      </w:r>
      <w:r>
        <w:rPr>
          <w:rFonts w:eastAsia="IRNazanin" w:cs="IRNazanin"/>
          <w:color w:val="111111"/>
          <w:sz w:val="28"/>
          <w:szCs w:val="28"/>
          <w:rtl w:val="true"/>
          <w:lang w:bidi="fa-IR"/>
        </w:rPr>
        <w:t>.</w:t>
      </w:r>
    </w:p>
    <w:p>
      <w:pPr>
        <w:pStyle w:val="Heading4"/>
        <w:numPr>
          <w:ilvl w:val="3"/>
          <w:numId w:val="1"/>
        </w:numPr>
        <w:rPr/>
      </w:pPr>
      <w:bookmarkStart w:id="386" w:name="__RefHeading___Toc3024087_3224264995"/>
      <w:bookmarkStart w:id="387" w:name="_Toc144"/>
      <w:bookmarkEnd w:id="386"/>
      <w:r>
        <w:rPr>
          <w:rtl w:val="true"/>
        </w:rPr>
        <w:t>أمّا الإشکالات</w:t>
      </w:r>
      <w:r>
        <w:rPr>
          <w:rtl w:val="true"/>
        </w:rPr>
        <w:t>:</w:t>
      </w:r>
      <w:bookmarkEnd w:id="38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منه قدس سره من لزوم داعویّة الشی‌ء إلی داعویّة نفسه أو محرّکیّته إلی محرّکیّة نفسه، فإنّه جار فی هذه الصورة أیضاً، فإنّ الصلاةَ المقیّدة بإتیانها بداعی حسنها، أو أنّها ذات مصلحة، داعیةٌ إلی الصلاة کذلک و هذا هو کون الشی‌ء داعیاً و محرِّکاً إلی داعویّة نفسه و محرّکیّته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جریان بعض الأجوبة فمثل ما أجاب به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w:t>
      </w:r>
    </w:p>
    <w:p>
      <w:pPr>
        <w:pStyle w:val="BookText"/>
        <w:rPr/>
      </w:pPr>
      <w:r>
        <w:rPr>
          <w:rFonts w:ascii="IRNazanin" w:hAnsi="IRNazanin" w:eastAsia="IRNazanin"/>
          <w:color w:val="111111"/>
          <w:sz w:val="28"/>
          <w:sz w:val="28"/>
          <w:szCs w:val="28"/>
          <w:rtl w:val="true"/>
          <w:lang w:bidi="fa-IR"/>
        </w:rPr>
        <w:t>التوسّل إلی الغرض بأمرین</w:t>
      </w:r>
      <w:r>
        <w:rPr>
          <w:rStyle w:val="FootnoteAnchor"/>
          <w:rtl w:val="true"/>
        </w:rPr>
        <w:footnoteReference w:id="415"/>
      </w:r>
      <w:r>
        <w:rPr>
          <w:rFonts w:ascii="IRNazanin" w:hAnsi="IRNazanin" w:eastAsia="IRNazanin"/>
          <w:color w:val="111111"/>
          <w:sz w:val="28"/>
          <w:sz w:val="28"/>
          <w:szCs w:val="28"/>
          <w:rtl w:val="true"/>
          <w:lang w:bidi="fa-IR"/>
        </w:rPr>
        <w:t>فی الأوّل، فإنّه غیر جارٍ فیما نحن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الأعاظم قدس سره من لزوم الدور الصریح؛ لأنّ قصد المصلحة یتوقّف علی وجودها فی الخارج، و وجودها فی الصلاة فیه یتوقّف علی قصد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أنّ طبیعة الصلاة مجرّدة لیست فیها مصلحة، بل المصلحة فیها إنّما هی فیما إذا اتی بها بقصد المصلحة، و هذا هو توقّف الشی‌ء علی نفسه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نظیر العناوین القصدیّة کالتعظیم و التوهین، فإنّه یمکن تقریر الدور المذکور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التعظیم یتوقّف علی قصده؛ لأنّ المفروض أنّه من العناوین القصدیّة التی لا توجد إلّا بالقصد إلی عنوان، و قصده یتوقّف علی کون الفعل تعظیماً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توقّف التعظیم علی قصده مسلّم، لکن لا نُسلّم توقّف قصد التعظیم علی کون الفعل تعظیماً بالفعل، بل یکفی قابلیّته و استعداده لأن یقع تعظیماً و فیما نحن فیه أیضاً کذلک فإنّ توقّف وجود المصلحة علی قصدها مسلَّم، لکن لا نسلِّم توقّف قصد المصلحة علی وجودها فی الصلاة بالفعل، بل تکفی المصلحة الشأنیّة؛ بأن تکون للصلاة قابلیّة وجود المصلحة فیها و تحقّقها فیها شأناً فیتوقّف قصد المصلحة علی المصلحة الشأنیّة فیها؛ أی صلاحیّتها لأن تصیر ذات مصلحة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تنظیر ما نحن فیه بالعناوین القصدیّة غیر صحیح؛ لأنّ الداعی إلی قصد التعظیم لیس هو التعظیم، بل الداعی إلیه هو المبادئ الکامنة فی نفسه الناشئة عن کون</w:t>
      </w:r>
    </w:p>
    <w:p>
      <w:pPr>
        <w:pStyle w:val="BookText"/>
        <w:rPr/>
      </w:pPr>
      <w:r>
        <w:rPr>
          <w:rFonts w:ascii="IRNazanin" w:hAnsi="IRNazanin" w:eastAsia="IRNazanin"/>
          <w:color w:val="111111"/>
          <w:sz w:val="28"/>
          <w:sz w:val="28"/>
          <w:szCs w:val="28"/>
          <w:rtl w:val="true"/>
          <w:lang w:bidi="fa-IR"/>
        </w:rPr>
        <w:t>المعظّم له نبیّاً أو عالماً أو غیر ذلک، و الداعی فیما نحن فیه المصلحة الصلاتیّة، فلا یصحّ قیاس ما نحن فیه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یُذبّ عن أصل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لطبیعة الصلاة مجرّدة عن القید جزء مصلحة ملزومة للجزء الآخر منها لا تنفکّ عنه عند الإتیان بالصلاة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التامّة کامنة فی الصلاة مع قصد المصلحة کلیهما، فجزء المصلحة متحقّق فی الصلاة، و جزؤها الآخر فی القید، لکن لو فرض تجرّد کل منهما عن الآخر و بدونه فلیس فیه مصلحة، فجزء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الکامن فی الصلاة الملازم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یتوقّف علیه قصد المصلحة، فقصد المصلحة یتوقف علی هذه المصلحة الجزئیة، لکن هذه المصلحة الجزئیّة لا تتوقّف علی قصد المصلحة؛ لأنّها توجد حین الإتیان بالصلاة بقصد المصلحة الجزئیّة الکامنة فی الصلاة للملازمة بینهما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یمکن دفع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جزء المصلحة الذی فی الصلاة داعٍ إلی الإتیان بالصلاة بقصد المصلحة الکامنة فی القید، و یوجد جزء مصلحة الصلاة بلا داعٍ له، و هذا کافٍ فی 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بعض مقرّری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اخذ الجامع بین المصلحة و الحُسن قیداً و تعلّقت الإرادة بالمأمور به المقیّد به، کالإتیان بالفعل له تعالی، لزم وقوع شی‌ء واحد فی سلسلة العلّة و المعلول کلیهما، و هو محال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لوجود الإرادة للإتیان بالفعل العبادی، و الإرادة علّة لوجود المأمور به، فإذا اخذ هذا الجامع فی المأمور به الذی هو المعلول لزم المحذور المذکور هذا کلّه فی الإرادة التکوینیة و الأمر التکوینی و أمّا الإرادة التشریعیّة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لاستحالة الأمر بالمستحیل</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bookmarkStart w:id="388" w:name="pg12886_133363"/>
    </w:p>
    <w:p>
      <w:pPr>
        <w:pStyle w:val="BookText"/>
        <w:rPr/>
      </w:pPr>
      <w:bookmarkEnd w:id="388"/>
      <w:r>
        <w:rPr>
          <w:rFonts w:ascii="IRNazanin" w:hAnsi="IRNazanin" w:eastAsia="IRNazanin"/>
          <w:color w:val="111111"/>
          <w:sz w:val="28"/>
          <w:sz w:val="28"/>
          <w:szCs w:val="28"/>
          <w:rtl w:val="true"/>
          <w:lang w:bidi="fa-IR"/>
        </w:rPr>
        <w:t>لکن هذا الإشکال أیضاً غیر وارد؛ لأنّ المصلحة لیست علّة للإرادة، بل الإرادة معلولة لغرض آخر، کالخوف من العقاب و عذاب المولی، أو رجاء ثوابه و رضوانه، أو غیر ذلک، و حینئذٍ فلا وقع للإشکال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الامتثال أو المصلحة أو الحسن أو غیر ذلک فی متعلّق الأمر ممکن، سواء کان بأمر واحد، أم بأمرین، و حینئذٍ فلا إشکال فی التمسّک بالإطلاق و الحکم بالتوصّلیّة إذا شکّ فی أمر أنّه تعبّدی أو توصّلی، فإنّ الآمر إذا کان فی مقام بیان تمام المراد، و لم ینصب قرینة علی الخلاف، یحکم بأنّه توصّلی لا یعتبر فیه قصد الامتثال</w:t>
      </w:r>
      <w:r>
        <w:rPr>
          <w:rFonts w:eastAsia="IRNazanin" w:cs="IRNazanin"/>
          <w:color w:val="111111"/>
          <w:sz w:val="28"/>
          <w:szCs w:val="28"/>
          <w:rtl w:val="true"/>
          <w:lang w:bidi="fa-IR"/>
        </w:rPr>
        <w:t>.</w:t>
      </w:r>
    </w:p>
    <w:p>
      <w:pPr>
        <w:pStyle w:val="Heading4"/>
        <w:numPr>
          <w:ilvl w:val="3"/>
          <w:numId w:val="1"/>
        </w:numPr>
        <w:rPr/>
      </w:pPr>
      <w:bookmarkStart w:id="389" w:name="__RefHeading___Toc3024089_3224264995"/>
      <w:bookmarkStart w:id="390" w:name="_Toc145"/>
      <w:bookmarkEnd w:id="389"/>
      <w:r>
        <w:rPr>
          <w:rtl w:val="true"/>
        </w:rPr>
        <w:t>نعم اورد علیه إشکالات</w:t>
      </w:r>
      <w:r>
        <w:rPr>
          <w:rtl w:val="true"/>
        </w:rPr>
        <w:t>:</w:t>
      </w:r>
      <w:bookmarkEnd w:id="39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إنّما یصحّ فیما إذا کان الإطلاق و التقیید کلاهما ممکنین، و فیما نحن فیه لیس کذلک، فإنّ دعوة الأمر إلی متعلّقه هی من شئون الأمر و لوازمه التی لا تنفکّ عنه، کما هو واضح، و لا عن متعلّقه، فإنّ الداعی إلی الأمر بالشی‌ء هو بعث المکلّف إلی إیجاد ذلک الشی‌ء، فمتعلّق الأمر هی طبیعة الفعل التی دعت المولی إلی بعث العبد إلی إیجاد ذلک الفعل فللطبیعة المأمور بها ضیق ذاتی لا لفظی، و لا یمکن تقیید الطبیعة بذلک القید، فلا إطلاق فی متعلّق الأمر حتّی یتمسّک به فی مورد الشکّ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یظهر منه تسلیمه ما ذکره من اللزوم</w:t>
      </w:r>
      <w:r>
        <w:rPr>
          <w:rStyle w:val="FootnoteAnchor"/>
          <w:rtl w:val="true"/>
        </w:rPr>
        <w:footnoteReference w:id="420"/>
      </w:r>
      <w:r>
        <w:rPr>
          <w:rFonts w:ascii="IRNazanin" w:hAnsi="IRNazanin" w:eastAsia="IRNazanin"/>
          <w:color w:val="111111"/>
          <w:sz w:val="28"/>
          <w:sz w:val="28"/>
          <w:szCs w:val="28"/>
          <w:rtl w:val="true"/>
          <w:lang w:bidi="fa-IR"/>
        </w:rPr>
        <w:t>، لکنّه ممنوع؛ فإنّ الأمر کما یتعلّق فی التوصّلیّات بنفس الطبیعة، و یکفی إیجادها بأی نحوٍ کان، فکذلک فی العبادات یتعلّق بنفس الطبیعة، فلو شکّ فی التقیید أو فی أمرٍ ثانٍ فلا مانع من التمسّک بالإطلاق إذا کان الآمر فی مقام البیان مع شرائطه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أصالة التعبّدیّة فی صورة الشّکّ و عدم صحّة التمسّک بالإطلاق بعد اختیاره أوّلًا أصالة التوصّلیّة، و مهّد لذلک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العلل الشرعیّة کالعلل التکوینیّة فی أنّه کما لا یمکن أن یکون لعلّة واحدة معلولات متعدّدة فی التکوینیّات کذلک فی التشریعیّات، و فرّع علیها أنّ الأمر للمرّة لا للتکرار، و أنّه للفور؛ لعدم تخلّف المعلول عن العلّة فی التکوینیّات فکذلک فی التشریعیّات، و أنّه لا یجوز تداخل الأسباب الشرعیّة؛ لاستحالة تأثیر علل متعدّدة تامّة فی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متعلِّقة بالطبائع المطلقة، لا بصرف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یمکن أخذه فی متعلّق الأمر، کالطهارة فی الصلاة، و العدالة و الإیمان فی الرقبة، و قسم لا یمکن أخذه فیه و تقییده به، کالإیصال فی المقدّمة الموصلة، فإنَّ الإیصال من لوازم ذات المقدّمة الموصلة، و لا تقبل تقیّدها به، فهی لا مطلقة؛ للضیق الذاتی فیها، و لا مقیّدة؛ لعدم تقییدها فی اللّفظ بالإیصال، و کذلک قید قصد الامتثال و التقرّب و نحوهما، فإنّ الأوامر و إن کانت مطلقة فی اللّفظ، و لم تکن مقیّدة بها، لکنّها متقیّدة بها فی نفس الأمر، فلها ضیق ذاتی فی الواقع، فهی لا مطلقة و لا مقیّدة، و حینئذٍ فلا إطلاق حتّی یُتمسّک به فی المقام، فإذا ورد أمر و شکّ فی أنّه تعبّدی أو توصّلی فلا یقع التمسّک بالإطلاق و الحکم بالتوصّلیّة، بل الأصل هو التعبّدیّة</w:t>
      </w:r>
      <w:r>
        <w:rPr>
          <w:rStyle w:val="FootnoteAnchor"/>
          <w:rtl w:val="true"/>
        </w:rPr>
        <w:footnoteReference w:id="4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أنّ الأوامر الشرعیّة کالأوامر التکوینیّة، و قیاسها بها ممنوع جدّاً فإنّه لا اسم و لا رسم و لا أثر للمعلول فی الوجود فی التکوینیات قبل وجود علّته، فوجود المعلول إنّما هو لأجل علّیّة العلّة له، بخلافه فی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تفریع المسائل المذکورة علیه فلا یخفی ما فیه؛ لأنّ تخلّف المأمور عن امتثال الأوامر فی التشریعیّات أکثر من أن یُحصی، بخلاف التکوینیّات، و لما عرفت من أن الأمر لیس فیه محرّکیّة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تفریع عدم تداخل الأسباب فی التشریعیّات فهو 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التحقیق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امتناع الأمر بشی‌ء واحد مرّتین أو أزید إلّا تأکیداً، کما اعترف هو قدس سره به فی المقدّمة الثانیة من تعلّق الأمر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استحالةِ تعلّق الإرادة به کذلک و کذلک الحبّ و الشوق لا لأنّ العلل الشّرعیّة کالعلل التکوینیّة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أیضاً ممنوعة لأنّه إذا فُرض تعلّق الأمر بشی‌ءٍ، کقوله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التحلیل هنا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أی مادّة الصلاة فی المثال، و هی الطبیعة المأمور بها، و الهیئة؛ أی هیئة الأمر، و مفادها لیس إلّا البعث إلی الطبیعة، و تعلّق الهیئة بالمادّة، و شی‌ء منها لا یدلّ علی الضیق الذاتی الواقعی الذی ادّعاه، فإذا أمر المولی بشی‌ء فلیس فیه إلّا البعث إلی المادّة المطلقة، و التقیید بالقید المذکور یحتاج إلی مئونة زائدة، بل مقتضی القیاس إلی العلل التکوینیّة أیضاً ذلک فإنّ النار علّة لإحراق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النار تدلّ علی ذاتها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الإحراق فی مرتبة ذاته لیس فیه قید، فالقید یحتاج إلی بیان زائد و بعد تعلّق الأمر بالمادّة یُنتزع منه مفهوم الأمر و المأمور و المأمور به، فأین الضیق الذاتی الذی ادّعاه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التمسّک بالإطلاق عند الشکّ فی التوصّلیّة و التعبّدیّة فی الأوامر الشرعیّة إذا کان الأمر فی مقام البیان، ثمّ علی فرض عدم صحّة التمسّک فی المقام بالإطلاق اللّفظی أمکن التمسّک بالإطلاق المقامی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عدم صحة التمسّک به أیضاً، فهل هناک أصل عملی یقتضی وجوب الإتیان بالقید أو عدمه؟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متفرّعة علی مسألة الشکّ فی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هناک بجریان أصل البراءة فیها فکذلک هاهنا، کما هو الحقّ، و سیجی‌ء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هناک بالاشتغال فکذلک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هاهنا إلّا لأصالة الاشتغال، و إن قلنا بأصالة البراءة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لمّا کان للمأمور به مفهوم مبیَّن عندنا وجب الإتیان بکلّ ما یُحتمل دخله فی المأمور به تحقّق الامتثال؛ لیحصل العلم بسقوط الغرض الذی هو علّة للإرادة و الإرادة علّة للأمر، فلا یعلم بسقوط التکلیف و حصول الامتثال بدون ذلک، بخلاف مسألة الأقلّ و الأکثر، فإنّ متعلّق الأمر فیها مردّد بین الأقلّ و الأکثر، فیُؤخذ بالأقلّ، و یُنفی الأکثر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یحتمل دخله بدواً فی تحقّق الامتثال، و کان ممّا تغفل عنه العامّة غالباً، کان علی الآمر بیانه و نصبُ قرینة علی دخله واقعاً، و إلّا لأخلّ بما هو همّه و غرضه، و إذا لم ینصب علی دخله قرینة کشف عن عدم دخله، و ذلک کقصد الوجه و التمییز</w:t>
      </w:r>
      <w:r>
        <w:rPr>
          <w:rStyle w:val="FootnoteAnchor"/>
          <w:rtl w:val="true"/>
        </w:rPr>
        <w:footnoteReference w:id="4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ما ذکره عدم جریان البراءة فی مسألة الأقلّ و الأکثر الارتباطیّین أیضاً؛ لأنّا نعلم فیها بوجود التکلیف و ثبوت غرضٍ للمولی، و لا یحصل العلم بحصول الغرض و سقوط التکلیف بالإتیان بالأقلّ، فعلی ما ذکره لا بدّ من الإتیان بالأکثر، و لا فرق فیما ذکره بین ما نحن فیه و بین مسألة الأقلّ و الأکثر، بل ما نحن فیه عین مسألة الأقلّ و الأکثر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فیهما؛ لأنّه إذا امر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أنّ المطلوب هو طبیعة الصلاة، أو هی مع قید آخر، و لم یبیّن الشارع وجوب القید، یحکم</w:t>
      </w:r>
    </w:p>
    <w:p>
      <w:pPr>
        <w:pStyle w:val="BookText"/>
        <w:rPr/>
      </w:pPr>
      <w:r>
        <w:rPr>
          <w:rFonts w:ascii="IRNazanin" w:hAnsi="IRNazanin" w:eastAsia="IRNazanin"/>
          <w:color w:val="111111"/>
          <w:sz w:val="28"/>
          <w:sz w:val="28"/>
          <w:szCs w:val="28"/>
          <w:rtl w:val="true"/>
          <w:lang w:bidi="fa-IR"/>
        </w:rPr>
        <w:t>العقل بأنّ الواجب هو الطبیعة، و العقاب علی الزائد عنها عقاب بلا بیان؛ لعدم قیام الحجّة علیه، فإن ارید بسقوط الأمر هو عدم وجوب متعلّق الأمر ثانیاً، فما نحن فیه أیضاً کذلک و إن ارید به معنیً آخر فلا بدّ من بیانه حتّی ننظر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عدم جریان البراءة العقلیّة فهل یجری فیه البراءة الشرعیّة أو لا؟ فهنا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إمکان أخذ قصد الأمر فی متعلّقه فهل تجری البراءة الشرعیّة لو شُکّ فیه أو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عدم إمکان أخذه فی الأمر الأوّل، لکن أمکن أخذه بأمرٍ ثانٍ فهل تجری فیه البراءة النقلیّة لو شکّ فیه أو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عدم إمکان أخذه فیه لا فی الأمر الأوّل و لا بالأمر الثانی، فهل تجری البراءة لو شکّ فیه أو لا؟</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إنّها لا تجری فیه؛ لأنّ ملاک جریان البراءة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لو کان المشکوک بحیث لو لم ینبِّهه علیه المولی لأخلّ بغرضه و کان ناقضاً له، و ما نحن فیه لیس کذلک؛ لأنّ القید المذکور علی فرض کونه مُراداً للمولی واقعاً، فعدم تنبیهه علیه لا یوجب الإخلال بفرضه؛ لکفایة حکم العقل بلزوم الإتیان به فی صورة الشکّ، فلا یلزم من عدم البیان نقضه لغرضه، و لیس المُدّعی أنّ حکمَ العقل بلزوم الاحتیاط بیان ینتفی معه موضوع البراءة النقلیّة؛ لیلزم الدَّور، بل المُدّعی قصور دلیل البراءة النقلیّة عن شمول مثل هذا المورد و انصرافه عنه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البراءة و مجراها هو مثل هذا المقام؛ لأنّ المفروض أنّ الشارع قد حکم بالبراءة فی مورد الشکّ، فإن لم یکن المشکوک واجباً واقعاً فلا کلام، و إن کان واجباً فی الواقع فالحکم بالبراءة توسعة من الشارع، و تسهیل منه للمکلّفین</w:t>
      </w:r>
    </w:p>
    <w:p>
      <w:pPr>
        <w:pStyle w:val="BookText"/>
        <w:rPr/>
      </w:pPr>
      <w:r>
        <w:rPr>
          <w:rFonts w:ascii="IRNazanin" w:hAnsi="IRNazanin" w:eastAsia="IRNazanin"/>
          <w:color w:val="111111"/>
          <w:sz w:val="28"/>
          <w:sz w:val="28"/>
          <w:szCs w:val="28"/>
          <w:rtl w:val="true"/>
          <w:lang w:bidi="fa-IR"/>
        </w:rPr>
        <w:t>عند الشکّ فی وجوب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یُعکس الأمر؛ بأن یقال بجریان البراءة العقلیّة فی المقام، و معه لا تصل النوبة إلی البراءة الشرعیّة، فإنّها لیست حکماً شرعیّاً، بل إرشاد إلی 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بعدم جریان البراءة النقلیّة لنفی القید بأمرٍ ثانٍ لو شکّ فیه؛ و ذلک لأنّ البراءة الشرعیّة فیه لا تُثبت أنّ متعلّق الأمر الأوّل هو تمام المطلوب و المأمور به إلّا علی القول بالأصل المثبت؛ ضرورة أنّ نفیَ الوجوب المستفاد من متمّم الجعل، و إثباتَ أنّ الباقی وافٍ بالغرض المطلوب بأصالة البراءة، من أظهر مصادیق الاصول المثبتة، بخلاف ما لو قلنا بإمکان أخذ القید فی الأمر الأوّل، فإنّه علیه یرجع الشکّ إلی الشکّ فی انبساط الأمر علی الجزء أو القید المشکوک دخلُهُ فی التکلیف، فمع جریان البراءة فیه و الحکم بعدم انبساط الأمر علیه یُحکم بعدم وجوبه، و یُفهم منه عرفاً أنّ الباقی هو تمام المطلوب و المأمور به و لیس ذلک من المثبت لخفاء الواسطة و عدم توجّه العرف الیها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نحتاج إلی إثبات أنّ الباقی هو تمام المأمور به الذی هو متعلّق الأمر الأوّل،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أنّ الأمر الأوّل تعلّق بهذه الأجزاء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نشکّ فی أنّ هنا أمراً آخر یدلّ علی تقیید متعلّق الأمر الأوّل بقید أو لا، فالشکّ إنّما هو فی شرطیّة الجزء الحادی عشر أو شطریته، فیؤخذ بالمعلوم الذی تعلّق الأمر به، و هو الأجزاء العَشَرة، و یُنفی الزائد بالأصل، و یکفی فی الامتثال و سقوط الأمر و حصول الغرض، الإتیانُ بمتعلّق الأمر الأوّل و لا نحتاج إلی إثبات أنّه تمام المطلوب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بین ما إذا شکّ فی ثبوت القید بالأمر الأوّل أو بأمرٍ ثانٍ، و لا وجه للتفصیل الذی ذکره فإن کانت البراءة جاریة فی الأوّل لخفاء الواسطة</w:t>
      </w:r>
      <w:bookmarkStart w:id="391" w:name="pg12886_133369"/>
    </w:p>
    <w:p>
      <w:pPr>
        <w:pStyle w:val="BookText"/>
        <w:rPr/>
      </w:pPr>
      <w:bookmarkEnd w:id="391"/>
      <w:r>
        <w:rPr>
          <w:rFonts w:ascii="IRNazanin" w:hAnsi="IRNazanin" w:eastAsia="IRNazanin"/>
          <w:color w:val="111111"/>
          <w:sz w:val="28"/>
          <w:sz w:val="28"/>
          <w:szCs w:val="28"/>
          <w:rtl w:val="true"/>
          <w:lang w:bidi="fa-IR"/>
        </w:rPr>
        <w:t>فکذلک فی الثانی لذلک فإنّ الأمر الثانی أیضاً ناظر إلی الأمر الأوّل، و لیس جعلًا مستقلّاً، بل متمّم للجعل، و إن لم تکن جاریة ففی کلتا الصورتین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فی وجه عدم جریانها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عدم إمکان أخذ القید المذکور بأحد النحوین، فلیس دخله شرعیّاً حینئذٍ بل عقلی، و لا بدّ فی جریان البراءة الشرعیّة قابلیّة المرفوع للوضع و الرفع شرعاً؛ لیمکن تناول ید الجعل و الرفع الشرعیّین من الشارع بما هو شارع له، فإنّ الشارع بما هو شارع لا یتصرّف فی الامور العقلیّة و التکوینیّة، و الفرض أنّ ما نحن فیه کذلک، و أمّا رفع الشرطیّة و الجزئیّة فهو و إن کان بمکان من الإمکان، لکن لا تجری البراءة النقلیّة فیهما فیما نحن فیه أیضاً للعلم فیه بثبوت الأمر العقلی</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فوّضنا عدم إمکان أخذ القید شرعاً فی متعلّق الأمر؛ لا بالأمر الأوّل، و لا بالأمر الثانی تبعاً، لکن للشارع أن یجعله بجعل مستقلّ، و هذا ممّا لا إشکال فیه، فمع الشکّ فیه یرفع بدلیل الرفع و التوسعة</w:t>
      </w:r>
      <w:r>
        <w:rPr>
          <w:rFonts w:eastAsia="IRNazanin" w:cs="IRNazanin"/>
          <w:color w:val="111111"/>
          <w:sz w:val="28"/>
          <w:szCs w:val="28"/>
          <w:rtl w:val="true"/>
          <w:lang w:bidi="fa-IR"/>
        </w:rPr>
        <w:t>.</w:t>
      </w:r>
    </w:p>
    <w:p>
      <w:pPr>
        <w:pStyle w:val="Heading4"/>
        <w:numPr>
          <w:ilvl w:val="3"/>
          <w:numId w:val="1"/>
        </w:numPr>
        <w:rPr/>
      </w:pPr>
      <w:bookmarkStart w:id="392" w:name="__RefHeading___Toc3024091_3224264995"/>
      <w:bookmarkStart w:id="393" w:name="_Toc146"/>
      <w:bookmarkEnd w:id="392"/>
      <w:r>
        <w:rPr>
          <w:rtl w:val="true"/>
        </w:rPr>
        <w:t>فصل</w:t>
      </w:r>
      <w:r>
        <w:rPr>
          <w:rtl w:val="true"/>
        </w:rPr>
        <w:t>:</w:t>
      </w:r>
      <w:bookmarkEnd w:id="39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 فی أمر أنّه نفسی أو غیری أو عینی أو کفائی أو تعیینی أو تخییری، فلا ریب فی أنّه لا دلالة لفظیّة تدلّ علی أحدها، و لا ادّعاها أحد فیما أعلم، لکن لا بدّ من حمله علی النفسی العینی التعیینی؛ و ذلک لما عرفت فی بحث دلالة الأمر علی الوجوب أنّه لیس لأجل أنّ صیغة الأمر موضوعة للوجوب؛ فإنّ الإشارة أیضاً کذلک، مع وضوح أنّها لم توضع للوجوب، و لا لأجل الانصراف إلی الوجوب، و لا أنّه مقتضی مقدّمات الحکمة، و أنّه لا کاشف عن وجود إرادة حتمیّة للمولی فی الأوامر، بل الوجه فی حمله علی الوجوب أنّه یحتاج إلی الجواب من العبد بمجرّد</w:t>
      </w:r>
    </w:p>
    <w:p>
      <w:pPr>
        <w:pStyle w:val="BookText"/>
        <w:rPr/>
      </w:pPr>
      <w:r>
        <w:rPr>
          <w:rFonts w:ascii="IRNazanin" w:hAnsi="IRNazanin" w:eastAsia="IRNazanin"/>
          <w:color w:val="111111"/>
          <w:sz w:val="28"/>
          <w:sz w:val="28"/>
          <w:szCs w:val="28"/>
          <w:rtl w:val="true"/>
          <w:lang w:bidi="fa-IR"/>
        </w:rPr>
        <w:t>صدوره من المولی عند العرف و العقلاء، فلو ترک المکلّف المأمور به معتذراً بأنّه احتمل ندبیّته، لم یکن عذره مقبولًا عندهم، بل یقبّحونه و یستحقّ العقوبة عندهم معلَّلًا بأنّه خالف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البیان جارٍ فیما نحن فیه أیضاً فلو ترک العبد المأمور به؛ معتذراً باحتماله أنّه غیری، أو کفائی مع إتیان غیره به، أو تخییری بینه و بین فعلٍ آخر اتیَ به، فلا یقبلون عذره بل یقبّحونه، و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تمسّک بالإطلاق و مقدّمات الحکمة علی ذلک، لاحتیاج الغیری و الکفائی و التخییری إلی مئونة زائدة، فمع عدمها یؤخذ بالإطلاق</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توضیح ذلک بعض المحشّین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النفسی و الغیری مثلًا له قید و خصوصیّة فی مقام الثبوت بها یمتاز أحدهما عن الآخر، و هی البشرطلائیّة فی النفسی، و البشرط الشیئیّة فی الغیری، لکن فی مقام البیان و الإثبات لیس للوجوب النفسی قید و خصوصیّة؛ لأنّ القید المذکور له فی مقام الثبوت عدمی، بخلاف الوجوب الغیری، فإنّ له فی مقام البیان أیضاً قیداً و خصوصیّة کما کانت له فی مقام الثبوت؛ لأنّ الخصوصیّة فیه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إذا اطلق اللّفظ و کان فی مقام البیان، و لم ینصب قرینة علی المراد، فقضیّته هو الحمل علی النفسی؛ لاحتیاج الغیری إلی مئونة زائدة فی مقام البیان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مراراً أنّ لفظ الأمر مرکّب من الهیئة و المادّة، و الهیئة موضوعة لمجرّد البعث إلی المادّة فقط، و المادّة موضوعة للطبیعة المطلقة، فهنا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الوجوب و طبیعته اللّابشرط</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مقسم للأخیرین، فهما قسمان له، و لا بدّ أن یکون لکلّ واحد من الأقسام خصوصیّة بها یمتاز عن القسم الآخر، فلو لم یکن للوجوب النفسی خصوصیّة زائدة لزم أن یکون القسم عین المقسم، و هذا باطل بالضرورة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لکلّ واحد منهما خصوصیّة فی مقام الثبوت کذلک فی مقام الإثبات و البیان و أمّا التمسّک بالإطلاق و الحکم بأنّ المراد هو الجامع بینهما، و هو مطلق الوجوب</w:t>
      </w:r>
      <w:r>
        <w:rPr>
          <w:rStyle w:val="FootnoteAnchor"/>
          <w:rtl w:val="true"/>
        </w:rPr>
        <w:footnoteReference w:id="428"/>
      </w:r>
      <w:r>
        <w:rPr>
          <w:rFonts w:ascii="IRNazanin" w:hAnsi="IRNazanin" w:eastAsia="IRNazanin"/>
          <w:color w:val="111111"/>
          <w:sz w:val="28"/>
          <w:sz w:val="28"/>
          <w:szCs w:val="28"/>
          <w:rtl w:val="true"/>
          <w:lang w:bidi="fa-IR"/>
        </w:rPr>
        <w:t>، فهو و إن لا یرد علیه الإشکال المذکور، لکن یرد علیه إشکال آخر، و هو أنّ معنی الهیئة من المعانی الحرفیّة، و لا جامع بین المعانی الحرفیّة حتّی یُحمل علیه،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فیها خاصّ کما مرّ توضیحه</w:t>
      </w:r>
      <w:r>
        <w:rPr>
          <w:rFonts w:eastAsia="IRNazanin" w:cs="IRNazanin"/>
          <w:color w:val="111111"/>
          <w:sz w:val="28"/>
          <w:szCs w:val="28"/>
          <w:rtl w:val="true"/>
          <w:lang w:bidi="fa-IR"/>
        </w:rPr>
        <w:t>.</w:t>
      </w:r>
      <w:bookmarkStart w:id="394" w:name="pg12886_133372"/>
    </w:p>
    <w:p>
      <w:pPr>
        <w:pStyle w:val="Heading3"/>
        <w:numPr>
          <w:ilvl w:val="2"/>
          <w:numId w:val="1"/>
        </w:numPr>
        <w:rPr/>
      </w:pPr>
      <w:bookmarkStart w:id="395" w:name="__RefHeading___Toc3024093_3224264995"/>
      <w:bookmarkStart w:id="396" w:name="_Toc147"/>
      <w:bookmarkEnd w:id="394"/>
      <w:bookmarkEnd w:id="395"/>
      <w:r>
        <w:rPr>
          <w:rtl w:val="true"/>
        </w:rPr>
        <w:t>الفصل التاسع فی المرّة و التکرار</w:t>
      </w:r>
      <w:bookmarkEnd w:id="396"/>
    </w:p>
    <w:p>
      <w:pPr>
        <w:pStyle w:val="BookText"/>
        <w:rPr/>
      </w:pPr>
      <w:r>
        <w:rPr>
          <w:rFonts w:ascii="IRNazanin" w:hAnsi="IRNazanin" w:eastAsia="IRNazanin"/>
          <w:color w:val="111111"/>
          <w:sz w:val="28"/>
          <w:sz w:val="28"/>
          <w:szCs w:val="28"/>
          <w:rtl w:val="true"/>
          <w:lang w:bidi="fa-IR"/>
        </w:rPr>
        <w:t>هل تدلّ صیغة الأمر علی المرّة أو التکرار أو لا تدلّ علی شی‌ءٍ منهما؟</w:t>
      </w:r>
    </w:p>
    <w:p>
      <w:pPr>
        <w:pStyle w:val="BookText"/>
        <w:rPr/>
      </w:pPr>
      <w:r>
        <w:rPr>
          <w:rFonts w:ascii="Amiri" w:hAnsi="Amiri" w:eastAsia="Amiri" w:cs="Amiri"/>
          <w:color w:val="111111"/>
          <w:sz w:val="28"/>
          <w:sz w:val="28"/>
          <w:szCs w:val="28"/>
          <w:rtl w:val="true"/>
          <w:lang w:bidi="ar-SA"/>
        </w:rPr>
        <w:t>اعلم أنّ هذا النزاع مختصّ بالأمر و النهی، و لم یقع فی سائر المشتقّات مثل الماضی و المضارع، و الظاهر أنّ منشأ النزاع أنّهم لمّا رأوا أنّه قد ورد الأمر فی القرآن المجید و ارید به المرّة تارة،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 التکرار اخری،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فوقع البحث فی أنّه حقیقة فی المرّة و مجاز فی التکرار،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تصویر النزاع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الأمر بمادّته و هیئته هل یدلّ علی المرّة أو التکرار؟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هیئته هل تدلّ علی کذا أو کذا؟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مادّته فقط هل تدلّ علی ذا أو ذاک؟</w:t>
      </w:r>
    </w:p>
    <w:p>
      <w:pPr>
        <w:pStyle w:val="BookText"/>
        <w:rPr/>
      </w:pPr>
      <w:r>
        <w:rPr>
          <w:rFonts w:ascii="IRNazanin" w:hAnsi="IRNazanin" w:eastAsia="IRNazanin"/>
          <w:color w:val="111111"/>
          <w:sz w:val="28"/>
          <w:sz w:val="28"/>
          <w:szCs w:val="28"/>
          <w:rtl w:val="true"/>
          <w:lang w:bidi="fa-IR"/>
        </w:rPr>
        <w:t>و البحث فی الصورة الاولی إنّما یُعقل لو قلنا بأنّ العلل الشرعیّة و الأوامر التشریعیّة کالعلل التکوینیّة فی أنّ العلّة الواحدة لا تؤثّر إلّا فی معلول واحد، و إلّا فلا معنی لهذا النزاع، کما سیجی‌ء توضیحه إن شاء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السکّاکی حکایة الإجماع علی أنّ المصدر المجرّد عن الألف و اللّام و التنوین لا یدلّ إلّا علی الماهیّة المطلقة</w:t>
      </w:r>
      <w:r>
        <w:rPr>
          <w:rStyle w:val="FootnoteAnchor"/>
          <w:rtl w:val="true"/>
        </w:rPr>
        <w:footnoteReference w:id="431"/>
      </w:r>
      <w:r>
        <w:rPr>
          <w:rFonts w:ascii="IRNazanin" w:hAnsi="IRNazanin" w:eastAsia="IRNazanin"/>
          <w:color w:val="111111"/>
          <w:sz w:val="28"/>
          <w:sz w:val="28"/>
          <w:szCs w:val="28"/>
          <w:rtl w:val="true"/>
          <w:lang w:bidi="fa-IR"/>
        </w:rPr>
        <w:t>، و لذا حرّرنا النزاع فی</w:t>
      </w:r>
    </w:p>
    <w:p>
      <w:pPr>
        <w:pStyle w:val="BookText"/>
        <w:rPr/>
      </w:pPr>
      <w:r>
        <w:rPr>
          <w:rFonts w:ascii="IRNazanin" w:hAnsi="IRNazanin" w:eastAsia="IRNazanin"/>
          <w:color w:val="111111"/>
          <w:sz w:val="28"/>
          <w:sz w:val="28"/>
          <w:szCs w:val="28"/>
          <w:rtl w:val="true"/>
          <w:lang w:bidi="fa-IR"/>
        </w:rPr>
        <w:t>الهیئة و الأکثرون أیضاً حرّروا النزاع فی الصیغة، و هی ظاهرة بل صریحة فی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الاتّفاق علی ذلک لا یوجب کون النزاع فی الهیئة، و إنّما یوجب ذلک لو قلنا بأنّ الأصل فی المشتقّات هو المصدر، و أمّا إذا قلنا بأنّ المصدر أیضاً صیغة مباینة لسائر المشتقّات، و لیس أصلًا لها فلا، و حینئذٍ فیمکن أن یجعل محطّ البحث فی المقام هو مادة الأمر و إنّها موضوعة لکذا و کذا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 إن قلنا بأنّ المصدر لیس أصلًا لها، لکن الموادّ واحدة، فمادّة المصدر عین مادّة الأمر، فإذا کان مادّة المصدر موضوعة للطبیعة المطلقة الغیر القابلة للوحدة و الکثرة، صحّ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الصحیح عن 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انضمّ إلی الإجماع المذکور إجماع آخر علی أنّ موادّ المشتقّات و المصدر واحدة، صحّ ما أفاده، لکن الإجماع الثانی مفقود فی المقام؛ للاختلاف فی ذلک، فذهب بعضهم إلی أنّ مادّة المصدر مباینة لمادّة سائر المشتقّات و أنّها موضوعة بوضع علی حدة غیر وضع موادّ المشتقّات</w:t>
      </w:r>
      <w:r>
        <w:rPr>
          <w:rStyle w:val="FootnoteAnchor"/>
          <w:rtl w:val="true"/>
        </w:rPr>
        <w:footnoteReference w:id="434"/>
      </w:r>
      <w:r>
        <w:rPr>
          <w:rFonts w:ascii="IRNazanin" w:hAnsi="IRNazanin" w:eastAsia="IRNazanin"/>
          <w:color w:val="111111"/>
          <w:sz w:val="28"/>
          <w:sz w:val="28"/>
          <w:szCs w:val="28"/>
          <w:rtl w:val="true"/>
          <w:lang w:bidi="fa-IR"/>
        </w:rPr>
        <w:t>و حینئذٍ فمجرّد الاتّفاق علی أنّ المصدر المجرّد موضوع للطبیعة لا یُجدی فی حصر النزاع فی الهیئة، لکن وقوع النزاع فی الهیئة أیضاً إنّما یُعقل إذا صحّ ما ذکره صاحب الدّرر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الأوامر الشرعیّة کالعلل التکوینیّة، و قد مرّ فساده؛ لما عرفت من أنّ المعلول فی التکوینیّات لیس له تحقّق و وجود مستقلّ، و فی الحقیقة وجود المعلول عین وجود العلّة التامّة، بخلاف المعلول فی التشریعیّات، فإنّ الآمر یلاحظ الطبیعة أوّلًا، و یشتاق إلیها، فیریدها فیأمر بها، و من الواضح استحالة إرادة</w:t>
      </w:r>
    </w:p>
    <w:p>
      <w:pPr>
        <w:pStyle w:val="BookText"/>
        <w:rPr/>
      </w:pPr>
      <w:r>
        <w:rPr>
          <w:rFonts w:ascii="IRNazanin" w:hAnsi="IRNazanin" w:eastAsia="IRNazanin"/>
          <w:color w:val="111111"/>
          <w:sz w:val="28"/>
          <w:sz w:val="28"/>
          <w:szCs w:val="28"/>
          <w:rtl w:val="true"/>
          <w:lang w:bidi="fa-IR"/>
        </w:rPr>
        <w:t>الطبیعة المطلقة و الاشتیاق إلیها مرّتین أو أزید إلّا تأکیداً، اللّهم إلّا مع تقییدها بقید أو خصوصیّةٍ، فإذا أرادها و اشتاق إلیها ثانیاً مع عدم التقیید بخصوصیّةٍ، فهو عین الأوّل، فلا یوجب تعدّد الأمر تعدّد المعلول، و حینئذٍ فالنزاع فی الهیئة غیر معقول، هذا إذا قلنا بأنّ الهیئة موضوعة للإغراء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موضوعة للإیجاد فالإشکال المذکور و إن کان غیر وارد، لکن یرد علیه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فرض أنّ المدّعی للتکرار یذهب إلی أنّ الهیئة موضوعة للإیجادات مع أنّها معانٍ حرفیّة بتصوّرها ثانیاً بمعنی اسمی، لکن یرد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حینئذٍ استعمالها مع أنّها معانٍ حرفیّة، و المعنی الحرفی غیر قابل للتقیید بالمرّة أو التکرار إلّا بلحاظه بالمعنی الاسمی، مضافاً إلی أنّه خلاف الوجدان و المرتکز فی الأذهان، و علی أی تقدیر فالبحث فی الهیئة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النزاع فی مجموع الهیئة و المادّة أو فی المادّة فقط فهو معقول، لکنّه غیر صحیح؛ لأنّ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موضوعة بالوضع النوعی للطبیعة المطلقة، و هیئته موضوعة لمجرّد البعث و الإغراء، و شی‌ء منهما لا یدلّ علی المرّة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لا تدلّ إلّا علی طلب الماهیّة و المرّة و التکرار خارجان عن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بشی‌ء، و کان فی مقام البیان و أطلق، یتحقّق الامتثال بإیجاده مرّة، و لا یصحّ عقابه؛ لا لأجل أنّ الصیغة تدلّ علی المرّة، بل من حیث تحقّق الامتثال بالمرّة و إیجاد فرد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المتکلّم فی مقام البیان، لکن الغالب فی الأوامر الواردة فی الکتاب عدم کونها فی مقام البیان، و حینئذٍ فالمرجع هو الاصول و القواعد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بالمرّة و التکرار هل هو الدفعة و الدفعات أو الفرد و الأفراد؟</w:t>
      </w:r>
    </w:p>
    <w:p>
      <w:pPr>
        <w:pStyle w:val="BookText"/>
        <w:rPr/>
      </w:pPr>
      <w:r>
        <w:rPr>
          <w:rFonts w:ascii="IRNazanin" w:hAnsi="IRNazanin" w:eastAsia="IRNazanin"/>
          <w:color w:val="111111"/>
          <w:sz w:val="28"/>
          <w:sz w:val="28"/>
          <w:szCs w:val="28"/>
          <w:rtl w:val="true"/>
          <w:lang w:bidi="fa-IR"/>
        </w:rPr>
        <w:t>و الفرق بینهما واضح، فإنّ الدفعة هو تحقّق الشی‌ء أو الأشیاء بحرکة واحدة، فهی أعمّ من وجود فردٍ واحد أو أکثر، فیمکن تحقّق أفراد و إیجادها بحرکةٍ واحدة، فإکرام زید و عمرو بإکرامٍ واحد دفعة واحدة، لکنّه إیجاد فردین من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إلی أنّ المراد هو الدفعة و الدفعات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بهما الفرد و الأفراد لکان الأنسب وقوع هذا البحث فی ذیل البحث فی أنّ الأوامر هل هی متعلّقة بالطبائع أو بالأفراد؟</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متعلّقة بالطبائع فلا وجه لهذا البحث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بتعلّقها بالأفراد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للفرد أو الأفراد؟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هو الفرد و الأفراد فلا وقع لهذا البحث لو قلنا بتعلّق الأوامر بالطبائع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هی الدفعة و الدفعات، فإنّ النزاع حینئذٍ صحیح علی کلا القولین، سواءً قلنا بتعلّق الأوامر بالطبائع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ارتباط بین البحثین لو ارید بهما الفرد و الأفراد أیضاً فإنّ الطلب علی القول بتعلّقه بالطبیعة، إنّما یتعلّق بها باعتبار وجودها فی الخارج؛ ضرورة أنّ الطبیعة من حیث هی لیست إلّا هی؛ لا مطلوبة و لا غیرها، و بهذا الاعتبار کانت مردّدة بین المرّة و التکرار بکلا المعنیین، فصحّ النزاع فی دلالة الصیغة علی المرّة أو التکرار بالمعنیین و عدمها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یستکشف من عدم تفریعهم هذا البحث علی المبحث المذکور أنّ المراد هو الدفعة و التکرار لا الفرد و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لأنّه لا ارتباط بین المبحثین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الدفعة و الدفعات أو الفرد و الأفراد، و سواء قلنا بتعلّق الأوامر بالطبائع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صاحب الفصول صرّح بأنّ بحث تعلّق الأوامر بالطبائع أو الأفراد بحث لفظی</w:t>
      </w:r>
      <w:r>
        <w:rPr>
          <w:rStyle w:val="FootnoteAnchor"/>
          <w:rtl w:val="true"/>
        </w:rPr>
        <w:footnoteReference w:id="437"/>
      </w:r>
      <w:r>
        <w:rPr>
          <w:rFonts w:ascii="IRNazanin" w:hAnsi="IRNazanin" w:eastAsia="IRNazanin"/>
          <w:color w:val="111111"/>
          <w:sz w:val="28"/>
          <w:sz w:val="28"/>
          <w:szCs w:val="28"/>
          <w:rtl w:val="true"/>
          <w:lang w:bidi="fa-IR"/>
        </w:rPr>
        <w:t>، 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موضوعة لطلب وجود الماهیّة و إیجادها، أمکن نزاع المرّة و التکرار؛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موضوعة لأیّهما، سواء قلنا بأنّ المراد هو الدفعة و الدفعات أو الفرد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الأمر موضوعة لطلب الماهیة، فهی متعلّقة بنفس الماهیة، و حینئذٍ فلا وجه للنزاع فی المرّة و التکرار مطلقاً؛ لانحصار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الهیئة، و قد عرفت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أنّ الأوامر متعلّقة بالأفراد، و أوجد العبد فردین من الطبیعة دفعة واحدة، فهل هو امتثال واحد أو امتثالان؟</w:t>
      </w:r>
    </w:p>
    <w:p>
      <w:pPr>
        <w:pStyle w:val="BookText"/>
        <w:rPr/>
      </w:pPr>
      <w:r>
        <w:rPr>
          <w:rFonts w:ascii="IRNazanin" w:hAnsi="IRNazanin" w:eastAsia="IRNazanin"/>
          <w:color w:val="111111"/>
          <w:sz w:val="28"/>
          <w:sz w:val="28"/>
          <w:szCs w:val="28"/>
          <w:rtl w:val="true"/>
          <w:lang w:bidi="fa-IR"/>
        </w:rPr>
        <w:t>لا إشکال فی أنّه طاعتان و امتثالان، فیترتّب علیه مثوبتان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متعلّقة بالطبائع، و أوجد فردین منها دفعةً واحدة، فهل هو امتثال واحد و طاعة واحدة، أو امتثالان و طاعتان؟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یوجِد إلّا الطبیعة المأمور بها و إن کان فی ضمن فردین، فهو إطاعة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توجد بوجود کلّ واحد من الأفراد، فقد أوجد الطبیعة مرّتین فی کلّ واحد منهما تمام الطبیعة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قاسه بعض الأعاظم بالوجوب الکفائی؛ حیث إنّ الأمر فیه متعلّق بالطبیعة، و المسلمون کافّة مأمورون بإیجادها، لکن لو أتی بها واحد منهم کفی فی الامتثال و سقط عن الآخرین، و لو ترکها کلّهم فجمیعهم یستحقّون العقاب، و لو أتی بها کلّ واحد منهم استحقّوا الثواب کذلک، مع أنّ الأمر واحد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ما فی هذا القیاس؛ للفرق الواضح بینهما، فإنّ المسلمین فی الواجب الکفائی کلّهم مأمورون بإیجاد الطبیعة، لکن بنحو الکفایة، و لذا لو أتی بها کلّ واحد منهم استحقّوا الثواب، و لو ترکوها جمیعاً استحقّوا العقاب؛ لصدق الامتثال بالنسبة إلی کلّ واحد فی الأوّل، و لصدق المخالفة کذلک فی الثانی، بخلاف ما نحن فیه، فإنّ المأمور لو ترک الطبیعة رأساً، و لم یأتِ بفردٍ منها، لم یستحق إلّا عقوبة واحدة؛ لترکه الطبیعة المأمور بها، و لو أتی بجمیع أفرادها لم یستحقّ إلّا مثوبة واحدة؛ للملازمة بین تعدّد الثواب و العقاب و وحدتهما فی صورتی الموافقة و المخالفة،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العقوبةَ علی فرض ترک الإتیان بجمیع أفراد الطبیعة واحدة، و المثوبةَ علی فرض الإتیان بجمیع أفرادها متعدّدة، بخلاف الواجب الکفائی، فإنّهما فیه أیضاً متلازمان، فلو أتی به الجمیع تعدّدت المثوبة، و لو ترکه کلّهم تعدّدت العقوبة؛ لما عرفت من الملازمة، فالقیاس فی غیر محلّه</w:t>
      </w:r>
      <w:r>
        <w:rPr>
          <w:rFonts w:eastAsia="IRNazanin" w:cs="IRNazanin"/>
          <w:color w:val="111111"/>
          <w:sz w:val="28"/>
          <w:szCs w:val="28"/>
          <w:rtl w:val="true"/>
          <w:lang w:bidi="fa-IR"/>
        </w:rPr>
        <w:t>.</w:t>
      </w:r>
      <w:bookmarkStart w:id="397" w:name="pg12886_133378"/>
    </w:p>
    <w:p>
      <w:pPr>
        <w:pStyle w:val="Heading3"/>
        <w:numPr>
          <w:ilvl w:val="2"/>
          <w:numId w:val="1"/>
        </w:numPr>
        <w:rPr/>
      </w:pPr>
      <w:bookmarkStart w:id="398" w:name="__RefHeading___Toc3024095_3224264995"/>
      <w:bookmarkStart w:id="399" w:name="_Toc148"/>
      <w:bookmarkEnd w:id="397"/>
      <w:bookmarkEnd w:id="398"/>
      <w:r>
        <w:rPr>
          <w:rtl w:val="true"/>
        </w:rPr>
        <w:t>الفصل العاشر فی الفور و التراخی</w:t>
      </w:r>
      <w:bookmarkEnd w:id="399"/>
    </w:p>
    <w:p>
      <w:pPr>
        <w:pStyle w:val="BookText"/>
        <w:rPr/>
      </w:pPr>
      <w:r>
        <w:rPr>
          <w:rFonts w:ascii="IRNazanin" w:hAnsi="IRNazanin" w:eastAsia="IRNazanin"/>
          <w:color w:val="111111"/>
          <w:sz w:val="28"/>
          <w:sz w:val="28"/>
          <w:szCs w:val="28"/>
          <w:rtl w:val="true"/>
          <w:lang w:bidi="fa-IR"/>
        </w:rPr>
        <w:t>قال المحقّق الحائری قدس سره فی باب المواسعة و المضایقة فی کتاب صلاته فی الاستدلال علی المضایقة ما حاصله 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لم یدلّ بدلالة لفظیّة علی الفور، لکن یلزمه الفور؛ لأنّ العلل الشرعیّة کالعلل التکوینیّة فی أنّ المعلول لا ینفکّ عن العلّة فیهما، فیجب المسارعة إلی الإتیان بقضاء الفوائت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مرّ مراراً أنّ هذا الکلام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 أنّ قیاس العلل الشرعیّة و الأوامر الشرعیّة علیها فی غیر محلّه، فإنّ غایة ما یمکن أن یقال فی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هیئة الأمر موضوعة للإیجاب، فالإیجاب علّة للوجوب، فإذا أوجب بإطلاق الهیئة یلزمه حصول الوجوب؛ لعدم انفکاک أحدهما عن الآخر، بل هما واحد فی الحقیقة، فإذا کان الإیجاب علّة للوجوب فلا یتخلّف المعلول عن علّته، هذا، و لکن الإیجاب متعلّق بالطبیعة، و یتصور فی الأمر بالطبیعة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بها بقید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بقید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بها بنحو الإطلاق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المادّة فی صیغ الأمر موضوعة للطبیعة المطلقة، و الهیئة موضوعة للإغراء و البعث نحوها، فلیس فی صیغة الأمر ما یدلّ علی الفور أو التراخی، و لیس فیها إلّا المادّة و الهیئة، و شی‌ء منهما لا یدلّ علی شی‌ء منهما و لو بالدلالة الالتزامیّة،</w:t>
      </w:r>
    </w:p>
    <w:p>
      <w:pPr>
        <w:pStyle w:val="BookText"/>
        <w:rPr/>
      </w:pPr>
      <w:r>
        <w:rPr>
          <w:rFonts w:ascii="IRNazanin" w:hAnsi="IRNazanin" w:eastAsia="IRNazanin"/>
          <w:color w:val="111111"/>
          <w:sz w:val="28"/>
          <w:sz w:val="28"/>
          <w:szCs w:val="28"/>
          <w:rtl w:val="true"/>
          <w:lang w:bidi="fa-IR"/>
        </w:rPr>
        <w:t>و الفور و التراخی یفتقران إلی التقیید، فیمکن أن یریدها الآمر بنحو التخییر بین الفور و التراخی؛ أی مطلق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لا دلالة لها بنفسها لا علی الفور و لا علی التراخی، بل تدلّ علی مطلق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الصیغة و إن لم تدلّ بنفسها علی ذلک، و لکن قام الدلیل من الخارج علی أنّ الأوامر الشرعیّة ارید بها الفور،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 وَ جَنَّةٍ عَرْضُهَا السَّماواتُ وَ الْأَرْضُ</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المأمور به من أسباب المغفرة و من الخیرات، فیجب المسارعة إلیه؛ لأنّ الأمر للوجوب</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الاستباق بمادّته إنّما یصدق إذا کان هناک فعل لو لم یتبادر إلیه هو فعله غیره، و صار الأوّل محروماً عن المثوبة المترتِّبة علی فعله،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و هو إنّما یتحقّق فی مثل الواجب الکفائی، فإنّه لو سبقه إلیه غیره صار هو محروماً عن ثوابه، و حینئذٍ فلا یشمل مثل الصلاة و الصوم و غیرهما من الواجبات العینیّة، 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کذلک من جهة الهیئة؛ حیث إنّها من باب المفاعلة لا بمادّته فلیس إلّا إرشادیّاً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الاستدلال بهما لوجوب الفور لا یتمّ؛ لأنّه یلزم من وجوب السرعة و السبق إلی الخیرات و أسباب المغفرة عدم وجوبه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الاستباق إلی فعل الخیرات یقتضی بمفهومه وجود خیرات</w:t>
      </w:r>
    </w:p>
    <w:p>
      <w:pPr>
        <w:pStyle w:val="BookText"/>
        <w:rPr/>
      </w:pPr>
      <w:r>
        <w:rPr>
          <w:rFonts w:ascii="IRNazanin" w:hAnsi="IRNazanin" w:eastAsia="IRNazanin"/>
          <w:color w:val="111111"/>
          <w:sz w:val="28"/>
          <w:sz w:val="28"/>
          <w:szCs w:val="28"/>
          <w:rtl w:val="true"/>
          <w:lang w:bidi="fa-IR"/>
        </w:rPr>
        <w:t>عدیدة یتحقّق بفعل بعضٍ منها، و ینتفی فی البعض الآخر، و لا ریب أنّ البعض الذی لم یقع فیه الاستباق أیضاً من الخیرات، و علی فرض وجوب الاستباق إلی الخیرات یلزم أن لا یکون البعض الذی لم یتحقّق فیه الاستباق من الخیرات؛ لمزاحمته مع الذی تحقّق فیه الاستباق، و إذا انتفی أن یکون هذا من الخیرات لزم عدم وجوب الاستباق فی البعض الذی یتحقّق فیه الاستباق، و إذا انتفی الوجوب انتفت المزاحمة بین أفراد الواجب الموجبة لخروج بعضها عن حیِّز الوجوب، فیتعلّق بها الوجوب جمیعاً، و به یعود موضوع المسارعة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وجوب الاستباق و المسارعة عدم وجوبهما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یصحّ لو کان الاستباق و المسارعة بالنسبة إلی أفراد الواجب، لکنّه لیس کذلک، فإنّ معناهما هو الأمر بالمسارعة و سبق الغیر إلی فعل الخیرات و أسباب المغفرة بالنسبة إلی أشخاص المکلّفین؛ بحیث لو لم یبادر هو و بادر غیره إلی فعله صار هو محرُوماً عن الثواب المترتِّب علیه و آثاره، و ذلک کما عرفت إنّما یتحقّق فی الواجبات الکفائیة، لا فی أفراد الواجب کالصلاة و الصوم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الوجوب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خروج الخیرات عن کونها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ذکره، لکنّه إنّما یصحّ فیما لو کان المطلوب واحداً، و أمّا إذا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فرض للصلاة فردان أحدهما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متعلّقة بالطبائع لا الأفراد، و ما ذکره إنّما یتمّ علی الثانی لا الأوّل، فالحقّ فی الجواب هو ما ذکرناه، مضافاً إلی أنّ مقتضی سیاق الآیتین أنّهما للإرشاد و البعث إلی ما لا یستتبع مخالفته العقاب، مع أنّه لو دلّتا علی الوجوب لزم تخصیص الأکثر؛ لخروج المستحبّات کلّها و کثیر من</w:t>
      </w:r>
    </w:p>
    <w:p>
      <w:pPr>
        <w:pStyle w:val="BookText"/>
        <w:rPr/>
      </w:pPr>
      <w:r>
        <w:rPr>
          <w:rFonts w:ascii="IRNazanin" w:hAnsi="IRNazanin" w:eastAsia="IRNazanin"/>
          <w:color w:val="111111"/>
          <w:sz w:val="28"/>
          <w:sz w:val="28"/>
          <w:szCs w:val="28"/>
          <w:rtl w:val="true"/>
          <w:lang w:bidi="fa-IR"/>
        </w:rPr>
        <w:t>الواجبات، 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القول بالفور هل المستفاد من الأمر لزوم الإتیان بالمأمور به فوراً ففوراً؛ بمعنی أنّه لو خالف الفور فی الزمان الأوّل وجب فی الزمان الثانی و هکذا، أو أنّ مفاده وجوب الفور فی الزمان الأوّل، فلو خالف لم یجب الإتیان فی الزمان الثانی؟</w:t>
      </w:r>
    </w:p>
    <w:p>
      <w:pPr>
        <w:pStyle w:val="BookText"/>
        <w:rPr/>
      </w:pPr>
      <w:r>
        <w:rPr>
          <w:rFonts w:ascii="IRNazanin" w:hAnsi="IRNazanin" w:eastAsia="IRNazanin"/>
          <w:color w:val="111111"/>
          <w:sz w:val="28"/>
          <w:sz w:val="28"/>
          <w:szCs w:val="28"/>
          <w:rtl w:val="true"/>
          <w:lang w:bidi="fa-IR"/>
        </w:rPr>
        <w:t>قد یقال بالأوّل</w:t>
      </w:r>
      <w:r>
        <w:rPr>
          <w:rStyle w:val="FootnoteAnchor"/>
          <w:rtl w:val="true"/>
        </w:rPr>
        <w:footnoteReference w:id="445"/>
      </w:r>
      <w:r>
        <w:rPr>
          <w:rFonts w:ascii="IRNazanin" w:hAnsi="IRNazanin" w:eastAsia="IRNazanin"/>
          <w:color w:val="111111"/>
          <w:sz w:val="28"/>
          <w:sz w:val="28"/>
          <w:szCs w:val="28"/>
          <w:rtl w:val="true"/>
          <w:lang w:bidi="fa-IR"/>
        </w:rPr>
        <w:t>، لکنّه فاسد؛ لأنّ الفوریّة؛ إمّا مستفادة من نفس الأمر، أو من دلیل خارج عنه، و شی‌ء منهما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دلیل القائلین بالفور هو أنّ العلل الشرعیّة کالعلل التکوینیّة</w:t>
      </w:r>
      <w:r>
        <w:rPr>
          <w:rStyle w:val="FootnoteAnchor"/>
          <w:rtl w:val="true"/>
        </w:rPr>
        <w:footnoteReference w:id="446"/>
      </w:r>
      <w:r>
        <w:rPr>
          <w:rFonts w:ascii="IRNazanin" w:hAnsi="IRNazanin" w:eastAsia="IRNazanin"/>
          <w:color w:val="111111"/>
          <w:sz w:val="28"/>
          <w:sz w:val="28"/>
          <w:szCs w:val="28"/>
          <w:rtl w:val="true"/>
          <w:lang w:bidi="fa-IR"/>
        </w:rPr>
        <w:t>، فعلی فرض تسلیمه فمعنی عدم انفکاک المعلول عن علّته، هو لزوم فعل المأمور به فوراً، فإن لم یفعله کذلک، و تخلّف المعلول عن علّته، فوجوب فعله فی الزمان الثانی لا وجه له؛ لأنّ الأمر لا یدلّ علیه لا بمادّته و لا بهیئته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لو سلّم دلالة الآیتین علی الفور، فلا دلالة لهما علی وجوب الفعل فی ثانی الحال لو ترک الفور؛ لا بمادّتهما و لا بهیئتهما، فأین الدلالة علی ذلک؟</w:t>
      </w:r>
      <w:r>
        <w:rPr>
          <w:rFonts w:eastAsia="IRNazanin" w:cs="IRNazanin"/>
          <w:color w:val="111111"/>
          <w:sz w:val="28"/>
          <w:szCs w:val="28"/>
          <w:rtl w:val="true"/>
          <w:lang w:bidi="fa-IR"/>
        </w:rPr>
        <w:t>!</w:t>
      </w:r>
      <w:bookmarkStart w:id="400" w:name="pg12886_133382"/>
    </w:p>
    <w:p>
      <w:pPr>
        <w:pStyle w:val="Heading3"/>
        <w:numPr>
          <w:ilvl w:val="2"/>
          <w:numId w:val="1"/>
        </w:numPr>
        <w:rPr/>
      </w:pPr>
      <w:bookmarkStart w:id="401" w:name="__RefHeading___Toc3024097_3224264995"/>
      <w:bookmarkStart w:id="402" w:name="_Toc149"/>
      <w:bookmarkEnd w:id="400"/>
      <w:bookmarkEnd w:id="401"/>
      <w:r>
        <w:rPr>
          <w:rtl w:val="true"/>
        </w:rPr>
        <w:t>الفصل الحادی عشر فی الإجزاء</w:t>
      </w:r>
      <w:bookmarkEnd w:id="402"/>
    </w:p>
    <w:p>
      <w:pPr>
        <w:pStyle w:val="Heading4"/>
        <w:numPr>
          <w:ilvl w:val="3"/>
          <w:numId w:val="1"/>
        </w:numPr>
        <w:rPr/>
      </w:pPr>
      <w:bookmarkStart w:id="403" w:name="__RefHeading___Toc3024099_3224264995"/>
      <w:bookmarkStart w:id="404" w:name="_Toc150"/>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و هذه المسألة من المسائل التی یترتّب علیها فوائد مهمّة خطیرة، و قبل الخوض طفی المطلب لا بدّ من تقدیم امور</w:t>
      </w:r>
      <w:r>
        <w:rPr>
          <w:rFonts w:eastAsia="IRNazanin" w:cs="IRNazanin"/>
          <w:color w:val="111111"/>
          <w:sz w:val="28"/>
          <w:szCs w:val="28"/>
          <w:rtl w:val="true"/>
          <w:lang w:bidi="fa-IR"/>
        </w:rPr>
        <w:t>:</w:t>
      </w:r>
    </w:p>
    <w:p>
      <w:pPr>
        <w:pStyle w:val="Heading4"/>
        <w:numPr>
          <w:ilvl w:val="3"/>
          <w:numId w:val="1"/>
        </w:numPr>
        <w:rPr/>
      </w:pPr>
      <w:bookmarkStart w:id="405" w:name="__RefHeading___Toc3024101_3224264995"/>
      <w:bookmarkStart w:id="406" w:name="_Toc151"/>
      <w:bookmarkEnd w:id="405"/>
      <w:r>
        <w:rPr>
          <w:rtl w:val="true"/>
        </w:rPr>
        <w:t>الأمر الأوّل</w:t>
      </w:r>
      <w:bookmarkEnd w:id="406"/>
    </w:p>
    <w:p>
      <w:pPr>
        <w:pStyle w:val="BookText"/>
        <w:rPr/>
      </w:pPr>
      <w:r>
        <w:rPr>
          <w:rFonts w:ascii="Amiri" w:hAnsi="Amiri" w:eastAsia="Amiri" w:cs="Amiri"/>
          <w:color w:val="111111"/>
          <w:sz w:val="28"/>
          <w:sz w:val="28"/>
          <w:szCs w:val="28"/>
          <w:rtl w:val="true"/>
          <w:lang w:bidi="ar-SA"/>
        </w:rPr>
        <w:t>أنّهم اختلفوا فی أنّها من المسائل العقلیّة أو اللّفظیّة</w:t>
      </w:r>
      <w:r>
        <w:rPr>
          <w:rStyle w:val="FootnoteAnchor"/>
          <w:rtl w:val="true"/>
        </w:rPr>
        <w:footnoteReference w:id="447"/>
      </w:r>
      <w:r>
        <w:rPr>
          <w:rFonts w:ascii="IRNazanin" w:hAnsi="IRNazanin" w:eastAsia="IRNazanin"/>
          <w:color w:val="111111"/>
          <w:sz w:val="28"/>
          <w:sz w:val="28"/>
          <w:szCs w:val="28"/>
          <w:rtl w:val="true"/>
          <w:lang w:bidi="fa-IR"/>
        </w:rPr>
        <w:t>، و عنونها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الإتیان بالمأمور به علی وجهه هل یقتضی الإجزاء أو لا</w:t>
      </w:r>
      <w:r>
        <w:rPr>
          <w:rStyle w:val="FootnoteAnchor"/>
          <w:rtl w:val="true"/>
        </w:rPr>
        <w:footnoteReference w:id="4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هل یدلّ علی الإجزاء إذا اتی بالمأمور به علی وجهه أو لا</w:t>
      </w:r>
      <w:r>
        <w:rPr>
          <w:rStyle w:val="FootnoteAnchor"/>
          <w:rtl w:val="true"/>
        </w:rPr>
        <w:footnoteReference w:id="4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عُنوِنت المسألة بالأوّل فعقلیّة، و إن عُنوِنت بالثانی فلفظیّة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للبحث فی دلالة الهیئة علیه فقط؛ لما مرّ أنّها موضوعة لمجرّد الإغراء و البعث، و لا فی المادّة فقط؛ لما مرّ من أنّها موضوعة لمجرّد الطبیعة لا بشرط، و لا مجموعهما، و کما أنّه لا دلالة للفظ الأمر علی الفور و لا علی التراخی و لا المرّة و التکرار، کذلک لا یدلّ شی‌ء منها لفظاً علی سقوط الأمر إذا فعل المکلّف المأمور به، و هل تری أن یدلّ الأمر علی ذلک المعنی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العراقی مع ذهابه إلی أنّ المسألة لفظیّة</w:t>
      </w:r>
      <w:r>
        <w:rPr>
          <w:rStyle w:val="FootnoteAnchor"/>
          <w:rtl w:val="true"/>
        </w:rPr>
        <w:footnoteReference w:id="4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یدلّ بالالتزام علی ذلک</w:t>
      </w:r>
      <w:r>
        <w:rPr>
          <w:rStyle w:val="FootnoteAnchor"/>
          <w:rtl w:val="true"/>
        </w:rPr>
        <w:footnoteReference w:id="452"/>
      </w:r>
      <w:r>
        <w:rPr>
          <w:rFonts w:ascii="IRNazanin" w:hAnsi="IRNazanin" w:eastAsia="IRNazanin"/>
          <w:color w:val="111111"/>
          <w:sz w:val="28"/>
          <w:sz w:val="28"/>
          <w:szCs w:val="28"/>
          <w:rtl w:val="true"/>
          <w:lang w:bidi="fa-IR"/>
        </w:rPr>
        <w:t>، فلا بدّ أن یرید منه الدلالة الالتزامیة البیِّنة مثل دلالة طلوع الشمس علی وجود النهار کی تندرج فی الدلالات اللفظیّة،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عنوانها بأنّ الإتیان بالمأمور به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فنقول ملاحظة هذا العنوان مع الأبحاث المذکورة فی هذه المسألة و خلالها توجب تردّد النزاع بین أن یکون کُبرویّاً غیر قابل للبحث عنه لوضوحه، و بین أن یکون صغرویّاً؛ و ذلک لأنّه إن وقع البحث فی أنّ کلّاً من الأمر الواقعی الأوّلی و الواقعی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الاضطراری و الأمر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طبق الأمارات و الاصول هل یقتضی الإجزاء عن أمر نفسه؛ بمعنی سقوط أمر کلّ واحد منها بالعمل علی طبق کلّ واحد؟ فالنزاع فی الجمیع کُبروی واضح غیر قابل لوقوع البحث عنه و النزاع فیه بین الفحول، مع عدم وجود قائل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البحث فی أنّ الإتیان بالمأمور به بالأمر الظاهری أو الاضطراری هل یقتضی الإجزاء عن الأمر الواقعی؛ بمعنی سقوطه و عدم وجوب الإتیان بالمأمور به بالأمر الواقعی عند رفع الاضطرار و انکشاف الخلاف فی الوقت أو خارجه؟ فهو و إن کان قابلًا لأن یقع فیه البحث بین الأعلام، لکنّه صُغروی؛ لأنّ مرجعه إلی أنّ الأمر الاضطراری أو الظاهری هل یصحّح موضوع التکلیف فیُجزی عن الواقع أو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البحث إلی أنّ الأوامر الظاهریّة أو الاضطراریّة هل هی حاکمة علی الأدلّة الواقعیة، أو لا، کما هو مقتضی حجّیّة الأمارات لأجل بناء العقلاء علیها، و هو التحقیق أیضاً؟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عنوان البحث هو ما عنون به القدماء و هو أنّ الإتیان بالمأمور به</w:t>
      </w:r>
      <w:bookmarkStart w:id="407" w:name="pg12886_133384"/>
    </w:p>
    <w:p>
      <w:pPr>
        <w:pStyle w:val="BookText"/>
        <w:rPr/>
      </w:pPr>
      <w:bookmarkEnd w:id="407"/>
      <w:r>
        <w:rPr>
          <w:rFonts w:ascii="IRNazanin" w:hAnsi="IRNazanin" w:eastAsia="IRNazanin"/>
          <w:color w:val="111111"/>
          <w:sz w:val="28"/>
          <w:sz w:val="28"/>
          <w:szCs w:val="28"/>
          <w:rtl w:val="true"/>
          <w:lang w:bidi="fa-IR"/>
        </w:rPr>
        <w:t>علی وجهه هل یقتضی الإجزاء أو لا؟</w:t>
      </w:r>
      <w:r>
        <w:rPr>
          <w:rStyle w:val="FootnoteAnchor"/>
          <w:rtl w:val="true"/>
        </w:rPr>
        <w:footnoteReference w:id="453"/>
      </w:r>
      <w:r>
        <w:rPr>
          <w:rFonts w:ascii="IRNazanin" w:hAnsi="IRNazanin" w:eastAsia="IRNazanin"/>
          <w:color w:val="111111"/>
          <w:sz w:val="28"/>
          <w:sz w:val="28"/>
          <w:szCs w:val="28"/>
          <w:rtl w:val="true"/>
          <w:lang w:bidi="fa-IR"/>
        </w:rPr>
        <w:t>غایة الأمر أنّ بعض الأدلّة علیها عقلی، و بعضها لفظی و لا یحتاج إلی عنوان جامع بین العقلی و اللّفظی؛ لأنّ الاختلاف فی کیفیّة الاستدلال من حیث إنّ بعض الأدلّة عقلی، و بعضها لفظی، و بالنسبة إلی أنّ الإتیان بکلّ واحد منها مُجزٍ عن أمر نفسه، فالدلیل علیه عقلی، و بالنسبة إلی إجزاء الأمر الظاهری أو الاضطراری عن الأمر الواقعی، فالدلیل علیه لفظی، و الاختلاف فی کیفیّة الاستدلال لا ینافی شمول العنوان لکلیهما</w:t>
      </w:r>
      <w:r>
        <w:rPr>
          <w:rFonts w:eastAsia="IRNazanin" w:cs="IRNazanin"/>
          <w:color w:val="111111"/>
          <w:sz w:val="28"/>
          <w:szCs w:val="28"/>
          <w:rtl w:val="true"/>
          <w:lang w:bidi="fa-IR"/>
        </w:rPr>
        <w:t>.</w:t>
      </w:r>
    </w:p>
    <w:p>
      <w:pPr>
        <w:pStyle w:val="Heading4"/>
        <w:numPr>
          <w:ilvl w:val="3"/>
          <w:numId w:val="1"/>
        </w:numPr>
        <w:rPr/>
      </w:pPr>
      <w:bookmarkStart w:id="408" w:name="__RefHeading___Toc3024103_3224264995"/>
      <w:bookmarkStart w:id="409" w:name="_Toc152"/>
      <w:bookmarkEnd w:id="408"/>
      <w:r>
        <w:rPr>
          <w:rtl w:val="true"/>
        </w:rPr>
        <w:t>الأمر الثانی</w:t>
      </w:r>
      <w:bookmarkEnd w:id="409"/>
    </w:p>
    <w:p>
      <w:pPr>
        <w:pStyle w:val="BookText"/>
        <w:rPr/>
      </w:pPr>
      <w:r>
        <w:rPr>
          <w:rFonts w:ascii="IRNazanin" w:hAnsi="IRNazanin" w:eastAsia="IRNazanin"/>
          <w:color w:val="111111"/>
          <w:sz w:val="28"/>
          <w:sz w:val="28"/>
          <w:szCs w:val="28"/>
          <w:rtl w:val="true"/>
          <w:lang w:bidi="fa-IR"/>
        </w:rPr>
        <w:t>المراد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عنون به القدماء</w:t>
      </w:r>
      <w:r>
        <w:rPr>
          <w:rStyle w:val="FootnoteAnchor"/>
          <w:rtl w:val="true"/>
        </w:rPr>
        <w:footnoteReference w:id="454"/>
      </w:r>
      <w:r>
        <w:rPr>
          <w:rFonts w:ascii="IRNazanin" w:hAnsi="IRNazanin" w:eastAsia="IRNazanin"/>
          <w:color w:val="111111"/>
          <w:sz w:val="28"/>
          <w:sz w:val="28"/>
          <w:szCs w:val="28"/>
          <w:rtl w:val="true"/>
          <w:lang w:bidi="fa-IR"/>
        </w:rPr>
        <w:t>هو الإتیان بالمأمور به علی ما هو علیه فی الواقع؛ أی جامعاً لجمیع الأجزاء و الشرائط الشرعیّة و العقلیّة، لا لأجل دخول خصوص الشرائط العقلیّة التی لا یمکن أخذها فی متعلّق الأمر فقط، بل یعمّ جمیع الشرائط الشرعیّة و العقلیّة</w:t>
      </w:r>
      <w:r>
        <w:rPr>
          <w:rFonts w:eastAsia="IRNazanin" w:cs="IRNazanin"/>
          <w:color w:val="111111"/>
          <w:sz w:val="28"/>
          <w:szCs w:val="28"/>
          <w:rtl w:val="true"/>
          <w:lang w:bidi="fa-IR"/>
        </w:rPr>
        <w:t>.</w:t>
      </w:r>
    </w:p>
    <w:p>
      <w:pPr>
        <w:pStyle w:val="Heading4"/>
        <w:numPr>
          <w:ilvl w:val="3"/>
          <w:numId w:val="1"/>
        </w:numPr>
        <w:rPr/>
      </w:pPr>
      <w:bookmarkStart w:id="410" w:name="__RefHeading___Toc3024105_3224264995"/>
      <w:bookmarkStart w:id="411" w:name="_Toc153"/>
      <w:bookmarkEnd w:id="410"/>
      <w:r>
        <w:rPr>
          <w:rtl w:val="true"/>
        </w:rPr>
        <w:t>الأمر الثالث</w:t>
      </w:r>
      <w:bookmarkEnd w:id="411"/>
    </w:p>
    <w:p>
      <w:pPr>
        <w:pStyle w:val="BookText"/>
        <w:rPr/>
      </w:pPr>
      <w:r>
        <w:rPr>
          <w:rFonts w:ascii="IRNazanin" w:hAnsi="IRNazanin" w:eastAsia="IRNazanin"/>
          <w:color w:val="111111"/>
          <w:sz w:val="28"/>
          <w:sz w:val="28"/>
          <w:szCs w:val="28"/>
          <w:rtl w:val="true"/>
          <w:lang w:bidi="fa-IR"/>
        </w:rPr>
        <w:t>لیس المراد بالاقتضاء فی العنوان بمعنی العلّیّة التامّة أو أصل العلّیّة، کما صدر عن بعض المحقّقین</w:t>
      </w:r>
      <w:r>
        <w:rPr>
          <w:rStyle w:val="FootnoteAnchor"/>
          <w:rtl w:val="true"/>
        </w:rPr>
        <w:footnoteReference w:id="455"/>
      </w:r>
      <w:r>
        <w:rPr>
          <w:rFonts w:ascii="IRNazanin" w:hAnsi="IRNazanin" w:eastAsia="IRNazanin"/>
          <w:color w:val="111111"/>
          <w:sz w:val="28"/>
          <w:sz w:val="28"/>
          <w:szCs w:val="28"/>
          <w:rtl w:val="true"/>
          <w:lang w:bidi="fa-IR"/>
        </w:rPr>
        <w:t>إذ لا تأثیر و تأثّر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بیان الإرادة التکوینیّة؛ کی یتّضح الحال فی الإرادة التشریعیّة، فنقول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شخص إیجاد شی‌ء کشرب الماء لرفع العطش، فأوجده و شرب، فعدم</w:t>
      </w:r>
      <w:bookmarkStart w:id="412" w:name="pg12886_133385"/>
    </w:p>
    <w:p>
      <w:pPr>
        <w:pStyle w:val="BookText"/>
        <w:rPr/>
      </w:pPr>
      <w:bookmarkEnd w:id="412"/>
      <w:r>
        <w:rPr>
          <w:rFonts w:ascii="IRNazanin" w:hAnsi="IRNazanin" w:eastAsia="IRNazanin"/>
          <w:color w:val="111111"/>
          <w:sz w:val="28"/>
          <w:sz w:val="28"/>
          <w:szCs w:val="28"/>
          <w:rtl w:val="true"/>
          <w:lang w:bidi="fa-IR"/>
        </w:rPr>
        <w:t>الإتیان به ثانیاً لأجل أنّه لا داعی له إلی ذلک؛ لرفع العطش بالأوّل، لا لأنّ فعل الشرب علّة لعدم فعله ثانیاً؛ لأنّ علّیّة الشی‌ء الوجودی للأمر العدمی غیر معقول، و الإرادة التشریعیّة أیضاً کذلک، فالإجزاء و عدم وجوب فعله ثانیاً فی المقام، إنّما هو لانتفاء أمد الإرادة، لا لأنّ فعله أوّلًا علّة لعدم طلبه و إرادته ثانیاً</w:t>
      </w:r>
      <w:r>
        <w:rPr>
          <w:rFonts w:eastAsia="IRNazanin" w:cs="IRNazanin"/>
          <w:color w:val="111111"/>
          <w:sz w:val="28"/>
          <w:szCs w:val="28"/>
          <w:rtl w:val="true"/>
          <w:lang w:bidi="fa-IR"/>
        </w:rPr>
        <w:t>.</w:t>
      </w:r>
    </w:p>
    <w:p>
      <w:pPr>
        <w:pStyle w:val="Heading4"/>
        <w:numPr>
          <w:ilvl w:val="3"/>
          <w:numId w:val="1"/>
        </w:numPr>
        <w:rPr/>
      </w:pPr>
      <w:bookmarkStart w:id="413" w:name="__RefHeading___Toc3024107_3224264995"/>
      <w:bookmarkStart w:id="414" w:name="_Toc154"/>
      <w:bookmarkEnd w:id="413"/>
      <w:r>
        <w:rPr>
          <w:rtl w:val="true"/>
        </w:rPr>
        <w:t>الأمر الرابع</w:t>
      </w:r>
      <w:bookmarkEnd w:id="414"/>
    </w:p>
    <w:p>
      <w:pPr>
        <w:pStyle w:val="BookText"/>
        <w:rPr/>
      </w:pPr>
      <w:r>
        <w:rPr>
          <w:rFonts w:ascii="IRNazanin" w:hAnsi="IRNazanin" w:eastAsia="IRNazanin"/>
          <w:color w:val="111111"/>
          <w:sz w:val="28"/>
          <w:sz w:val="28"/>
          <w:szCs w:val="28"/>
          <w:rtl w:val="true"/>
          <w:lang w:bidi="fa-IR"/>
        </w:rPr>
        <w:t>جعل الإجزاء هنا بمعناه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بمعنی 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مع القول بأنّ معنی الاقتضاء هو العلّیّة و التأثیر، کما صنعه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لأنّه لا معنی لعلّیّة الإتیان للاکتفاء به و تأثیره فیه، بل الأولی أن یعنون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الإتیان بالمأمور به علی وجهه مجزٍ أو لا؟ بإسقاط لفظ الاقتضاء، و علی فرض ذکره فلا بدّ من التصرّف فی معنی الإجزاء</w:t>
      </w:r>
      <w:r>
        <w:rPr>
          <w:rFonts w:eastAsia="IRNazanin" w:cs="IRNazanin"/>
          <w:color w:val="111111"/>
          <w:sz w:val="28"/>
          <w:szCs w:val="28"/>
          <w:rtl w:val="true"/>
          <w:lang w:bidi="fa-IR"/>
        </w:rPr>
        <w:t>.</w:t>
      </w:r>
    </w:p>
    <w:p>
      <w:pPr>
        <w:pStyle w:val="Heading4"/>
        <w:numPr>
          <w:ilvl w:val="3"/>
          <w:numId w:val="1"/>
        </w:numPr>
        <w:rPr/>
      </w:pPr>
      <w:bookmarkStart w:id="415" w:name="__RefHeading___Toc3024109_3224264995"/>
      <w:bookmarkStart w:id="416" w:name="_Toc155"/>
      <w:bookmarkEnd w:id="415"/>
      <w:r>
        <w:rPr>
          <w:rtl w:val="true"/>
        </w:rPr>
        <w:t>الأمر الخامس</w:t>
      </w:r>
      <w:bookmarkEnd w:id="416"/>
    </w:p>
    <w:p>
      <w:pPr>
        <w:pStyle w:val="BookText"/>
        <w:rPr/>
      </w:pPr>
      <w:r>
        <w:rPr>
          <w:rFonts w:ascii="IRNazanin" w:hAnsi="IRNazanin" w:eastAsia="IRNazanin"/>
          <w:color w:val="111111"/>
          <w:sz w:val="28"/>
          <w:sz w:val="28"/>
          <w:szCs w:val="28"/>
          <w:rtl w:val="true"/>
          <w:lang w:bidi="fa-IR"/>
        </w:rPr>
        <w:t>لا ارتباط بین هذه المسألة و مسألة المرّة و التکرار، و لا بینها و بین مسألة أنّ القضاء تابع للأداء أو بفرض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مسألة المرّة و التکرار إنّما هی فی دلالة اللّفظ الصادر من المولی، و أنّه هل یدلّ علی المرّة أو التکرار لو فرض أنّه لفظی؟ أو أنّ العقل هل یدلّ علی المرّة أو التکرار لو فرض أنّه عقلی؟ بخلاف ما نحن فیه، فإنّ النزاع فیه فی أنّ الإتیان بالمأمور به هل هو مُجزٍ عقلًا أو بالدلالة اللّفظیّة أو لا فلا ارتباط بینهما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أوضح؛ لأنّ البحث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الإتیان بالمأمور به عن فعله ثانیاً؛ أداءً فی الوقت و قضاءً فی خارجه، بخلاف مسألة أنّ</w:t>
      </w:r>
      <w:bookmarkStart w:id="417" w:name="pg12886_133386"/>
    </w:p>
    <w:p>
      <w:pPr>
        <w:pStyle w:val="BookText"/>
        <w:rPr/>
      </w:pPr>
      <w:bookmarkEnd w:id="417"/>
      <w:r>
        <w:rPr>
          <w:rFonts w:ascii="IRNazanin" w:hAnsi="IRNazanin" w:eastAsia="IRNazanin"/>
          <w:color w:val="111111"/>
          <w:sz w:val="28"/>
          <w:sz w:val="28"/>
          <w:szCs w:val="28"/>
          <w:rtl w:val="true"/>
          <w:lang w:bidi="fa-IR"/>
        </w:rPr>
        <w:t>القضاء تابع للأداء أو بفرض جدید، فإنّ البحث فیه إنّما هو فی أنّ المکلّف إذا لم یأتِ بالموقّت فی وقته، فهل یدلّ الأمر الأوّل علی وجوب قضائه فی خارجه بنحو تعدّد المطلوب، أو لا، فالفرق واضح</w:t>
      </w:r>
      <w:r>
        <w:rPr>
          <w:rFonts w:eastAsia="IRNazanin" w:cs="IRNazanin"/>
          <w:color w:val="111111"/>
          <w:sz w:val="28"/>
          <w:szCs w:val="28"/>
          <w:rtl w:val="true"/>
          <w:lang w:bidi="fa-IR"/>
        </w:rPr>
        <w:t>.</w:t>
      </w:r>
    </w:p>
    <w:p>
      <w:pPr>
        <w:pStyle w:val="Heading4"/>
        <w:numPr>
          <w:ilvl w:val="3"/>
          <w:numId w:val="1"/>
        </w:numPr>
        <w:rPr/>
      </w:pPr>
      <w:bookmarkStart w:id="418" w:name="__RefHeading___Toc3024111_3224264995"/>
      <w:bookmarkStart w:id="419" w:name="_Toc156"/>
      <w:bookmarkEnd w:id="418"/>
      <w:r>
        <w:rPr>
          <w:rtl w:val="true"/>
        </w:rPr>
        <w:t>الأمر السادس</w:t>
      </w:r>
      <w:bookmarkEnd w:id="419"/>
    </w:p>
    <w:p>
      <w:pPr>
        <w:pStyle w:val="BookText"/>
        <w:rPr/>
      </w:pPr>
      <w:r>
        <w:rPr>
          <w:rFonts w:ascii="Amiri" w:hAnsi="Amiri" w:eastAsia="Amiri" w:cs="Amiri"/>
          <w:color w:val="111111"/>
          <w:sz w:val="28"/>
          <w:sz w:val="28"/>
          <w:szCs w:val="28"/>
          <w:rtl w:val="true"/>
          <w:lang w:bidi="ar-SA"/>
        </w:rPr>
        <w:t>محطّ البحث فیما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کان هناک طبیعة مأمور بها فی وقت موسّع أو مضیّق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إلی القضاء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بشرط، کالصلاة المشروطة بالطهارة المائیّة؛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الآیة،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و فرض أنّ المکلّف فی أوّل وقته فاقد للماء، و فی آخره واجد له، و فرض تسویغ الشارع البدار له و لو مع العلم بوجدانه فی آخر الوقت، أو فرض أنّه فاقد للماء فی جمیع الوقت، و واجد له فی خارجه، فهل یُجزی فعل الأمر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الصلاة مع 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الأداء مع الطهارة المائیّة فی الفرض الأوّل، و القضاء کذلک فی الثانی، فیقتضی الإجزاء، أو لا؟ و کذلک لو صلّی مع استصحاب الطهارة من الخبث، أو عملًا بقاعدة الطهارة، فانکشف نجاسته فی الوقت أو خارجه، فهل الإتیان بالأمر الظاهری مُجزٍ، فلا یجب الأداء و القضاء أو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 هو ما إذا کان الأمر واحداً و کذلک المأمور، و الاختلاف إنّما هو فی الشرائط بحسب اختلاف الحالات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هو ما إذا تعدّد الأمر، و تعلّق أحدهما بالصلاة مع الطهارة المائیّة فی حال الاختیار، و ثانیهما تعلّق بها مع</w:t>
      </w:r>
    </w:p>
    <w:p>
      <w:pPr>
        <w:pStyle w:val="BookText"/>
        <w:rPr/>
      </w:pPr>
      <w:r>
        <w:rPr>
          <w:rFonts w:ascii="IRNazanin" w:hAnsi="IRNazanin" w:eastAsia="IRNazanin"/>
          <w:color w:val="111111"/>
          <w:sz w:val="28"/>
          <w:sz w:val="28"/>
          <w:szCs w:val="28"/>
          <w:rtl w:val="true"/>
          <w:lang w:bidi="fa-IR"/>
        </w:rPr>
        <w:t>الطهارة الترابیّة حال الاضطرار،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بالمأمور به الثانی هل هو مُجزٍ عن أمر نفسه، أو عن الأمر الأوّل، أو لا؟ و کذلک فی الأمر الظاهری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 ما ذکره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الوضعیّة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لا تنالها ید الجعل مطلقاً؛ لا بالاستقلال و لا تبعاً، و منها ما هی قابلة للجعل تبعاً لا استقلالًا، و منها ما هی قابلة له استقلالًا، و أنّ الشرطیّة و الجزئیّة و المانعیّة من قبیل القسم الثانی</w:t>
      </w:r>
      <w:r>
        <w:rPr>
          <w:rStyle w:val="FootnoteAnchor"/>
          <w:rtl w:val="true"/>
        </w:rPr>
        <w:footnoteReference w:id="460"/>
      </w:r>
      <w:r>
        <w:rPr>
          <w:rFonts w:ascii="IRNazanin" w:hAnsi="IRNazanin" w:eastAsia="IRNazanin"/>
          <w:color w:val="111111"/>
          <w:sz w:val="28"/>
          <w:sz w:val="28"/>
          <w:szCs w:val="28"/>
          <w:rtl w:val="true"/>
          <w:lang w:bidi="fa-IR"/>
        </w:rPr>
        <w:t>، و معناه أنّه إذا أراد الشارع جعل شی‌ء جزءاً لشی‌ء أو شرطاً، فلا بدّ من ملاحظة ذلک الشی‌ء معه، و یأمر بالمجموع؛ لیصیر جزءاً، أو ملاحظته مقیّداً به؛ لیصیر شرطاً، و هو المراد من الجعل التبعی، و إلّا فلا یمکن أن یأمر بطبیعة الصلاة أوّلًا، ثمّ یجعل الأجزاء و الشرائط بجعلٍ مستقل، فالصلاة مع الطهارة المائیّة بالنسبة إلی واجد الماء مأمور بها بأمر مستقلّ، و هی مع الطهارة الترابیّة مأمور بها بأمر آخر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ذکره یلزم أن یکون جمیعُ الأدلّة التی ظاهرها أنّها فی مقام جعل الجزئیّة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Style w:val="FootnoteAnchor"/>
          <w:rtl w:val="true"/>
        </w:rPr>
        <w:footnoteReference w:id="46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i/>
          <w:i/>
          <w:iCs/>
          <w:color w:val="111111"/>
          <w:sz w:val="28"/>
          <w:sz w:val="28"/>
          <w:szCs w:val="28"/>
          <w:rtl w:val="true"/>
          <w:lang w:bidi="ar-SA"/>
        </w:rPr>
        <w:t xml:space="preserve">أو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فَإِنْ لَمْ تَجِدُوا ماءً فَتَیَمَّمُوا صَعِیداً</w:t>
      </w:r>
      <w:r>
        <w:rPr>
          <w:rFonts w:eastAsia="Amiri" w:cs="Amiri" w:ascii="Amiri" w:hAnsi="Amiri"/>
          <w:i/>
          <w:iCs/>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إرشادیّة إلی ما هو جزء أو شرط واقعاً بالجعل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الأمر واحداً متعلّقاً</w:t>
      </w:r>
      <w:bookmarkStart w:id="420" w:name="pg12886_133388"/>
    </w:p>
    <w:p>
      <w:pPr>
        <w:pStyle w:val="BookText"/>
        <w:rPr/>
      </w:pPr>
      <w:bookmarkEnd w:id="420"/>
      <w:r>
        <w:rPr>
          <w:rFonts w:ascii="Amiri" w:hAnsi="Amiri" w:eastAsia="Amiri" w:cs="Amiri"/>
          <w:color w:val="111111"/>
          <w:sz w:val="28"/>
          <w:sz w:val="28"/>
          <w:szCs w:val="28"/>
          <w:rtl w:val="true"/>
          <w:lang w:bidi="ar-SA"/>
        </w:rPr>
        <w:t xml:space="preserve">بالطبیعة،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ثمّ بیّن أنّها مشروطة لدی الاختیار بالقیام حال القراءة و الطهارة المائیّة، و أنّه یکفی الطهارة الترابیّة عند فقد الماء، أو الجلوسُ حال القراءة عند الاضطرار، و فُرض أنّ المکلّف فی بعض وقته فاقد للماء أو مضطرّ، و واجد له أو مختار فی آخر الوقت أو خارجه، و فُرض أنّ الشارع سوّغ له البِدار، فیقع البحث فی أنّه هل هو مُجزٍ، و لا یجب الأداء و القضاء؟ فلا بدّ من البحث عن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فنقول</w:t>
      </w:r>
      <w:r>
        <w:rPr>
          <w:rFonts w:eastAsia="IRNazanin" w:cs="IRNazanin"/>
          <w:color w:val="111111"/>
          <w:sz w:val="28"/>
          <w:szCs w:val="28"/>
          <w:rtl w:val="true"/>
          <w:lang w:bidi="fa-IR"/>
        </w:rPr>
        <w:t>:</w:t>
      </w:r>
    </w:p>
    <w:p>
      <w:pPr>
        <w:pStyle w:val="Heading4"/>
        <w:numPr>
          <w:ilvl w:val="3"/>
          <w:numId w:val="1"/>
        </w:numPr>
        <w:rPr/>
      </w:pPr>
      <w:bookmarkStart w:id="421" w:name="__RefHeading___Toc3024113_3224264995"/>
      <w:bookmarkStart w:id="422" w:name="_Toc157"/>
      <w:bookmarkEnd w:id="421"/>
      <w:r>
        <w:rPr>
          <w:rtl w:val="true"/>
        </w:rPr>
        <w:t>هنا مقامات من البحث</w:t>
      </w:r>
      <w:bookmarkEnd w:id="422"/>
    </w:p>
    <w:p>
      <w:pPr>
        <w:pStyle w:val="Heading5"/>
        <w:numPr>
          <w:ilvl w:val="4"/>
          <w:numId w:val="1"/>
        </w:numPr>
        <w:rPr/>
      </w:pPr>
      <w:bookmarkStart w:id="423" w:name="__RefHeading___Toc3024115_3224264995"/>
      <w:bookmarkStart w:id="424" w:name="_Toc158"/>
      <w:bookmarkEnd w:id="423"/>
      <w:r>
        <w:rPr>
          <w:rtl w:val="true"/>
        </w:rPr>
        <w:t>المقام الأوّل</w:t>
      </w:r>
      <w:r>
        <w:rPr>
          <w:rtl w:val="true"/>
        </w:rPr>
        <w:t xml:space="preserve">: </w:t>
      </w:r>
      <w:r>
        <w:rPr>
          <w:rtl w:val="true"/>
        </w:rPr>
        <w:t>إجزاء الاضطراری و الظاهری عن نفسه</w:t>
      </w:r>
      <w:bookmarkEnd w:id="424"/>
    </w:p>
    <w:p>
      <w:pPr>
        <w:pStyle w:val="BookText"/>
        <w:rPr/>
      </w:pPr>
      <w:r>
        <w:rPr>
          <w:rFonts w:ascii="IRNazanin" w:hAnsi="IRNazanin" w:eastAsia="IRNazanin"/>
          <w:color w:val="111111"/>
          <w:sz w:val="28"/>
          <w:sz w:val="28"/>
          <w:szCs w:val="28"/>
          <w:rtl w:val="true"/>
          <w:lang w:bidi="fa-IR"/>
        </w:rPr>
        <w:t>أنّ الإتیان بکلّ واحد من المأمور به بالأمر الاضطراری أو المأمور به بالأمر الظاهری علی وجهه هل هو مجزئ عن أمر نفسه، و لا یجب التعبّد به ثانیاً أو لا؟</w:t>
      </w:r>
    </w:p>
    <w:p>
      <w:pPr>
        <w:pStyle w:val="BookText"/>
        <w:rPr/>
      </w:pPr>
      <w:r>
        <w:rPr>
          <w:rFonts w:ascii="IRNazanin" w:hAnsi="IRNazanin" w:eastAsia="IRNazanin"/>
          <w:color w:val="111111"/>
          <w:sz w:val="28"/>
          <w:sz w:val="28"/>
          <w:szCs w:val="28"/>
          <w:rtl w:val="true"/>
          <w:lang w:bidi="fa-IR"/>
        </w:rPr>
        <w:t>و توهّم عدم الإجزاء فی هذه الصورة إنّما یُفرض فیما إذا لم یحصل غرض المولی بالأوّل، کما إذا أمر بإتیان الماء؛ لیشرب و یرتفع عطشه، فاریق الماء، و لم یشرب منه، فیُتوهّم عدم سقوط التکلیف و وجوب تحصیل الماء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تحصیل غرض المولی غیر واجب علی المکلّف، و المفروض أنّه امتثل أمره بإتیان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من ذلک صورة حصول غرضه، فالعقل یحکم مستقلّاً بالإجزاء و عدم وجوب الإتیان به ثانیاً، و لا فرق فی ذلک بین المبنی الذی ذکرنا و بین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و لا إشکال فی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أنّه هل یصحّ الامتثال بعد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تبدیله بامتثال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الامتثال علّة تامّة لحصول الغرض، کما إذا أمر المولی عبده بالقیام عند قدومه تعظیماً له، فقام عنده، فإنّ الغرض قد حصل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یحصل الغرض، کما إذا أمر بإتیان الماء و لم یشرب بعد، فلیس الامتثال فیه علّة تامّة لحصول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أنّه علّة تامّة له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یقال بأنّه للعبد تبدیل الامتثال و التعبّد به ثانیاً بدلًا عن التعبّد به أوّلًا، و ذلک فیما لو علم أنّ مجرّد امتثاله لیس علّة تامّة لحصول الغرض و إن کان وافیاً به، کما إذا أتی بالماء و لم یشربه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بقاء طلبه ما لم یحصل غرضه الداعی إلیه، و إلّا لما وجب 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الإتیان علّة لحصول الغرض، فلا یبقی موقع للتبدیل، کما إذا أمر بإهراق الماء فی فمه لرفع عطشه، فأهرقه، بل لو لم یعلم أنّه من أیّ القبیل فله التبدیل باحتمال أن لا یکون، فله إلیه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إعادة من صلّی فرادی جماعةً، و أنّ اللَّه یختار أحبّهما إلیه</w:t>
      </w:r>
      <w:r>
        <w:rPr>
          <w:rStyle w:val="FootnoteAnchor"/>
          <w:rtl w:val="true"/>
        </w:rPr>
        <w:footnoteReference w:id="467"/>
      </w:r>
      <w:r>
        <w:rPr>
          <w:rStyle w:val="FootnoteAnchor"/>
          <w:rtl w:val="true"/>
        </w:rPr>
        <w:footnoteReference w:id="4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العبد بأنّ للمولی غرضاً لو اطّلع علیه أمره بتحصیله، کما لو غرق ولده فی البحر، فإنّه یعلم بأنّ غرض المولی تعلّق بإنقاذه، لکنّه غیر مطّلع علی ذلک، فلا ریب فی أنّ العقل یستقلّ بلزوم تحصیل هذا الغرض و إن لم یأمره به؛ من جهة عدم اطّلاعه علیه، و إذا فرض أنّه أمر بشی‌ء لیس هو علّة تامّة لحصول غرضه، کما لو أمر بإحضار الماء، فأحضره، و اریق و لم یشربه، ففی هذه الصورة حصل الامتثال، و لا یصحّ</w:t>
      </w:r>
    </w:p>
    <w:p>
      <w:pPr>
        <w:pStyle w:val="BookText"/>
        <w:rPr/>
      </w:pPr>
      <w:r>
        <w:rPr>
          <w:rFonts w:ascii="IRNazanin" w:hAnsi="IRNazanin" w:eastAsia="IRNazanin"/>
          <w:color w:val="111111"/>
          <w:sz w:val="28"/>
          <w:sz w:val="28"/>
          <w:szCs w:val="28"/>
          <w:rtl w:val="true"/>
          <w:lang w:bidi="fa-IR"/>
        </w:rPr>
        <w:t>عقابه لفعله المأمور به، فیسقط الأمر و الإرادة، و لیس أمرٌ بعده حتّی یجب امتثاله، لکن یمکن عقابه؛ لأجل أنّه یعلم بوجود غرض للمولی، و لم یحصُل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تحصیل الغرض غیر وجوب الامتثال و تحقّقه، و الامتثال لا یکون إلّا واحداً، فلو أتی بالمأمور به ثانیاً؛ لعدم حصول الغرض بامتثاله أوّلًا، أو لأنّه أحسن، فلیس هو امتثالًا کی یقال بأنّه تبدیل امتثال بامتثال آخر، بل هو تبدیل الامتثال بتحصیل الغرض، فإنّ الامتثال تحقّق بالأوّل، و سقط الأمر به، و إن فُرض بقاء الغرض فما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خلط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الأخبار من إعادة الصلاة جماعة لو صلّی فرادی، کما فی روایة الحلبی</w:t>
      </w:r>
      <w:r>
        <w:rPr>
          <w:rStyle w:val="FootnoteAnchor"/>
          <w:rtl w:val="true"/>
        </w:rPr>
        <w:footnoteReference w:id="470"/>
      </w:r>
      <w:r>
        <w:rPr>
          <w:rFonts w:ascii="IRNazanin" w:hAnsi="IRNazanin" w:eastAsia="IRNazanin"/>
          <w:color w:val="111111"/>
          <w:sz w:val="28"/>
          <w:sz w:val="28"/>
          <w:szCs w:val="28"/>
          <w:rtl w:val="true"/>
          <w:lang w:bidi="fa-IR"/>
        </w:rPr>
        <w:t>و غیرها، فهو من قبیل ما ذکرنا، و إلّا فالأمر بالصلاة قد سقط بالإتیان بها أوّلًا فرادی، لکن یستحبّ فعلها جماعة لو اتّفقت؛ لأنّها أفضل، و إنّ اللَّه یختار أحبّهما، کما فی الخبر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 قدس سره فی مقام بیان امتناع تبدیل الامتثال بامتثال آخر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المتعلَّق لأمر المولی قد یشتمل بنفسه علی الغرض الداعی له إلی الأمر به، و قد لا یکون کذلک، بل هو مقدّمة لتحصیل غرضه الأصلی الداعی له إلی الأمر به، و 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 المکلّف مقدّمة للفعل المشتمل علی الغرض الأصلی، مثل الوضوء و ستر العورة للصلاة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مقدّمة لفعل المولی الذی أمره به، و فعل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جوارحی، کشرب الماء فیما لو أمره بإحضار الماء لیشربه، أو جوانحی، کما فی اختیاره لإحدی</w:t>
      </w:r>
      <w:bookmarkStart w:id="425" w:name="pg12886_133391"/>
    </w:p>
    <w:p>
      <w:pPr>
        <w:pStyle w:val="BookText"/>
        <w:rPr/>
      </w:pPr>
      <w:bookmarkEnd w:id="425"/>
      <w:r>
        <w:rPr>
          <w:rFonts w:ascii="IRNazanin" w:hAnsi="IRNazanin" w:eastAsia="IRNazanin"/>
          <w:color w:val="111111"/>
          <w:sz w:val="28"/>
          <w:sz w:val="28"/>
          <w:szCs w:val="28"/>
          <w:rtl w:val="true"/>
          <w:lang w:bidi="fa-IR"/>
        </w:rPr>
        <w:t>الصلاتین فی المُعادة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بوجوب المقدّمة الموصلة، کان المتّصف بالوجوب من فعل المکلّف هو الفعل الذی یُوصل المولی إلی غرضه النفسی الأصلی، و الفعل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أتی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لا یتّصف بالوجوب، و إن قلنا بوجوب مطلق المقدّمة، فعدم اتّصاف ما فعله ثانیاً بالوجوب أوضح؛ لصدق الامتثال بالأوّل</w:t>
      </w:r>
      <w:r>
        <w:rPr>
          <w:rStyle w:val="FootnoteAnchor"/>
          <w:rtl w:val="true"/>
        </w:rPr>
        <w:footnoteReference w:id="4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مطلق المقدّمة أو المقدّمة الموصلة لا ارتباط له بالمقام؛ لأنّ الأمر المتعلّق بالطبیعة نفسی لا غیری، و مقتضی ما ذکره هو أنّ جمیع الأوامر المتعلِّقة بالطبائع غیریّة، و فساده واضح</w:t>
      </w:r>
      <w:r>
        <w:rPr>
          <w:rFonts w:eastAsia="IRNazanin" w:cs="IRNazanin"/>
          <w:color w:val="111111"/>
          <w:sz w:val="28"/>
          <w:szCs w:val="28"/>
          <w:rtl w:val="true"/>
          <w:lang w:bidi="fa-IR"/>
        </w:rPr>
        <w:t>.</w:t>
      </w:r>
    </w:p>
    <w:p>
      <w:pPr>
        <w:pStyle w:val="Heading5"/>
        <w:numPr>
          <w:ilvl w:val="4"/>
          <w:numId w:val="1"/>
        </w:numPr>
        <w:rPr/>
      </w:pPr>
      <w:bookmarkStart w:id="426" w:name="__RefHeading___Toc3024117_3224264995"/>
      <w:bookmarkStart w:id="427" w:name="_Toc159"/>
      <w:bookmarkEnd w:id="426"/>
      <w:r>
        <w:rPr>
          <w:rtl w:val="true"/>
        </w:rPr>
        <w:t>المقام الثانی</w:t>
      </w:r>
      <w:r>
        <w:rPr>
          <w:rtl w:val="true"/>
        </w:rPr>
        <w:t xml:space="preserve">: </w:t>
      </w:r>
      <w:r>
        <w:rPr>
          <w:rtl w:val="true"/>
        </w:rPr>
        <w:t>إجزاء الاضطراری عن الواقع</w:t>
      </w:r>
      <w:bookmarkEnd w:id="427"/>
    </w:p>
    <w:p>
      <w:pPr>
        <w:pStyle w:val="BookText"/>
        <w:rPr/>
      </w:pPr>
      <w:r>
        <w:rPr>
          <w:rFonts w:ascii="IRNazanin" w:hAnsi="IRNazanin" w:eastAsia="IRNazanin"/>
          <w:color w:val="111111"/>
          <w:sz w:val="28"/>
          <w:sz w:val="28"/>
          <w:szCs w:val="28"/>
          <w:rtl w:val="true"/>
          <w:lang w:bidi="fa-IR"/>
        </w:rPr>
        <w:t>الإتیان بالمأمور به الاضطراری مع جمیع شرائطه و خصوصیّاته الدخیلة فی المأمور به عقلًا و شرعاً، هل هو مُجزٍ عن الواقع أو لا؟</w:t>
      </w:r>
    </w:p>
    <w:p>
      <w:pPr>
        <w:pStyle w:val="BookText"/>
        <w:rPr/>
      </w:pPr>
      <w:r>
        <w:rPr>
          <w:rFonts w:ascii="IRNazanin" w:hAnsi="IRNazanin" w:eastAsia="IRNazanin"/>
          <w:color w:val="111111"/>
          <w:sz w:val="28"/>
          <w:sz w:val="28"/>
          <w:szCs w:val="28"/>
          <w:rtl w:val="true"/>
          <w:lang w:bidi="fa-IR"/>
        </w:rPr>
        <w:t>و فیه أیضاً جهتان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بالنسبة إلی الإعادة فی الوقت و الثانیة فی القضاء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أمر واحد متعلّق بالطبیعة کالأمر بالصلاة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أنّه یشترط فیها الطهارة المائیّة أو القیام حال القراءة فی صورة وجدان الماء و القدرة علی القیام، و الطهارة الترابیّة عند فقدان الماء و الجلوس حال القراءة عند تعذّر القیام، و فُرض أنّ المکلّف فی أوّل وقته فاقد للماء أو عاجز عن القیام، و أنّ الشارع تعالی أیضاً سوّغ له البِدار فی الصلاة أوّلَ الوقت و لو مع العلم بزوال العذر فی آخر الوقت، و إلّا فلو فرض عدم تسویغ البدار له، و أنّ المسوِّغ للمأمور به الاضطراری</w:t>
      </w:r>
    </w:p>
    <w:p>
      <w:pPr>
        <w:pStyle w:val="BookText"/>
        <w:rPr/>
      </w:pPr>
      <w:r>
        <w:rPr>
          <w:rFonts w:ascii="IRNazanin" w:hAnsi="IRNazanin" w:eastAsia="IRNazanin"/>
          <w:color w:val="111111"/>
          <w:sz w:val="28"/>
          <w:sz w:val="28"/>
          <w:szCs w:val="28"/>
          <w:rtl w:val="true"/>
          <w:lang w:bidi="fa-IR"/>
        </w:rPr>
        <w:t>هو العذر المستوعِب للوقت، فلا وقع للنزاع؛ لعدم الإشکال فی عدم الإجزاء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تقریرات بحث المحقّق العراقی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الشکّ فی تسویغ الشارع البدار فی محطّ البحث</w:t>
      </w:r>
      <w:r>
        <w:rPr>
          <w:rStyle w:val="FootnoteAnchor"/>
          <w:rtl w:val="true"/>
        </w:rPr>
        <w:footnoteReference w:id="473"/>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الإجزاء فی الفرض المذکور؛ لأنّ المفروض أنّ المطلوب و المأمور به هو طبیعة الصلاة، لکن لها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هی مع الطهارة الترابیّة مع فقد الماء، و ثانیهما الصلاة مع الطهارة المائیّة مع وجدان الماء، و المکلّف مخیّر عقلًا بینهما؛ أی بین الصلاة مع الطهارة الترابیّة أوّلَ الوقت أو الانتظار لآخر الوقت الواجد فیه الماء و فعل الصلاة مع الطهارة المائیة، و الإتیانُ بکلّ واحد من المصداقین کافٍ فی الامتثال و سقوط التکلیف، کما هو واضح، و لا وجه لوجوب الإعادة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الإعادة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القضاء خارج الوقت فکذلک، بل أولی من الأوّل، لکن لا بدّ من فرض استیعاب العذر لتمام الوقت، أو عدم الإتیان به فی الصورة الاولی حین الوجدان، أو فرض أنّ الواجب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اخترناه من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تعدّد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و المأمور به إمّا واحد، أو متعدّد کالأمر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 إلی ما اخترناه من محطّ البحث، و مقتضی القاعدة فیه هو الإجزاء؛ لأنّه مختار فی الإتیان بکلّ واحد من المصداقین عقلًا، و کلّ واحد منهما کافٍ فی سقوط الأمر و حصول الامتثال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فی المأمور به الاضطراری إمّا کافیة فیما هو المهمّ و الغرض و وافیة بتمام المصلحة، أو لا، بل یبقی منه شی‌ء یمکن استیفاؤه، أو لا یمکن، و فیما یمکن استیفاؤه إمّا هو بمقدار یجب</w:t>
      </w:r>
    </w:p>
    <w:p>
      <w:pPr>
        <w:pStyle w:val="BookText"/>
        <w:rPr/>
      </w:pPr>
      <w:r>
        <w:rPr>
          <w:rFonts w:ascii="IRNazanin" w:hAnsi="IRNazanin" w:eastAsia="IRNazanin"/>
          <w:color w:val="111111"/>
          <w:sz w:val="28"/>
          <w:sz w:val="28"/>
          <w:szCs w:val="28"/>
          <w:rtl w:val="true"/>
          <w:lang w:bidi="fa-IR"/>
        </w:rPr>
        <w:t>تدارکه، أو 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وافیة بتمام الغرض و المصلحة فلا یبقی مجال للتدارک؛ لا إعادةً و لا قضاءً، و کذلک فی صورة عدم إمکان تدارک الباقی من المصلحة، أو أمکن و لکن لا یجب تدارکه</w:t>
      </w:r>
      <w:r>
        <w:rPr>
          <w:rStyle w:val="FootnoteAnchor"/>
          <w:rtl w:val="true"/>
        </w:rPr>
        <w:footnoteReference w:id="4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لأنّ ما ذکره إنّما هو فی مقام الثبوت و عالم التصوّر، و لا فائدة للبحث عنه،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و لا إشکال فی أنّه لا یجب علی المسلمین إلّا صلاة واحدة بالطهارة المائیّة أو الترابیّة، و أنّ تعدّد الأمر بناءً علی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ملاحظة الأدلّة، فلو فرض أنّ المستفاد منها مغایرة المأمور به بالأمر الاضطراری للمأمور به بالأمر الاختیاری، فلا وجه لإجزاء الأوّل عن الثانی، فمقتضی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 الشکّ فی الإجزاء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 الشکّ فی إطلاق دلیل بدلیّة الاضطراری أو فی إطلاق دلیل المبدل، فهو خارج عن مسألة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الشکّ فی تسویغ الشارع تعالی البدار بفعل المکلّف به الاضطراری بمجرّد التعذّر فی أوّل الوقت، فهو أیضاً خارج عن مسألة الإجزاء، و محلّ البحث فیه هو الفقه، و أمّا فیما نحن فیه فالمفروض فیه إطلاق دلیل بدلیّة الاضطراری، و تسویغ الشارع البدار فی فعل الاضطراری بمجرّد العذر فی الجملة، و لکن لمّا تعرّضوا لفرض الشکّ فی الإجزاء فی المقام فنحن نقتفی آثارهم، فنقول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شُکّ فی الإجزاء و عدمه، فعلی المبنی الذی اخترناه، فالشکّ فیه مسبَّب عن الشکّ فی إطلاق دلیل بدلیّة البدل، أو فی تسویغ البدار، فمقتضی الأصل فیه هو الاشتغال و وجوب إعادته عند ارتفاع العذر؛ لأنّه شکّ فی الإتیان بمصداق المأمور به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فیه بین التعیین و التخییر؛ لأنّه علی فرض جواز البدار واقعاً فکلّ واحد من الاختیاری و الاضطراری مسقط للأمر، فهو مخیّر بینهما، و علی فرض عدم جواز البدار کذلک، فالمسقط للأمر و المجزئ هو فعل المأمور به الاختیاری متعیِّناً، و مقتضی القاعدة فی دوران الأمر بین التعیین و التخییر هو الاشتغال؛ لأنّه لا یعلم خروج العهدة عن التکلیف القطعی بفعل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اخترنا من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و المأمور به متعدّدان</w:t>
      </w:r>
      <w:r>
        <w:rPr>
          <w:rStyle w:val="FootnoteAnchor"/>
          <w:rtl w:val="true"/>
        </w:rPr>
        <w:footnoteReference w:id="475"/>
      </w:r>
      <w:r>
        <w:rPr>
          <w:rFonts w:ascii="IRNazanin" w:hAnsi="IRNazanin" w:eastAsia="IRNazanin"/>
          <w:color w:val="111111"/>
          <w:sz w:val="28"/>
          <w:sz w:val="28"/>
          <w:szCs w:val="28"/>
          <w:rtl w:val="true"/>
          <w:lang w:bidi="fa-IR"/>
        </w:rPr>
        <w:t>، فقضیّة القاعدة هی البراءة؛ لأنّ المفروض أنّه فاقد للماء أوّل الوقت و واجد له فی آخره، و شَکَّ فی أنّ فعل الاضطراری مُجزٍ أو لا؛ لأجل الشکّ فی أنّ العذر المسوِّغ للاضطراری، هو العذر المستوعِب بفقدانه الماء فی جمیع الوقت؛ کی لا یجزی، أو العذر فی الجملة و لو فی بعض الوقت؛ کی یجزی، فَفَعلَ التکلیف الاضطراری فی أوّل الوقت باحتمال وجود الأمر به؛ لما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احتماله کافٍ فی الامتثال لو کان واقعاً، بل هو أولی من القطع بوجوده، و حینئذٍ فإذا ارتفع الاضطرار یشکّ فی توجّه التکلیف الاختیاری إلیه شکّاً بدویّاً؛ لاحتمال کفایة الاضطراری المأتی به، و الأصل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التعیین و التخییر؛ فإنّ الأمر دائر بین أن یکون المکلّف مخیّراً بین فعل التکلیف الاختیاری و الاضطراری، و بین وجوب الانتظار و تعیّن فعل التکلیف الاختیاری؛ لأنّه إن کان الموضوع للتکلیف الاضطراری هو العذر فی الجملة فمقتضاه الأوّل، و إن کان هو العذر المستوعِب فالثانی، و الأصل فیه هو الاشتغال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وجوب الانتظار إلی زمان رفع العذر، و المفروض أنّ</w:t>
      </w:r>
    </w:p>
    <w:p>
      <w:pPr>
        <w:pStyle w:val="BookText"/>
        <w:rPr/>
      </w:pPr>
      <w:r>
        <w:rPr>
          <w:rFonts w:ascii="IRNazanin" w:hAnsi="IRNazanin" w:eastAsia="IRNazanin"/>
          <w:color w:val="111111"/>
          <w:sz w:val="28"/>
          <w:sz w:val="28"/>
          <w:szCs w:val="28"/>
          <w:rtl w:val="true"/>
          <w:lang w:bidi="fa-IR"/>
        </w:rPr>
        <w:t>هنا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بالتکلیف الاضطراری، و الآخر بالاختیاری، و الأوّل متوجّه إلی عنوان الفاقد للماء، و الثانی إلی عنوان الواجد للماء، و المفروض أنّه فاقد للماء فی أوّل الوقت، و واجد له فی آخره، و شکّ فی أنّ الموضوع هو العذر المستوعِب أو فی الجملة؛ لأجل الإهمال فی دلیل البدل و المبدل و الشکّ فی تسویغ البدار، فَفَعلَ المکلَّفُ الاضطراریَّ باحتمال وجود الأمر، فمع رفع العذر فی آخر الوقت یشکّ فی تعلّق التکلیف الابتدائی؛ لاحتمال إجزاء فعل الاضطراری؛ لأنّه حین فقد الماء کان قاطعاً بعدم التکلیف الاختیاری، و مقتضی الأصل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الإعادة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القضاء خارج الوقت، کما لو فَقَدَ الماء أوّلَ الوقت، فأتی بالاضطراری، و لم یأتِ بالاختیاری بعد ارتفاع العذر حتّی انقضی الوقت، فهل یسقط القضاء أو لا؟ الظاهر أنّه یسقط، سواء قلنا بأنّ الأمر و المأمور به واحد أو لا؛ لأنّ الموضوع لوجوب القضاء هو الفوت؛ لقوله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فریضة فَلْیقضِها کما فاتت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7"/>
      </w:r>
      <w:r>
        <w:rPr>
          <w:rFonts w:ascii="IRNazanin" w:hAnsi="IRNazanin" w:eastAsia="IRNazanin"/>
          <w:color w:val="111111"/>
          <w:sz w:val="28"/>
          <w:sz w:val="28"/>
          <w:szCs w:val="28"/>
          <w:rtl w:val="true"/>
          <w:lang w:bidi="fa-IR"/>
        </w:rPr>
        <w:t>، و لاحتمال إتیانه بالمأمور به الواقعی فی الوقت، و معه لا یصدق الفوت، و أمّا استصحاب عدم الإتیان به فی الوقت فهو لا یثبت الفوت الذی هو موضوع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ما ذکرنا من جریان البراءة مبنی علی ما إذا قلنا بأنّ منجزیّة العلم الإجمالی إنّما هی فیما إذا عُلم إجمالًا بوجود تکلیف فعلی مردّد بین هذا أو ذاک، کالعلم الإجمالی بنجاسة هذا الإناء أو ذاک، فیجب الاحتیاط، لا فیما إذا علم بوجود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فعلًا، أو تکلیفٍ آخر بعد ساعة أو ساعتین مثلًا، کما فیما نحن فیه، فإنّ الفاقد للماء فی أوّل الوقت و واجده فی آخره، یعلم بأنّه إمّا مکلّف بالاضطراری</w:t>
      </w:r>
      <w:bookmarkStart w:id="428" w:name="pg12886_133396"/>
    </w:p>
    <w:p>
      <w:pPr>
        <w:pStyle w:val="BookText"/>
        <w:rPr/>
      </w:pPr>
      <w:bookmarkEnd w:id="428"/>
      <w:r>
        <w:rPr>
          <w:rFonts w:ascii="IRNazanin" w:hAnsi="IRNazanin" w:eastAsia="IRNazanin"/>
          <w:color w:val="111111"/>
          <w:sz w:val="28"/>
          <w:sz w:val="28"/>
          <w:szCs w:val="28"/>
          <w:rtl w:val="true"/>
          <w:lang w:bidi="fa-IR"/>
        </w:rPr>
        <w:t>فعلًا، أو مکلّف بعد ساعة أو ساعتین بالاختیاری، فلا یعلم بوجود تکلیف فعلی یقینی، و کما فی المسافرِ أوّلَ الوقت الحاضرِ فی آخره، فإنّه یعلم فی أوّل الوقت بأنّه إمّا مکلّف بالقصر فعلًا، و إمّا سیصیر مکلّفاً بالتمام فی آخر الوقت، فلیس هنا تکلیف فعلی یقینی، فإنّ ما ذکرنا من جریان البراءة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القول بمنجِّزیّة العلم الإجمالی فی الصورة الاولی فقط دون الثانیة، و أمّا إذا قلنا بها فی الصورتین فمقتضی القاعدة الاشتغال؛ لأنّ مرجع الشکّ فیه إلی التعیین و التخییر و الأصل فیه هو الاشتغال</w:t>
      </w:r>
      <w:r>
        <w:rPr>
          <w:rFonts w:eastAsia="IRNazanin" w:cs="IRNazanin"/>
          <w:color w:val="111111"/>
          <w:sz w:val="28"/>
          <w:szCs w:val="28"/>
          <w:rtl w:val="true"/>
          <w:lang w:bidi="fa-IR"/>
        </w:rPr>
        <w:t>.</w:t>
      </w:r>
    </w:p>
    <w:p>
      <w:pPr>
        <w:pStyle w:val="Heading5"/>
        <w:numPr>
          <w:ilvl w:val="4"/>
          <w:numId w:val="1"/>
        </w:numPr>
        <w:rPr/>
      </w:pPr>
      <w:bookmarkStart w:id="429" w:name="__RefHeading___Toc3024119_3224264995"/>
      <w:bookmarkStart w:id="430" w:name="_Toc160"/>
      <w:bookmarkEnd w:id="429"/>
      <w:r>
        <w:rPr>
          <w:rtl w:val="true"/>
        </w:rPr>
        <w:t>المقام الثالث</w:t>
      </w:r>
      <w:r>
        <w:rPr>
          <w:rtl w:val="true"/>
        </w:rPr>
        <w:t xml:space="preserve">: </w:t>
      </w:r>
      <w:r>
        <w:rPr>
          <w:rtl w:val="true"/>
        </w:rPr>
        <w:t>إجزاء الظاهری عن الواقع</w:t>
      </w:r>
      <w:bookmarkEnd w:id="430"/>
    </w:p>
    <w:p>
      <w:pPr>
        <w:pStyle w:val="Heading6"/>
        <w:numPr>
          <w:ilvl w:val="5"/>
          <w:numId w:val="1"/>
        </w:numPr>
        <w:rPr/>
      </w:pPr>
      <w:bookmarkStart w:id="431" w:name="__RefHeading___Toc3024121_3224264995"/>
      <w:bookmarkStart w:id="432" w:name="_Toc161"/>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هل الإتیان بالمأمور به الظاهری مُجزٍ عن الواقعی فیسقط، أو لا کالعمل بالأُصول و القواعد المجعولة للشاکّ؟</w:t>
      </w:r>
    </w:p>
    <w:p>
      <w:pPr>
        <w:pStyle w:val="BookText"/>
        <w:rPr/>
      </w:pPr>
      <w:r>
        <w:rPr>
          <w:rFonts w:ascii="IRNazanin" w:hAnsi="IRNazanin" w:eastAsia="IRNazanin"/>
          <w:color w:val="111111"/>
          <w:sz w:val="28"/>
          <w:sz w:val="28"/>
          <w:szCs w:val="28"/>
          <w:rtl w:val="true"/>
          <w:lang w:bidi="fa-IR"/>
        </w:rPr>
        <w:t>وَ لیُعلمْ أنّ محطّ البحث هو ما إذا کان هناک أمرٌ متعلّق بمرکّب ذی أجزاء و شرائط، و أمرٌ أیضاً بتصدیق خبر زرارة، و فُرض أنّ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بأنّ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واجبة، فصلّی بدونها، فانکشف الخلاف فی الشبهة الحکمیّة، أو أخبرت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القبلة هی هذه الجهة، فصلّی إلیها، فانکشف الخلاف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الأمارات فحجّیّتها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نحو السببیّة و الموضوعیّة، أو الطریقیّة، و الکشفُ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بناء العقلاء علی ذلک و عدم ردع الشارع عنه، و إمّا للتعبّد به من الشارع تأسیساً</w:t>
      </w:r>
      <w:r>
        <w:rPr>
          <w:rFonts w:eastAsia="IRNazanin" w:cs="IRNazanin"/>
          <w:color w:val="111111"/>
          <w:sz w:val="28"/>
          <w:szCs w:val="28"/>
          <w:rtl w:val="true"/>
          <w:lang w:bidi="fa-IR"/>
        </w:rPr>
        <w:t>.</w:t>
      </w:r>
    </w:p>
    <w:p>
      <w:pPr>
        <w:pStyle w:val="Heading6"/>
        <w:numPr>
          <w:ilvl w:val="5"/>
          <w:numId w:val="1"/>
        </w:numPr>
        <w:rPr/>
      </w:pPr>
      <w:bookmarkStart w:id="433" w:name="__RefHeading___Toc3024123_3224264995"/>
      <w:bookmarkStart w:id="434" w:name="_Toc162"/>
      <w:bookmarkEnd w:id="433"/>
      <w:r>
        <w:rPr>
          <w:rtl w:val="true"/>
        </w:rPr>
        <w:t>فهنا وجوه ثلاثة</w:t>
      </w:r>
      <w:r>
        <w:rPr>
          <w:rtl w:val="true"/>
        </w:rPr>
        <w:t>:</w:t>
      </w:r>
      <w:bookmarkEnd w:id="43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السببیّة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فاسد، کما بُیِّن فی محلّه، و لا ینبغی التعرّض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الطریقیّة لأجل بناء العقلاء مثل حجّیّة الظواهر، فلا بدّ من</w:t>
      </w:r>
    </w:p>
    <w:p>
      <w:pPr>
        <w:pStyle w:val="BookText"/>
        <w:rPr/>
      </w:pPr>
      <w:r>
        <w:rPr>
          <w:rFonts w:ascii="IRNazanin" w:hAnsi="IRNazanin" w:eastAsia="IRNazanin"/>
          <w:color w:val="111111"/>
          <w:sz w:val="28"/>
          <w:sz w:val="28"/>
          <w:szCs w:val="28"/>
          <w:rtl w:val="true"/>
          <w:lang w:bidi="fa-IR"/>
        </w:rPr>
        <w:t>تغییر عنوان البحث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بما أمضاه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استقرّ بناء العقلاء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مُجزٍ عن الواقع عند انکشاف الخلاف، فلا یجب إعادته، أو لا؟ فلا بدّ من ملاحظة بناء العقلاء فی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لا ریب فی أنّه لیس بناء العقلاء علی الإجزاء فیه عند انکشاف الخلاف، بل یستأنفون العمل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الإجزاء فیه؛ لأنّ مرجع البحث عن الإجزاء فیه، إلی البحث فی أنّ الأوامر الظاهریة هل هی حاکمة علی الأدلّة الأوّلیّة، أو لا؟ کما لو جعل الشارع الطهارة من الخبث شرطاً فی لباس المصلّی، و کذلک الاستقبال، و قامت الأمارة أو البیّنة علی طهارته من الخبث، و أنّ القبلة هی هذه الجهة، فهو توسعة من الشارع للطهارة و القبلة، و أنّهما أعمّان من الواقعیّة و الظاهریّة، لکن القول بالحکومة هنا فاسد؛ لأنّها مبنیّة علی القول بالسببیّة و ملازمة لها فی الأمارات، و الفرض أنّها من باب الطریقیّة، و بین طریقیّتها إلی الواقع و بین حکومتها علی الأدلّة الأوّلیّة تنافٍ ظاهر، فمع انکشاف الخلاف یجب الإتیان بالتکلیف الواقعی، و لا یُجزی فعل المأمور به بالأمر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و القواعد الشرعیّة فهی لیس علی وتیرة واحدة حتّی یُبحث عنها إجمالًا، بل لا بدّ من التعرّض لکلّ واحد منها علی حِدة،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أصالة الطهارة و أصالة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فلسانهما واحد، سواء کانتا فی الشبهة الحکمیّة، کما إذا لم یعلم حکم المائع الفلانی، و أنّه نجس أو لا، أو أنّ الحیوان الفلانی ممّا یُؤکل لحمه أو لا، فیحکم بمقتضاهما بالطهارة و الحلّیّة، أم فی الشبهة الموضوعیّة، کما لو تردّد مائع بین الماء و البول، أو وُجد لحمٌ، لم یُعلم أنّه ممّا یُؤکل لحمه أو غیره، فإنّ أصالتی الطهارة و الحلّیّة جاریتان فیهما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لیس مفادهما جعل الطهارة و الحلّیّة الواقعیّتین؛ لاستلزامه التصویب، و لیس حجّیّتهما جعل الطریقیة إلی الواقع؛ فإنّ الشکّ غیر قابل للطریقیّة إلی الواقع،</w:t>
      </w:r>
      <w:bookmarkStart w:id="435" w:name="pg12886_133398"/>
    </w:p>
    <w:p>
      <w:pPr>
        <w:pStyle w:val="BookText"/>
        <w:rPr/>
      </w:pPr>
      <w:bookmarkEnd w:id="435"/>
      <w:r>
        <w:rPr>
          <w:rFonts w:ascii="IRNazanin" w:hAnsi="IRNazanin" w:eastAsia="IRNazanin"/>
          <w:color w:val="111111"/>
          <w:sz w:val="28"/>
          <w:sz w:val="28"/>
          <w:szCs w:val="28"/>
          <w:rtl w:val="true"/>
          <w:lang w:bidi="fa-IR"/>
        </w:rPr>
        <w:t>بل مفادهما جعل حکم ظاهری وظیفةً للشاکّ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البعض إلی أنّه لو أمر المولی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فیها الطهارة من الخبث، أو یُشترط فی لباس المصلّی أن لا یکون من أجزاء ما لا یُؤکل لحمه، و شُکّ فی طهارة ثوب و نجاسته، أو أنّه ممّا یُؤکل لحمه أو لا، شُبهةً حکمیّةً أو موضوعیّةً، فبنی المکلّف علی طهارته، و أنّه ممّا یُؤکل لحمه بمقتضی القاعدتین، فصلّی به، ثمّ بانَ أنّه کان نجساً، أو ممّا لا یُؤکل، فلسانهما فی نظر العرف لسان الحکومة، و أنّ القاعدتین ناظرتان إلی دلیل شرطیّة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للشرط، و أنّه أعمّ من الطهارة الواقعیّة و الظاهریّة، و حینئذٍ فلا یجب الإعادة و لا القضاء عند انکشاف الخلاف، و لا إشکال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3024125_3224264995"/>
      <w:bookmarkStart w:id="437" w:name="_Toc163"/>
      <w:bookmarkEnd w:id="436"/>
      <w:r>
        <w:rPr>
          <w:rtl w:val="true"/>
        </w:rPr>
        <w:t>لکن أورد علیه بوجوه</w:t>
      </w:r>
      <w:r>
        <w:rPr>
          <w:rtl w:val="true"/>
        </w:rPr>
        <w:t>:</w:t>
      </w:r>
      <w:bookmarkEnd w:id="43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ذکر إنّما یصحّ ما دام کونه شاکّاً، و أمّا إذا ارتفع الشکّ، و قطع بأنّه کان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أنّ الشکَّ عذرٌ و الشاکَّ معذورٌ ما دام الشکّ موجوداً؛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ارتفع العذر ارتفع المبنی علیه، بل المراد أنّ الشارع حَکَمَ بترتیب آثار الطهارة و الحلّیّة علی المشکوک، و من آثارها جواز الشروع فی الصلاة معه و صحّتها، فلیس هنا کشفٌ و تبیّنُ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للحکومة هنا؛ لعدم إمکان الحکم بالطهارة الظاهریّة و الحکومة معاً دفعةً واحدة</w:t>
      </w:r>
      <w:r>
        <w:rPr>
          <w:rStyle w:val="FootnoteAnchor"/>
          <w:rtl w:val="true"/>
        </w:rPr>
        <w:footnoteReference w:id="480"/>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لیست من المجعولات الشرعیّة، بل هی منوطة بنظر العرف، فإن لم یکن بین دلیلین تنافٍ عرفاً فی نظر العقلاء، و أنّ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موضوع الآخر بتصرفٍ فیه توسعةً أو تضییقاً لدائرته، فهو معنی الحکومة، سواء کانا عامّین من وجه، أو أعمّ و أخصّ مطلقاً، أو ظاهراً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بدّ فی الحکومة أن یکون الدلیلان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 لا ما إذا کان أحدهما فی طول الآخر، کما فیما نحن فیه، فإنّ الحکم الظاهری فی طول الحکم الواقعی؛ لأنّه اخذ فی موضوعه الشکّ فی الحکم الواقعی، فحینئذٍ لا یمکن حکومة دلیله علی دلیل الحکم الواقعی</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أیضاً کما عن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حکومة قاعدة الطهارة و الحلّیّة علی الأدلّة و الأوّلیّة الواقعیّة فقه، جدید، فإنّه لو فرض ملاقاة شی‌ء آخر لهذا المشکوک الذی هو نجس واقعاً، فمقتضی القاعدة ترتیب آثار الطهارة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الحکومة و لو مع تبیّن الخلاف، و هکذا یلزم المحذور المذکور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هذین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بالحکومة هنا حکومة الدلیل الظاهری علی أدلّة شرطیّة الطهارة من الخبث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عرض واحد، لا علی أدلّة أحکام النجاسات الواقعیّة، و الإشکالان ناشئان عن الغفلة عن هذا؛ بتوهّم أنّ المراد هو الثانی، و حینئذٍ فهما فی غیر محلّهما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عدم الالتزام بالإجزاء فی بعض الموارد فی الفقه، کما إذا توضّأ بماء مشکوک الطهارة بمقتضی القاعدة، فبان کونه نجساً، فلا بدّ من إعادة الوضوء و الصلاة، و لکنّه بدلیل خاصّ فلا یضرّ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الرفع</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کقاعدة الطهارة فی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الشارع أمر بالصلاة التی لها أجزاء و شرائط، و شکّ فی جزئیّة شی‌ء أو شرطیّته لها، فحکَمَ بعدمهما بحدیث الرفع فی الشبهة الحکمیّة و الموضوعیّة؛ بناءً علی شمول حدیث الرفع لهما، فإن کان المراد من حدیث الرفع، نفی جزئیّته أو شرطیّته واقعاً، فهو تصویب محال، أو مجمع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طریق إلی الواقع فهو أیضاً خلاف سیاق الحدیث، فهو فی مقام بیان وظیفة الشاکّ، فمفهومه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الشاکّ فی جزئیّة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الصلاة بلا سورة، فهو حاکم علی الأدلّة المتکفّلة لبیان الأجزاء و الشرائط، فإذا انکشف وجوبها بعد الصلاة لا یجب إعادتها لا أداءً و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فحجّیّته إمّا لبناء العقلاء علیه، و أنّ ما ثبت یدوم، و إمّا لجعل الشارع إیّاه طریقاً إلی الواقع، و حکمه بإدامة الیقین السابق فی ظرف الشکّ، و إمّا لحکمه بترتیب آثار الیقین السابق فی ظرف الشکّ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عدم الإجزاء نظیر الأمارات و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قاعدة الطهارة فی حکومته علی الأدلّة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الأخیر؛ لأنّه لم یُحرز بناء العقلاء علیه، و أنّ ما یتوهّم فی بعض الموارد من بنائهم علیه، فهو لأجل وثوقهم ببقاء ما کان سابقاً عادةً و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ظرف الشکّ، و یدلّ علی ذلک صحیحة زرارة، فإنّه قد حکم الإمام علیه السلام فی فرض الخفقة و الخفقتین بالاستصحاب</w:t>
      </w:r>
      <w:r>
        <w:rPr>
          <w:rStyle w:val="FootnoteAnchor"/>
          <w:rtl w:val="true"/>
        </w:rPr>
        <w:footnoteReference w:id="485"/>
      </w:r>
      <w:r>
        <w:rPr>
          <w:rFonts w:ascii="IRNazanin" w:hAnsi="IRNazanin" w:eastAsia="IRNazanin"/>
          <w:color w:val="111111"/>
          <w:sz w:val="28"/>
          <w:sz w:val="28"/>
          <w:szCs w:val="28"/>
          <w:rtl w:val="true"/>
          <w:lang w:bidi="fa-IR"/>
        </w:rPr>
        <w:t>مع أنّهم لا یحکمون بالبقاء فیه و فی الموارد التی قامت الأمارة علی عدم البقاء، و کذا مع الظنّ بالخلاف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ظننت أنّه أصابه</w:t>
      </w:r>
      <w:r>
        <w:rPr>
          <w:rFonts w:eastAsia="Amiri" w:cs="Amiri" w:ascii="Amiri" w:hAnsi="Amiri"/>
          <w:color w:val="111111"/>
          <w:sz w:val="28"/>
          <w:szCs w:val="28"/>
          <w:rtl w:val="true"/>
          <w:lang w:bidi="ar-SA"/>
        </w:rPr>
        <w:t>)</w:t>
      </w:r>
    </w:p>
    <w:p>
      <w:pPr>
        <w:pStyle w:val="BookText"/>
        <w:rPr/>
      </w:pPr>
      <w:r>
        <w:rPr>
          <w:rStyle w:val="FootnoteAnchor"/>
          <w:rtl w:val="true"/>
        </w:rPr>
        <w:footnoteReference w:id="486"/>
      </w:r>
      <w:r>
        <w:rPr>
          <w:rFonts w:ascii="IRNazanin" w:hAnsi="IRNazanin" w:eastAsia="IRNazanin"/>
          <w:color w:val="111111"/>
          <w:sz w:val="28"/>
          <w:sz w:val="28"/>
          <w:szCs w:val="28"/>
          <w:rtl w:val="true"/>
          <w:lang w:bidi="fa-IR"/>
        </w:rPr>
        <w:t>، و کذا حکمه بوجوب التطهیر و عدم وجوب الإعادة، و لذا 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سأله عن علّته؛ حیث إنّه کان علی خلاف 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جعله طریقاً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الیقین طریق تامّ إلی متعلّقه، و لا معنی لطریقیّة الاستصحاب إلی متعلّقه، کما هو مقتضی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الحقّ هو الوجه الثالث، و أنّ الأخبار الواردة فی هذا الباب فی مقام بیان جعل وظیفة الشاکّ المسبوق شکّه بالیقین، و قضیّته الإجزاء؛ لحکومة الاستصحاب علی دلیل الشرطیّة، فإذا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الصلاة الطهارة من الحدث أو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فشکّ المکلّف فیها مع الیقین بها سابقاً، فصلّی باستصحاب الطهارة، ثمّ انکشف بعد الصلاة عدم طهارته، فمقتضی القاعدة الإجزاء و عدم وجوب التدارک؛ لا إعادةً و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قاعدتا التجاوز و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فی الحقیقة قاعدة واحدة، فحجّیّتهما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لبناء العقلاء علیهما، و إمّا لجعل الشارع لهما تعبّداً و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هی أمارة و طریق إلی الواقع عندهم، أو أنّها أصل عملی استقرّ بناؤهم علیه، مع عدم الطریقیّة لها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هی حکم تأسیسی من الشارع، و جعل الطریقیّة لها إلی الواقع من الشارع، و الأماریّة لها علی الواقع تعبّداً، أو أنّها أصل تعبّدی عملی، لا أماریّة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أصل مُحرز مطلقاً، حتّی بالنسبة إلی الفعل الذی یأتی به بعد ذلک، أو حکم حیثی بالنسبة إلی الفعل المأتی به، أو أنّها لیس أصلًا محرِزاً أصلًا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بیان مقتضی القاعدة بناءً علی کلّ واحدة من هذه الصور، ثمّ بیان المختار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حجیّتها لبناء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طریقاً أو أصلًا عملیّاً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الإجزاء، کالأمارات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تأسیساً من الشارع طریقاً؛ لأنّ الواقع فی الجمیع محفوظ لا یتغیّر عمّا هو علیه، فیجب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بأنّها أصل عملی من الشارع تعبّداً، لا أماریّة فیها أصلًا، فقضیّته الإجزاء مثل الاستصحاب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المختار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أمّا بناءُ العقلاء علیها لطریقیّتها و أماریّتها إلی الواقع؛ لأجل أنّ المکلّف إذا کان بصدد امتثال فعل مرکّب من أجزاء و شرائط، فیظنّ أنّه أتی به جامعاً لجمیع الأجزاء و الشرائط غالباً، و الظنّ یلحق الشی‌ء بالأعمّ الأغلب، فلو شکّ بعد التجاوز عن محلّ جزء أو شرط فیه، أو بعد الفراغ من العمل، فالظنّ النوعی حاصل بأنّه قد أتی بجمیع الأجزاء و الشرائط، فهو فاسد؛ لأنّ وجودَ هذا البناء لهم و استقرار دأبهم علیه؛ بحیث یحتاج إلی الردع عنه، غیرُ ثابت، بل معلوم العدم، و لیس مثل بنائهم علی العمل بخبر الواحد؛ حیث إنّه طریق إلی الواقع عندهم، فلو فُرض عدم صدور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 أ تری فی نفسک عدم الاعتناء بالشکّ لو صلّیت و شککتَ بعد الصلاة فی أنّک کنت متطهّراً أو لا؟ حاشا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احتمال بناء العقلاء علیها لا لأجل الطریقیّة، بل لأجل أنّها أصل عملی عندهم استقرّ بناؤهم علیها، فهذه الاحتمالات کلّها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ملاحظة الأخبار الواردة فی هذه القاعدة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التعبیرات فی أخبارها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7"/>
      </w:r>
      <w:r>
        <w:rPr>
          <w:rFonts w:ascii="IRNazanin" w:hAnsi="IRNazanin" w:eastAsia="IRNazanin"/>
          <w:color w:val="111111"/>
          <w:sz w:val="28"/>
          <w:sz w:val="28"/>
          <w:szCs w:val="28"/>
          <w:rtl w:val="true"/>
          <w:lang w:bidi="fa-IR"/>
        </w:rPr>
        <w:t>بعد فرض الشکّ فی الإتیان بجزء أو شرط بعد التجاوز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فشکُّک لیس بشی‌ء و إنّما الشکُّ فی شی‌ء لم تَجُزهُ</w:t>
      </w:r>
      <w:r>
        <w:rPr>
          <w:rFonts w:eastAsia="Amiri" w:cs="Amiri" w:ascii="Amiri" w:hAnsi="Amiri"/>
          <w:color w:val="111111"/>
          <w:sz w:val="28"/>
          <w:szCs w:val="28"/>
          <w:rtl w:val="true"/>
          <w:lang w:bidi="ar-SA"/>
        </w:rPr>
        <w:t>)</w:t>
      </w:r>
    </w:p>
    <w:p>
      <w:pPr>
        <w:pStyle w:val="BookText"/>
        <w:rPr/>
      </w:pP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 بعضها بکلتا العبارتین، و فی بعضها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p>
    <w:p>
      <w:pPr>
        <w:pStyle w:val="BookText"/>
        <w:rPr/>
      </w:pPr>
      <w:r>
        <w:rPr>
          <w:rStyle w:val="FootnoteAnchor"/>
          <w:rtl w:val="true"/>
        </w:rPr>
        <w:footnoteReference w:id="48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p>
    <w:p>
      <w:pPr>
        <w:pStyle w:val="BookText"/>
        <w:rPr/>
      </w:pPr>
      <w:r>
        <w:rPr>
          <w:rStyle w:val="FootnoteAnchor"/>
          <w:rtl w:val="true"/>
        </w:rPr>
        <w:footnoteReference w:id="490"/>
      </w:r>
      <w:r>
        <w:rPr>
          <w:rFonts w:ascii="IRNazanin" w:hAnsi="IRNazanin" w:eastAsia="IRNazanin"/>
          <w:color w:val="111111"/>
          <w:sz w:val="28"/>
          <w:sz w:val="28"/>
          <w:szCs w:val="28"/>
          <w:rtl w:val="true"/>
          <w:lang w:bidi="fa-IR"/>
        </w:rPr>
        <w:t>بعد فرض الشکّ فی الرکوع بعد التجاوز عن محلّه، و فی بعضها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Style w:val="FootnoteAnchor"/>
          <w:rtl w:val="true"/>
        </w:rPr>
        <w:footnoteReference w:id="491"/>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الانصراف أقرب إلی الحقّ حین یشک</w:t>
      </w:r>
      <w:r>
        <w:rPr>
          <w:rFonts w:eastAsia="IRNazanin" w:cs="IRNazanin"/>
          <w:color w:val="111111"/>
          <w:sz w:val="28"/>
          <w:szCs w:val="28"/>
          <w:rtl w:val="true"/>
          <w:lang w:bidi="fa-IR"/>
        </w:rPr>
        <w:t>)</w:t>
      </w:r>
    </w:p>
    <w:p>
      <w:pPr>
        <w:pStyle w:val="BookText"/>
        <w:rPr/>
      </w:pPr>
      <w:r>
        <w:rPr>
          <w:rStyle w:val="FootnoteAnchor"/>
          <w:rtl w:val="true"/>
        </w:rPr>
        <w:footnoteReference w:id="492"/>
      </w:r>
      <w:r>
        <w:rPr>
          <w:rFonts w:ascii="IRNazanin" w:hAnsi="IRNazanin" w:eastAsia="IRNazanin"/>
          <w:color w:val="111111"/>
          <w:sz w:val="28"/>
          <w:sz w:val="28"/>
          <w:szCs w:val="28"/>
          <w:rtl w:val="true"/>
          <w:lang w:bidi="fa-IR"/>
        </w:rPr>
        <w:t>، کما فی صحیحة حمّاد عند فرض الشکّ فی الرکعات بعد الانصراف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عمدة التعبیرات فی أخبارها،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التعبیر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فهو ظاهر فی التعبّدیّة، لا الطریقیة؛ لمنافاة هذا التعبیر للطریقیّة، و معناه عدم الشک تعبّداً لا واقعاً،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معناه البناء علی الوجود و الإتیان به تعبّداً،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فیفهم منه أن القاعدة أصل محرز و أمّا قوله علیه السلام فی الموثّقة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ظاهر فی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بدّ حینئذٍ من حمل هذا التعبیر علی الکنایة عن الجواب؛ لعدم ذکر الجواب فیها، و أنّه من باب إقامة العلّة مقام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إشعاراً إلی الطریقیّة، و لیس أخبار القاعدة منحصرة فیها؛ لما عرفت من التعبیرات المختلفة فیها، الظاهرة فی أنّ القاعدة أصل عملی مُحرِز حیثی، کما هو مفاد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فإنّ المراد منه هو البناء علی الوجود تعبّداً لا</w:t>
      </w:r>
    </w:p>
    <w:p>
      <w:pPr>
        <w:pStyle w:val="BookText"/>
        <w:rPr/>
      </w:pPr>
      <w:r>
        <w:rPr>
          <w:rFonts w:ascii="IRNazanin" w:hAnsi="IRNazanin" w:eastAsia="IRNazanin"/>
          <w:color w:val="111111"/>
          <w:sz w:val="28"/>
          <w:sz w:val="28"/>
          <w:szCs w:val="28"/>
          <w:rtl w:val="true"/>
          <w:lang w:bidi="fa-IR"/>
        </w:rPr>
        <w:t>واقعاً، و التفصیل موکول إلی محلّه، فلا یمکن رفع الید عن هذه التعبیرات و الأخذ بظاهر الموثّقة بل إشعارها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الإجزاء لو صلّی و شکّ بعد الفراغ أو بعد التجاوز عن محلّ جزء أو شرط فیها، و بنی علی الإتیان بهما بمقتضی القاعدة ثمّ انکشف الإخلال بهما فی الوقت أو خارجه فلا یجب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الأوّل من هذا الکتاب</w:t>
      </w:r>
    </w:p>
    <w:p>
      <w:pPr>
        <w:pStyle w:val="BookText"/>
        <w:rPr/>
      </w:pPr>
      <w:r>
        <w:rPr>
          <w:rFonts w:ascii="Amiri" w:hAnsi="Amiri" w:eastAsia="Amiri" w:cs="Amiri"/>
          <w:color w:val="111111"/>
          <w:sz w:val="28"/>
          <w:sz w:val="28"/>
          <w:szCs w:val="28"/>
          <w:rtl w:val="true"/>
          <w:lang w:bidi="ar-SA"/>
        </w:rPr>
        <w:t>و صلّی اللَّه علی محمّد و آله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الطیبین الطاهرین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bookmarkStart w:id="438" w:name="pg12886_133407"/>
    </w:p>
    <w:p>
      <w:pPr>
        <w:pStyle w:val="Heading2"/>
        <w:numPr>
          <w:ilvl w:val="1"/>
          <w:numId w:val="1"/>
        </w:numPr>
        <w:rPr/>
      </w:pPr>
      <w:bookmarkStart w:id="439" w:name="__RefHeading___Toc3024127_3224264995"/>
      <w:bookmarkStart w:id="440" w:name="_Toc164"/>
      <w:bookmarkEnd w:id="438"/>
      <w:bookmarkEnd w:id="439"/>
      <w:r>
        <w:rPr>
          <w:rtl w:val="true"/>
        </w:rPr>
        <w:t>فهرس الموضوعات</w:t>
      </w:r>
      <w:bookmarkEnd w:id="440"/>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تشتمل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کل علم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تمایز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علم الاصول و ضابطة مسائله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الواضع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أوضاع هیئات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تکلمة</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أوضاع أسماء الإشارات</w:t>
      </w:r>
    </w:p>
    <w:p>
      <w:pPr>
        <w:pStyle w:val="BookText"/>
        <w:rPr/>
      </w:pPr>
      <w:r>
        <w:rPr>
          <w:rFonts w:ascii="IRNazanin" w:hAnsi="IRNazanin" w:eastAsia="IRNazanin"/>
          <w:color w:val="111111"/>
          <w:sz w:val="28"/>
          <w:sz w:val="28"/>
          <w:szCs w:val="28"/>
          <w:rtl w:val="true"/>
          <w:lang w:bidi="fa-IR"/>
        </w:rPr>
        <w:t xml:space="preserve">و الضمائر و الموصولات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المجازات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نوعه أو 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 الحقیقة و 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و صحّة 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الاطّراد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الحقّ فی 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ضرورة الجامع علی القولین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تصویر الجامع عند الصحیحی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تصویر الجامع عند المحقّق العراقی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تصویر الجامع عند المحقّق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التحقیق فی تصویر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أدلّة الصحیحی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الاستدلال بالتبادر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الاستدلال بصحّة السلب عن الفاسدة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الاستدلال الصحیحی بالأخبار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القطع بالوضع للمرکّبات التامّة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وجه آخر للاستدلال بالتبادر و 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فی أدلّة الأعمّی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مناقشة الآخوند لدلیل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فی الإیراد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الکلام فی ثمرة هذا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الإشکال فی جریان البراءة علی مذهب الآخوند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جریان النزاع فی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أقسام البیع عند المحقّق العراقی و مناقشتها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النزاع فی المعاملات مع وضعها للأسباب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فی نفی ثمرة النزاع فی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الإشکال علی وضع المعاملات للمسبّبات و حلّه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انصراف أدلّة المعاملات إلی العرفیة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اعتبار أجزاء الماهیات و شروطها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الإشکال فی الماهیّات الاعتباریّة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فیه مباحث</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أدلّة القائلین بامتناع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أدلّة القائلین بوجوب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فی أکثر من معنی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استدلال صاحب الکفایة علی الامتناع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استدلالات ضعیفة علی الامتناع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کلام المحقّق العراقی فی المقام و مناقشته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تفصیل صاحب المعالم فی المقام و مناقشته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دلالة أخبار البطون علی وقوع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 التحقیق یحتاج إلی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المسألة عقلیة أم لغویّة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مناقشة کلام المحقّق النائینی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المفاهیم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المفاهیم المنتزعة غیر المشتقة و کلام فخر المحقّقین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 دخول أسماء الزمان فی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کلام المحقّق النائینی فی المقام و مناقشته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المشتقّات و الخلاف فیه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وضع الأفعال و بیان مدالیلها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مبادئ المشتقات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المقصود فی الحال 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الجامع علی 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عند الشک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الأقوال فی المسألة و مناقشتها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الحقّ فی المسألة و أدلّة الأخصّی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أدلّة الأعمّی و مناقشتها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ترکیب المشتقّ و بساطته و الحقّ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 المشتقات علی الذات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الموضوع له لمادّة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العلوّ و الاستعلاء فی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الحقیقی لمادّة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اتّحاد الطلب و الإرادة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صیغة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صیغة الأمر هل هی موضوعة</w:t>
      </w:r>
    </w:p>
    <w:p>
      <w:pPr>
        <w:pStyle w:val="BookText"/>
        <w:rPr/>
      </w:pPr>
      <w:r>
        <w:rPr>
          <w:rFonts w:ascii="IRNazanin" w:hAnsi="IRNazanin" w:eastAsia="IRNazanin"/>
          <w:color w:val="111111"/>
          <w:sz w:val="28"/>
          <w:sz w:val="28"/>
          <w:szCs w:val="28"/>
          <w:rtl w:val="true"/>
          <w:lang w:bidi="fa-IR"/>
        </w:rPr>
        <w:t xml:space="preserve">للوجوب، أو الاستحباب، أو لمطلق الطلب؟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التوصّلی و التعبّدی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المرّة و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الفور و التراخی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لا بدّ 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المسألة عقلیة أو 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المسألة عن بعض المسائل الاصولیة الاخری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البحث ما إذا کان الأمر و المأمور واحداً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هنا مقامات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الاضطراری و الظاهری عن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الاضطراری عن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الظاهری عن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حاشیة ملّا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المحصول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مذکورة فی رسائله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بعض الأفاضل إلی علماء مدینة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الخراسانی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توجّدت لفلان، أی حزنت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بیت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عمر کواکب الأسحار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إشکال، و هو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الحروف لا تصریفَ فیها مع أنّها تجمع و تثنّی و تذکّر و تؤنّث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الجبر و القدر،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یتأمّل المحقِّق العراقی قدس سره فی جریان النزاع فی المقام بناءً علی الحقیقة اللغویّة، نعم لدیه فی جریانه علی مذهب الباقلّانی إشکال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جریان النزاع علی مذهب الباقلّانی فمشکل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قال قدس سره بالنسبة لجریانه علی الحقیقة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فی جریان النزاع علی القول بالحقیقة الشرعیّة و کذا علی القول بالحقیقة اللغویّة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إنّما یصحّ التمسّک بالإطلاق إذا لم یکن فی الکلام ما یصلح للقرینة علی المشهور، و المفروض فی المقام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القرینة المجملة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عدم إحراز عدم القرینة لا یصحّ الأخذ بالإطلاق اللفظی، فإنّ من مقدّمات التمسّک بالإطلاق عدمَ القرینة علی الخلاف، و هو فی المقام غیر محرز، فلا یجوز التمسّک بالإطلاق علی کلا القولین و أمّا التمسّک بالبراءة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القول بعدم جریانها فی صورة إجمال النصّ، و أمّا علی القول بجریانها فی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فیجوز التمسّک بها علی کلا القولین علی مذهب الباقلّانی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کتاب الصلاة، باب بطلان الصلاة بالضحک مع القهقهة لا بمجرّد التبسم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سلب لفظ الصلاة بما لها من المعنی الارتکازی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یُعلم حقیقته إلّا بالآثار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الفاقدة لبعض الأجزاء و الشرائط، فإنّ هذا السلب صحیح، فیثبت أنّها مجاز فی الفاسدة، و بضمیمة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الدوران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أنّها موضوعة للصحیحة، و لا یرد علیه الإشکالات حینئذٍ</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وقت وجوب الطهور،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و معناها التأمین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الصلح، باب أنّ الصلح جائز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صلحاً أحل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کتغلب و الأبهری و البلخی علی ما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منع ذلک؛ لأنّه قدس سره إن أراد عدم مسیس الحاجة بالنسبة إلی شخصٍ واحدٍ فهو مسلّم، لکنّه غیر مراد للمستدلّ، بل المراد مسیس حاجة جمیع أفراد الإنسان من البدو إلی 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محاضرات فی اصول الفقه عن النائینی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قرّره فی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إیضاح الفوائد فی شرح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الحاشیة علی الکفایة لآیة اللَّه السید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تلمیذه فی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شروح التلخیص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قاله صاحب المحجّة کما عن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الثمرة المذکورة لهذا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کراهة البول تحت الشجرة المثمرة فی غیر أوان ثمرتها؛ للنهی عن البول تحت الشجرة المثمرة، فعلی الأعمّ یکره ذلک، و علی القول بوضعه لخصوص المتلبّس فلا، و بناءً علی الاشتراک اللفظی یکون اللفظ مجملًا مع عدم القرینة المعیِّنة، فلا یصلح الاستدلال به، و کذلک بناءً علی القول بأنّ الموضوع له فیه خاصّ، فإنّه مثل القول بالاشتراک اللفظی فی لزوم لغویّة البحث، فذکرهم الثمرة المذکورة دلیل علی عدم الاشتراک و عدم خصوصیّة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 ذلک إلی الرازی و البیضاوی و الحنفیة کما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قال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هو المعروف بین أصحابنا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التجرید للقوشجی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الدّوانی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 للقوشجی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 المحقّق الدّوانی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النسبة إلی المعتزلة بهذا التعبیر فی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النهایة و التهذیب و المنیة و المختصر و شرح العضدی کما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السواک،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انظر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السبزواری علی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العدل من کتاب العدل و المعاد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العدل من کتاب العدل و المعاد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وردت به روایات عدیدة عن المعصومین علیهم السلام 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رشحات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لخیّام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خوردن من حق ز ازل می‌دانست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السعادة و الشقاوة، مع تفاوت یسیر فی اللّفظ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نظیره مع تقدیم و تأخیر فی الخبر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طینة المؤمن و الکافر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خیر النساء،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مقدّمات النکاح و آدابه،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مقدّمات النکاح و آدابه،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الأوقات التی یکره فیها الباه،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مقدّمات النکاح و آدابه،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من یکره لبنه و من لا یکره،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أحکام الأولاد،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الإحرام،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القدماء فی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مستفاد من بحوث دروس بعض الأعاظم و لیس من کتاب معیّن لعدم العثور علیه فی المصادر المتوفّرة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الإمام الخمینی قدس سره أخذه من نفس المحقّق الحائری فی مجلس درسه فلاحظ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القوچانی علی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للمحقّق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للمحقّق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الجمعة،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الصلوات،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تطهیر الثیاب 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کتاب الصلاة، أبواب الخلل،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70938</Words>
  <Characters>300730</Characters>
  <CharactersWithSpaces>369518</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2026-08-23T21:45:36Z</dcterms:created>
  <dc:creator>ghaemiyeh.com</dc:creator>
  <dc:description/>
  <dc:language>en-US</dc:language>
  <cp:lastModifiedBy/>
  <dcterms:modified xsi:type="dcterms:W3CDTF">2026-08-24T01:15:45Z</dcterms:modified>
  <cp:revision>1</cp:revision>
  <dc:subject/>
  <dc:title>تنقیح الاصول جلد 1</dc:title>
</cp:coreProperties>
</file>

<file path=docProps/custom.xml><?xml version="1.0" encoding="utf-8"?>
<Properties xmlns="http://schemas.openxmlformats.org/officeDocument/2006/custom-properties" xmlns:vt="http://schemas.openxmlformats.org/officeDocument/2006/docPropsVTypes"/>
</file>